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5140"/>
        <w:spacing w:after="0"/>
        <w:rPr>
          <w:sz w:val="20"/>
          <w:szCs w:val="20"/>
          <w:color w:val="auto"/>
        </w:rPr>
      </w:pPr>
      <w:r>
        <w:rPr>
          <w:rFonts w:ascii="Arial" w:cs="Arial" w:eastAsia="Arial" w:hAnsi="Arial"/>
          <w:sz w:val="11"/>
          <w:szCs w:val="11"/>
          <w:b w:val="1"/>
          <w:bCs w:val="1"/>
          <w:color w:val="auto"/>
        </w:rPr>
        <w:t>_____________________</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ind w:left="5140"/>
        <w:spacing w:after="0"/>
        <w:rPr>
          <w:sz w:val="20"/>
          <w:szCs w:val="20"/>
          <w:color w:val="auto"/>
        </w:rPr>
      </w:pPr>
      <w:r>
        <w:rPr>
          <w:rFonts w:ascii="Arial" w:cs="Arial" w:eastAsia="Arial" w:hAnsi="Arial"/>
          <w:sz w:val="11"/>
          <w:szCs w:val="11"/>
          <w:b w:val="1"/>
          <w:bCs w:val="1"/>
          <w:color w:val="auto"/>
        </w:rPr>
        <w:t>_____________________</w:t>
      </w:r>
    </w:p>
    <w:p>
      <w:pPr>
        <w:spacing w:after="0" w:line="142" w:lineRule="exact"/>
        <w:rPr>
          <w:sz w:val="24"/>
          <w:szCs w:val="24"/>
          <w:color w:val="auto"/>
        </w:rPr>
      </w:pPr>
    </w:p>
    <w:p>
      <w:pPr>
        <w:ind w:left="1480" w:right="1160" w:hanging="247"/>
        <w:spacing w:after="0" w:line="250"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20"/>
          <w:szCs w:val="20"/>
          <w:color w:val="auto"/>
        </w:rPr>
        <w:t>ANNUAL REPORT PURSUANT TO SECTION 13 OR 15(d) OF THE SECURITIES EXCHANGE ACT OF 1934</w:t>
      </w:r>
    </w:p>
    <w:p>
      <w:pPr>
        <w:jc w:val="center"/>
        <w:ind w:right="-19"/>
        <w:spacing w:after="0" w:line="218" w:lineRule="auto"/>
        <w:rPr>
          <w:sz w:val="20"/>
          <w:szCs w:val="20"/>
          <w:color w:val="auto"/>
        </w:rPr>
      </w:pPr>
      <w:r>
        <w:rPr>
          <w:rFonts w:ascii="Arial" w:cs="Arial" w:eastAsia="Arial" w:hAnsi="Arial"/>
          <w:sz w:val="22"/>
          <w:szCs w:val="22"/>
          <w:color w:val="auto"/>
        </w:rPr>
        <w:t>For the fiscal year ended December 31, 2017</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133" w:lineRule="exact"/>
        <w:rPr>
          <w:sz w:val="24"/>
          <w:szCs w:val="24"/>
          <w:color w:val="auto"/>
        </w:rPr>
      </w:pPr>
    </w:p>
    <w:p>
      <w:pPr>
        <w:ind w:left="1480" w:hanging="24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20"/>
          <w:szCs w:val="20"/>
          <w:color w:val="auto"/>
        </w:rPr>
        <w:t>TRANSITION REPORT PURSUANT TO SECTION 13 OR 15(d) OF THE SECURITIES EXCHANGE ACT</w:t>
      </w:r>
    </w:p>
    <w:p>
      <w:pPr>
        <w:spacing w:after="0" w:line="16" w:lineRule="exact"/>
        <w:rPr>
          <w:sz w:val="24"/>
          <w:szCs w:val="24"/>
          <w:color w:val="auto"/>
        </w:rPr>
      </w:pPr>
    </w:p>
    <w:p>
      <w:pPr>
        <w:ind w:left="1480"/>
        <w:spacing w:after="0"/>
        <w:rPr>
          <w:sz w:val="20"/>
          <w:szCs w:val="20"/>
          <w:color w:val="auto"/>
        </w:rPr>
      </w:pPr>
      <w:r>
        <w:rPr>
          <w:rFonts w:ascii="Arial" w:cs="Arial" w:eastAsia="Arial" w:hAnsi="Arial"/>
          <w:sz w:val="20"/>
          <w:szCs w:val="20"/>
          <w:color w:val="auto"/>
        </w:rPr>
        <w:t>OF 1934</w:t>
      </w:r>
    </w:p>
    <w:p>
      <w:pPr>
        <w:spacing w:after="0" w:line="4" w:lineRule="exact"/>
        <w:rPr>
          <w:sz w:val="24"/>
          <w:szCs w:val="24"/>
          <w:color w:val="auto"/>
        </w:rPr>
      </w:pPr>
    </w:p>
    <w:p>
      <w:pPr>
        <w:ind w:left="3080"/>
        <w:spacing w:after="0"/>
        <w:tabs>
          <w:tab w:leader="none" w:pos="5520" w:val="left"/>
          <w:tab w:leader="none" w:pos="614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r>
        <w:rPr>
          <w:sz w:val="20"/>
          <w:szCs w:val="20"/>
          <w:color w:val="auto"/>
        </w:rPr>
        <w:tab/>
      </w:r>
      <w:r>
        <w:rPr>
          <w:rFonts w:ascii="Arial" w:cs="Arial" w:eastAsia="Arial" w:hAnsi="Arial"/>
          <w:sz w:val="14"/>
          <w:szCs w:val="14"/>
          <w:color w:val="auto"/>
        </w:rPr>
        <w:t>Commission file number 1-16411</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NORTHROP GRUMMAN CORPORATION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1580" w:type="dxa"/>
        <w:tblCellMar>
          <w:top w:w="0" w:type="dxa"/>
          <w:left w:w="0" w:type="dxa"/>
          <w:bottom w:w="0" w:type="dxa"/>
          <w:right w:w="0" w:type="dxa"/>
        </w:tblCellMar>
      </w:tblPr>
      <w:tr>
        <w:trPr>
          <w:trHeight w:val="210"/>
        </w:trPr>
        <w:tc>
          <w:tcPr>
            <w:tcW w:w="4400" w:type="dxa"/>
            <w:vAlign w:val="bottom"/>
          </w:tcPr>
          <w:p>
            <w:pPr>
              <w:jc w:val="center"/>
              <w:ind w:right="1759"/>
              <w:spacing w:after="0"/>
              <w:rPr>
                <w:sz w:val="20"/>
                <w:szCs w:val="20"/>
                <w:color w:val="auto"/>
              </w:rPr>
            </w:pPr>
            <w:r>
              <w:rPr>
                <w:rFonts w:ascii="Arial" w:cs="Arial" w:eastAsia="Arial" w:hAnsi="Arial"/>
                <w:sz w:val="16"/>
                <w:szCs w:val="16"/>
                <w:b w:val="1"/>
                <w:bCs w:val="1"/>
                <w:color w:val="auto"/>
                <w:w w:val="99"/>
              </w:rPr>
              <w:t>DELAWARE</w:t>
            </w:r>
          </w:p>
        </w:tc>
        <w:tc>
          <w:tcPr>
            <w:tcW w:w="3340" w:type="dxa"/>
            <w:vAlign w:val="bottom"/>
          </w:tcPr>
          <w:p>
            <w:pPr>
              <w:jc w:val="right"/>
              <w:ind w:right="279"/>
              <w:spacing w:after="0"/>
              <w:rPr>
                <w:sz w:val="20"/>
                <w:szCs w:val="20"/>
                <w:color w:val="auto"/>
              </w:rPr>
            </w:pPr>
            <w:r>
              <w:rPr>
                <w:rFonts w:ascii="Arial" w:cs="Arial" w:eastAsia="Arial" w:hAnsi="Arial"/>
                <w:sz w:val="16"/>
                <w:szCs w:val="16"/>
                <w:b w:val="1"/>
                <w:bCs w:val="1"/>
                <w:color w:val="auto"/>
              </w:rPr>
              <w:t>80-0640649</w:t>
            </w:r>
          </w:p>
        </w:tc>
      </w:tr>
      <w:tr>
        <w:trPr>
          <w:trHeight w:val="253"/>
        </w:trPr>
        <w:tc>
          <w:tcPr>
            <w:tcW w:w="4400" w:type="dxa"/>
            <w:vAlign w:val="bottom"/>
          </w:tcPr>
          <w:p>
            <w:pPr>
              <w:jc w:val="center"/>
              <w:ind w:right="1759"/>
              <w:spacing w:after="0"/>
              <w:rPr>
                <w:sz w:val="20"/>
                <w:szCs w:val="20"/>
                <w:color w:val="auto"/>
              </w:rPr>
            </w:pPr>
            <w:r>
              <w:rPr>
                <w:rFonts w:ascii="Arial" w:cs="Arial" w:eastAsia="Arial" w:hAnsi="Arial"/>
                <w:sz w:val="16"/>
                <w:szCs w:val="16"/>
                <w:color w:val="auto"/>
                <w:w w:val="93"/>
              </w:rPr>
              <w:t>(State or other jurisdiction of</w:t>
            </w:r>
          </w:p>
        </w:tc>
        <w:tc>
          <w:tcPr>
            <w:tcW w:w="3340" w:type="dxa"/>
            <w:vAlign w:val="bottom"/>
          </w:tcPr>
          <w:p>
            <w:pPr>
              <w:jc w:val="center"/>
              <w:ind w:left="1779"/>
              <w:spacing w:after="0"/>
              <w:rPr>
                <w:sz w:val="20"/>
                <w:szCs w:val="20"/>
                <w:color w:val="auto"/>
              </w:rPr>
            </w:pPr>
            <w:r>
              <w:rPr>
                <w:rFonts w:ascii="Arial" w:cs="Arial" w:eastAsia="Arial" w:hAnsi="Arial"/>
                <w:sz w:val="16"/>
                <w:szCs w:val="16"/>
                <w:color w:val="auto"/>
                <w:w w:val="95"/>
              </w:rPr>
              <w:t>(I.R.S. Employer</w:t>
            </w:r>
          </w:p>
        </w:tc>
      </w:tr>
      <w:tr>
        <w:trPr>
          <w:trHeight w:val="206"/>
        </w:trPr>
        <w:tc>
          <w:tcPr>
            <w:tcW w:w="4400" w:type="dxa"/>
            <w:vAlign w:val="bottom"/>
          </w:tcPr>
          <w:p>
            <w:pPr>
              <w:jc w:val="center"/>
              <w:ind w:right="1759"/>
              <w:spacing w:after="0"/>
              <w:rPr>
                <w:sz w:val="20"/>
                <w:szCs w:val="20"/>
                <w:color w:val="auto"/>
              </w:rPr>
            </w:pPr>
            <w:r>
              <w:rPr>
                <w:rFonts w:ascii="Arial" w:cs="Arial" w:eastAsia="Arial" w:hAnsi="Arial"/>
                <w:sz w:val="16"/>
                <w:szCs w:val="16"/>
                <w:color w:val="auto"/>
                <w:w w:val="94"/>
              </w:rPr>
              <w:t>incorporation or organization)</w:t>
            </w:r>
          </w:p>
        </w:tc>
        <w:tc>
          <w:tcPr>
            <w:tcW w:w="3340" w:type="dxa"/>
            <w:vAlign w:val="bottom"/>
          </w:tcPr>
          <w:p>
            <w:pPr>
              <w:jc w:val="center"/>
              <w:ind w:left="1759"/>
              <w:spacing w:after="0"/>
              <w:rPr>
                <w:sz w:val="20"/>
                <w:szCs w:val="20"/>
                <w:color w:val="auto"/>
              </w:rPr>
            </w:pPr>
            <w:r>
              <w:rPr>
                <w:rFonts w:ascii="Arial" w:cs="Arial" w:eastAsia="Arial" w:hAnsi="Arial"/>
                <w:sz w:val="16"/>
                <w:szCs w:val="16"/>
                <w:color w:val="auto"/>
                <w:w w:val="95"/>
              </w:rPr>
              <w:t>Identification Number)</w:t>
            </w:r>
          </w:p>
        </w:tc>
      </w:tr>
      <w:tr>
        <w:trPr>
          <w:trHeight w:val="411"/>
        </w:trPr>
        <w:tc>
          <w:tcPr>
            <w:tcW w:w="4400" w:type="dxa"/>
            <w:vAlign w:val="bottom"/>
          </w:tcPr>
          <w:p>
            <w:pPr>
              <w:jc w:val="center"/>
              <w:ind w:right="1759"/>
              <w:spacing w:after="0"/>
              <w:rPr>
                <w:sz w:val="20"/>
                <w:szCs w:val="20"/>
                <w:color w:val="auto"/>
              </w:rPr>
            </w:pPr>
            <w:r>
              <w:rPr>
                <w:rFonts w:ascii="Arial" w:cs="Arial" w:eastAsia="Arial" w:hAnsi="Arial"/>
                <w:sz w:val="16"/>
                <w:szCs w:val="16"/>
                <w:b w:val="1"/>
                <w:bCs w:val="1"/>
                <w:color w:val="auto"/>
                <w:w w:val="95"/>
              </w:rPr>
              <w:t>2980 Fairview Park Drive</w:t>
            </w:r>
          </w:p>
        </w:tc>
        <w:tc>
          <w:tcPr>
            <w:tcW w:w="3340" w:type="dxa"/>
            <w:vAlign w:val="bottom"/>
          </w:tcPr>
          <w:p>
            <w:pPr>
              <w:spacing w:after="0"/>
              <w:rPr>
                <w:sz w:val="24"/>
                <w:szCs w:val="24"/>
                <w:color w:val="auto"/>
              </w:rPr>
            </w:pPr>
          </w:p>
        </w:tc>
      </w:tr>
      <w:tr>
        <w:trPr>
          <w:trHeight w:val="210"/>
        </w:trPr>
        <w:tc>
          <w:tcPr>
            <w:tcW w:w="4400" w:type="dxa"/>
            <w:vAlign w:val="bottom"/>
          </w:tcPr>
          <w:p>
            <w:pPr>
              <w:jc w:val="center"/>
              <w:ind w:right="1759"/>
              <w:spacing w:after="0"/>
              <w:rPr>
                <w:sz w:val="20"/>
                <w:szCs w:val="20"/>
                <w:color w:val="auto"/>
              </w:rPr>
            </w:pPr>
            <w:r>
              <w:rPr>
                <w:rFonts w:ascii="Arial" w:cs="Arial" w:eastAsia="Arial" w:hAnsi="Arial"/>
                <w:sz w:val="16"/>
                <w:szCs w:val="16"/>
                <w:b w:val="1"/>
                <w:bCs w:val="1"/>
                <w:color w:val="auto"/>
                <w:w w:val="94"/>
              </w:rPr>
              <w:t>Falls Church, Virginia</w:t>
            </w:r>
          </w:p>
        </w:tc>
        <w:tc>
          <w:tcPr>
            <w:tcW w:w="3340" w:type="dxa"/>
            <w:vAlign w:val="bottom"/>
          </w:tcPr>
          <w:p>
            <w:pPr>
              <w:jc w:val="right"/>
              <w:ind w:right="459"/>
              <w:spacing w:after="0"/>
              <w:rPr>
                <w:sz w:val="20"/>
                <w:szCs w:val="20"/>
                <w:color w:val="auto"/>
              </w:rPr>
            </w:pPr>
            <w:r>
              <w:rPr>
                <w:rFonts w:ascii="Arial" w:cs="Arial" w:eastAsia="Arial" w:hAnsi="Arial"/>
                <w:sz w:val="16"/>
                <w:szCs w:val="16"/>
                <w:b w:val="1"/>
                <w:bCs w:val="1"/>
                <w:color w:val="auto"/>
              </w:rPr>
              <w:t>22042</w:t>
            </w:r>
          </w:p>
        </w:tc>
      </w:tr>
      <w:tr>
        <w:trPr>
          <w:trHeight w:val="270"/>
        </w:trPr>
        <w:tc>
          <w:tcPr>
            <w:tcW w:w="4400" w:type="dxa"/>
            <w:vAlign w:val="bottom"/>
          </w:tcPr>
          <w:p>
            <w:pPr>
              <w:jc w:val="center"/>
              <w:ind w:right="1759"/>
              <w:spacing w:after="0"/>
              <w:rPr>
                <w:sz w:val="20"/>
                <w:szCs w:val="20"/>
                <w:color w:val="auto"/>
              </w:rPr>
            </w:pPr>
            <w:r>
              <w:rPr>
                <w:rFonts w:ascii="Arial" w:cs="Arial" w:eastAsia="Arial" w:hAnsi="Arial"/>
                <w:sz w:val="16"/>
                <w:szCs w:val="16"/>
                <w:color w:val="auto"/>
                <w:w w:val="93"/>
              </w:rPr>
              <w:t>(Address of principal executive offices)</w:t>
            </w:r>
          </w:p>
        </w:tc>
        <w:tc>
          <w:tcPr>
            <w:tcW w:w="3340" w:type="dxa"/>
            <w:vAlign w:val="bottom"/>
          </w:tcPr>
          <w:p>
            <w:pPr>
              <w:jc w:val="center"/>
              <w:ind w:left="1779"/>
              <w:spacing w:after="0"/>
              <w:rPr>
                <w:sz w:val="20"/>
                <w:szCs w:val="20"/>
                <w:color w:val="auto"/>
              </w:rPr>
            </w:pPr>
            <w:r>
              <w:rPr>
                <w:rFonts w:ascii="Arial" w:cs="Arial" w:eastAsia="Arial" w:hAnsi="Arial"/>
                <w:sz w:val="16"/>
                <w:szCs w:val="16"/>
                <w:color w:val="auto"/>
                <w:w w:val="94"/>
              </w:rPr>
              <w:t>(Zip code)</w:t>
            </w:r>
          </w:p>
        </w:tc>
      </w:tr>
    </w:tbl>
    <w:p>
      <w:pPr>
        <w:spacing w:after="0" w:line="1" w:lineRule="exact"/>
        <w:rPr>
          <w:sz w:val="24"/>
          <w:szCs w:val="24"/>
          <w:color w:val="auto"/>
        </w:rPr>
      </w:pPr>
    </w:p>
    <w:tbl>
      <w:tblPr>
        <w:tblLayout w:type="fixed"/>
        <w:tblInd w:w="220" w:type="dxa"/>
        <w:tblCellMar>
          <w:top w:w="0" w:type="dxa"/>
          <w:left w:w="0" w:type="dxa"/>
          <w:bottom w:w="0" w:type="dxa"/>
          <w:right w:w="0" w:type="dxa"/>
        </w:tblCellMar>
      </w:tblPr>
      <w:tr>
        <w:trPr>
          <w:trHeight w:val="172"/>
        </w:trPr>
        <w:tc>
          <w:tcPr>
            <w:tcW w:w="3620" w:type="dxa"/>
            <w:vAlign w:val="bottom"/>
          </w:tcPr>
          <w:p>
            <w:pPr>
              <w:spacing w:after="0"/>
              <w:rPr>
                <w:sz w:val="14"/>
                <w:szCs w:val="14"/>
                <w:color w:val="auto"/>
              </w:rPr>
            </w:pPr>
          </w:p>
        </w:tc>
        <w:tc>
          <w:tcPr>
            <w:tcW w:w="7380" w:type="dxa"/>
            <w:vAlign w:val="bottom"/>
            <w:gridSpan w:val="3"/>
          </w:tcPr>
          <w:p>
            <w:pPr>
              <w:jc w:val="center"/>
              <w:ind w:right="3559"/>
              <w:spacing w:after="0" w:line="172" w:lineRule="exact"/>
              <w:rPr>
                <w:sz w:val="20"/>
                <w:szCs w:val="20"/>
                <w:color w:val="auto"/>
              </w:rPr>
            </w:pPr>
            <w:r>
              <w:rPr>
                <w:rFonts w:ascii="Arial" w:cs="Arial" w:eastAsia="Arial" w:hAnsi="Arial"/>
                <w:sz w:val="16"/>
                <w:szCs w:val="16"/>
                <w:b w:val="1"/>
                <w:bCs w:val="1"/>
                <w:color w:val="auto"/>
                <w:w w:val="93"/>
              </w:rPr>
              <w:t>(703) 280-2900</w:t>
            </w:r>
          </w:p>
        </w:tc>
      </w:tr>
      <w:tr>
        <w:trPr>
          <w:trHeight w:val="162"/>
        </w:trPr>
        <w:tc>
          <w:tcPr>
            <w:tcW w:w="3620" w:type="dxa"/>
            <w:vAlign w:val="bottom"/>
          </w:tcPr>
          <w:p>
            <w:pPr>
              <w:spacing w:after="0"/>
              <w:rPr>
                <w:sz w:val="14"/>
                <w:szCs w:val="14"/>
                <w:color w:val="auto"/>
              </w:rPr>
            </w:pPr>
          </w:p>
        </w:tc>
        <w:tc>
          <w:tcPr>
            <w:tcW w:w="7380" w:type="dxa"/>
            <w:vAlign w:val="bottom"/>
            <w:gridSpan w:val="3"/>
          </w:tcPr>
          <w:p>
            <w:pPr>
              <w:jc w:val="center"/>
              <w:ind w:right="3539"/>
              <w:spacing w:after="0" w:line="162" w:lineRule="exact"/>
              <w:rPr>
                <w:sz w:val="20"/>
                <w:szCs w:val="20"/>
                <w:color w:val="auto"/>
              </w:rPr>
            </w:pPr>
            <w:r>
              <w:rPr>
                <w:rFonts w:ascii="Arial" w:cs="Arial" w:eastAsia="Arial" w:hAnsi="Arial"/>
                <w:sz w:val="16"/>
                <w:szCs w:val="16"/>
                <w:color w:val="auto"/>
                <w:w w:val="91"/>
              </w:rPr>
              <w:t>(Registrant’s telephone number, including area code)</w:t>
            </w:r>
          </w:p>
        </w:tc>
      </w:tr>
      <w:tr>
        <w:trPr>
          <w:trHeight w:val="206"/>
        </w:trPr>
        <w:tc>
          <w:tcPr>
            <w:tcW w:w="3620" w:type="dxa"/>
            <w:vAlign w:val="bottom"/>
          </w:tcPr>
          <w:p>
            <w:pPr>
              <w:spacing w:after="0"/>
              <w:rPr>
                <w:sz w:val="17"/>
                <w:szCs w:val="17"/>
                <w:color w:val="auto"/>
              </w:rPr>
            </w:pPr>
          </w:p>
        </w:tc>
        <w:tc>
          <w:tcPr>
            <w:tcW w:w="7380" w:type="dxa"/>
            <w:vAlign w:val="bottom"/>
            <w:gridSpan w:val="3"/>
          </w:tcPr>
          <w:p>
            <w:pPr>
              <w:jc w:val="center"/>
              <w:ind w:right="3559"/>
              <w:spacing w:after="0"/>
              <w:rPr>
                <w:sz w:val="20"/>
                <w:szCs w:val="20"/>
                <w:color w:val="auto"/>
              </w:rPr>
            </w:pPr>
            <w:r>
              <w:rPr>
                <w:rFonts w:ascii="Arial" w:cs="Arial" w:eastAsia="Arial" w:hAnsi="Arial"/>
                <w:sz w:val="16"/>
                <w:szCs w:val="16"/>
                <w:color w:val="auto"/>
                <w:w w:val="91"/>
              </w:rPr>
              <w:t>Securities registered pursuant to section 12(b) of the Act:</w:t>
            </w:r>
          </w:p>
        </w:tc>
      </w:tr>
      <w:tr>
        <w:trPr>
          <w:trHeight w:val="338"/>
        </w:trPr>
        <w:tc>
          <w:tcPr>
            <w:tcW w:w="3620" w:type="dxa"/>
            <w:vAlign w:val="bottom"/>
          </w:tcPr>
          <w:p>
            <w:pPr>
              <w:jc w:val="center"/>
              <w:ind w:left="1579"/>
              <w:spacing w:after="0"/>
              <w:rPr>
                <w:sz w:val="20"/>
                <w:szCs w:val="20"/>
                <w:color w:val="auto"/>
              </w:rPr>
            </w:pPr>
            <w:r>
              <w:rPr>
                <w:rFonts w:ascii="Arial" w:cs="Arial" w:eastAsia="Arial" w:hAnsi="Arial"/>
                <w:sz w:val="16"/>
                <w:szCs w:val="16"/>
                <w:color w:val="auto"/>
                <w:w w:val="90"/>
              </w:rPr>
              <w:t>Title of each class</w:t>
            </w: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3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jc w:val="center"/>
              <w:ind w:left="1579"/>
              <w:spacing w:after="0"/>
              <w:rPr>
                <w:sz w:val="20"/>
                <w:szCs w:val="20"/>
                <w:color w:val="auto"/>
              </w:rPr>
            </w:pPr>
            <w:r>
              <w:rPr>
                <w:rFonts w:ascii="Arial" w:cs="Arial" w:eastAsia="Arial" w:hAnsi="Arial"/>
                <w:sz w:val="16"/>
                <w:szCs w:val="16"/>
                <w:color w:val="auto"/>
                <w:w w:val="91"/>
              </w:rPr>
              <w:t>Common Stock, $1 par value</w:t>
            </w:r>
          </w:p>
        </w:tc>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12(g) of the Act:</w:t>
      </w:r>
    </w:p>
    <w:p>
      <w:pPr>
        <w:ind w:left="5540"/>
        <w:spacing w:after="0" w:line="229" w:lineRule="auto"/>
        <w:rPr>
          <w:sz w:val="20"/>
          <w:szCs w:val="20"/>
          <w:color w:val="auto"/>
        </w:rPr>
      </w:pPr>
      <w:r>
        <w:rPr>
          <w:rFonts w:ascii="Arial" w:cs="Arial" w:eastAsia="Arial" w:hAnsi="Arial"/>
          <w:sz w:val="16"/>
          <w:szCs w:val="16"/>
          <w:u w:val="single" w:color="auto"/>
          <w:color w:val="auto"/>
        </w:rPr>
        <w:t>None</w:t>
      </w: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53" w:lineRule="exact"/>
        <w:rPr>
          <w:sz w:val="24"/>
          <w:szCs w:val="24"/>
          <w:color w:val="auto"/>
        </w:rPr>
      </w:pPr>
    </w:p>
    <w:p>
      <w:pPr>
        <w:ind w:left="2460"/>
        <w:spacing w:after="0"/>
        <w:tabs>
          <w:tab w:leader="none" w:pos="8180" w:val="left"/>
        </w:tabs>
        <w:rPr>
          <w:sz w:val="20"/>
          <w:szCs w:val="20"/>
          <w:color w:val="auto"/>
        </w:rPr>
      </w:pPr>
      <w:r>
        <w:rPr>
          <w:rFonts w:ascii="Arial" w:cs="Arial" w:eastAsia="Arial" w:hAnsi="Arial"/>
          <w:sz w:val="16"/>
          <w:szCs w:val="16"/>
          <w:color w:val="auto"/>
        </w:rPr>
        <w:t>Yes x</w:t>
      </w:r>
      <w:r>
        <w:rPr>
          <w:sz w:val="20"/>
          <w:szCs w:val="20"/>
          <w:color w:val="auto"/>
        </w:rPr>
        <w:tab/>
      </w:r>
      <w:r>
        <w:rPr>
          <w:rFonts w:ascii="Arial" w:cs="Arial" w:eastAsia="Arial" w:hAnsi="Arial"/>
          <w:sz w:val="15"/>
          <w:szCs w:val="15"/>
          <w:color w:val="auto"/>
        </w:rPr>
        <w:t>No 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167" w:lineRule="exact"/>
        <w:rPr>
          <w:sz w:val="24"/>
          <w:szCs w:val="24"/>
          <w:color w:val="auto"/>
        </w:rPr>
      </w:pPr>
    </w:p>
    <w:p>
      <w:pPr>
        <w:ind w:left="2460"/>
        <w:spacing w:after="0"/>
        <w:tabs>
          <w:tab w:leader="none" w:pos="8180" w:val="left"/>
        </w:tabs>
        <w:rPr>
          <w:sz w:val="20"/>
          <w:szCs w:val="20"/>
          <w:color w:val="auto"/>
        </w:rPr>
      </w:pPr>
      <w:r>
        <w:rPr>
          <w:rFonts w:ascii="Arial" w:cs="Arial" w:eastAsia="Arial" w:hAnsi="Arial"/>
          <w:sz w:val="16"/>
          <w:szCs w:val="16"/>
          <w:color w:val="auto"/>
        </w:rPr>
        <w:t>Yes o</w:t>
      </w:r>
      <w:r>
        <w:rPr>
          <w:sz w:val="20"/>
          <w:szCs w:val="20"/>
          <w:color w:val="auto"/>
        </w:rPr>
        <w:tab/>
      </w:r>
      <w:r>
        <w:rPr>
          <w:rFonts w:ascii="Arial" w:cs="Arial" w:eastAsia="Arial" w:hAnsi="Arial"/>
          <w:sz w:val="15"/>
          <w:szCs w:val="15"/>
          <w:color w:val="auto"/>
        </w:rPr>
        <w:t>No x</w:t>
      </w:r>
    </w:p>
    <w:p>
      <w:pPr>
        <w:spacing w:after="0" w:line="32" w:lineRule="exact"/>
        <w:rPr>
          <w:sz w:val="24"/>
          <w:szCs w:val="24"/>
          <w:color w:val="auto"/>
        </w:rPr>
      </w:pPr>
    </w:p>
    <w:p>
      <w:pPr>
        <w:jc w:val="both"/>
        <w:ind w:right="160"/>
        <w:spacing w:after="0" w:line="30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85" w:lineRule="exact"/>
        <w:rPr>
          <w:sz w:val="24"/>
          <w:szCs w:val="24"/>
          <w:color w:val="auto"/>
        </w:rPr>
      </w:pPr>
    </w:p>
    <w:p>
      <w:pPr>
        <w:ind w:left="2460"/>
        <w:spacing w:after="0"/>
        <w:tabs>
          <w:tab w:leader="none" w:pos="8180" w:val="left"/>
        </w:tabs>
        <w:rPr>
          <w:sz w:val="20"/>
          <w:szCs w:val="20"/>
          <w:color w:val="auto"/>
        </w:rPr>
      </w:pPr>
      <w:r>
        <w:rPr>
          <w:rFonts w:ascii="Arial" w:cs="Arial" w:eastAsia="Arial" w:hAnsi="Arial"/>
          <w:sz w:val="16"/>
          <w:szCs w:val="16"/>
          <w:color w:val="auto"/>
        </w:rPr>
        <w:t>Yes x</w:t>
      </w:r>
      <w:r>
        <w:rPr>
          <w:sz w:val="20"/>
          <w:szCs w:val="20"/>
          <w:color w:val="auto"/>
        </w:rPr>
        <w:tab/>
      </w:r>
      <w:r>
        <w:rPr>
          <w:rFonts w:ascii="Arial" w:cs="Arial" w:eastAsia="Arial" w:hAnsi="Arial"/>
          <w:sz w:val="15"/>
          <w:szCs w:val="15"/>
          <w:color w:val="auto"/>
        </w:rPr>
        <w:t>No o</w:t>
      </w:r>
    </w:p>
    <w:p>
      <w:pPr>
        <w:spacing w:after="0" w:line="32" w:lineRule="exact"/>
        <w:rPr>
          <w:sz w:val="24"/>
          <w:szCs w:val="24"/>
          <w:color w:val="auto"/>
        </w:rPr>
      </w:pPr>
    </w:p>
    <w:p>
      <w:pPr>
        <w:ind w:right="20"/>
        <w:spacing w:after="0" w:line="309"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85" w:lineRule="exact"/>
        <w:rPr>
          <w:sz w:val="24"/>
          <w:szCs w:val="24"/>
          <w:color w:val="auto"/>
        </w:rPr>
      </w:pPr>
    </w:p>
    <w:p>
      <w:pPr>
        <w:ind w:left="2460"/>
        <w:spacing w:after="0"/>
        <w:tabs>
          <w:tab w:leader="none" w:pos="8180" w:val="left"/>
        </w:tabs>
        <w:rPr>
          <w:sz w:val="20"/>
          <w:szCs w:val="20"/>
          <w:color w:val="auto"/>
        </w:rPr>
      </w:pPr>
      <w:r>
        <w:rPr>
          <w:rFonts w:ascii="Arial" w:cs="Arial" w:eastAsia="Arial" w:hAnsi="Arial"/>
          <w:sz w:val="16"/>
          <w:szCs w:val="16"/>
          <w:color w:val="auto"/>
        </w:rPr>
        <w:t>Yes x</w:t>
      </w:r>
      <w:r>
        <w:rPr>
          <w:sz w:val="20"/>
          <w:szCs w:val="20"/>
          <w:color w:val="auto"/>
        </w:rPr>
        <w:tab/>
      </w:r>
      <w:r>
        <w:rPr>
          <w:rFonts w:ascii="Arial" w:cs="Arial" w:eastAsia="Arial" w:hAnsi="Arial"/>
          <w:sz w:val="15"/>
          <w:szCs w:val="15"/>
          <w:color w:val="auto"/>
        </w:rPr>
        <w:t>No o</w:t>
      </w:r>
    </w:p>
    <w:p>
      <w:pPr>
        <w:spacing w:after="0" w:line="32" w:lineRule="exact"/>
        <w:rPr>
          <w:sz w:val="24"/>
          <w:szCs w:val="24"/>
          <w:color w:val="auto"/>
        </w:rPr>
      </w:pPr>
    </w:p>
    <w:p>
      <w:pPr>
        <w:ind w:right="240"/>
        <w:spacing w:after="0" w:line="263"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32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p>
      <w:pPr>
        <w:ind w:left="40"/>
        <w:spacing w:after="0"/>
        <w:tabs>
          <w:tab w:leader="none" w:pos="3320" w:val="left"/>
          <w:tab w:leader="none" w:pos="6640" w:val="left"/>
        </w:tabs>
        <w:rPr>
          <w:sz w:val="20"/>
          <w:szCs w:val="20"/>
          <w:color w:val="auto"/>
        </w:rPr>
      </w:pPr>
      <w:r>
        <w:rPr>
          <w:rFonts w:ascii="Arial" w:cs="Arial" w:eastAsia="Arial" w:hAnsi="Arial"/>
          <w:sz w:val="16"/>
          <w:szCs w:val="16"/>
          <w:color w:val="auto"/>
        </w:rPr>
        <w:t>Large accelerated filer x</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4"/>
          <w:szCs w:val="14"/>
          <w:color w:val="auto"/>
        </w:rPr>
        <w:t>Smaller reporting company o</w:t>
      </w:r>
    </w:p>
    <w:p>
      <w:pPr>
        <w:spacing w:after="0" w:line="194" w:lineRule="exact"/>
        <w:rPr>
          <w:sz w:val="24"/>
          <w:szCs w:val="24"/>
          <w:color w:val="auto"/>
        </w:rPr>
      </w:pPr>
    </w:p>
    <w:p>
      <w:pPr>
        <w:ind w:left="6660"/>
        <w:spacing w:after="0"/>
        <w:rPr>
          <w:sz w:val="20"/>
          <w:szCs w:val="20"/>
          <w:color w:val="auto"/>
        </w:rPr>
      </w:pPr>
      <w:r>
        <w:rPr>
          <w:rFonts w:ascii="Arial" w:cs="Arial" w:eastAsia="Arial" w:hAnsi="Arial"/>
          <w:sz w:val="16"/>
          <w:szCs w:val="16"/>
          <w:color w:val="auto"/>
        </w:rPr>
        <w:t>Emerging growth company o</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42" w:lineRule="exact"/>
        <w:rPr>
          <w:sz w:val="24"/>
          <w:szCs w:val="24"/>
          <w:color w:val="auto"/>
        </w:rPr>
      </w:pPr>
    </w:p>
    <w:p>
      <w:pPr>
        <w:ind w:right="140"/>
        <w:spacing w:after="0" w:line="24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167" w:lineRule="exact"/>
        <w:rPr>
          <w:sz w:val="24"/>
          <w:szCs w:val="24"/>
          <w:color w:val="auto"/>
        </w:rPr>
      </w:pPr>
    </w:p>
    <w:p>
      <w:pPr>
        <w:ind w:left="2460"/>
        <w:spacing w:after="0"/>
        <w:tabs>
          <w:tab w:leader="none" w:pos="8180" w:val="left"/>
        </w:tabs>
        <w:rPr>
          <w:sz w:val="20"/>
          <w:szCs w:val="20"/>
          <w:color w:val="auto"/>
        </w:rPr>
      </w:pPr>
      <w:r>
        <w:rPr>
          <w:rFonts w:ascii="Arial" w:cs="Arial" w:eastAsia="Arial" w:hAnsi="Arial"/>
          <w:sz w:val="16"/>
          <w:szCs w:val="16"/>
          <w:color w:val="auto"/>
        </w:rPr>
        <w:t>Yes o</w:t>
      </w:r>
      <w:r>
        <w:rPr>
          <w:sz w:val="20"/>
          <w:szCs w:val="20"/>
          <w:color w:val="auto"/>
        </w:rPr>
        <w:tab/>
      </w:r>
      <w:r>
        <w:rPr>
          <w:rFonts w:ascii="Arial" w:cs="Arial" w:eastAsia="Arial" w:hAnsi="Arial"/>
          <w:sz w:val="15"/>
          <w:szCs w:val="15"/>
          <w:color w:val="auto"/>
        </w:rPr>
        <w:t>No x</w:t>
      </w:r>
    </w:p>
    <w:p>
      <w:pPr>
        <w:spacing w:after="0" w:line="32" w:lineRule="exact"/>
        <w:rPr>
          <w:sz w:val="24"/>
          <w:szCs w:val="24"/>
          <w:color w:val="auto"/>
        </w:rPr>
      </w:pPr>
    </w:p>
    <w:p>
      <w:pPr>
        <w:ind w:right="240"/>
        <w:spacing w:after="0" w:line="229" w:lineRule="auto"/>
        <w:rPr>
          <w:sz w:val="20"/>
          <w:szCs w:val="20"/>
          <w:color w:val="auto"/>
        </w:rPr>
      </w:pPr>
      <w:r>
        <w:rPr>
          <w:rFonts w:ascii="Arial" w:cs="Arial" w:eastAsia="Arial" w:hAnsi="Arial"/>
          <w:sz w:val="16"/>
          <w:szCs w:val="16"/>
          <w:color w:val="auto"/>
        </w:rPr>
        <w:t>As of June 30, 2017, the aggregate market value of the common stock (based upon the closing price of the stock on the New York Stock Exchange) of the registrant held by non-affiliates was approximately $44.5 billion.</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As of January 25, 2018, 174,087,585 shares of common stock were outstanding.</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00"/>
          </w:cols>
          <w:pgMar w:left="240" w:top="198" w:right="259" w:bottom="1440" w:gutter="0" w:footer="0" w:header="0"/>
        </w:sectPr>
      </w:pPr>
    </w:p>
    <w:p>
      <w:pPr>
        <w:spacing w:after="0" w:line="18" w:lineRule="exact"/>
        <w:rPr>
          <w:sz w:val="24"/>
          <w:szCs w:val="24"/>
          <w:color w:val="auto"/>
        </w:rPr>
      </w:pPr>
    </w:p>
    <w:p>
      <w:pPr>
        <w:ind w:right="360"/>
        <w:spacing w:after="0" w:line="231" w:lineRule="auto"/>
        <w:rPr>
          <w:sz w:val="20"/>
          <w:szCs w:val="20"/>
          <w:color w:val="auto"/>
        </w:rPr>
      </w:pPr>
      <w:r>
        <w:rPr>
          <w:rFonts w:ascii="Arial" w:cs="Arial" w:eastAsia="Arial" w:hAnsi="Arial"/>
          <w:sz w:val="16"/>
          <w:szCs w:val="16"/>
          <w:color w:val="auto"/>
        </w:rPr>
        <w:t>Portions of Northrop Grumman Corporation’s Proxy Statement to be filed with the Securities and Exchange Commission pursuant to Regulation 14A for the 2018 Annual Meeting of Shareholders are incorporated by reference in Part III of this Form 10-K.</w:t>
      </w:r>
    </w:p>
    <w:p>
      <w:pPr>
        <w:sectPr>
          <w:pgSz w:w="11900" w:h="16838" w:orient="portrait"/>
          <w:cols w:equalWidth="0" w:num="1">
            <w:col w:w="11400"/>
          </w:cols>
          <w:pgMar w:left="240" w:top="198"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20" w:type="dxa"/>
            <w:vAlign w:val="bottom"/>
            <w:gridSpan w:val="13"/>
          </w:tcPr>
          <w:p>
            <w:pPr>
              <w:jc w:val="center"/>
              <w:ind w:right="3140"/>
              <w:spacing w:after="0"/>
              <w:rPr>
                <w:sz w:val="20"/>
                <w:szCs w:val="20"/>
                <w:color w:val="auto"/>
              </w:rPr>
            </w:pPr>
            <w:r>
              <w:rPr>
                <w:rFonts w:ascii="Arial" w:cs="Arial" w:eastAsia="Arial" w:hAnsi="Arial"/>
                <w:sz w:val="18"/>
                <w:szCs w:val="18"/>
                <w:b w:val="1"/>
                <w:bCs w:val="1"/>
                <w:color w:val="auto"/>
              </w:rPr>
              <w:t>NORTHROP GRUMMAN CORPORATION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60" w:type="dxa"/>
            <w:vAlign w:val="bottom"/>
            <w:gridSpan w:val="9"/>
          </w:tcPr>
          <w:p>
            <w:pPr>
              <w:jc w:val="center"/>
              <w:ind w:right="4180"/>
              <w:spacing w:after="0"/>
              <w:rPr>
                <w:sz w:val="20"/>
                <w:szCs w:val="20"/>
                <w:color w:val="auto"/>
              </w:rPr>
            </w:pPr>
            <w:r>
              <w:rPr>
                <w:rFonts w:ascii="Arial" w:cs="Arial" w:eastAsia="Arial" w:hAnsi="Arial"/>
                <w:sz w:val="18"/>
                <w:szCs w:val="18"/>
                <w:b w:val="1"/>
                <w:bCs w:val="1"/>
                <w:color w:val="auto"/>
                <w:w w:val="99"/>
              </w:rPr>
              <w:t>TABLE OF CONTENTS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80" w:type="dxa"/>
            <w:vAlign w:val="bottom"/>
            <w:gridSpan w:val="6"/>
          </w:tcPr>
          <w:p>
            <w:pPr>
              <w:jc w:val="center"/>
              <w:ind w:right="4740"/>
              <w:spacing w:after="0"/>
              <w:rPr>
                <w:rFonts w:ascii="Arial" w:cs="Arial" w:eastAsia="Arial" w:hAnsi="Arial"/>
                <w:sz w:val="18"/>
                <w:szCs w:val="18"/>
                <w:b w:val="1"/>
                <w:bCs w:val="1"/>
                <w:color w:val="auto"/>
                <w:w w:val="98"/>
              </w:rPr>
            </w:pPr>
            <w:hyperlink w:anchor="page4">
              <w:r>
                <w:rPr>
                  <w:rFonts w:ascii="Arial" w:cs="Arial" w:eastAsia="Arial" w:hAnsi="Arial"/>
                  <w:sz w:val="18"/>
                  <w:szCs w:val="18"/>
                  <w:b w:val="1"/>
                  <w:bCs w:val="1"/>
                  <w:color w:val="auto"/>
                  <w:w w:val="98"/>
                </w:rPr>
                <w:t>PART I</w:t>
              </w:r>
            </w:hyperlink>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4"/>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380" w:type="dxa"/>
            <w:vAlign w:val="bottom"/>
            <w:gridSpan w:val="26"/>
          </w:tcPr>
          <w:p>
            <w:pPr>
              <w:spacing w:after="0"/>
              <w:rPr>
                <w:sz w:val="19"/>
                <w:szCs w:val="19"/>
                <w:color w:val="auto"/>
              </w:rPr>
            </w:pPr>
          </w:p>
        </w:tc>
        <w:tc>
          <w:tcPr>
            <w:tcW w:w="20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9120" w:type="dxa"/>
            <w:vAlign w:val="bottom"/>
            <w:gridSpan w:val="23"/>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10020" w:type="dxa"/>
            <w:vAlign w:val="bottom"/>
            <w:gridSpan w:val="3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30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7980" w:type="dxa"/>
            <w:vAlign w:val="bottom"/>
            <w:gridSpan w:val="17"/>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gridSpan w:val="3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30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3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30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615"/>
        </w:trPr>
        <w:tc>
          <w:tcPr>
            <w:tcW w:w="10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80" w:type="dxa"/>
            <w:vAlign w:val="bottom"/>
            <w:gridSpan w:val="6"/>
          </w:tcPr>
          <w:p>
            <w:pPr>
              <w:jc w:val="center"/>
              <w:ind w:right="4740"/>
              <w:spacing w:after="0"/>
              <w:rPr>
                <w:rFonts w:ascii="Arial" w:cs="Arial" w:eastAsia="Arial" w:hAnsi="Arial"/>
                <w:sz w:val="18"/>
                <w:szCs w:val="18"/>
                <w:b w:val="1"/>
                <w:bCs w:val="1"/>
                <w:color w:val="auto"/>
              </w:rPr>
            </w:pPr>
            <w:hyperlink w:anchor="page24">
              <w:r>
                <w:rPr>
                  <w:rFonts w:ascii="Arial" w:cs="Arial" w:eastAsia="Arial" w:hAnsi="Arial"/>
                  <w:sz w:val="18"/>
                  <w:szCs w:val="18"/>
                  <w:b w:val="1"/>
                  <w:bCs w:val="1"/>
                  <w:color w:val="auto"/>
                </w:rPr>
                <w:t>PART II</w:t>
              </w:r>
            </w:hyperlink>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29"/>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Market for Registrant’s Common Equity, Related Stockholder Matters and Issuer Purchases of Equity Securities</w:t>
              </w:r>
            </w:hyperlink>
          </w:p>
        </w:tc>
        <w:tc>
          <w:tcPr>
            <w:tcW w:w="1940" w:type="dxa"/>
            <w:vAlign w:val="bottom"/>
          </w:tcPr>
          <w:p>
            <w:pPr>
              <w:spacing w:after="0"/>
              <w:rPr>
                <w:sz w:val="19"/>
                <w:szCs w:val="19"/>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2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Selected Financial Data</w:t>
              </w:r>
            </w:hyperlink>
          </w:p>
        </w:tc>
        <w:tc>
          <w:tcPr>
            <w:tcW w:w="1940" w:type="dxa"/>
            <w:vAlign w:val="bottom"/>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28"/>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3560" w:type="dxa"/>
            <w:vAlign w:val="bottom"/>
            <w:gridSpan w:val="2"/>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5"/>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Overview</w:t>
              </w:r>
            </w:hyperlink>
          </w:p>
        </w:tc>
        <w:tc>
          <w:tcPr>
            <w:tcW w:w="5620" w:type="dxa"/>
            <w:vAlign w:val="bottom"/>
            <w:gridSpan w:val="22"/>
          </w:tcPr>
          <w:p>
            <w:pPr>
              <w:spacing w:after="0"/>
              <w:rPr>
                <w:sz w:val="21"/>
                <w:szCs w:val="21"/>
                <w:color w:val="auto"/>
              </w:rPr>
            </w:pPr>
          </w:p>
        </w:tc>
        <w:tc>
          <w:tcPr>
            <w:tcW w:w="3560" w:type="dxa"/>
            <w:vAlign w:val="bottom"/>
            <w:gridSpan w:val="2"/>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16"/>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Consolidated Operating Results</w:t>
              </w:r>
            </w:hyperlink>
          </w:p>
        </w:tc>
        <w:tc>
          <w:tcPr>
            <w:tcW w:w="7620" w:type="dxa"/>
            <w:vAlign w:val="bottom"/>
            <w:gridSpan w:val="13"/>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13"/>
          </w:tcPr>
          <w:p>
            <w:pPr>
              <w:spacing w:after="0"/>
              <w:rPr>
                <w:rFonts w:ascii="Arial" w:cs="Arial" w:eastAsia="Arial" w:hAnsi="Arial"/>
                <w:sz w:val="18"/>
                <w:szCs w:val="18"/>
                <w:color w:val="0000EE"/>
                <w:w w:val="84"/>
              </w:rPr>
            </w:pPr>
            <w:hyperlink w:anchor="page30">
              <w:r>
                <w:rPr>
                  <w:rFonts w:ascii="Arial" w:cs="Arial" w:eastAsia="Arial" w:hAnsi="Arial"/>
                  <w:sz w:val="18"/>
                  <w:szCs w:val="18"/>
                  <w:color w:val="0000EE"/>
                  <w:w w:val="84"/>
                </w:rPr>
                <w:t>Segment Operating Results</w:t>
              </w:r>
            </w:hyperlink>
          </w:p>
        </w:tc>
        <w:tc>
          <w:tcPr>
            <w:tcW w:w="340" w:type="dxa"/>
            <w:vAlign w:val="bottom"/>
            <w:gridSpan w:val="3"/>
          </w:tcPr>
          <w:p>
            <w:pPr>
              <w:spacing w:after="0"/>
              <w:rPr>
                <w:sz w:val="21"/>
                <w:szCs w:val="21"/>
                <w:color w:val="auto"/>
              </w:rPr>
            </w:pPr>
          </w:p>
        </w:tc>
        <w:tc>
          <w:tcPr>
            <w:tcW w:w="7620" w:type="dxa"/>
            <w:vAlign w:val="bottom"/>
            <w:gridSpan w:val="13"/>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15"/>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Product and Service Analysis</w:t>
              </w:r>
            </w:hyperlink>
          </w:p>
        </w:tc>
        <w:tc>
          <w:tcPr>
            <w:tcW w:w="7760" w:type="dxa"/>
            <w:vAlign w:val="bottom"/>
            <w:gridSpan w:val="1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1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Backlog</w:t>
              </w:r>
            </w:hyperlink>
          </w:p>
        </w:tc>
        <w:tc>
          <w:tcPr>
            <w:tcW w:w="7760" w:type="dxa"/>
            <w:vAlign w:val="bottom"/>
            <w:gridSpan w:val="1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16"/>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Liquidity and Capital Resources</w:t>
              </w:r>
            </w:hyperlink>
          </w:p>
        </w:tc>
        <w:tc>
          <w:tcPr>
            <w:tcW w:w="7620" w:type="dxa"/>
            <w:vAlign w:val="bottom"/>
            <w:gridSpan w:val="13"/>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80" w:type="dxa"/>
            <w:vAlign w:val="bottom"/>
            <w:gridSpan w:val="22"/>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Critical Accounting Policies, Estimates and Judgments</w:t>
              </w:r>
            </w:hyperlink>
          </w:p>
        </w:tc>
        <w:tc>
          <w:tcPr>
            <w:tcW w:w="5980" w:type="dxa"/>
            <w:vAlign w:val="bottom"/>
            <w:gridSpan w:val="7"/>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7"/>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Other Matters</w:t>
              </w:r>
            </w:hyperlink>
          </w:p>
        </w:tc>
        <w:tc>
          <w:tcPr>
            <w:tcW w:w="2900" w:type="dxa"/>
            <w:vAlign w:val="bottom"/>
            <w:gridSpan w:val="15"/>
          </w:tcPr>
          <w:p>
            <w:pPr>
              <w:spacing w:after="0"/>
              <w:rPr>
                <w:sz w:val="21"/>
                <w:szCs w:val="21"/>
                <w:color w:val="auto"/>
              </w:rPr>
            </w:pPr>
          </w:p>
        </w:tc>
        <w:tc>
          <w:tcPr>
            <w:tcW w:w="5980" w:type="dxa"/>
            <w:vAlign w:val="bottom"/>
            <w:gridSpan w:val="7"/>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4340" w:type="dxa"/>
            <w:vAlign w:val="bottom"/>
            <w:gridSpan w:val="24"/>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Quantitative and Qualitative Disclosures About Market Risk</w:t>
              </w:r>
            </w:hyperlink>
          </w:p>
        </w:tc>
        <w:tc>
          <w:tcPr>
            <w:tcW w:w="5680" w:type="dxa"/>
            <w:vAlign w:val="bottom"/>
            <w:gridSpan w:val="6"/>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4340" w:type="dxa"/>
            <w:vAlign w:val="bottom"/>
            <w:gridSpan w:val="2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Financial Statements and Supplementary Data</w:t>
              </w:r>
            </w:hyperlink>
          </w:p>
        </w:tc>
        <w:tc>
          <w:tcPr>
            <w:tcW w:w="5680" w:type="dxa"/>
            <w:vAlign w:val="bottom"/>
            <w:gridSpan w:val="6"/>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60" w:type="dxa"/>
            <w:vAlign w:val="bottom"/>
            <w:gridSpan w:val="2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3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00" w:type="dxa"/>
            <w:vAlign w:val="bottom"/>
            <w:gridSpan w:val="25"/>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Consolidated Statements of Earnings and Comprehensive Income</w:t>
              </w:r>
            </w:hyperlink>
          </w:p>
        </w:tc>
        <w:tc>
          <w:tcPr>
            <w:tcW w:w="5160" w:type="dxa"/>
            <w:vAlign w:val="bottom"/>
            <w:gridSpan w:val="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00" w:type="dxa"/>
            <w:vAlign w:val="bottom"/>
            <w:gridSpan w:val="20"/>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Financial Position</w:t>
              </w:r>
            </w:hyperlink>
          </w:p>
        </w:tc>
        <w:tc>
          <w:tcPr>
            <w:tcW w:w="1400" w:type="dxa"/>
            <w:vAlign w:val="bottom"/>
            <w:gridSpan w:val="5"/>
          </w:tcPr>
          <w:p>
            <w:pPr>
              <w:spacing w:after="0"/>
              <w:rPr>
                <w:sz w:val="21"/>
                <w:szCs w:val="21"/>
                <w:color w:val="auto"/>
              </w:rPr>
            </w:pPr>
          </w:p>
        </w:tc>
        <w:tc>
          <w:tcPr>
            <w:tcW w:w="5160" w:type="dxa"/>
            <w:vAlign w:val="bottom"/>
            <w:gridSpan w:val="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17"/>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Consolidated Statements of Cash Flows</w:t>
              </w:r>
            </w:hyperlink>
          </w:p>
        </w:tc>
        <w:tc>
          <w:tcPr>
            <w:tcW w:w="460" w:type="dxa"/>
            <w:vAlign w:val="bottom"/>
            <w:gridSpan w:val="3"/>
          </w:tcPr>
          <w:p>
            <w:pPr>
              <w:spacing w:after="0"/>
              <w:rPr>
                <w:sz w:val="21"/>
                <w:szCs w:val="21"/>
                <w:color w:val="auto"/>
              </w:rPr>
            </w:pPr>
          </w:p>
        </w:tc>
        <w:tc>
          <w:tcPr>
            <w:tcW w:w="6560" w:type="dxa"/>
            <w:vAlign w:val="bottom"/>
            <w:gridSpan w:val="9"/>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60" w:type="dxa"/>
            <w:vAlign w:val="bottom"/>
            <w:gridSpan w:val="2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Changes in Shareholders’ Equity</w:t>
              </w:r>
            </w:hyperlink>
          </w:p>
        </w:tc>
        <w:tc>
          <w:tcPr>
            <w:tcW w:w="30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60" w:type="dxa"/>
            <w:vAlign w:val="bottom"/>
            <w:gridSpan w:val="2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Notes to Consolidated Financial Statements</w:t>
              </w:r>
            </w:hyperlink>
          </w:p>
        </w:tc>
        <w:tc>
          <w:tcPr>
            <w:tcW w:w="5500" w:type="dxa"/>
            <w:vAlign w:val="bottom"/>
            <w:gridSpan w:val="5"/>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1.</w:t>
              </w:r>
            </w:hyperlink>
          </w:p>
        </w:tc>
        <w:tc>
          <w:tcPr>
            <w:tcW w:w="3260" w:type="dxa"/>
            <w:vAlign w:val="bottom"/>
            <w:gridSpan w:val="19"/>
          </w:tcPr>
          <w:p>
            <w:pPr>
              <w:ind w:left="20"/>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Summary of Significant Accounting Policies</w:t>
              </w:r>
            </w:hyperlink>
          </w:p>
        </w:tc>
        <w:tc>
          <w:tcPr>
            <w:tcW w:w="6260" w:type="dxa"/>
            <w:vAlign w:val="bottom"/>
            <w:gridSpan w:val="8"/>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2.</w:t>
              </w:r>
            </w:hyperlink>
          </w:p>
        </w:tc>
        <w:tc>
          <w:tcPr>
            <w:tcW w:w="3260" w:type="dxa"/>
            <w:vAlign w:val="bottom"/>
            <w:gridSpan w:val="19"/>
          </w:tcPr>
          <w:p>
            <w:pPr>
              <w:ind w:left="20"/>
              <w:spacing w:after="0"/>
              <w:rPr>
                <w:rFonts w:ascii="Arial" w:cs="Arial" w:eastAsia="Arial" w:hAnsi="Arial"/>
                <w:sz w:val="18"/>
                <w:szCs w:val="18"/>
                <w:color w:val="0000EE"/>
              </w:rPr>
            </w:pPr>
            <w:hyperlink w:anchor="page56">
              <w:r>
                <w:rPr>
                  <w:rFonts w:ascii="Arial" w:cs="Arial" w:eastAsia="Arial" w:hAnsi="Arial"/>
                  <w:sz w:val="18"/>
                  <w:szCs w:val="18"/>
                  <w:color w:val="0000EE"/>
                </w:rPr>
                <w:t>Pending Acquisition of Orbital ATK</w:t>
              </w:r>
            </w:hyperlink>
          </w:p>
        </w:tc>
        <w:tc>
          <w:tcPr>
            <w:tcW w:w="6260" w:type="dxa"/>
            <w:vAlign w:val="bottom"/>
            <w:gridSpan w:val="8"/>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4"/>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3.</w:t>
              </w:r>
            </w:hyperlink>
          </w:p>
        </w:tc>
        <w:tc>
          <w:tcPr>
            <w:tcW w:w="9520" w:type="dxa"/>
            <w:vAlign w:val="bottom"/>
            <w:gridSpan w:val="27"/>
          </w:tcPr>
          <w:p>
            <w:pPr>
              <w:ind w:left="20"/>
              <w:spacing w:after="0"/>
              <w:rPr>
                <w:rFonts w:ascii="Arial" w:cs="Arial" w:eastAsia="Arial" w:hAnsi="Arial"/>
                <w:sz w:val="18"/>
                <w:szCs w:val="18"/>
                <w:color w:val="0000EE"/>
              </w:rPr>
            </w:pPr>
            <w:hyperlink w:anchor="page56">
              <w:r>
                <w:rPr>
                  <w:rFonts w:ascii="Arial" w:cs="Arial" w:eastAsia="Arial" w:hAnsi="Arial"/>
                  <w:sz w:val="18"/>
                  <w:szCs w:val="18"/>
                  <w:color w:val="0000EE"/>
                </w:rPr>
                <w:t>Earnings Per Share, Share Repurchases and Dividends on Common Stock</w:t>
              </w:r>
            </w:hyperlink>
          </w:p>
        </w:tc>
        <w:tc>
          <w:tcPr>
            <w:tcW w:w="30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4"/>
            <w:shd w:val="clear" w:color="auto" w:fill="0000EE"/>
          </w:tcPr>
          <w:p>
            <w:pPr>
              <w:spacing w:after="0" w:line="20" w:lineRule="exact"/>
              <w:rPr>
                <w:sz w:val="1"/>
                <w:szCs w:val="1"/>
                <w:color w:val="auto"/>
              </w:rPr>
            </w:pPr>
          </w:p>
        </w:tc>
        <w:tc>
          <w:tcPr>
            <w:tcW w:w="1800" w:type="dxa"/>
            <w:vAlign w:val="bottom"/>
            <w:tcBorders>
              <w:left w:val="single" w:sz="8" w:color="0000EE"/>
            </w:tcBorders>
            <w:gridSpan w:val="4"/>
            <w:shd w:val="clear" w:color="auto" w:fill="0000EE"/>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4.</w:t>
              </w:r>
            </w:hyperlink>
          </w:p>
        </w:tc>
        <w:tc>
          <w:tcPr>
            <w:tcW w:w="5340" w:type="dxa"/>
            <w:vAlign w:val="bottom"/>
            <w:gridSpan w:val="24"/>
          </w:tcPr>
          <w:p>
            <w:pPr>
              <w:ind w:left="20"/>
              <w:spacing w:after="0"/>
              <w:rPr>
                <w:rFonts w:ascii="Arial" w:cs="Arial" w:eastAsia="Arial" w:hAnsi="Arial"/>
                <w:sz w:val="18"/>
                <w:szCs w:val="18"/>
                <w:color w:val="0000EE"/>
              </w:rPr>
            </w:pPr>
            <w:hyperlink w:anchor="page57">
              <w:r>
                <w:rPr>
                  <w:rFonts w:ascii="Arial" w:cs="Arial" w:eastAsia="Arial" w:hAnsi="Arial"/>
                  <w:sz w:val="18"/>
                  <w:szCs w:val="18"/>
                  <w:color w:val="0000EE"/>
                </w:rPr>
                <w:t>Segment Information</w:t>
              </w:r>
            </w:hyperlink>
          </w:p>
        </w:tc>
        <w:tc>
          <w:tcPr>
            <w:tcW w:w="4180" w:type="dxa"/>
            <w:vAlign w:val="bottom"/>
            <w:gridSpan w:val="3"/>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w:t>
              </w:r>
            </w:hyperlink>
          </w:p>
        </w:tc>
        <w:tc>
          <w:tcPr>
            <w:tcW w:w="9520" w:type="dxa"/>
            <w:vAlign w:val="bottom"/>
            <w:gridSpan w:val="27"/>
          </w:tcPr>
          <w:p>
            <w:pPr>
              <w:ind w:left="20"/>
              <w:spacing w:after="0"/>
              <w:rPr>
                <w:rFonts w:ascii="Arial" w:cs="Arial" w:eastAsia="Arial" w:hAnsi="Arial"/>
                <w:sz w:val="18"/>
                <w:szCs w:val="18"/>
                <w:color w:val="0000EE"/>
              </w:rPr>
            </w:pPr>
            <w:hyperlink w:anchor="page58">
              <w:r>
                <w:rPr>
                  <w:rFonts w:ascii="Arial" w:cs="Arial" w:eastAsia="Arial" w:hAnsi="Arial"/>
                  <w:sz w:val="18"/>
                  <w:szCs w:val="18"/>
                  <w:color w:val="0000EE"/>
                </w:rPr>
                <w:t>Accounts Receivable, Net</w:t>
              </w:r>
            </w:hyperlink>
          </w:p>
        </w:tc>
        <w:tc>
          <w:tcPr>
            <w:tcW w:w="30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6.</w:t>
              </w:r>
            </w:hyperlink>
          </w:p>
        </w:tc>
        <w:tc>
          <w:tcPr>
            <w:tcW w:w="1660" w:type="dxa"/>
            <w:vAlign w:val="bottom"/>
            <w:gridSpan w:val="12"/>
          </w:tcPr>
          <w:p>
            <w:pPr>
              <w:ind w:left="20"/>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Inventoried Costs, Net</w:t>
              </w:r>
            </w:hyperlink>
          </w:p>
        </w:tc>
        <w:tc>
          <w:tcPr>
            <w:tcW w:w="240" w:type="dxa"/>
            <w:vAlign w:val="bottom"/>
            <w:gridSpan w:val="2"/>
          </w:tcPr>
          <w:p>
            <w:pPr>
              <w:spacing w:after="0"/>
              <w:rPr>
                <w:sz w:val="21"/>
                <w:szCs w:val="21"/>
                <w:color w:val="auto"/>
              </w:rPr>
            </w:pPr>
          </w:p>
        </w:tc>
        <w:tc>
          <w:tcPr>
            <w:tcW w:w="7620" w:type="dxa"/>
            <w:vAlign w:val="bottom"/>
            <w:gridSpan w:val="13"/>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7.</w:t>
              </w:r>
            </w:hyperlink>
          </w:p>
        </w:tc>
        <w:tc>
          <w:tcPr>
            <w:tcW w:w="1660" w:type="dxa"/>
            <w:vAlign w:val="bottom"/>
            <w:gridSpan w:val="12"/>
          </w:tcPr>
          <w:p>
            <w:pPr>
              <w:ind w:left="20"/>
              <w:spacing w:after="0"/>
              <w:rPr>
                <w:rFonts w:ascii="Arial" w:cs="Arial" w:eastAsia="Arial" w:hAnsi="Arial"/>
                <w:sz w:val="18"/>
                <w:szCs w:val="18"/>
                <w:color w:val="0000EE"/>
              </w:rPr>
            </w:pPr>
            <w:hyperlink w:anchor="page59">
              <w:r>
                <w:rPr>
                  <w:rFonts w:ascii="Arial" w:cs="Arial" w:eastAsia="Arial" w:hAnsi="Arial"/>
                  <w:sz w:val="18"/>
                  <w:szCs w:val="18"/>
                  <w:color w:val="0000EE"/>
                </w:rPr>
                <w:t>Income Taxes</w:t>
              </w:r>
            </w:hyperlink>
          </w:p>
        </w:tc>
        <w:tc>
          <w:tcPr>
            <w:tcW w:w="7860" w:type="dxa"/>
            <w:vAlign w:val="bottom"/>
            <w:gridSpan w:val="15"/>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8.</w:t>
              </w:r>
            </w:hyperlink>
          </w:p>
        </w:tc>
        <w:tc>
          <w:tcPr>
            <w:tcW w:w="9520" w:type="dxa"/>
            <w:vAlign w:val="bottom"/>
            <w:gridSpan w:val="27"/>
          </w:tcPr>
          <w:p>
            <w:pPr>
              <w:ind w:left="20"/>
              <w:spacing w:after="0"/>
              <w:rPr>
                <w:rFonts w:ascii="Arial" w:cs="Arial" w:eastAsia="Arial" w:hAnsi="Arial"/>
                <w:sz w:val="18"/>
                <w:szCs w:val="18"/>
                <w:color w:val="0000EE"/>
              </w:rPr>
            </w:pPr>
            <w:hyperlink w:anchor="page63">
              <w:r>
                <w:rPr>
                  <w:rFonts w:ascii="Arial" w:cs="Arial" w:eastAsia="Arial" w:hAnsi="Arial"/>
                  <w:sz w:val="18"/>
                  <w:szCs w:val="18"/>
                  <w:color w:val="0000EE"/>
                </w:rPr>
                <w:t>Goodwill and Other Purchased Intangible Assets</w:t>
              </w:r>
            </w:hyperlink>
          </w:p>
        </w:tc>
        <w:tc>
          <w:tcPr>
            <w:tcW w:w="300" w:type="dxa"/>
            <w:vAlign w:val="bottom"/>
            <w:gridSpan w:val="3"/>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80" w:type="dxa"/>
            <w:vAlign w:val="bottom"/>
            <w:gridSpan w:val="16"/>
            <w:shd w:val="clear" w:color="auto" w:fill="0000EE"/>
          </w:tcPr>
          <w:p>
            <w:pPr>
              <w:spacing w:after="0" w:line="20" w:lineRule="exact"/>
              <w:rPr>
                <w:sz w:val="1"/>
                <w:szCs w:val="1"/>
                <w:color w:val="auto"/>
              </w:rPr>
            </w:pPr>
          </w:p>
        </w:tc>
        <w:tc>
          <w:tcPr>
            <w:tcW w:w="960" w:type="dxa"/>
            <w:vAlign w:val="bottom"/>
            <w:tcBorders>
              <w:left w:val="single" w:sz="8" w:color="0000EE"/>
            </w:tcBorders>
            <w:gridSpan w:val="4"/>
            <w:shd w:val="clear" w:color="auto" w:fill="0000EE"/>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9.</w:t>
              </w:r>
            </w:hyperlink>
          </w:p>
        </w:tc>
        <w:tc>
          <w:tcPr>
            <w:tcW w:w="2580" w:type="dxa"/>
            <w:vAlign w:val="bottom"/>
            <w:gridSpan w:val="16"/>
          </w:tcPr>
          <w:p>
            <w:pPr>
              <w:ind w:left="20"/>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Fair Value of Financial Instruments</w:t>
              </w:r>
            </w:hyperlink>
          </w:p>
        </w:tc>
        <w:tc>
          <w:tcPr>
            <w:tcW w:w="960" w:type="dxa"/>
            <w:vAlign w:val="bottom"/>
            <w:gridSpan w:val="4"/>
          </w:tcPr>
          <w:p>
            <w:pPr>
              <w:spacing w:after="0"/>
              <w:rPr>
                <w:sz w:val="21"/>
                <w:szCs w:val="21"/>
                <w:color w:val="auto"/>
              </w:rPr>
            </w:pPr>
          </w:p>
        </w:tc>
        <w:tc>
          <w:tcPr>
            <w:tcW w:w="5980" w:type="dxa"/>
            <w:vAlign w:val="bottom"/>
            <w:gridSpan w:val="7"/>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36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10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10.</w:t>
              </w:r>
            </w:hyperlink>
          </w:p>
        </w:tc>
        <w:tc>
          <w:tcPr>
            <w:tcW w:w="9420" w:type="dxa"/>
            <w:vAlign w:val="bottom"/>
            <w:gridSpan w:val="18"/>
          </w:tcPr>
          <w:p>
            <w:pPr>
              <w:ind w:left="20"/>
              <w:spacing w:after="0"/>
              <w:rPr>
                <w:rFonts w:ascii="Arial" w:cs="Arial" w:eastAsia="Arial" w:hAnsi="Arial"/>
                <w:sz w:val="18"/>
                <w:szCs w:val="18"/>
                <w:color w:val="0000EE"/>
              </w:rPr>
            </w:pPr>
            <w:hyperlink w:anchor="page64">
              <w:r>
                <w:rPr>
                  <w:rFonts w:ascii="Arial" w:cs="Arial" w:eastAsia="Arial" w:hAnsi="Arial"/>
                  <w:sz w:val="18"/>
                  <w:szCs w:val="18"/>
                  <w:color w:val="0000EE"/>
                </w:rPr>
                <w:t>Long-term Debt</w:t>
              </w:r>
            </w:hyperlink>
          </w:p>
        </w:tc>
        <w:tc>
          <w:tcPr>
            <w:tcW w:w="300" w:type="dxa"/>
            <w:vAlign w:val="bottom"/>
            <w:gridSpan w:val="2"/>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40" w:type="dxa"/>
            <w:vAlign w:val="bottom"/>
            <w:gridSpan w:val="12"/>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11. Investigations, Claims and Litigation</w:t>
              </w:r>
            </w:hyperlink>
          </w:p>
        </w:tc>
        <w:tc>
          <w:tcPr>
            <w:tcW w:w="6740" w:type="dxa"/>
            <w:vAlign w:val="bottom"/>
            <w:gridSpan w:val="7"/>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12.</w:t>
              </w:r>
            </w:hyperlink>
          </w:p>
        </w:tc>
        <w:tc>
          <w:tcPr>
            <w:tcW w:w="2420" w:type="dxa"/>
            <w:vAlign w:val="bottom"/>
            <w:gridSpan w:val="8"/>
          </w:tcPr>
          <w:p>
            <w:pPr>
              <w:ind w:left="2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Commitments and Contingencies</w:t>
              </w:r>
            </w:hyperlink>
          </w:p>
        </w:tc>
        <w:tc>
          <w:tcPr>
            <w:tcW w:w="260" w:type="dxa"/>
            <w:vAlign w:val="bottom"/>
            <w:gridSpan w:val="3"/>
          </w:tcPr>
          <w:p>
            <w:pPr>
              <w:spacing w:after="0"/>
              <w:rPr>
                <w:sz w:val="21"/>
                <w:szCs w:val="21"/>
                <w:color w:val="auto"/>
              </w:rPr>
            </w:pPr>
          </w:p>
        </w:tc>
        <w:tc>
          <w:tcPr>
            <w:tcW w:w="6740" w:type="dxa"/>
            <w:vAlign w:val="bottom"/>
            <w:gridSpan w:val="7"/>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69">
              <w:r>
                <w:rPr>
                  <w:rFonts w:ascii="Arial" w:cs="Arial" w:eastAsia="Arial" w:hAnsi="Arial"/>
                  <w:sz w:val="18"/>
                  <w:szCs w:val="18"/>
                  <w:color w:val="0000EE"/>
                  <w:w w:val="95"/>
                </w:rPr>
                <w:t>13.</w:t>
              </w:r>
            </w:hyperlink>
          </w:p>
        </w:tc>
        <w:tc>
          <w:tcPr>
            <w:tcW w:w="2420" w:type="dxa"/>
            <w:vAlign w:val="bottom"/>
            <w:gridSpan w:val="8"/>
          </w:tcPr>
          <w:p>
            <w:pPr>
              <w:ind w:left="20"/>
              <w:spacing w:after="0"/>
              <w:rPr>
                <w:rFonts w:ascii="Arial" w:cs="Arial" w:eastAsia="Arial" w:hAnsi="Arial"/>
                <w:sz w:val="18"/>
                <w:szCs w:val="18"/>
                <w:color w:val="0000EE"/>
              </w:rPr>
            </w:pPr>
            <w:hyperlink w:anchor="page69">
              <w:r>
                <w:rPr>
                  <w:rFonts w:ascii="Arial" w:cs="Arial" w:eastAsia="Arial" w:hAnsi="Arial"/>
                  <w:sz w:val="18"/>
                  <w:szCs w:val="18"/>
                  <w:color w:val="0000EE"/>
                </w:rPr>
                <w:t>Retirement Benefits</w:t>
              </w:r>
            </w:hyperlink>
          </w:p>
        </w:tc>
        <w:tc>
          <w:tcPr>
            <w:tcW w:w="7000" w:type="dxa"/>
            <w:vAlign w:val="bottom"/>
            <w:gridSpan w:val="10"/>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75">
              <w:r>
                <w:rPr>
                  <w:rFonts w:ascii="Arial" w:cs="Arial" w:eastAsia="Arial" w:hAnsi="Arial"/>
                  <w:sz w:val="18"/>
                  <w:szCs w:val="18"/>
                  <w:color w:val="0000EE"/>
                  <w:w w:val="95"/>
                </w:rPr>
                <w:t>14.</w:t>
              </w:r>
            </w:hyperlink>
          </w:p>
        </w:tc>
        <w:tc>
          <w:tcPr>
            <w:tcW w:w="4840" w:type="dxa"/>
            <w:vAlign w:val="bottom"/>
            <w:gridSpan w:val="14"/>
          </w:tcPr>
          <w:p>
            <w:pPr>
              <w:ind w:left="20"/>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Stock Compensation Plans and Other Compensation Arrangements</w:t>
              </w:r>
            </w:hyperlink>
          </w:p>
        </w:tc>
        <w:tc>
          <w:tcPr>
            <w:tcW w:w="4580" w:type="dxa"/>
            <w:vAlign w:val="bottom"/>
            <w:gridSpan w:val="4"/>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72</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78">
              <w:r>
                <w:rPr>
                  <w:rFonts w:ascii="Arial" w:cs="Arial" w:eastAsia="Arial" w:hAnsi="Arial"/>
                  <w:sz w:val="18"/>
                  <w:szCs w:val="18"/>
                  <w:color w:val="0000EE"/>
                  <w:w w:val="95"/>
                </w:rPr>
                <w:t>15.</w:t>
              </w:r>
            </w:hyperlink>
          </w:p>
        </w:tc>
        <w:tc>
          <w:tcPr>
            <w:tcW w:w="2540" w:type="dxa"/>
            <w:vAlign w:val="bottom"/>
            <w:gridSpan w:val="9"/>
          </w:tcPr>
          <w:p>
            <w:pPr>
              <w:ind w:left="2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Unaudited Selected Quarterly Data</w:t>
              </w:r>
            </w:hyperlink>
          </w:p>
        </w:tc>
        <w:tc>
          <w:tcPr>
            <w:tcW w:w="2300" w:type="dxa"/>
            <w:vAlign w:val="bottom"/>
            <w:gridSpan w:val="5"/>
          </w:tcPr>
          <w:p>
            <w:pPr>
              <w:spacing w:after="0"/>
              <w:rPr>
                <w:sz w:val="21"/>
                <w:szCs w:val="21"/>
                <w:color w:val="auto"/>
              </w:rPr>
            </w:pPr>
          </w:p>
        </w:tc>
        <w:tc>
          <w:tcPr>
            <w:tcW w:w="4580" w:type="dxa"/>
            <w:vAlign w:val="bottom"/>
            <w:gridSpan w:val="4"/>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75</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8"/>
          </w:tcPr>
          <w:p>
            <w:pPr>
              <w:spacing w:after="0"/>
              <w:rPr>
                <w:rFonts w:ascii="Arial" w:cs="Arial" w:eastAsia="Arial" w:hAnsi="Arial"/>
                <w:sz w:val="18"/>
                <w:szCs w:val="18"/>
                <w:color w:val="0000FF"/>
                <w:w w:val="90"/>
              </w:rPr>
            </w:pPr>
            <w:hyperlink w:anchor="page79">
              <w:r>
                <w:rPr>
                  <w:rFonts w:ascii="Arial" w:cs="Arial" w:eastAsia="Arial" w:hAnsi="Arial"/>
                  <w:sz w:val="18"/>
                  <w:szCs w:val="18"/>
                  <w:color w:val="0000FF"/>
                  <w:w w:val="90"/>
                </w:rPr>
                <w:t>Changes in and Disagreements with Accountants on Accounting and Financial Disclosure</w:t>
              </w:r>
            </w:hyperlink>
          </w:p>
        </w:tc>
        <w:tc>
          <w:tcPr>
            <w:tcW w:w="3540" w:type="dxa"/>
            <w:vAlign w:val="bottom"/>
            <w:gridSpan w:val="3"/>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8"/>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Controls and Procedures</w:t>
              </w:r>
            </w:hyperlink>
          </w:p>
        </w:tc>
        <w:tc>
          <w:tcPr>
            <w:tcW w:w="3540" w:type="dxa"/>
            <w:vAlign w:val="bottom"/>
            <w:gridSpan w:val="3"/>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Other Information</w:t>
              </w:r>
            </w:hyperlink>
          </w:p>
        </w:tc>
        <w:tc>
          <w:tcPr>
            <w:tcW w:w="8260" w:type="dxa"/>
            <w:vAlign w:val="bottom"/>
            <w:gridSpan w:val="14"/>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60" w:type="dxa"/>
            <w:vAlign w:val="bottom"/>
            <w:gridSpan w:val="15"/>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Management’s Report on Internal Control over Financial Reporting</w:t>
              </w:r>
            </w:hyperlink>
          </w:p>
        </w:tc>
        <w:tc>
          <w:tcPr>
            <w:tcW w:w="5020" w:type="dxa"/>
            <w:vAlign w:val="bottom"/>
            <w:gridSpan w:val="5"/>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80" w:type="dxa"/>
            <w:vAlign w:val="bottom"/>
            <w:gridSpan w:val="19"/>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Report of Independent Registered Public Accounting Firm on Internal Control over Financial Reporting</w:t>
              </w:r>
            </w:hyperlink>
          </w:p>
        </w:tc>
        <w:tc>
          <w:tcPr>
            <w:tcW w:w="240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78</w:t>
              </w:r>
            </w:hyperlink>
          </w:p>
        </w:tc>
      </w:tr>
      <w:tr>
        <w:trPr>
          <w:trHeight w:val="615"/>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540" w:type="dxa"/>
            <w:vAlign w:val="bottom"/>
            <w:tcBorders>
              <w:top w:val="single" w:sz="8" w:color="0000EE"/>
            </w:tcBorders>
            <w:gridSpan w:val="5"/>
          </w:tcPr>
          <w:p>
            <w:pPr>
              <w:ind w:left="380"/>
              <w:spacing w:after="0"/>
              <w:rPr>
                <w:rFonts w:ascii="Arial" w:cs="Arial" w:eastAsia="Arial" w:hAnsi="Arial"/>
                <w:sz w:val="18"/>
                <w:szCs w:val="18"/>
                <w:b w:val="1"/>
                <w:bCs w:val="1"/>
                <w:color w:val="auto"/>
              </w:rPr>
            </w:pPr>
            <w:hyperlink w:anchor="page82">
              <w:r>
                <w:rPr>
                  <w:rFonts w:ascii="Arial" w:cs="Arial" w:eastAsia="Arial" w:hAnsi="Arial"/>
                  <w:sz w:val="18"/>
                  <w:szCs w:val="18"/>
                  <w:b w:val="1"/>
                  <w:bCs w:val="1"/>
                  <w:color w:val="auto"/>
                </w:rPr>
                <w:t>PART III</w:t>
              </w:r>
            </w:hyperlink>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10020" w:type="dxa"/>
            <w:vAlign w:val="bottom"/>
            <w:gridSpan w:val="21"/>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Directors, Executive Officers and Corporate Governance</w:t>
              </w:r>
            </w:hyperlink>
          </w:p>
        </w:tc>
        <w:tc>
          <w:tcPr>
            <w:tcW w:w="300" w:type="dxa"/>
            <w:vAlign w:val="bottom"/>
            <w:gridSpan w:val="2"/>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79</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Executive Compensation</w:t>
              </w:r>
            </w:hyperlink>
          </w:p>
        </w:tc>
        <w:tc>
          <w:tcPr>
            <w:tcW w:w="2280" w:type="dxa"/>
            <w:vAlign w:val="bottom"/>
            <w:gridSpan w:val="7"/>
          </w:tcPr>
          <w:p>
            <w:pPr>
              <w:spacing w:after="0"/>
              <w:rPr>
                <w:sz w:val="21"/>
                <w:szCs w:val="21"/>
                <w:color w:val="auto"/>
              </w:rPr>
            </w:pPr>
          </w:p>
        </w:tc>
        <w:tc>
          <w:tcPr>
            <w:tcW w:w="5940" w:type="dxa"/>
            <w:vAlign w:val="bottom"/>
            <w:gridSpan w:val="6"/>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80</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10020" w:type="dxa"/>
            <w:vAlign w:val="bottom"/>
            <w:gridSpan w:val="21"/>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Security Ownership of Certain Beneficial Owners and Management and Related Stockholder Matters</w:t>
              </w:r>
            </w:hyperlink>
          </w:p>
        </w:tc>
        <w:tc>
          <w:tcPr>
            <w:tcW w:w="300" w:type="dxa"/>
            <w:vAlign w:val="bottom"/>
            <w:gridSpan w:val="2"/>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81</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tcBorders>
              <w:left w:val="single" w:sz="8" w:color="0000EE"/>
            </w:tcBorders>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9"/>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Certain Relationships and Related Transactions, and Director Independence</w:t>
              </w:r>
            </w:hyperlink>
          </w:p>
        </w:tc>
        <w:tc>
          <w:tcPr>
            <w:tcW w:w="2740" w:type="dxa"/>
            <w:vAlign w:val="bottom"/>
            <w:gridSpan w:val="2"/>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81</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Principal Accountant Fees and Services</w:t>
              </w:r>
            </w:hyperlink>
          </w:p>
        </w:tc>
        <w:tc>
          <w:tcPr>
            <w:tcW w:w="4580" w:type="dxa"/>
            <w:vAlign w:val="bottom"/>
            <w:gridSpan w:val="4"/>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81</w:t>
              </w:r>
            </w:hyperlink>
          </w:p>
        </w:tc>
      </w:tr>
      <w:tr>
        <w:trPr>
          <w:trHeight w:val="615"/>
        </w:trPr>
        <w:tc>
          <w:tcPr>
            <w:tcW w:w="10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40" w:type="dxa"/>
            <w:vAlign w:val="bottom"/>
            <w:gridSpan w:val="6"/>
          </w:tcPr>
          <w:p>
            <w:pPr>
              <w:ind w:left="380"/>
              <w:spacing w:after="0"/>
              <w:rPr>
                <w:rFonts w:ascii="Arial" w:cs="Arial" w:eastAsia="Arial" w:hAnsi="Arial"/>
                <w:sz w:val="18"/>
                <w:szCs w:val="18"/>
                <w:b w:val="1"/>
                <w:bCs w:val="1"/>
                <w:color w:val="auto"/>
              </w:rPr>
            </w:pPr>
            <w:hyperlink w:anchor="page85">
              <w:r>
                <w:rPr>
                  <w:rFonts w:ascii="Arial" w:cs="Arial" w:eastAsia="Arial" w:hAnsi="Arial"/>
                  <w:sz w:val="18"/>
                  <w:szCs w:val="18"/>
                  <w:b w:val="1"/>
                  <w:bCs w:val="1"/>
                  <w:color w:val="auto"/>
                </w:rPr>
                <w:t>PART IV</w:t>
              </w:r>
            </w:hyperlink>
          </w:p>
        </w:tc>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3"/>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Exhibits and Financial Statement Schedules</w:t>
              </w:r>
            </w:hyperlink>
          </w:p>
        </w:tc>
        <w:tc>
          <w:tcPr>
            <w:tcW w:w="6860" w:type="dxa"/>
            <w:vAlign w:val="bottom"/>
            <w:gridSpan w:val="8"/>
          </w:tcPr>
          <w:p>
            <w:pPr>
              <w:spacing w:after="0"/>
              <w:rPr>
                <w:sz w:val="19"/>
                <w:szCs w:val="19"/>
                <w:color w:val="auto"/>
              </w:rPr>
            </w:pPr>
          </w:p>
        </w:tc>
        <w:tc>
          <w:tcPr>
            <w:tcW w:w="300" w:type="dxa"/>
            <w:vAlign w:val="bottom"/>
            <w:gridSpan w:val="2"/>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82</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68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3"/>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Form 10-K Summary</w:t>
              </w:r>
            </w:hyperlink>
          </w:p>
        </w:tc>
        <w:tc>
          <w:tcPr>
            <w:tcW w:w="6860" w:type="dxa"/>
            <w:vAlign w:val="bottom"/>
            <w:gridSpan w:val="8"/>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480" w:type="dxa"/>
            <w:vAlign w:val="bottom"/>
            <w:gridSpan w:val="1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760" w:type="dxa"/>
            <w:vAlign w:val="bottom"/>
            <w:gridSpan w:val="4"/>
          </w:tcPr>
          <w:p>
            <w:pPr>
              <w:spacing w:after="0"/>
              <w:rPr>
                <w:rFonts w:ascii="Arial" w:cs="Arial" w:eastAsia="Arial" w:hAnsi="Arial"/>
                <w:sz w:val="18"/>
                <w:szCs w:val="18"/>
                <w:color w:val="0000EE"/>
                <w:w w:val="85"/>
              </w:rPr>
            </w:pPr>
            <w:hyperlink w:anchor="page94">
              <w:r>
                <w:rPr>
                  <w:rFonts w:ascii="Arial" w:cs="Arial" w:eastAsia="Arial" w:hAnsi="Arial"/>
                  <w:sz w:val="18"/>
                  <w:szCs w:val="18"/>
                  <w:color w:val="0000EE"/>
                  <w:w w:val="85"/>
                </w:rPr>
                <w:t>Signatures</w:t>
              </w:r>
            </w:hyperlink>
          </w:p>
        </w:tc>
        <w:tc>
          <w:tcPr>
            <w:tcW w:w="780" w:type="dxa"/>
            <w:vAlign w:val="bottom"/>
            <w:gridSpan w:val="2"/>
          </w:tcPr>
          <w:p>
            <w:pPr>
              <w:spacing w:after="0"/>
              <w:rPr>
                <w:sz w:val="21"/>
                <w:szCs w:val="21"/>
                <w:color w:val="auto"/>
              </w:rPr>
            </w:pPr>
          </w:p>
        </w:tc>
        <w:tc>
          <w:tcPr>
            <w:tcW w:w="8480" w:type="dxa"/>
            <w:vAlign w:val="bottom"/>
            <w:gridSpan w:val="15"/>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80" w:top="519"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ORGANIZATION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Northrop Grumman Corporation (herein referred to as “Northrop Grumman,” the “company,” “we,” “us,” or “our”) is a leading global security company. We offer a broad portfolio of capabilities and technologies that enable us to deliver innovative products, systems and solutions for applications that range from undersea to outer space and into cyberspace. We provide products, systems and solutions in autonomous systems; cyber; command, control, communications and computers, intelligence, surveillance and reconnaissance (C4ISR); strike;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 For a discussion of risks associated with our operations, see </w:t>
      </w:r>
      <w:r>
        <w:rPr>
          <w:rFonts w:ascii="Arial" w:cs="Arial" w:eastAsia="Arial" w:hAnsi="Arial"/>
          <w:sz w:val="18"/>
          <w:szCs w:val="18"/>
          <w:color w:val="auto"/>
        </w:rPr>
        <w:t>“</w:t>
      </w:r>
      <w:r>
        <w:rPr>
          <w:rFonts w:ascii="Arial" w:cs="Arial" w:eastAsia="Arial" w:hAnsi="Arial"/>
          <w:sz w:val="17"/>
          <w:szCs w:val="17"/>
          <w:color w:val="auto"/>
        </w:rPr>
        <w:t>Risk Factors.</w:t>
      </w:r>
      <w:r>
        <w:rPr>
          <w:rFonts w:ascii="Arial" w:cs="Arial" w:eastAsia="Arial" w:hAnsi="Arial"/>
          <w:sz w:val="18"/>
          <w:szCs w:val="18"/>
          <w:color w:val="auto"/>
        </w:rPr>
        <w:t>”</w:t>
      </w:r>
    </w:p>
    <w:p>
      <w:pPr>
        <w:spacing w:after="0" w:line="3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originally was formed in Hawthorne, California in 1939, as Northrop Aircraft Incorporated and was reincorporated in Delaware in 1985, as Northrop Corporation. Northrop Aircraft Incorporated was a principal developer of flying wing technology, including the B-2 Spirit bomber. The company developed into one of the largest defense contractors in the world through a series of acquisitions, as well as organic growth. In 1994, we acquired Grumman Corporation (Grumman), after which time the company was renamed Northrop Grumman Corporation. Grumman was a premier military aircraft systems integrator and builder of the Lunar Module that first delivered humans to the surface of the moon. In 1996, we acquired the defense and electronics businesses of Westinghouse Electric Corporation, a world leader in the development and production of sophisticated radar and other electronic systems for the nation’s defense, civil aviation, and other U.S. and international applications. In 2001, we acquired Litton Industries, a global electronics and information technology company, and one of the nation’s leading full service shipbuilders. Also in 2001, we acquired Newport News Shipbuilding, a leading designer and builder of nuclear-powered aircraft carriers and submarines. In 2002, we acquired TRW Inc., a leading developer of military and civil space systems and payloads, as well as a leading global integrator of complex, mission-enabling systems and services. In 2011, we completed the spin-off to our shareholders of Huntington Ingalls Industries, Inc. (HII). HII operates our former Shipbuilding business, comprised largely of a part of Litton Industries and Newport News Shipbuilding.</w:t>
      </w:r>
    </w:p>
    <w:p>
      <w:pPr>
        <w:spacing w:after="0" w:line="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070808"/>
        </w:rPr>
        <w:t xml:space="preserve">On September 17, 2017, the company entered into a definitive merger agreement to acquire Orbital ATK, Inc. (Orbital ATK). </w:t>
      </w:r>
      <w:r>
        <w:rPr>
          <w:rFonts w:ascii="Arial" w:cs="Arial" w:eastAsia="Arial" w:hAnsi="Arial"/>
          <w:sz w:val="18"/>
          <w:szCs w:val="18"/>
          <w:color w:val="000000"/>
        </w:rPr>
        <w:t>We currently expect the</w:t>
      </w:r>
      <w:r>
        <w:rPr>
          <w:rFonts w:ascii="Arial" w:cs="Arial" w:eastAsia="Arial" w:hAnsi="Arial"/>
          <w:sz w:val="18"/>
          <w:szCs w:val="18"/>
          <w:color w:val="070808"/>
        </w:rPr>
        <w:t xml:space="preserve"> </w:t>
      </w:r>
      <w:r>
        <w:rPr>
          <w:rFonts w:ascii="Arial" w:cs="Arial" w:eastAsia="Arial" w:hAnsi="Arial"/>
          <w:sz w:val="18"/>
          <w:szCs w:val="18"/>
          <w:color w:val="000000"/>
        </w:rPr>
        <w:t xml:space="preserve">transaction to close in the first half of 2018, after receiving regulatory approvals. </w:t>
      </w:r>
      <w:r>
        <w:rPr>
          <w:rFonts w:ascii="Arial" w:cs="Arial" w:eastAsia="Arial" w:hAnsi="Arial"/>
          <w:sz w:val="18"/>
          <w:szCs w:val="18"/>
          <w:color w:val="070808"/>
        </w:rPr>
        <w:t>Upon completion of the Orbital ATK Acquisition, we plan to establish</w:t>
      </w:r>
      <w:r>
        <w:rPr>
          <w:rFonts w:ascii="Arial" w:cs="Arial" w:eastAsia="Arial" w:hAnsi="Arial"/>
          <w:sz w:val="18"/>
          <w:szCs w:val="18"/>
          <w:color w:val="000000"/>
        </w:rPr>
        <w:t xml:space="preserve"> </w:t>
      </w:r>
      <w:r>
        <w:rPr>
          <w:rFonts w:ascii="Arial" w:cs="Arial" w:eastAsia="Arial" w:hAnsi="Arial"/>
          <w:sz w:val="18"/>
          <w:szCs w:val="18"/>
          <w:color w:val="070808"/>
        </w:rPr>
        <w:t xml:space="preserve">Orbital ATK as a new, fourth business sector named Northrop Grumman Innovation Systems. See Notes 2 and 10 </w:t>
      </w:r>
      <w:r>
        <w:rPr>
          <w:rFonts w:ascii="Arial" w:cs="Arial" w:eastAsia="Arial" w:hAnsi="Arial"/>
          <w:sz w:val="18"/>
          <w:szCs w:val="18"/>
          <w:color w:val="000000"/>
        </w:rPr>
        <w:t>to the consolidated financial statements for</w:t>
      </w:r>
      <w:r>
        <w:rPr>
          <w:rFonts w:ascii="Arial" w:cs="Arial" w:eastAsia="Arial" w:hAnsi="Arial"/>
          <w:sz w:val="18"/>
          <w:szCs w:val="18"/>
          <w:color w:val="070808"/>
        </w:rPr>
        <w:t xml:space="preserve"> </w:t>
      </w:r>
      <w:r>
        <w:rPr>
          <w:rFonts w:ascii="Arial" w:cs="Arial" w:eastAsia="Arial" w:hAnsi="Arial"/>
          <w:sz w:val="18"/>
          <w:szCs w:val="18"/>
          <w:color w:val="000000"/>
        </w:rPr>
        <w:t>further information.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From time to time, we acquire or dispose of businesses and realign contracts, programs or businesses among and within our operating segments. Internal realignments are typically designed to leverage existing capabilities more fully and to enhance development and delivery of products and services. The operating results for all periods presented have been revised to reflect any such changes made through December 31, 2017. The company is aligned in three operating sectors, which also comprise our reportable segments: Aerospace Systems, Mission Systems and Technology Services. See Note 4 to our consolidated financial statements for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SYSTEMS</w:t>
      </w:r>
    </w:p>
    <w:p>
      <w:pPr>
        <w:spacing w:after="0" w:line="9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Aerospace Systems, headquartered in Redondo Beach, California, is a leader in the design, development, integration and production of manned aircraft, autonomous systems, spacecraft, high-energy laser systems, microelectronics and other systems and subsystems. Aerospace Systems’ customers, primarily the DoD and other U.S. Government agencies, use these systems in mission areas including intelligence, surveillance and reconnaissance (ISR), strike operations, communications, earth observation, and space science and exploration. The sector is reported in three business areas, which reflect our core capabilities: Autonomous Systems, Manned Aircraft and Space.</w:t>
      </w:r>
    </w:p>
    <w:p>
      <w:pPr>
        <w:spacing w:after="0" w:line="3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Autonomous Systems </w:t>
      </w:r>
      <w:r>
        <w:rPr>
          <w:rFonts w:ascii="Arial" w:cs="Arial" w:eastAsia="Arial" w:hAnsi="Arial"/>
          <w:sz w:val="17"/>
          <w:szCs w:val="17"/>
          <w:color w:val="auto"/>
        </w:rPr>
        <w:t>– designs, develops, manufactures, integrates and sustains autonomous aircraft systems for tactical and strategic ISR missions. Key</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include high-altitude long-endurance (HALE) systems, such as the Global Hawk system, which provides near real-time high resolution imagery of land masses for theater awareness; the Triton system, which provides real-time ISR over vast ocean and coastal regions for maritime domain awareness; and the North Atlantic Treaty Organization (NATO) Alliance Ground Surveillance (AGS) system for</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37"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multinational theater operations; the ship-based vertical take off and landing (VTOL) Fire Scout system, which provides situational awareness for maritime forces and precision targeting support; and the Navy Unmanned Combat Air System demonstrating an unmanned combat air vehicle for carrier-based operations.</w:t>
      </w:r>
    </w:p>
    <w:p>
      <w:pPr>
        <w:spacing w:after="0" w:line="46"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Manned Aircraft </w:t>
      </w:r>
      <w:r>
        <w:rPr>
          <w:rFonts w:ascii="Arial" w:cs="Arial" w:eastAsia="Arial" w:hAnsi="Arial"/>
          <w:sz w:val="17"/>
          <w:szCs w:val="17"/>
          <w:color w:val="auto"/>
        </w:rPr>
        <w:t>– designs, develops, manufactures, and integrates airborne C4ISR systems, long-range strike aircraft systems, tactical aircraft systems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directed energy systems. Key airborne C4ISR programs include the E-2D Advanced Hawkeye and Joint Surveillance Target Attack Radar System (JSTARS). Key long-range strike aircraft programs include </w:t>
      </w:r>
      <w:r>
        <w:rPr>
          <w:rFonts w:ascii="Arial" w:cs="Arial" w:eastAsia="Arial" w:hAnsi="Arial"/>
          <w:sz w:val="17"/>
          <w:szCs w:val="17"/>
          <w:color w:val="070808"/>
        </w:rPr>
        <w:t>the B-21 Raider long-range strike bomber</w:t>
      </w:r>
      <w:r>
        <w:rPr>
          <w:rFonts w:ascii="Arial" w:cs="Arial" w:eastAsia="Arial" w:hAnsi="Arial"/>
          <w:sz w:val="17"/>
          <w:szCs w:val="17"/>
          <w:color w:val="auto"/>
        </w:rPr>
        <w:t xml:space="preserve"> and modernization and sustainment services for the B-2 Spirit bomber. Tactical aircraft includes the design, development, manufacture and integration of F-35 Lightning II center fuselage and F/A-18 Super Hornet center/aft fuselage sections. Directed energy involves the design, development, and integration of laser weapon systems for air, ground, and sea platforms, and production of the Airborne Laser Mine Detection System for the U.S. Navy and international customers.</w:t>
      </w:r>
    </w:p>
    <w:p>
      <w:pPr>
        <w:spacing w:after="0" w:line="4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Space </w:t>
      </w:r>
      <w:r>
        <w:rPr>
          <w:rFonts w:ascii="Arial" w:cs="Arial" w:eastAsia="Arial" w:hAnsi="Arial"/>
          <w:sz w:val="17"/>
          <w:szCs w:val="17"/>
          <w:color w:val="auto"/>
        </w:rPr>
        <w:t>– designs, develops, manufactures, and integrates spacecraft systems, subsystems, sensors and communications payloads in support of space C4ISR</w:t>
      </w:r>
      <w:r>
        <w:rPr>
          <w:rFonts w:ascii="Arial" w:cs="Arial" w:eastAsia="Arial" w:hAnsi="Arial"/>
          <w:sz w:val="17"/>
          <w:szCs w:val="17"/>
          <w:i w:val="1"/>
          <w:iCs w:val="1"/>
          <w:color w:val="auto"/>
        </w:rPr>
        <w:t xml:space="preserve"> </w:t>
      </w:r>
      <w:r>
        <w:rPr>
          <w:rFonts w:ascii="Arial" w:cs="Arial" w:eastAsia="Arial" w:hAnsi="Arial"/>
          <w:sz w:val="17"/>
          <w:szCs w:val="17"/>
          <w:color w:val="auto"/>
        </w:rPr>
        <w:t>and science missions. Key programs include the James Webb Space Telescope (JWST), a large infrared telescope being built for the National Aeronautics and Space Administration (NASA) that will be deployed in space to study the origins of the universe; Advanced Extremely High Frequency (AEHF) payloads providing survivable, protected communications to U.S. forces; Space-Based Infrared System (SBIRS) payloads providing data for missile surveillance, missile defense, technical intelligence and battlespace characterization; and restricted programs.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SYSTEMS</w:t>
      </w:r>
    </w:p>
    <w:p>
      <w:pPr>
        <w:spacing w:after="0" w:line="9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Mission Systems, headquartered in Linthicum, Maryland, is a leader in advanced end-to-end mission solutions and multifunction systems for DoD, intelligence community, international, federal-civil and commercial customers. Major products and services include C4ISR systems; radar, electro-optical/infrared (EO/IR) and acoustic sensors; electronic warfare systems; cyber solutions; space systems; intelligence processing systems; air and missile defense (AMD) integration; navigation; and shipboard missile and encapsulated payload launch systems. The sector is reported in three business areas, which reflect our core capabilities: Sensors and Processing, Cyber and ISR, and Advanced Capabilities.</w:t>
      </w:r>
    </w:p>
    <w:p>
      <w:pPr>
        <w:spacing w:after="0" w:line="3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color w:val="auto"/>
        </w:rPr>
        <w:t xml:space="preserve">Sensors and Processing </w:t>
      </w:r>
      <w:r>
        <w:rPr>
          <w:rFonts w:ascii="Arial" w:cs="Arial" w:eastAsia="Arial" w:hAnsi="Arial"/>
          <w:sz w:val="17"/>
          <w:szCs w:val="17"/>
          <w:color w:val="auto"/>
        </w:rPr>
        <w:t>– delivers products, systems and services that support ground-based and fixed wing and rotary wing aircraft platforms with radar,</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 warfare, communications, command and control (C2), Signals Intelligence (SIGINT), and situational awareness mission systems. Competencies include targeting, surveillance, air defense, and early warning &amp; control radar systems; EO/IR and radio frequency (RF) self-protection, targeting and surveillance systems; electronic attack and electronic support systems; communications and intelligence systems; digitized cockpits; and multi-sensor processing. Key programs include Airborne Early Warning &amp; Control (AEW&amp;C) and air-to-ground sensors; Battlefield Airborne Communications Node (BACN); F-35 fire control radar, Distributed Aperture System (DAS), and Communications, Navigation and Identification (CNI) integrated avionics system; Ground/Air Task Oriented Radar (G/ATOR); Joint Counter Radio-Controlled Improvised Explosive Device Electronic Warfare (JCREW); RF and Infrared Countermeasures (IRCM) programs for both fixed wing and rotary wing platforms; EO/IR targeting and surveillance programs; Scalable Agile Beam Radar (SABR); UH-60V Black Hawk integrated mission equipment package; and restricted programs.</w:t>
      </w:r>
    </w:p>
    <w:p>
      <w:pPr>
        <w:spacing w:after="0" w:line="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Cyber and ISR </w:t>
      </w:r>
      <w:r>
        <w:rPr>
          <w:rFonts w:ascii="Arial" w:cs="Arial" w:eastAsia="Arial" w:hAnsi="Arial"/>
          <w:sz w:val="18"/>
          <w:szCs w:val="18"/>
          <w:color w:val="auto"/>
        </w:rPr>
        <w:t>– delivers products, systems and services that support full-spectrum cyber solutions, space-based payload and exploitation systems, space-based C2 and processing systems, and enterprise integration of multi-intelligence mission data across all domains. Competencies include cyber mission management; large-scale cyber solutions for national security applications; missile warning and defense systems; weather and satellite communications; ground software systems; and geospatial intelligence and data fusion, specializing in the collection, processing and exploitation of data. Key programs include exploitation and cyber programs; operational services to the United States Computer Emergency Readiness Team (US-CERT); worldwide IT coverage and support services through Solutions for the Information Technology Enterprise (SITE); the Enterprise Application Managed Services (EAMS) program; and restricted programs.</w:t>
      </w:r>
    </w:p>
    <w:p>
      <w:pPr>
        <w:spacing w:after="0" w:line="5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 xml:space="preserve">Advanced Capabilities </w:t>
      </w:r>
      <w:r>
        <w:rPr>
          <w:rFonts w:ascii="Arial" w:cs="Arial" w:eastAsia="Arial" w:hAnsi="Arial"/>
          <w:sz w:val="18"/>
          <w:szCs w:val="18"/>
          <w:color w:val="auto"/>
        </w:rPr>
        <w:t>– provides integration and interoperability of net-enabled battle management, sensors, targeting and surveillance systems; air and</w:t>
      </w:r>
      <w:r>
        <w:rPr>
          <w:rFonts w:ascii="Arial" w:cs="Arial" w:eastAsia="Arial" w:hAnsi="Arial"/>
          <w:sz w:val="18"/>
          <w:szCs w:val="18"/>
          <w:i w:val="1"/>
          <w:iCs w:val="1"/>
          <w:color w:val="auto"/>
        </w:rPr>
        <w:t xml:space="preserve"> </w:t>
      </w:r>
      <w:r>
        <w:rPr>
          <w:rFonts w:ascii="Arial" w:cs="Arial" w:eastAsia="Arial" w:hAnsi="Arial"/>
          <w:sz w:val="18"/>
          <w:szCs w:val="18"/>
          <w:color w:val="auto"/>
        </w:rPr>
        <w:t>missile defense C2; and global battlespace awareness. It also delivers products, systems and services that support maritime platforms and embedded navigation and positioning sensors for a range of platforms including ships, aircraft, spacecraft and weapons. Competencies include advanced AMD integration with land, air and space assets; shipboard missile and encapsulated payload launch systems; unmanned maritime vehicles and high-resolution undersea sensors; and inertial navigation systems. Key programs include the Integrated Air and Missile Defense Battle Command System (IBCS); Ground-based Midcourse Defense (GMD)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system; Surface Electronic Warfare Improvement Program (SEWIP) Block III; the Embedded Global Positioning System (GPS)/Inertial Navigation Systems-Modernization; AQS-24B Minehunting System; and Trident and Virginia-Class payload launch systems.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9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Technology Services, headquartered in Herndon, Virginia, is a leader in logistic solutions supporting the full life cycle of platforms and systems and delivering innovative, technology-driven solutions and services for DoD, global defense and federal-civil customers. Major products and services include software and system sustainment; modernization of platforms and associated subsystems; advanced training solutions; and integrated logistics support. The sector is reported in three business areas, which reflect our core capabilities: Global Logistics and Modernization; Advanced Defense Services; and System Modernization and Services.</w:t>
      </w:r>
    </w:p>
    <w:p>
      <w:pPr>
        <w:spacing w:after="0" w:line="5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Global Logistics and Modernization </w:t>
      </w:r>
      <w:r>
        <w:rPr>
          <w:rFonts w:ascii="Arial" w:cs="Arial" w:eastAsia="Arial" w:hAnsi="Arial"/>
          <w:sz w:val="18"/>
          <w:szCs w:val="18"/>
          <w:color w:val="auto"/>
        </w:rPr>
        <w:t>– provides global logistics support, sustainment, operations and modernization for air, sea and ground systems and</w:t>
      </w:r>
      <w:r>
        <w:rPr>
          <w:rFonts w:ascii="Arial" w:cs="Arial" w:eastAsia="Arial" w:hAnsi="Arial"/>
          <w:sz w:val="18"/>
          <w:szCs w:val="18"/>
          <w:i w:val="1"/>
          <w:iCs w:val="1"/>
          <w:color w:val="auto"/>
        </w:rPr>
        <w:t xml:space="preserve"> </w:t>
      </w:r>
      <w:r>
        <w:rPr>
          <w:rFonts w:ascii="Arial" w:cs="Arial" w:eastAsia="Arial" w:hAnsi="Arial"/>
          <w:sz w:val="18"/>
          <w:szCs w:val="18"/>
          <w:color w:val="auto"/>
        </w:rPr>
        <w:t>weapon system components. Competencies include aircraft, electronics and software sustainment and engineering; electronic warfare/attack and avionics/electronics subsystems modernization; supply chain management; manned and unmanned weapon systems deployed logistics support; field services, on-going maintenance and technical assistance; and rapid response in support of global customers. Capabilities include: integration, delivery and global support of unmanned special mission aircraft solutions for platforms such as the MQ-5B Hunter, Global Hawk and Triton; subsystem and component-level depot repair and modernization for products such as AAQ-24, APN-241, ALQ-135 and ALQ-131A sensors; missile sustainment and modernization solutions for products, including the Intercontinental Ballistic Missile Minuteman III; and weapon systems sustainment, refurbishment, overhaul, modernization and contractor logistics support for several unique low-density/high-demand platforms, including the B-2 Spirit bomber, JSTARS, KC-30A and UK Airborne Warning and Control System.</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Advanced Defense Services </w:t>
      </w:r>
      <w:r>
        <w:rPr>
          <w:rFonts w:ascii="Arial" w:cs="Arial" w:eastAsia="Arial" w:hAnsi="Arial"/>
          <w:sz w:val="18"/>
          <w:szCs w:val="18"/>
          <w:color w:val="auto"/>
        </w:rPr>
        <w:t>– provides advanced defense and security services including cyber; network operations and security; system and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sustainment and modernization; and training to strengthen the national security of the U.S. and its allies. Key programs include the Marine Corps Cyber Operations Group, which provides network defense services for the U.S. Marine Corps; Ministry of the National Guard (MNG) Training Support, through our interest in a joint venture for which we consolidate the financial results, which provides equipment fielding, training and maintenance, logistics and operations support to the Saudi Arabia MNG; and the Mission Command Training Program, the Army's premier leadership and staff training exercise program at the tactical and operational level.</w:t>
      </w:r>
    </w:p>
    <w:p>
      <w:pPr>
        <w:spacing w:after="0" w:line="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System Modernization and Services </w:t>
      </w:r>
      <w:r>
        <w:rPr>
          <w:rFonts w:ascii="Arial" w:cs="Arial" w:eastAsia="Arial" w:hAnsi="Arial"/>
          <w:sz w:val="16"/>
          <w:szCs w:val="16"/>
          <w:color w:val="auto"/>
        </w:rPr>
        <w:t>– provides full life cycle information systems modernization and sustainment primarily in support of civilian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agencies. Competencies include analytics; mission information processing; cyber and secure networking; and software development. Capabilities include fraud detection and compliance services, data analysis and decision support tools, and software system sustainment; services to U.S. Government healthcare agencies, including benefits systems administration, fraud prevention, payment modernization, bioinformatics, and precision health; and information sharing and analysis solutions as well as sophisticated enterprise-wide solutions to design, build and manage resilient and secure IT infrastructures. Our capabilities provide proactive network monitoring, patch management and desktop optimization to control and reduce overall operating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AND SEGMENT OPERATING RESULTS</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a summary of selected consolidated financial information, see “Selected Financial Data.” For a more complete understanding of our segment financial information, see “Segment Operating Results” in “Management’s Discussion and Analysis of Financial Condition and Results of Operations” (MD&amp;A) and Note 4 to the consolidated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9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largest customer is the U.S. Government. Sales to the U.S. Government accounted for 85 percent, 84 percent and 83 percent of sales during the years ended December 31, 2017, 2016 and 2015, respectively. For further information on sales by customer category, see Note 1 to the consolidated financial statements. No single program accounted for more than ten percent of total sales during any period presented. See “Risk Factors” for further discussion regarding risks related to customer concentration.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compete with many companies in the defense, intelligence and federal markets. BAE Systems, Boeing, Booz Allen Hamilton, General Dynamics, Harris, L3 Technologies, Leidos, Leonardo, Lockheed Martin, Raytheon and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37"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Thales are some of our primary competitors. Key characteristics of our industry include long operating cycles and intense competition, which is evident through the number of competitors bidding on program opportunities and the number of bid protests (competitor protests of U.S. Government procurement awards).</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is common in the defense industry for work on major programs to be shared among a number of companies. A company competing to be a prime contractor may, upon ultimate award of the contract to another competitor, become a subcontractor to the ultimate prime contracting company. It is not unusual to compete for a contract award with a peer company and, simultaneously, perform as a supplier to or a customer of that same competitor on other contracts, or vice versa.</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 material portion of our business is considered to be seasonal.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At December 31, 2017, total backlog was $42.9 billion, as compared with $45.3 billion at December 31, 2016. For further information, see “Backlog” in MD&amp;A.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strategy includes significant investment in research and development (R&amp;D) to support future technologies and mission solutions. In 2017, 2016 and 2015, we invested 2.5 percent, 2.9 percent and 3.0 percent of total sales in company-sponsored R&amp;D. For additional information on company-sponsored and customer-funded R&amp;D, see Note 1 to the consolidated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color w:val="auto"/>
        </w:rPr>
        <w:t>We routinely apply for and own a number of U.S. and foreign patents related to the technologies we develop. We also develop and protect intellectual property as trade secrets. In addition to owning a large portfolio of proprietary intellectual property, we license some intellectual property rights to third parties and we license or otherwise obtain access to intellectual property from third parties. The U.S. Government typically holds licenses to patents developed in the performance of U.S. Government contracts and may use or authorize others to use the inventions covered by these patents for certain purposes. See “Risk Factors” for further discussion regarding risks related to intellectual property.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have not experienced significant delays in the supply or availability of raw materials, nor have we experienced a significant price increase for raw materials. See “Risk Factors” for further discussion regarding risks related to raw materials.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RELATIONS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believe that we maintain good relations with our approximately 70,000 employees. Approximately 2,300 are covered by 10 collective agreements in the U.S., of which we negotiated one renewal in 2017 and expect to negotiate two renewals in 2018. See “Risk Factors” for further discussion regarding risks related to employee relations.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 Security Restrictions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Certain classified programs with the U.S. Government are prohibited by the customer from being publicly discussed and are therefore generally referred to as “restricted” in this Annual Report on Form 10-K. The consolidated financial statements and financial information in this Annual Report on Form 10-K reflect the operating results of our entire company, including restricted programs.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generate the majority of our business from long-term contracts with the U.S. Government for development, production and support activities. Unless otherwise specified in a contract, allowable and allocable costs are billed to contracts with the U.S. Government pursuant to the Federal Acquisition Regulation (FAR) and U.S. Government Cost Accounting Standards (CAS). Examples of costs incurred by us and not billed to the U.S. Government in accordance with the FAR and CAS include, but are not limited to, certain legal costs, charitable donations, advertising costs, interest expense and unallowable employee compensation and benefits costs.</w:t>
      </w:r>
    </w:p>
    <w:p>
      <w:pPr>
        <w:spacing w:after="0" w:line="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monitor our contracts on a regular basis for compliance with our policies and procedures and applicable government regulations and laws to enhance compliance and consistent application for contracts with similar terms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3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and conditions. In addition, costs incurred and allocated to contracts with the U.S. Government are routinely audited by the Defense Contract Audit Agency (DCAA).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long-term contracts typically fall into one of two broad categories: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Cost-type contracts </w:t>
      </w:r>
      <w:r>
        <w:rPr>
          <w:rFonts w:ascii="Arial" w:cs="Arial" w:eastAsia="Arial" w:hAnsi="Arial"/>
          <w:sz w:val="16"/>
          <w:szCs w:val="16"/>
          <w:color w:val="auto"/>
        </w:rPr>
        <w:t>– Cost-type contracts include cost plus fixed fee, cost plus award fee and cost plus incentive fee contracts. Cost-type contracts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for reimbursement of a contractor’s allowable costs incurred plus fee. As a result, cost-type contracts have less financial risk associated with unanticipated cost growth but generally provide lower profit margins than fixed-price contracts. Cost-type contracts typically require that the contractor use its best efforts to accomplish the scope of the work within some specified time and stated dollar limitation. Fees on cost-type contracts can be fixed in terms of dollar value or percentage of costs. Award and incentive fees are generally based on performance criteria such as cost, schedule, quality and/or technical performance. Award fees are determined and earned based on customer evaluation of the company’s performance against contractual criteria. Incentive fees are generally based on cost and provide for an initially negotiated fee to be adjusted later, based on the relationship of total allowable costs to total target costs. Award and incentive fees that can reasonably be estimated and are deemed reasonably assured are recorded over the performance period of the contract.</w:t>
      </w:r>
    </w:p>
    <w:p>
      <w:pPr>
        <w:spacing w:after="0" w:line="3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Fixed-price contracts </w:t>
      </w:r>
      <w:r>
        <w:rPr>
          <w:rFonts w:ascii="Arial" w:cs="Arial" w:eastAsia="Arial" w:hAnsi="Arial"/>
          <w:sz w:val="16"/>
          <w:szCs w:val="16"/>
          <w:color w:val="auto"/>
        </w:rPr>
        <w:t>– Firm fixed-price contracts include a specified scope of work for a price that is a pre-determined, negotiated amount and not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adjustment regardless of costs incurred by the contractor, absent changes in scope by the customer. As a result, fixed-price contracts have more financial risk associated with unanticipated cost growth, but generally provide the opportunity for higher profit margins than cost-type contracts. Certain fixed-price incentive fee contracts provide for reimbursement of the contractor’s allowable costs plus a fee up to a cost ceiling amount, typically through a cost-sharing ratio that affects profitability. These types of fixed-price incentive fee contracts effectively become firm fixed-price contracts once the cost-share ceiling is reached. Time-and-materials contracts are considered fixed-price contracts as they specify a fixed hourly rate for each labor hour charged.</w:t>
      </w:r>
    </w:p>
    <w:p>
      <w:pPr>
        <w:spacing w:after="0" w:line="30" w:lineRule="exact"/>
        <w:rPr>
          <w:sz w:val="20"/>
          <w:szCs w:val="20"/>
          <w:color w:val="auto"/>
        </w:rPr>
      </w:pPr>
    </w:p>
    <w:p>
      <w:pPr>
        <w:ind w:right="560"/>
        <w:spacing w:after="0" w:line="334" w:lineRule="auto"/>
        <w:rPr>
          <w:sz w:val="20"/>
          <w:szCs w:val="20"/>
          <w:color w:val="auto"/>
        </w:rPr>
      </w:pPr>
      <w:r>
        <w:rPr>
          <w:rFonts w:ascii="Arial" w:cs="Arial" w:eastAsia="Arial" w:hAnsi="Arial"/>
          <w:sz w:val="16"/>
          <w:szCs w:val="16"/>
          <w:color w:val="auto"/>
        </w:rPr>
        <w:t>Profit margins on our contracts may vary materially depending on, among other things, the contract type, contract phase (e.g., development, low-rate production or mature production), negotiated fee arrangements, achievement of performance objectives, and cost, schedule and technical performance.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consolidated financial statements and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sales for the year ended December 31, 2017, recognized by contract type and customer category: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color w:val="auto"/>
              </w:rPr>
              <w:t>U.S.</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Percentage</w:t>
            </w:r>
          </w:p>
        </w:tc>
      </w:tr>
      <w:tr>
        <w:trPr>
          <w:trHeight w:val="257"/>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10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50"/>
              <w:spacing w:after="0" w:line="257" w:lineRule="exact"/>
              <w:rPr>
                <w:sz w:val="20"/>
                <w:szCs w:val="20"/>
                <w:color w:val="auto"/>
              </w:rPr>
            </w:pPr>
            <w:r>
              <w:rPr>
                <w:rFonts w:ascii="Arial" w:cs="Arial" w:eastAsia="Arial" w:hAnsi="Arial"/>
                <w:sz w:val="18"/>
                <w:szCs w:val="18"/>
                <w:color w:val="auto"/>
                <w:w w:val="95"/>
              </w:rPr>
              <w:t>Government</w:t>
            </w:r>
            <w:r>
              <w:rPr>
                <w:rFonts w:ascii="Arial" w:cs="Arial" w:eastAsia="Arial" w:hAnsi="Arial"/>
                <w:sz w:val="25"/>
                <w:szCs w:val="25"/>
                <w:color w:val="auto"/>
                <w:w w:val="95"/>
                <w:vertAlign w:val="superscript"/>
              </w:rPr>
              <w:t>(1)</w:t>
            </w: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0"/>
              <w:spacing w:after="0" w:line="257" w:lineRule="exact"/>
              <w:rPr>
                <w:sz w:val="20"/>
                <w:szCs w:val="20"/>
                <w:color w:val="auto"/>
              </w:rPr>
            </w:pPr>
            <w:r>
              <w:rPr>
                <w:rFonts w:ascii="Arial" w:cs="Arial" w:eastAsia="Arial" w:hAnsi="Arial"/>
                <w:sz w:val="18"/>
                <w:szCs w:val="18"/>
                <w:color w:val="auto"/>
                <w:w w:val="95"/>
              </w:rPr>
              <w:t>International</w:t>
            </w:r>
            <w:r>
              <w:rPr>
                <w:rFonts w:ascii="Arial" w:cs="Arial" w:eastAsia="Arial" w:hAnsi="Arial"/>
                <w:sz w:val="25"/>
                <w:szCs w:val="25"/>
                <w:color w:val="auto"/>
                <w:w w:val="95"/>
                <w:vertAlign w:val="superscript"/>
              </w:rPr>
              <w:t>(2)</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1"/>
              </w:rPr>
              <w:t>Other Customers</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of Total Sales</w:t>
            </w:r>
          </w:p>
        </w:tc>
      </w:tr>
      <w:tr>
        <w:trPr>
          <w:trHeight w:val="244"/>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Cost-type contracts</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14,168</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Fixed-price contracts</w:t>
            </w:r>
          </w:p>
        </w:tc>
        <w:tc>
          <w:tcPr>
            <w:tcW w:w="108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8,396</w:t>
            </w: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2,661</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578</w:t>
            </w:r>
          </w:p>
        </w:tc>
        <w:tc>
          <w:tcPr>
            <w:tcW w:w="3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11,635</w:t>
            </w: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2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sales</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21,837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25,803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4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71" w:lineRule="exact"/>
        <w:rPr>
          <w:sz w:val="20"/>
          <w:szCs w:val="20"/>
          <w:color w:val="auto"/>
        </w:rPr>
      </w:pPr>
    </w:p>
    <w:p>
      <w:pPr>
        <w:ind w:left="180" w:right="620" w:hanging="172"/>
        <w:spacing w:after="0" w:line="229" w:lineRule="auto"/>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145" w:lineRule="exact"/>
        <w:rPr>
          <w:rFonts w:ascii="Arial" w:cs="Arial" w:eastAsia="Arial" w:hAnsi="Arial"/>
          <w:sz w:val="21"/>
          <w:szCs w:val="21"/>
          <w:color w:val="auto"/>
          <w:vertAlign w:val="superscript"/>
        </w:rPr>
      </w:pPr>
    </w:p>
    <w:p>
      <w:pPr>
        <w:ind w:left="180" w:right="200" w:hanging="172"/>
        <w:spacing w:after="0" w:line="239" w:lineRule="auto"/>
        <w:tabs>
          <w:tab w:leader="none" w:pos="184"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 direct sales with governments outside the U.S. and commercial sales outside the U.S.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operations are subject to and affected by federal, state, local and foreign laws, regulations and enforcement actions relating to protection of the environment. In 2010, we established goals for the reduction of greenhouse gas emissions and implementation of best management practices for water use and solid waste; those goals were achieved as of December 31, 2014. In 2015, we announced our 2020 environmental sustainability goals: to reduce absolute greenhouse gas emissions by 30 percent from 2010 levels; to reduce potable water use by 20 percent from 2014 levels; and to achieve a 70 percent solid waste diversion rate (away from landfills).</w:t>
      </w:r>
    </w:p>
    <w:p>
      <w:pPr>
        <w:spacing w:after="0" w:line="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incurred and expect to continue to incur capital and operating costs to comply with applicable environmental laws and regulations and to achieve our environmental sustainability commitments. See “Risk Factors” and Notes 1 and 12 to the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“Directors, Executive Officers and Corporate Governance” for information about our executive officers.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principal executive offices are located at 2980 Fairview Park Drive, Falls Church, Virginia 22042. Our telephone number is (703) 280-2900 and our home page is www.northropgrumman.com.</w:t>
      </w:r>
    </w:p>
    <w:p>
      <w:pPr>
        <w:spacing w:after="0" w:line="3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annual reports on Form 10-K, quarterly reports on Form 10-Q, current reports on Form 8-K and proxy statement for the annual shareholders’ meeting, as well as any amendments to those reports, are available free of charge through our website as soon as reasonably practicable after we file them with the U.S. Securities and Exchange Commission (SEC). You can learn more about us by reviewing our SEC filings on the investor relations page of our website.</w:t>
      </w:r>
    </w:p>
    <w:p>
      <w:pPr>
        <w:spacing w:after="0" w:line="1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SEC also maintains a website at www.sec.gov that contains reports, proxy statements and other information about SEC registrants, including Northrop Grumman Corporation.</w:t>
      </w:r>
    </w:p>
    <w:p>
      <w:pPr>
        <w:spacing w:after="0" w:line="3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consolidated financial position, results of operations and cash flows are subject to various risks, many of which are not exclusively within our control, that may cause actual performance to differ materially from historical or projected future performance. We encourage you to consider carefully the risk factors described below in evaluating the information contained in this report as the outcome of one or more of these risks could have a material adverse effect on our financial position, results of operations and/or cash flows.</w:t>
      </w:r>
    </w:p>
    <w:p>
      <w:pPr>
        <w:spacing w:after="0" w:line="52" w:lineRule="exact"/>
        <w:rPr>
          <w:sz w:val="20"/>
          <w:szCs w:val="20"/>
          <w:color w:val="auto"/>
        </w:rPr>
      </w:pPr>
    </w:p>
    <w:p>
      <w:pPr>
        <w:ind w:left="320" w:right="300" w:hanging="312"/>
        <w:spacing w:after="0" w:line="308" w:lineRule="auto"/>
        <w:tabs>
          <w:tab w:leader="none" w:pos="32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depend heavily on a single customer, the U.S. Government, for a substantial portion of our business. Changes in this customer’s priorities and spending could have a material adverse effect on our financial position, results of operations and/or cash flows.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Our primary customer is the U.S. Government, from which we derived 85 percent, 84 percent and 83 percent of our sales during the years ended</w:t>
      </w:r>
    </w:p>
    <w:p>
      <w:pPr>
        <w:spacing w:after="0" w:line="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December 31, 2017, 2016 and 2015, respectively; we have a number of large programs with the U.S. Air Force, in particular. The U.S. Government has been implementing significant reductions in government spending and other significant program changes. We cannot predict the impact on existing, follow-on, replacement or future programs from potential changes in priorities due to changes in defense spending levels, the threat environment, military strategy and planning and/or changes in social, economic or political priorities.</w:t>
      </w:r>
    </w:p>
    <w:p>
      <w:pPr>
        <w:spacing w:after="0" w:line="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U.S. Government generally has the ability to terminate contracts, in whole or in part, for its convenience or for default based on performance. In the event of termination for the U.S. Government’s convenience, contractors are generally protected by provisions covering reimbursement for costs incurred on the contracts and profit on those costs up to the amount authorized under the contract, but not the anticipated profit that would have been earned had the contract been completed. Termination by the U.S. Government of a contract due to default could require us to pay for re-procurement costs in excess of the original contract price, net of the value of work accepted from the original contract, as well as other damages. Termination of a contract due to our default could have a material adverse effect on our reputation, our ability to compete for other contracts and our financial position, results of operations and/or cash flows.</w:t>
      </w:r>
    </w:p>
    <w:p>
      <w:pPr>
        <w:spacing w:after="0" w:line="3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U.S. Government also has the ability to stop work under a contract for a limited period of time for its convenience. It is possible that the U.S. Government could invoke this ability across a limited or broad number of contracts. In the event of a stop work order, contractors are typically protected by provisions covering reimbursement for costs incurred on the contract to date and for costs associated with the temporary stoppage of work on the contract plus a reasonable fee. However, such temporary stoppages and delays could introduce inefficiencies and result in financial and other damages for which we may not be able to negotiate full recovery from the U.S. Government. They could also ultimately result in termination of a contract (or contracts) for convenience or reduced future orders.</w:t>
      </w:r>
    </w:p>
    <w:p>
      <w:pPr>
        <w:spacing w:after="0" w:line="5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 significant shift in government priorities to programs in which we do not participate and/or reductions in funding for or the termination of programs in which we do participate, unless offset by other programs and opportunities, could have a material adverse effect on our financial position, results of operations and/or cash flows.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right="80" w:hanging="312"/>
        <w:spacing w:after="0" w:line="308" w:lineRule="auto"/>
        <w:tabs>
          <w:tab w:leader="none" w:pos="32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spacing w:after="0" w:line="1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U.S. Government programs are subject to annual congressional budget authorization and appropriation processes. For many programs, Congress appropriates funds on a fiscal year basis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and until additional funds are obligated to the contract. We cannot predict the extent to which total funding and/or funding for individual programs will be included, increased or reduced as part of the annual budget process ultimately approved by Congress and the President or in separate supplemental appropriations or continuing resolutions, as applicable. Laws and plans adopted by the U.S. Government relating to, along with pressures on and uncertainty surrounding the federal budget, potential changes in priorities and defense spending levels, sequestration, the appropriations process, use of continuing resolutions (with restrictions, e.g., on new starts) and the permissible federal debt limit, could adversely affect the funding for individual programs and delay purchasing or payment decisions by our customers. In the event government funding for our significant programs becomes unavailable, or is reduced or delayed, or planned orders are reduced, our contract or subcontract under such programs may be terminated or adjusted by the U.S. Government or the prime contractor.</w:t>
      </w:r>
    </w:p>
    <w:p>
      <w:pPr>
        <w:spacing w:after="0" w:line="4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On November 2, 2015, the President signed the Bipartisan Budget Act of 2015 (the Budget Act). The Budget Act raised the statutory limit on the amount of permissible federal debt (the debt ceiling) until March 2017 and raised the sequester caps imposed by the Budget Control Act of 2011 (the BCA) by $80 billion, split equally between defense and non-defense discretionary spending in FY 2016 and FY 2017 ($50 billion in FY 2016 and $30 billion in FY 2017).</w:t>
      </w:r>
    </w:p>
    <w:p>
      <w:pPr>
        <w:spacing w:after="0" w:line="1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March 2017, the debt ceiling was reached and the Treasury Department began taking “extraordinary measures” to finance the government and avoid a breach of the debt ceiling. On September 8, 2017, the debt ceiling was suspended for three months and on December 9, 2017, the Treasury Department again began taking extraordinary measures to finance the government. It is currently estimated that the Treasury Department will run out of the ability to take extraordinary measures to finance the government in the first half of 2018. If the debt ceiling is not raised and is breached, we may be required to continue to perform for some period of time on certain of our U.S. Government contracts even if the U.S. Government is not making timely payments. Unforeseen circumstances could cause an extended debt ceiling breach and have significant near and long-term consequences for our company, our employees, our suppliers and the defense industry.</w:t>
      </w:r>
    </w:p>
    <w:p>
      <w:pPr>
        <w:spacing w:after="0" w:line="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May 2017, the President signed into law the FY 2017 Consolidated Appropriations Act. In total for FY 2017, Congress appropriated $524 billion in base discretionary funding for the DoD, consistent with the Budget Act. Congress also appropriated approximately $68 billion in Overseas Contingency Operation (OCO) funding and approximately $15 billion in additional DoD appropriations.</w:t>
      </w:r>
    </w:p>
    <w:p>
      <w:pPr>
        <w:spacing w:after="0" w:line="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May 2017, the President released his FY 2018 budget request, which seeks $575 billion for the DoD’s base budget, approximately $52 billion above the statutory caps provided for in the BCA. The President’s budget request also seeks an additional $65 billion in OCO funding for expeditionary needs, not capped by the BCA. On September 8, 2017, the President signed a continuing resolution which generally funded the government at FY 2017 levels through December 8, 2017. The continuing resolution was extended to December 22, 2017 and further extended to January 19, 2018. As Congress did not enact appropriations legislation or a new continuing resolution by January 19, 2018, on January 20, 2018, the U.S. Government temporarily shut down. On January 22, 2018, a fourth continuing resolution was enacted, which funds the government through February 8, 2018.</w:t>
      </w:r>
    </w:p>
    <w:p>
      <w:pPr>
        <w:spacing w:after="0" w:line="4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budget environment, including sequestration as currently mandated, and uncertainty surrounding the appropriations processes, remain significant short and long-term risks. Considerable uncertainty exists regarding how future budget and program decisions will unfold, including the defense spending priorities of the Administration and Congress, what challenges budget reductions (required by the BCA and otherwise) will present for the defense industry and whether an annual appropriations bill will be enacted for FY 2018. If an annual appropriations bill is not timely enacted for FY 2018 or beyond, the U.S. Government may continue to operate under a continuing resolution, restricting new contract or program starts, presenting resource allocation challenges and placing limitations on some planned program budgets, and we may face a government shutdown of unknown duration. If a prolonged government shutdown were to occur, it could result in program cancellations, disruptions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37"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and/or stop work orders and could limit our ability to perform on our U.S. Government contracts and the U.S. Government’s ability to effectively progress programs and to make timely payments.</w:t>
      </w:r>
    </w:p>
    <w:p>
      <w:pPr>
        <w:spacing w:after="0" w:line="3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believe continued budget pressures would have serious negative consequences for the security of our country, the defense industrial base, including Northrop Grumman, and the customers, employees, suppliers, investors, and communities that rely on companies in the defense industrial base. It is likely budget and program decisions made in this environment would have long-term implications for our company and the entire defense industry.</w:t>
      </w:r>
    </w:p>
    <w:p>
      <w:pPr>
        <w:spacing w:after="0" w:line="1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Funding for certain programs in which we participate may be reduced, delayed or cancelled. In addition,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46" w:lineRule="exact"/>
        <w:rPr>
          <w:sz w:val="20"/>
          <w:szCs w:val="20"/>
          <w:color w:val="auto"/>
        </w:rPr>
      </w:pPr>
    </w:p>
    <w:p>
      <w:pPr>
        <w:ind w:left="320" w:hanging="312"/>
        <w:spacing w:after="0" w:line="277" w:lineRule="auto"/>
        <w:tabs>
          <w:tab w:leader="none" w:pos="3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subject to various investigations, claims, disputes, enforcement actions, litigation and other legal proceedings that could ultimately be resolved against us.</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size, nature and complexity of our business make us susceptible to investigations, claims, disputes, enforcement actions, litigation and other legal proceedings, particularly those involving governments. We are and may become subject to investigations, claims, disputes, enforcement actions and administrative, civil or criminal litigation or other legal proceedings globally and across a broad array of matters, including, but not limited to, government contracts, false claims, false statements, mischarging, contract performance, products liability, fraud, procurement integrity, environmental, shareholder derivative actions, intellectual property, tax, employees, export/import, anti-corruption, labor, health and safety, accidents, employee benefits and plans, including plan administration, and improper payments. These matters could divert financial and management resources; result in administrative, civil or criminal fines, penalties or other sanctions (which terms include judgments or convictions and consent or other voluntary decrees or agreements); compensatory, treble or other damages; non-monetary relief or actions; or other liabilities; and otherwise harm our business. Government regulations provide that certain allegations against a contractor may lead to suspension or debarment from government contracts or suspension of export privileges for the company or one or more of its components. Suspension or debarment or criminal resolutions in particular could have a material adverse effect on the company because of our reliance on government contracts and export authorizations. An investigation, claim, dispute, enforcement action or litigation, even if not substantiated or fully indemnified or insured, could also negatively impact our reputation among our customers and the public, and make it substantially more difficult for us to compete effectively for business or obtain adequate insurance in the future. Investigations, claims, disputes, enforcement actions or litigation could have a material adverse effect on our financial position, results of operations and/or cash flows.</w:t>
      </w:r>
    </w:p>
    <w:p>
      <w:pPr>
        <w:spacing w:after="0" w:line="37" w:lineRule="exact"/>
        <w:rPr>
          <w:sz w:val="20"/>
          <w:szCs w:val="20"/>
          <w:color w:val="auto"/>
        </w:rPr>
      </w:pPr>
    </w:p>
    <w:p>
      <w:pPr>
        <w:ind w:left="320" w:right="780" w:hanging="312"/>
        <w:spacing w:after="0" w:line="277" w:lineRule="auto"/>
        <w:tabs>
          <w:tab w:leader="none" w:pos="3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use estimates when accounting for contracts. Contract cost growth or changes in estimated contract revenues and costs could affect our profitability and our overall financial position.</w:t>
      </w:r>
    </w:p>
    <w:p>
      <w:pPr>
        <w:spacing w:after="0" w:line="3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Contract accounting requires judgment relative to assessing risks, estimating contract revenues and costs, and making assumptions regarding performance. Due to the size and nature of many of our contracts, the estimation of total revenues and costs at completion is complex and subject to many variables. Incentives, awards and/or penalties related to performance on contracts are considered in estimating revenue and profit rates when there is sufficient information to assess anticipated performance. Suppliers’ expected performance is also assessed and considered in estimating costs and profitability.</w:t>
      </w:r>
    </w:p>
    <w:p>
      <w:pPr>
        <w:spacing w:after="0" w:line="1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operating income can be adversely affected when we experience increased estimated contract costs. Reasons for increased estimated contract costs may include: design issues; changes in estimates of the nature and complexity of the work to be performed, including technical or quality issues or requests to perform additional work at the direction of the customer; production challenges, including those resulting from the availability and timeliness of customer funding, unavailability or reduced productivity of qualified and timely cleared labor or the effect of any delays in performance; the availability, performance, quality or financial strength of significant subcontractors; supplier issues, including the costs, timeliness and availability of materials and components; the effect of any changes in laws or regulations; actions deemed necessary for long-term customer satisfaction; and natural disasters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3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or environmental matters. We may file requests for equitable adjustment or claims to seek recovery in whole or in part for our increased costs.</w:t>
      </w:r>
    </w:p>
    <w:p>
      <w:pPr>
        <w:spacing w:after="0" w:line="90"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Our risk varies with the type of contract. Due to their nature, fixed-price contracts inherently tend to have more financial risk than cost-type contracts. In 2017, approximately half of our sales were derived from fixed-price contracts. We typically enter into fixed-price contracts where costs can be more reasonably estimated based on actual experience, such as for mature production programs. In addition, our contracts contain provisions relating to cost controls and audit rights. If the terms specified in our contracts are not met, our profitability may be reduced and we may incur a loss.</w:t>
      </w:r>
    </w:p>
    <w:p>
      <w:pPr>
        <w:spacing w:after="0" w:line="1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fixed-price contracts may include fixed-price development work. This type of work is inherently more uncertain as to future events than production contracts, and, as a result, there is typically more variability in estimates of the costs to complete the development stage. As work progresses through the development stage into production, the risks associated with estimating the total costs of the contract are typically reduced. While management uses its best judgment to estimate costs associated with fixed-price development contracts, future events could result in either upward or downward adjustments to those estimates.</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cost-type contracts, allowable costs incurred by the contractor are generally subject to reimbursement plus a fee. We often enter into cost-type contracts for development programs with complex design and technical challenges. These cost-type programs typically have award or incentive fees that are subject to uncertainty and may be earned over extended periods or towards the end of the contract. In these cases, the associated financial risks are primarily in recognizing profit, which ultimately may not be earned, or program cancellation if cost, schedule, or technical performance issues arise. We also may face additional financial risk due to an increasing number of contract solicitations requiring the contractor to bid on cost-type development work and related fixed-price production lots and/or options in one submission, or cost-type development work requiring the contractor to provide certain items to the customer at the contractor’s expense or at little or no fee.</w:t>
      </w:r>
    </w:p>
    <w:p>
      <w:pPr>
        <w:spacing w:after="0" w:line="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Because of the significance of management’s judgments and the estimation processes described above, it is possible that materially different amounts could be obtained if different assumptions were used or if the underlying circumstances were to change. Changes in underlying assumptions, circumstances or estimates, and the failure to prevail on claims for equitable adjustments could have a material adverse effect on the profitability of one or more of the affected contracts and on our overall financial position, results of operations and/or cash flows. See “Critical Accounting Policies, Estimates and Judgments” in MD&amp;A.</w:t>
      </w:r>
    </w:p>
    <w:p>
      <w:pPr>
        <w:spacing w:after="0" w:line="53"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international business exposes us to additional risks, including risks related to geopolitical and economic factors, laws and regulations.</w:t>
      </w:r>
    </w:p>
    <w:p>
      <w:pPr>
        <w:spacing w:after="0" w:line="11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Sales to customers outside the U.S. are an increasingly important component of our strategy. Our international business (including our participation in joint ventures) is subject to numerous political and economic factors, legal requirements, cross-cultural considerations and other risks associated with doing business globally. These risks differ in some respects from those associated with our U.S. business and our exposure to such risks may increase if our international business continues to grow as we anticipate.</w:t>
      </w:r>
    </w:p>
    <w:p>
      <w:pPr>
        <w:spacing w:after="0" w:line="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international business is subject to both U.S. and foreign laws and regulations, including, without limitation, laws and regulations relating to import-export controls, technology transfer restrictions, data privacy and protection, investment, exchange rates and controls, the Foreign Corrupt Practices Act (FCPA) and other anti-corruption laws, the anti-boycott provisions of the U.S. Export Administration Act, labor and employment, works councils and other labor groups, taxes, environment, security restrictions and intellectual property. Failure by us, our employees, affiliates, partners or others with whom we work to comply with these laws and regulations could result in administrative, civil or criminal liabilities, including suspension or debarment from government contracts or suspension of our export privileges. Our customers outside of the U.S. generally have the ability to terminate contracts for default based on performance. Termination of a contract due to default could have a material adverse effect on our reputation, our ability to compete for other contracts and our financial position, results of operations and/or cash flows. We also are subject to various non-U.S. procurement and other laws applicable to our industry. New regulations and requirements, or changes to existing ones in the various countries in which we operate can significantly increase our costs and risks of doing business internationally.</w:t>
      </w:r>
    </w:p>
    <w:p>
      <w:pPr>
        <w:spacing w:after="0" w:line="43"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Changes in laws, regulations, political leadership and environment, or security risks may dramatically affect our ability to conduct or continue to conduct business in international markets. Our international business may also be impacted by changes in foreign national policies and priorities, which may be influenced by changes in the threat environment, political leadership, geopolitical uncertainties, government budgets, and economic and political factors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37"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more generally, any of which could impact funding for programs or delay purchasing decisions or customer payments. We also could be affected by the legal, regulatory and economic impacts of Britain’s exit from the European Union, the impact of which is not known at this time. Global economic conditions and fluctuations in foreign currency exchange rates could further impact our business. For example, the tightening of credit in financial markets outside of the U.S. could adversely affect the ability of our customers and suppliers to obtain financing and could result in a decrease in or cancellation of orders for our products and services or impact the ability of our customers to make payments.</w:t>
      </w:r>
    </w:p>
    <w:p>
      <w:pPr>
        <w:spacing w:after="0" w:line="5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contracts with non-U.S. customers may also include terms and reflect legal requirements that create additional risks. They may include industrial cooperation agreements requiring specific in-country purchases, investments, manufacturing agreements or other financial obligations, known as offset obligations, and provide for significant penalties if we fail to meet such requirements. They may also require us to enter into letters of credit, performance or surety bonds, bank guarantees and/or other financial arrangements to secure our performance obligations. We also increasingly are dependent on in-country suppliers and we face risks related to their failure to perform in accordance with the contracts, particularly where we rely on a sole source supplier. Our ability to sell products outside the U.S. could be adversely affected if we are unable to design our products for export on a cost effective basis or to obtain and retain all necessary export licenses and authorizations on a timely basis. We face risks related to our products that are approved for export, but may be subject to the U.S. Government changing or canceling the export license after the product is ordered. Our ability to conduct business outside of the U.S. also depends on our ability to attract and retain sufficient qualified personnel with the skills and/or security clearances in the markets in which we do business.</w:t>
      </w:r>
    </w:p>
    <w:p>
      <w:pPr>
        <w:spacing w:after="0" w:line="3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More broadly, our ability effectively to pursue and execute contracts outside the U.S. also may be impacted by our ability to partner successfully with non-U.S. companies, including through joint ventures, teaming agreements or other arrangements, in support of such pursuits. This risk includes the ability to identify and negotiate appropriate arrangements with local partners as well as potential exposure for their actions.</w:t>
      </w:r>
    </w:p>
    <w:p>
      <w:pPr>
        <w:spacing w:after="0" w:line="3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products and services we provide internationally, including those provided by subcontractors and joint ventures in which we have an interest, are sometimes in countries with unstable governments, economic or fiscal challenges, military or political conflicts and/or developing legal systems. This may increase the risk to our employees, subcontractors or other third parties, and/or increase the risk of a wide range of liabilities, as well as loss of property or damage to our products.</w:t>
      </w:r>
    </w:p>
    <w:p>
      <w:pPr>
        <w:spacing w:after="0" w:line="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occurrence and impact of these factors is difficult to predict, but one or more of them could have a material adverse effect on our financial position, results of operations and/or cash flows.</w:t>
      </w:r>
    </w:p>
    <w:p>
      <w:pPr>
        <w:spacing w:after="0" w:line="35" w:lineRule="exact"/>
        <w:rPr>
          <w:sz w:val="20"/>
          <w:szCs w:val="20"/>
          <w:color w:val="auto"/>
        </w:rPr>
      </w:pPr>
    </w:p>
    <w:p>
      <w:pPr>
        <w:ind w:left="320" w:right="620" w:hanging="312"/>
        <w:spacing w:after="0" w:line="334" w:lineRule="auto"/>
        <w:tabs>
          <w:tab w:leader="none" w:pos="320"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reputation, our ability to do business and our financial position, results of operations and/or cash flows may be impacted by the improper conduct of employees, agents, subcontractors, suppliers, business partners or joint ventures in which we participate.</w:t>
      </w:r>
    </w:p>
    <w:p>
      <w:pPr>
        <w:spacing w:after="0" w:line="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have implemented policies, procedures, training and other compliance controls, and have negotiated terms designed to prevent misconduct by employees, agents or others working on our behalf or with us that would violate the applicable laws of the jurisdictions in which we operate, including laws governing improper payments to government officials, the protection of export controlled or classified information, false claims, procurement integrity, cost accounting and billing, competition and data privacy, or the terms of our contracts. However, we cannot ensure that we will prevent all such misconduct committed by our employees, agents, subcontractors, suppliers, business partners or others working on our behalf or with us. We have in the past experienced and may in the future experience such misconduct, despite a vigorous compliance program. This risk of improper conduct may increase as we expand globally. In the ordinary course of our business we form and are members of joint ventures. We may be unable to prevent misconduct or other violations of applicable laws by these joint ventures (including their officers, directors and employees) or our partners. Improper actions by those with whom or through whom we do business (including our employees, agents, subcontractors, suppliers, business partners and joint ventures) could subject us to administrative, civil or criminal investigations and enforcement actions; monetary and non-monetary penalties; liabilities; and other sanctions, including suspension and debarment, which could negatively impact our reputation and ability to conduct business and could have a material adverse effect on our financial position, results of operations and/or cash flows.</w:t>
      </w:r>
    </w:p>
    <w:p>
      <w:pPr>
        <w:spacing w:after="0" w:line="4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business could be negatively impacted by cyber and other security threats or disruptions.</w:t>
      </w:r>
    </w:p>
    <w:p>
      <w:pPr>
        <w:spacing w:after="0" w:line="9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a defense contractor, we face various cyber and other security threats, including attempts to gain unauthorized access to sensitive information and networks; insider threats; threats to the safety of our directors, officers and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employees; threats to the security of our facilities, infrastructure and supply chain; and threats from terrorist acts or other acts of aggression. Our customers and partners (including our supply chain and joint ventures) face similar threats. Although we utilize various procedures and controls to monitor and mitigate the risk of these threats, there can be no assurance that these procedures and controls will be sufficient. These threats could lead to losses of sensitive information or capabilities; harm to personnel, infrastructure or products; financial liabilities and damage to our reputation.</w:t>
      </w:r>
    </w:p>
    <w:p>
      <w:pPr>
        <w:spacing w:after="0" w:line="3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Cyber threats are evolving and include, but are not limited to, malicious software, destructive malware, attempts to gain unauthorized access to data, disruption or denial of service attacks, and other electronic security breaches that could lead to disruptions in mission critical systems, unauthorized release of confidential, personal or otherwise protected information (ours or that of our employees, customers or partners), and corruption of data, networks or systems. In addition, we could be impacted by cyber threats or other disruptions or vulnerabilities found in products we use or in our partners’ or customers’ systems that are used in connection with our business. These events, if not prevented or effectively mitigated, could damage our reputation, require remedial actions and lead to loss of business, regulatory actions, potential liability and other financial losses.</w:t>
      </w:r>
    </w:p>
    <w:p>
      <w:pPr>
        <w:spacing w:after="0" w:line="4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provide systems, products and services to various customers (government and commercial) who also face cyber threats. Our systems, products and services may themselves be subject to cyber threats and/or they may not be able to detect or deter threats, or effectively to mitigate resulting losses. These losses could adversely affect our customers and our company.</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impact of these factors is difficult to predict, but one or more of them could result in the loss of information or capabilities, harm to individuals or property, damage to our reputation, loss of business, contractual or regulatory actions and potential liabilities, any one of which could have a material adverse effect on our financial position, results of operations and/or cash flows.</w:t>
      </w:r>
    </w:p>
    <w:p>
      <w:pPr>
        <w:spacing w:after="0" w:line="46" w:lineRule="exact"/>
        <w:rPr>
          <w:sz w:val="20"/>
          <w:szCs w:val="20"/>
          <w:color w:val="auto"/>
        </w:rPr>
      </w:pPr>
    </w:p>
    <w:p>
      <w:pPr>
        <w:ind w:left="320" w:right="640" w:hanging="312"/>
        <w:spacing w:after="0" w:line="277" w:lineRule="auto"/>
        <w:tabs>
          <w:tab w:leader="none" w:pos="3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earnings and profitability depend, in part, on subcontractor and supplier performance and financial viability as well as raw material and component availability and pricing.</w:t>
      </w:r>
    </w:p>
    <w:p>
      <w:pPr>
        <w:spacing w:after="0" w:line="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rely on other companies to provide raw materials and major components and subsystems for our products and to produce hardware elements and sub-assemblies, provide software and intellectual property, and perform some of the services we provide to our customers, and to do so in compliance with all applicable laws, regulations and contract terms. Disruptions or performance problems caused by our subcontractors and suppliers, or a misalignment between our contractual obligations to our customers and our agreement with our subcontractors and suppliers, could have various impacts on the company, including on our ability to meet our commitments to customers.</w:t>
      </w:r>
    </w:p>
    <w:p>
      <w:pPr>
        <w:spacing w:after="0" w:line="5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ability to perform our obligations on time could be adversely affected if one or more of our subcontractors or suppliers were unable to provide the agreed-upon products or materials or perform the agreed-upon services in a timely, compliant and cost-effective manner or otherwise to meet the requirements of the contract. Changes in economic conditions, including changes in defense budgets or credit availability, or other changes impacting a subcontractor or supplier (including changes in ownership or operations) could adversely affect the financial stability of our subcontractors and suppliers and/or their ability to perform.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w:t>
      </w:r>
    </w:p>
    <w:p>
      <w:pPr>
        <w:spacing w:after="0" w:line="3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our U.S. Government contracts, we are required to procure certain materials, components and parts from supply sources approved by the customer. We also are facing increased and changing regulatory requirements, both domestically and internationally, many of which apply to our subcontractors and suppliers. In some cases, there may be only one supplier for certain components. If a sole source supplier cannot meet our needs or is otherwise unavailable, we may be unable to find a suitable alternative.</w:t>
      </w:r>
    </w:p>
    <w:p>
      <w:pPr>
        <w:spacing w:after="0" w:line="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procurement practices are intended to reduce the likelihood of our procurement of counterfeit, unauthorized or otherwise non-compliant parts or materials. We rely on our subcontractors and suppliers to comply with applicable laws, regulations and contract terms, including regarding the parts or materials we procure from them; in some circumstances, we rely on certifications provided by our subcontractors and suppliers regarding their compliance. We also rely on our subcontractors and suppliers effectively to mitigate the risk of cyber and security threats or other disruptions with respect to the products, components and services they deliver to us and the information entrusted to them by us or our customers and to comply with applicable laws and regulations, including our customer’s cybersecurity requirements.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3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If we are unable to procure or experience significant delays in subcontractor or supplier deliveries of needed materials, components, services, intellectual property or parts; if our subcontractors or suppliers fail to perform, if they do not comply with all applicable laws, regulations and contract terms, or if the certifications we receive from them are inaccurate; or if what we receive is counterfeit or otherwise improper, it could have a material adverse effect on our financial position, results of operations and/or cash flows.</w:t>
      </w:r>
    </w:p>
    <w:p>
      <w:pPr>
        <w:spacing w:after="0" w:line="52" w:lineRule="exact"/>
        <w:rPr>
          <w:sz w:val="20"/>
          <w:szCs w:val="20"/>
          <w:color w:val="auto"/>
        </w:rPr>
      </w:pPr>
    </w:p>
    <w:p>
      <w:pPr>
        <w:ind w:left="320" w:right="140" w:hanging="312"/>
        <w:spacing w:after="0" w:line="312" w:lineRule="auto"/>
        <w:tabs>
          <w:tab w:leader="none" w:pos="320" w:val="left"/>
        </w:tabs>
        <w:numPr>
          <w:ilvl w:val="0"/>
          <w:numId w:val="1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As a U.S. Government contractor, we and our partners are subject to various procurement and other laws and regulations applicable to our industry and we could be adversely affected by changes in such laws and regulations or any negative findings by the U.S. Government as to our compliance with them. We also may be adversely affected by changes in our customers’ business practices globally.</w:t>
      </w:r>
    </w:p>
    <w:p>
      <w:pPr>
        <w:spacing w:after="0" w:line="1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U.S. Government contractors (including their subcontractors and others with whom they do business) must comply with many significant procurement regulations and other specific legal requirements. These regulations and other requirements, although often customary in government contracts, increase our performance and compliance costs and risks and are regularly evolving. New laws, regulations or procurement requirements or changes to current ones (including, for example, regulations related to cybersecurity, recovery of employee compensation costs, counterfeit parts, anti-human trafficking, specialty metals and conflict minerals) can significantly increase our costs and risks and reduce our profitability.</w:t>
      </w:r>
    </w:p>
    <w:p>
      <w:pPr>
        <w:spacing w:after="0" w:line="3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operate in a highly regulated environment and are routinely audited and reviewed by the U.S. Government and its agencies, such as the Defense Contract Audit Agency (DCAA), Defense Contract Management Agency (DCMA) and the DoD Inspector General. These agencies review performance under our contracts, our cost structure and our compliance with applicable laws, regulations and standards, as well as the adequacy of our systems and processes in meeting government requirements. Costs ultimately found to be unallowable or improperly allocated to a specific contract will not be reimbursed or must be refunded if already reimbursed. If an audit uncovers improper or illegal activities, we may be subject to civil and criminal penalties, sanctions, forfeiture of profits or suspension or debarment. Whether or not illegal activities are alleged, the U.S. Government has the ability to decrease or withhold certain payments when it deems systems subject to its review to be inadequate, with significant financial impact. In addition, we could suffer serious reputational harm if allegations of impropriety were made against us or business partners.</w:t>
      </w:r>
    </w:p>
    <w:p>
      <w:pPr>
        <w:spacing w:after="0" w:line="4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industry has experienced, and we expect it will continue to experience, significant changes to business practices globally as a result of an increased focus on affordability, efficiencies, business systems, recovery of costs and a reprioritization of available defense funds to key areas for future defense spending. As a result of certain of these initiatives, we have experienced and may continue to experience an increased number of audits and/or a lengthened period of time required to close open audits. For example, the thresholds for certain allowable costs in the U.S., including compensation costs, have been significantly reduced; the allowability of other types of costs are being challenged, debated and, in certain cases, modified, all with potentially significant financial costs to the company. In connection with these cost reduction initiatives, the U.S. Government is also pursuing alternatives to shift additional responsibility and performance risks to the contractor. The U.S. Government has been pursuing and may continue to pursue policies that could negatively impact our profitability. Changes in procurement practices favoring incentive-based fee arrangements, different award criteria, non-traditional contract provisions and government contract negotiation offers that indicate what our costs should be also may affect our profitability and predictability.</w:t>
      </w:r>
    </w:p>
    <w:p>
      <w:pPr>
        <w:spacing w:after="0" w:line="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(again, including our subcontractors and others with whom we do business) also are subject to and expected to perform in compliance with a vast array of federal laws and regulations related to our industry, including but not limited to the Truth in Negotiations Act, the False Claims Act, the Procurement Integrity Act, CAS, FAR, the International Traffic in Arms Regulations promulgated under the Arms Export Control Act, the Close the Contractor Fraud Loophole Act and the FCPA. If we are found to have violated such requirements, or are found not to have acted responsibly, we may be subject to reductions of the value of contracts; contract modifications or termination; the withholding of payments from our customer; the loss of export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spacing w:after="0" w:line="3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If we or those with whom we do business do not comply with the laws, regulations and processes to which we are subject or if customer business practices change significantly, including with respect to the thresholds for allowable costs, it could affect our ability to compete and have a material adverse effect on our financial position, results of operations and/or cash flows.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Competition within our markets and bid protests may affect our ability to win new contracts and result in reduced revenues and market share.</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operate in highly competitive markets and our competitors may have more financial capacity, more extensive or specialized engineering, manufacturing, or marketing capabilities in some areas, or be willing to accept more risk or lower profitability in competing for contracts. We have seen, and anticipate we will continue to see, increased competition in some of our core markets, especially as a result of budget pressures for many customers, a continued focus on affordability and competition, and our own success in winning business. We are facing increasing competition in the U.S. and outside the U.S. from U.S., foreign and multinational firms. In some instances outside the U.S., foreign companies may receive loans, marketing subsidies and other assistance from their governments that may not be available to U.S. companies and foreign companies may be subject to fewer restrictions on technology transfer. Additionally, some customers, including the DoD, may turn to commercial contractors, rather than traditional defense contractors, for some products and services, or may utilize small business contractors or determine to source work internally rather than hiring a contractor.</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seeing a significant number of bid protests from unsuccessful bidders on new program awards. Bid protests could result in contract modifications or the award decision being reversed and loss of the contract award. Even where a bid protest does not result in the loss of an award, the resolution can extend the time until the contract activity can begin, and delay earnings.</w:t>
      </w:r>
    </w:p>
    <w:p>
      <w:pPr>
        <w:spacing w:after="0" w:line="46" w:lineRule="exact"/>
        <w:rPr>
          <w:sz w:val="20"/>
          <w:szCs w:val="20"/>
          <w:color w:val="auto"/>
        </w:rPr>
      </w:pPr>
    </w:p>
    <w:p>
      <w:pPr>
        <w:ind w:right="280"/>
        <w:spacing w:after="0" w:line="334" w:lineRule="auto"/>
        <w:rPr>
          <w:sz w:val="20"/>
          <w:szCs w:val="20"/>
          <w:color w:val="auto"/>
        </w:rPr>
      </w:pPr>
      <w:r>
        <w:rPr>
          <w:rFonts w:ascii="Arial" w:cs="Arial" w:eastAsia="Arial" w:hAnsi="Arial"/>
          <w:sz w:val="16"/>
          <w:szCs w:val="16"/>
          <w:color w:val="auto"/>
        </w:rPr>
        <w:t>If we are unable to continue to compete successfully against our current or future competitors, or prevail in protests, we may experience declines in future revenues and market share, which could, over time, have a material adverse effect on our financial position, results of operations and/or cash flows.</w:t>
      </w:r>
    </w:p>
    <w:p>
      <w:pPr>
        <w:spacing w:after="0" w:line="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ability to win new competitions and meet the needs of our customers depends, in part, on our ability to maintain a qualified workforce.</w:t>
      </w:r>
    </w:p>
    <w:p>
      <w:pPr>
        <w:spacing w:after="0" w:line="11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operating results are heavily dependent upon our ability to attract and retain sufficient personnel with security clearances and requisite skills in multiple areas, including science, technology, engineering and math. Additionally, as we grow our international business, it is increasingly important that we are able to attract and retain personnel with relevant experience in local laws, regulations, customs and business practices. If qualified personnel are scarce or difficult to attract or retain or if we experience a high level of attrition, generally or in particular areas, or if such personnel are unable to obtain security clearances on a timely basis, we could experience higher labor, recruiting or training costs in order to attract and retain necessary employees.</w:t>
      </w:r>
    </w:p>
    <w:p>
      <w:pPr>
        <w:spacing w:after="0" w:line="23"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Certain of our employees are covered by collective agreements. We generally have been able to renegotiate renewals to expiring agreements without significant disruption of operating activities. If we experience difficulties with renewals and renegotiations of existing collective agreements or if our employees pursue new collective representation, we could incur additional expenses and may be subject to work stoppages. Any such expenses or delays could adversely affect our programs served by employees who are covered by such agreements or representation.</w:t>
      </w:r>
    </w:p>
    <w:p>
      <w:pPr>
        <w:spacing w:after="0" w:line="3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we are unable to attract and retain a qualified workforce, we may be unable to maintain our competitive position and our future success could be materially adversely affected.</w:t>
      </w:r>
    </w:p>
    <w:p>
      <w:pPr>
        <w:spacing w:after="0" w:line="35" w:lineRule="exact"/>
        <w:rPr>
          <w:sz w:val="20"/>
          <w:szCs w:val="20"/>
          <w:color w:val="auto"/>
        </w:rPr>
      </w:pPr>
    </w:p>
    <w:p>
      <w:pPr>
        <w:jc w:val="both"/>
        <w:ind w:left="320" w:hanging="312"/>
        <w:spacing w:after="0" w:line="264" w:lineRule="auto"/>
        <w:tabs>
          <w:tab w:leader="none" w:pos="3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adversely affect our profitability, reputation and future prospects.</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design, develop and manufacture technologically advanced and innovative products and services, which are applied by our customers in a variety of environments. Problems and delays in development or delivery, or system failures, as a result of issues with respect to design, technology, intellectual property rights, labor, inability to achieve learning curve assumptions, inability to manage effectively a broad array of programs, manufacturing materials or components, or subcontractor performance could prevent us from meeting requirements and create significant risk and liabilities. Similarly, failures to perform on schedule or otherwise to fulfill our contractual obligations could negatively impact our financial position, reputation and ability to win future business.</w:t>
      </w:r>
    </w:p>
    <w:p>
      <w:pPr>
        <w:spacing w:after="0" w:line="5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addition, our products cannot be tested and proven in all situations and are otherwise subject to unforeseen problems. Examples of unforeseen problems that could negatively affect revenue, schedule and profitability include loss on launch or flight of spacecraft, loss of aviation platforms, premature failure of products that cannot be accessed for repair or replacement, problems with design, quality and workmanship, country of origin of procured materials, delivery of subcontractor components or services and degradation of product performance. These failures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337"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could result, either directly or indirectly, in loss of life or property. Among the factors that may affect revenue and profitability could be inaccurate cost estimates, design issues, human factors, unforeseen costs and expenses not covered by insurance or indemnification from the customer, diversion of management focus in responding to unforeseen problems, loss of follow-on work, and, in the case of certain contracts, repayment to the government customer of contract cost and fee payments we previously received, or replacement obligations.</w:t>
      </w:r>
    </w:p>
    <w:p>
      <w:pPr>
        <w:spacing w:after="0" w:line="5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Certain contracts, primarily involving space satellite systems, contain provisions that also entitle the customer to recover fees in the event of failure of the system upon launch or subsequent deployment for less than a specified period of time. Under such terms, we could be required to forfeit fees previously recognized and/or collected.</w:t>
      </w:r>
    </w:p>
    <w:p>
      <w:pPr>
        <w:spacing w:after="0" w:line="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we are unable to meet our obligations, including due to issues regarding the design, development or manufacture of our products or services, or we experience launch, platform or satellite system failures, it could have a material adverse effect on our reputation, our ability to compete for other contracts and our financial position, results of operations and/or cash flows.</w:t>
      </w:r>
    </w:p>
    <w:p>
      <w:pPr>
        <w:spacing w:after="0" w:line="46" w:lineRule="exact"/>
        <w:rPr>
          <w:sz w:val="20"/>
          <w:szCs w:val="20"/>
          <w:color w:val="auto"/>
        </w:rPr>
      </w:pPr>
    </w:p>
    <w:p>
      <w:pPr>
        <w:ind w:left="320" w:right="440" w:hanging="312"/>
        <w:spacing w:after="0" w:line="334" w:lineRule="auto"/>
        <w:tabs>
          <w:tab w:leader="none" w:pos="320" w:val="left"/>
        </w:tabs>
        <w:numPr>
          <w:ilvl w:val="0"/>
          <w:numId w:val="1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Environmental matters, including unforeseen costs associated with compliance and remediation efforts, and government and third party claims, could have a material adverse effect on our reputation and our financial position, results of operations and/or cash flows.</w:t>
      </w:r>
    </w:p>
    <w:p>
      <w:pPr>
        <w:spacing w:after="0" w:line="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operations are subject to and affected by a variety of federal, state, local and foreign environmental laws and regulations, including as they may be changed over time. Compliance with these environmental laws and regulations requires, and is expected to continue to require, significant operating and capital costs. We may be subject to substantial administrative, civil or criminal fines, penalties or other sanctions (including suspension and debarment) for violations. If we are found to be in violation of the Federal Clean Air Act or the Clean Water Act, the facility or facilities involved in the violation could be placed by the Environmental Protection Agency on a list maintained by the General Services Administration of facilities that generally cannot be used in performing on U.S. Government contracts until the violation is corrected.</w:t>
      </w:r>
    </w:p>
    <w:p>
      <w:pPr>
        <w:spacing w:after="0" w:line="5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incur, and expect to continue to incur, substantial remediation costs related to the cleanup of pollutants previously released into the environment. Stricter or different enforcement of existing laws and regulations; new laws, regulations or cleanup requirements; discovery of previously unknown or more extensive contamination; imposition of fines, penalties, compensatory or other damages (including natural resource damages); a determination that certain environmental costs are unallowable; rulings on allocation or insurance coverage; and/or the insolvency or other inability or unwillingness of other parties to pay their share of such costs could require us to incur material additional costs in excess of those anticipated.</w:t>
      </w:r>
    </w:p>
    <w:p>
      <w:pPr>
        <w:spacing w:after="0" w:line="3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also are and may become a party to various legal proceedings and disputes involving government and private parties (including class actions) relating to alleged impacts from pollutants released into the environment. These matters could result in compensatory or other damages, determinations on allowability or insurance coverage, fines, penalties, and non-monetary relief.</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engaged in remediation activities relating to environmental conditions allegedly resulting from historic operations at the former United States Navy and Grumman facilities in Bethpage, New York. We have incurred, and expect to continue to incur, substantial remediation and other costs related to environmental conditions in Bethpage. The remediation standards or requirements to which we are subject may change and costs may increase materially. The State of New York has notified us that it intends to seek to impose additional remedial requirements and, among other things, is evaluating natural resource damages. We are and may become a party to various legal proceedings and disputes related to remediation and/or alleged environmental impacts in Bethpage, including with federal and state entities, local municipalities and water districts, insurance carriers and class action plaintiffs. These matters could result in fines, penalties, sanctions, compensatory or other damages (including natural resource damages), determinations on allocation, allowability and coverage, and non-monetary relief and actions.</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government and private parties could seek to hold us responsible for liabilities or obligations related to former operations that have been divested or spun-off (including our former shipbuilding business) and/or for which other parties have agreed to be responsible and/or to indemnify us, directly or indirectly. The indemnity related rights we have may not be sufficient to protect us against such liabilities.</w:t>
      </w:r>
    </w:p>
    <w:p>
      <w:pPr>
        <w:spacing w:after="0" w:line="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impact of these factors is difficult to predict, but one or more of them could harm our reputation and business and have a material adverse effect on our financial position, results of operations and/or cash flows.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right="300" w:hanging="312"/>
        <w:spacing w:after="0" w:line="277" w:lineRule="auto"/>
        <w:tabs>
          <w:tab w:leader="none" w:pos="3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business is subject to disruption caused by natural and/or environmental disasters that could adversely affect our profitability and our overall financial position.</w:t>
      </w:r>
    </w:p>
    <w:p>
      <w:pPr>
        <w:spacing w:after="0" w:line="3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significant operations located in regions that may be exposed to hurricanes, earthquakes and other damaging storms and natural disasters. Our business also may be subject to environmental disasters. Our subcontractors and suppliers are also subject to natural and environmental disasters that could affect their ability to deliver or perform under a contract. Although preventative measures may help to mitigate damage, the damage and disruption resulting from natural and environmental disasters may be significant.</w:t>
      </w:r>
    </w:p>
    <w:p>
      <w:pPr>
        <w:spacing w:after="0" w:line="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Natural and environmental disasters could also disrupt our and our subcontractors’ and suppliers’ workforce and the critical industrial infrastructure needed for normal business operations.</w:t>
      </w:r>
    </w:p>
    <w:p>
      <w:pPr>
        <w:spacing w:after="0" w:line="35" w:lineRule="exact"/>
        <w:rPr>
          <w:sz w:val="20"/>
          <w:szCs w:val="20"/>
          <w:color w:val="auto"/>
        </w:rPr>
      </w:pPr>
    </w:p>
    <w:p>
      <w:pPr>
        <w:ind w:right="240"/>
        <w:spacing w:after="0" w:line="334" w:lineRule="auto"/>
        <w:rPr>
          <w:sz w:val="20"/>
          <w:szCs w:val="20"/>
          <w:color w:val="auto"/>
        </w:rPr>
      </w:pPr>
      <w:r>
        <w:rPr>
          <w:rFonts w:ascii="Arial" w:cs="Arial" w:eastAsia="Arial" w:hAnsi="Arial"/>
          <w:sz w:val="16"/>
          <w:szCs w:val="16"/>
          <w:color w:val="auto"/>
        </w:rPr>
        <w:t>If insurance or other risk transfer mechanisms are unavailable or insufficient to recover all costs or if we experience a significant disruption to our business due to a natural or environmental disaster, it could have a material adverse effect on our financial position, results of operations and/or cash flows.</w:t>
      </w:r>
    </w:p>
    <w:p>
      <w:pPr>
        <w:spacing w:after="0" w:line="1" w:lineRule="exact"/>
        <w:rPr>
          <w:sz w:val="20"/>
          <w:szCs w:val="20"/>
          <w:color w:val="auto"/>
        </w:rPr>
      </w:pPr>
    </w:p>
    <w:p>
      <w:pPr>
        <w:ind w:left="320" w:right="100" w:hanging="312"/>
        <w:spacing w:after="0" w:line="264" w:lineRule="auto"/>
        <w:tabs>
          <w:tab w:leader="none" w:pos="3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insurance coverage, customer indemnifications or other liability protections may be unavailable or inadequate to cover all of our significant risks or our insurers may deny coverage of or be unable to pay for material losses we incur, which could adversely affect our profitability and overall financial position.</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endeavor to obtain insurance agreements from financially solid, highly rated counterparties in established markets to cover significant risks and liabilities (including, for example, natural disasters and products liability). Not every risk or liability can be insured, and for risks that are insurable, the policy limits and terms of coverage reasonably obtainable in the market may not be sufficient to cover all actual losses or liabilities incurred. Even if insurance coverage is available, we may not be able to obtain it at a price or on terms acceptable to us. Disputes with insurance carriers, including over policy terms, reservation of rights, the applicability of coverage (including exclusions), compliance with provisions (including notice) and/or the insolvency of one or more of our insurers may significantly affect the amount or timing of recovery.</w:t>
      </w:r>
    </w:p>
    <w:p>
      <w:pPr>
        <w:spacing w:after="0" w:line="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some circumstances we may be entitled to certain legal protections or indemnifications from our customers through contractual provisions, laws, regulations or otherwise. However, these protections are not always available, are typically subject to certain terms or limitations, including the availability of funds, and may not be sufficient to cover all losses or liabilities incurred.</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insurance coverage, customer indemnifications and/or other legal protections are not available or are not sufficient to cover our risks or losses, it could have a material adverse effect on our financial position, results of operations and/or cash flows.</w:t>
      </w:r>
    </w:p>
    <w:p>
      <w:pPr>
        <w:spacing w:after="0" w:line="35" w:lineRule="exact"/>
        <w:rPr>
          <w:sz w:val="20"/>
          <w:szCs w:val="20"/>
          <w:color w:val="auto"/>
        </w:rPr>
      </w:pPr>
    </w:p>
    <w:p>
      <w:pPr>
        <w:ind w:left="320" w:right="280" w:hanging="312"/>
        <w:spacing w:after="0" w:line="277" w:lineRule="auto"/>
        <w:tabs>
          <w:tab w:leader="none" w:pos="3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provide products and services related to hazardous and high risk operations, which subjects us to various environmental, regulatory, financial, reputational and other risks.</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provide products and services related to hazardous and high risk operations. Among other such operations, our products and services are used in nuclear-related activities (including nuclear-powered platforms) and used in support of nuclear-related operations of third parties. In addition, certain of our products are provided with space launch services. These activities subject us to various extraordinary risks, including potential liabilities relating to nuclear-related incidents; to the harmful effects on the environment and human health that may result from nuclear-related activities, operations or incidents, as well as the storage, handling and disposal of radioactive materials; and to failed launches of spacecraft. We may be subject to reputational harm and potential liabilities arising out of a nuclear or launch incident, among others, whether or not the cause was within our control. Under some circumstances, the U.S. Government and prime contractors provide for certain indemnification and other protection under certain of our government related contracts, including pursuant to, or in connection with, Public Law 85-804, the Price-Anderson Nuclear Industries Indemnity Act and the Terrorism Risk Insurance Reauthorization Act, for certain risks.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our customers may otherwise use our products and services in connection with hazardous activities, or in ways that can be unusually hazardous or risky, creating potential liabilities to our customers and/or our company as the provider of such products and services. In the event of an incident, if our customers fail to use our products properly or if our products or services do not operate as intended, we could be subject to reputational harm and potential liabilities.</w:t>
      </w:r>
    </w:p>
    <w:p>
      <w:pPr>
        <w:spacing w:after="0" w:line="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there was a nuclear incident or other nuclear-related damages, an incident related to launch activities or an incident or other damages related to or caused by the use of our products and services in connection with hazardous activities or risks, and if indemnification or other protection was not available to cover our losses and liabilities, it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could adversely affect our reputation and have a material adverse effect on our financial position, results of operations and/or cash flows.</w:t>
      </w:r>
    </w:p>
    <w:p>
      <w:pPr>
        <w:spacing w:after="0" w:line="90" w:lineRule="exact"/>
        <w:rPr>
          <w:sz w:val="20"/>
          <w:szCs w:val="20"/>
          <w:color w:val="auto"/>
        </w:rPr>
      </w:pPr>
    </w:p>
    <w:p>
      <w:pPr>
        <w:ind w:left="320" w:right="720" w:hanging="312"/>
        <w:spacing w:after="0" w:line="334" w:lineRule="auto"/>
        <w:tabs>
          <w:tab w:leader="none" w:pos="320"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Pension and medical liabilities and related expenses recorded in our financial statements may fluctuate significantly depending upon future investment performance of plan assets, changes in actuarial assumptions, and legislative or other regulatory actions.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substantial portion of our current and retired employee population is covered by pension and other post-retirement benefit plans. Defined benefit pension and medical liabilities and related expenses as recorded in our financial statements are primarily dependent upon future investment performance of plan assets and various assumptions, including discount rates applied to future payment obligations, mortality assumptions, estimated long-term rates of return on plan assets, rates of future cost growth and trends for future costs. In addition, funding requirements for benefit obligations of our pension and other post-retirement benefit plans, including Pension Benefit Guaranty Corporation premiums for certain of our defined benefit plans, and our health and welfare plans are subject to legislative and other government regulatory actions.</w:t>
      </w:r>
    </w:p>
    <w:p>
      <w:pPr>
        <w:spacing w:after="0" w:line="4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accordance with government regulations, pension plan cost recoveries under our U.S. Government contracts may occur in different periods from when those pension costs are recognized for financial statement purposes or when pension funding is made. These timing differences could have a material adverse effect on our cash flows. The cost accounting rules have been revised in order to partially harmonize the measurement and period of assignment of defined benefit pension plan costs allocable to U.S. Government contracts and minimum required contributions under the Employee Retirement Income Security Act of 1974 (ERISA), as amended by the Pension Protection Act (PPA) of 2006. These rules better align, but do not eliminate, mismatches between ERISA funding requirements and CAS pension costs for U.S. Government CAS covered contracts.</w:t>
      </w:r>
    </w:p>
    <w:p>
      <w:pPr>
        <w:spacing w:after="0" w:line="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Future investment performance of plan assets and changes in assumptions associated with our pension and other post-retirement benefit plans could have a material adverse effect on our financial position, results of operations and/or cash flows.</w:t>
      </w:r>
    </w:p>
    <w:p>
      <w:pPr>
        <w:spacing w:after="0" w:line="35"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Anticipated benefits of the Orbital ATK Acquisition may not be realized.</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September 17, 2017, the company entered into a definitive merger agreement to acquire Orbital ATK (the Orbital ATK Acquisition). We believe this acquisition will enable us to broaden our capabilities and offerings, create value for shareholders, provide expanded opportunities for our combined employees and enhance our ability to provide innovative solutions to meet our customers’ emerging requirements. However, in the course of integrating our business with Orbital ATK’s business, we may discover additional information about Orbital ATK’s business (including its financial controls and potential risks, opportunities and liabilities) that alters our assessment of the anticipated benefits, costs and risks of the Orbital ATK Acquisition. Additionally, our customers may not value our combined businesses and capabilities as much as we anticipate, in which case we may not realize the benefits of our combined business to the extent we currently anticipate or at all.</w:t>
      </w:r>
    </w:p>
    <w:p>
      <w:pPr>
        <w:spacing w:after="0" w:line="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Orbital ATK Acquisition is subject to the satisfaction of certain customary conditions, some of which are beyond our control and may prevent or otherwise negatively affect the consummation of the Orbital ATK Acquisition or the anticipated benefits therefrom. These conditions include the expiration or termination of the waiting period under the Hart-Scott-Rodino Antitrust Improvements Act of 1976 and satisfaction of the requirements of the European Commission. We cannot predict whether or when these conditions will be satisfied or what requirements will be imposed in order to satisfy these conditions. In addition, the merger agreement may be terminated if the Orbital ATK Acquisition is not completed by September 17, 2018 (subject to extension to December 17, 2018 in certain circumstances) and in certain other specified circumstances described in the merger agreement. If the Orbital ATK Acquisition is not consummated, we will have incurred significant transaction-related costs, expenses and risks without realizing the anticipated benefits of the acquisition.</w:t>
      </w:r>
    </w:p>
    <w:p>
      <w:pPr>
        <w:spacing w:after="0" w:line="5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ability to realize the anticipated benefits of the Orbital ATK Acquisition will depend, to a large extent, on our ability to integrate the Orbital ATK business with ours. The integration of an independent business with our business is a complex, costly and time-consuming process. Costs may include, among other things, those associated with facilities and systems consolidation, operational impacts, severance and other potential employment-related costs, as well as fees paid to financial, legal and other advisors. We are devoting and will be required to devote significant management attention and resources prior to the consummation of the Orbital ATK Acquisition to prepare for integration. We also will be required to devote significant management attention and resources following the consummation of the Orbital ATK Acquisition effectively to integrate Orbital ATK’s business and operations with our business and to realize the anticipated benefits. One area of integration will be internal controls processes and</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37"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procedures. In the past, Orbital ATK restated its financial statements and identified material weaknesses in internal control over financial reporting, which we will need to address post-closing in the integration process. The integration process may disrupt our business and, if implemented ineffectively, may not result in the realization of the expected benefits of the Orbital ATK Acquisition. The consummation of the Orbital ATK Acquisition may trigger change in control and other similar provisions in certain agreements to which Orbital ATK is a party, or otherwise affect contractual relationships, which could have an adverse impact on the combined business if we are unable to address such issues successfully. The failure to meet the challenges involved in integrating Orbital ATK’s business and to realize the anticipated benefits of the Orbital ATK Acquisition could cause an interruption of, or a loss of momentum in, our activities.</w:t>
      </w:r>
    </w:p>
    <w:p>
      <w:pPr>
        <w:spacing w:after="0" w:line="3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Assuming the Orbital ATK Acquisition closes, the above risks could have a material adverse effect on our future financial position, results of operations and/or cash flows.</w:t>
      </w:r>
    </w:p>
    <w:p>
      <w:pPr>
        <w:spacing w:after="0" w:line="35" w:lineRule="exact"/>
        <w:rPr>
          <w:sz w:val="20"/>
          <w:szCs w:val="20"/>
          <w:color w:val="auto"/>
        </w:rPr>
      </w:pPr>
    </w:p>
    <w:p>
      <w:pPr>
        <w:ind w:left="320" w:right="580" w:hanging="312"/>
        <w:spacing w:after="0" w:line="277" w:lineRule="auto"/>
        <w:tabs>
          <w:tab w:leader="none" w:pos="3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may be unable fully to exploit or adequately to protect intellectual property rights, which could materially affect our ability to compete, our reputation and our financial position, results of operations and/or cash flows.</w:t>
      </w:r>
    </w:p>
    <w:p>
      <w:pPr>
        <w:spacing w:after="0" w:line="3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To perform on our contracts and to win new business, we depend on our ability to develop, protect and exploit our intellectual property and also to access the intellectual property of others under reasonable terms. We may not be able adequately to exploit, protect or access intellectual property and the conduct of our customers, competitors and suppliers may make it more difficult for us to do so.</w:t>
      </w:r>
    </w:p>
    <w:p>
      <w:pPr>
        <w:spacing w:after="0" w:line="4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own many forms of intellectual property, including U.S. and foreign patents, trademarks, copyrights and trade secrets and we license or otherwise obtain access to various intellectual property rights of third parties. The U.S. Government and certain foreign governments hold licenses or other rights to certain intellectual property that we develop in performance of government contracts, and may seek to use or authorize others to use such intellectual property, including in competition with us. Governments have increased certain efforts to assert or obtain more extensive rights in intellectual property, which could reduce our ability to exploit certain of our intellectual property rights and to compete. Governments have also declined at times to make intellectual property of others available to us under acceptable terms.</w:t>
      </w:r>
    </w:p>
    <w:p>
      <w:pPr>
        <w:spacing w:after="0" w:line="5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also rely significantly upon proprietary technology, information, processes and know-how. We typically seek to protect this information, including by entering into confidentiality agreements with our employees and other parties such as consultants and subcontractors. These agreements and other measures may not provide adequate protection for our trade secrets and other proprietary information. In the event of an infringement of such intellectual property rights, a breach of a confidentiality agreement or divulgence of proprietary information, we may not have adequate legal remedies. In addition, our trade secrets or other proprietary information may otherwise become known or be independently developed by competitors.</w:t>
      </w:r>
    </w:p>
    <w:p>
      <w:pPr>
        <w:spacing w:after="0" w:line="3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some instances, our ability to seek, win or perform contracts may require us to access and use third party intellectual property. This may require that the government or our customer is willing and able to provide rights to such third party intellectual property, or that we are able to negotiate directly to obtain necessary rights on reasonable terms.</w:t>
      </w:r>
    </w:p>
    <w:p>
      <w:pPr>
        <w:spacing w:after="0" w:line="4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intellectual property is subject to challenge, invalidation, misappropriation or circumvention by third parties. Our use of intellectual property licensed or otherwise obtained from third parties is also subject to challenge. Litigation to determine the scope of intellectual property rights, even if ultimately successful, could be costly and could divert management’s attention away from other aspects of our business. Moreover, the laws concerning intellectual property rights vary among countries and the protection provided to our intellectual property by foreign laws and courts may not be the same as the remedies available under U.S. law.</w:t>
      </w:r>
    </w:p>
    <w:p>
      <w:pPr>
        <w:spacing w:after="0" w:line="5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we are unable adequately to exploit our intellectual property rights, to protect our intellectual property rights against infringement or third party claims, or to obtain rights to intellectual property of others, it could have a material adverse effect on our reputation, ability to compete for and perform on contracts, financial position, results of operations and/or cash flows.</w:t>
      </w:r>
    </w:p>
    <w:p>
      <w:pPr>
        <w:spacing w:after="0" w:line="46" w:lineRule="exact"/>
        <w:rPr>
          <w:sz w:val="20"/>
          <w:szCs w:val="20"/>
          <w:color w:val="auto"/>
        </w:rPr>
      </w:pPr>
    </w:p>
    <w:p>
      <w:pPr>
        <w:ind w:left="320" w:right="40" w:hanging="312"/>
        <w:spacing w:after="0" w:line="277" w:lineRule="auto"/>
        <w:tabs>
          <w:tab w:leader="none" w:pos="3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future success depends, in part, on our ability to develop new products and new technologies and maintain technologies, facilities and equipment to win new competitions and meet the needs of our customers.</w:t>
      </w:r>
    </w:p>
    <w:p>
      <w:pPr>
        <w:spacing w:after="0" w:line="3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Many of the markets in which we operate are characterized by rapidly changing technologies. The product, program and service needs of our customers change and evolve regularly. Our success in the competitive defense industry depends upon our ability to develop technologically advanced, innovative and cost-effective products and services and market these products and services to our customers in the U.S. and internationally. In addition, our ability to develop innovative and technology advanced products depends, in part, on continued funding for research and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development projects. Our success also depends on our continued access to assured suppliers of important technologies and components and our ability to provide the people, technologies, facilities, equipment and financial capacity needed to deliver those products and services with maximum efficiency. If we are unable to develop new products and technologies, or if we fail to achieve market acceptance more rapidly than our competitors, we may be unable to maintain our competitive position and our future success could be materially adversely affected. If we fail to maintain our competitive position, we could lose a significant amount of future business to our competitors, which would negatively impact our ability to generate favorable financial results and maintain market share.</w:t>
      </w:r>
    </w:p>
    <w:p>
      <w:pPr>
        <w:spacing w:after="0" w:line="58" w:lineRule="exact"/>
        <w:rPr>
          <w:sz w:val="20"/>
          <w:szCs w:val="20"/>
          <w:color w:val="auto"/>
        </w:rPr>
      </w:pPr>
    </w:p>
    <w:p>
      <w:pPr>
        <w:ind w:left="320" w:right="240" w:hanging="312"/>
        <w:spacing w:after="0" w:line="277" w:lineRule="auto"/>
        <w:tabs>
          <w:tab w:leader="none" w:pos="3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future business conditions could cause business investments and/or recorded goodwill and other long-lived assets to become impaired, resulting in substantial losses and write-downs that would reduce our operating income.</w:t>
      </w:r>
    </w:p>
    <w:p>
      <w:pPr>
        <w:spacing w:after="0" w:line="3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Although we currently have significant excess fair value of our reporting units over their respective carrying values, goodwill accounts for approximately 36 percent of our total assets. Market-based inputs to the calculations in our goodwill impairment test, such as weighted average cost of capital and terminal value (based on market comparisons) could change significantly from our current assumptions. We continue to monitor the recoverability of the carrying value of our goodwill and other long-lived assets. Significant write-offs of goodwill or other long-lived assets could have a material adverse effect on our financial condition and/or results of operations.</w:t>
      </w:r>
    </w:p>
    <w:p>
      <w:pPr>
        <w:spacing w:after="0" w:line="53"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Unanticipated changes in our tax provisions or exposure to additional tax liabilities could affect our profitability and cash flow.</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subject to income and other taxes in the U.S. and foreign jurisdictions. Changes in applicable U.S. or foreign tax laws and regulations, or their interpretation and application, including the possibility of retroactive effect, could affect our tax expense and profitability as they did in 2017 upon passage of the Tax Cuts and Jobs Act. In addition, the final determination of any tax audits or related litigation could be materially different from our historical income tax provisions and accruals. Changes in our tax provision or an increase in our tax liabilities, whether due to changes in applicable laws and regulations, the interpretation or application thereof, or a final determination of tax audits or litigation, could have a material adverse effect on our financial position, results of operations and/or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This Annual Report on Form 10-K and the information we are incorporating by reference contain statements, other than statements of historical fact, that constitute “forward-looking statements” within the meaning of the Private Securities Litigation Reform Act of 1995. Words such as “will,” “expect,” “intend,” “may,” “could,” “plan,” “project,” “forecast,” “believe,” “estimate,” “outlook,” “anticipate,”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under “Risk Factors” and other important factors disclosed in this report and from time to time in our other filings with the SEC. They include:</w:t>
      </w:r>
    </w:p>
    <w:p>
      <w:pPr>
        <w:spacing w:after="0" w:line="4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U.S. Government funding more broadly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and/or litigation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use of estimates when accounting for our contracts and the effect of contract cost growth and/or changes in estimated contract revenues and costs</w:t>
      </w:r>
    </w:p>
    <w:p>
      <w:pPr>
        <w:spacing w:after="0" w:line="113" w:lineRule="exact"/>
        <w:rPr>
          <w:rFonts w:ascii="Arial" w:cs="Arial" w:eastAsia="Arial" w:hAnsi="Arial"/>
          <w:sz w:val="16"/>
          <w:szCs w:val="16"/>
          <w:color w:val="auto"/>
        </w:rPr>
      </w:pPr>
    </w:p>
    <w:p>
      <w:pPr>
        <w:ind w:left="660" w:right="5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geopolitical and economic factors, laws and regulations</w:t>
      </w:r>
    </w:p>
    <w:p>
      <w:pPr>
        <w:spacing w:after="0" w:line="3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and the impact on our reputation, our ability to do business, and our financial position, results of operations and/or cash flows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337"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cyber and other security threats or disruptions faced by us, our customers or our suppliers and other partners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performance and financial viability of our subcontractors and suppliers and the availability and pricing of raw materials and components</w:t>
      </w:r>
    </w:p>
    <w:p>
      <w:pPr>
        <w:spacing w:after="0" w:line="101"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procurement and other laws, regulations and practices applicable to our industry, findings by the U.S. Government as to our compliance with such laws and regulations, and changes in our customers’ business practices globally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maintain a qualified workforce</w:t>
      </w:r>
    </w:p>
    <w:p>
      <w:pPr>
        <w:spacing w:after="0" w:line="90" w:lineRule="exact"/>
        <w:rPr>
          <w:rFonts w:ascii="Arial" w:cs="Arial" w:eastAsia="Arial" w:hAnsi="Arial"/>
          <w:sz w:val="18"/>
          <w:szCs w:val="18"/>
          <w:color w:val="auto"/>
        </w:rPr>
      </w:pPr>
    </w:p>
    <w:p>
      <w:pPr>
        <w:ind w:left="660" w:right="10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meet performance obligations under our contracts, including obligations that are technologically complex, require certain manufacturing expertise or are dependent on factors not wholly within our control</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and/or environmental disasters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adequacy and availability of our insurance coverage, customer indemnifications or other liability protections</w:t>
      </w:r>
    </w:p>
    <w:p>
      <w:pPr>
        <w:spacing w:after="0" w:line="9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which subject us to various environmental, regulatory, financial, reputational and other risks</w:t>
      </w:r>
    </w:p>
    <w:p>
      <w:pPr>
        <w:spacing w:after="0" w:line="35" w:lineRule="exact"/>
        <w:rPr>
          <w:rFonts w:ascii="Arial" w:cs="Arial" w:eastAsia="Arial" w:hAnsi="Arial"/>
          <w:sz w:val="18"/>
          <w:szCs w:val="18"/>
          <w:color w:val="auto"/>
        </w:rPr>
      </w:pPr>
    </w:p>
    <w:p>
      <w:pPr>
        <w:ind w:left="660" w:right="34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future investment performance of plan assets, changes in actuarial assumptions associated with our pension and other post-retirement benefit plans and legislative or other regulatory actions impacting our pension, post-retirement and health and welfare plans</w:t>
      </w:r>
    </w:p>
    <w:p>
      <w:pPr>
        <w:spacing w:after="0" w:line="11" w:lineRule="exact"/>
        <w:rPr>
          <w:rFonts w:ascii="Arial" w:cs="Arial" w:eastAsia="Arial" w:hAnsi="Arial"/>
          <w:sz w:val="17"/>
          <w:szCs w:val="17"/>
          <w:color w:val="auto"/>
        </w:rPr>
      </w:pPr>
    </w:p>
    <w:p>
      <w:pPr>
        <w:ind w:left="660" w:right="640" w:hanging="328"/>
        <w:spacing w:after="0" w:line="334"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satisfaction of conditions (including regulatory approvals) to and successful consummation of the Orbital ATK Acquisition; our ability successfully to integrate the Orbital ATK business and realize fully the anticipated benefits of the acquisition, without adverse consequences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exploit or protect intellectual property rights</w:t>
      </w:r>
    </w:p>
    <w:p>
      <w:pPr>
        <w:spacing w:after="0" w:line="9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and maintain technologies, facilities, and equipment to win new competitions and meet the needs of our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business conditions that could impact business investments and/or recorded goodwill or the value of other long-lived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December 31, 2017, we had approximately 35 million square feet of floor space at 424 separate locations, primarily in the U.S., for manufacturing, warehousing, research and testing, administration and various other uses. At December 31, 2017, we leased to third parties approximately 220,000 square feet of our owned and leased facilities.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we had major operations at the following locations: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Systems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Azusa, Carson, El Segundo, Manhattan Beach, Mojave, Oxnard, Palmdale, Redondo Beach and San Diego, CA; Melbourne and St. Augustine, FL; Devens, MA; Moss Point, MS; and Oklahoma City, OK.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Systems</w:t>
      </w:r>
    </w:p>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Huntsville, AL; McClellan, Redondo Beach, San Diego, Sunnyvale and Woodland Hills, CA; Aurora and Colorado Springs, CO; Apopka, FL; Rolling Meadows, IL; Annapolis, Annapolis Junction, Elkridge, Halethorpe, Linthicum</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3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Sykesville, MD; Bethpage and Williamsville, NY; Beavercreek and Cincinnati, OH; Salt Lake City, UT; and Chantilly, Charlottesville, Fairfax, McLean and Richmond, VA. Locations outside the U.S. include Germany, Italy and the United Kingdom.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Sierra Vista, AZ; Warner Robins, GA; Lake Charles, LA; Baltimore, MD; and Chester and Herndon, VA. Locations outside the U.S. include Australia and France.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Falls Church and Lebanon, VA and Irving, TX.</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floor space at December 31,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20" w:type="dxa"/>
            <w:vAlign w:val="bottom"/>
          </w:tcPr>
          <w:p>
            <w:pPr>
              <w:jc w:val="right"/>
              <w:ind w:right="490"/>
              <w:spacing w:after="0"/>
              <w:rPr>
                <w:sz w:val="20"/>
                <w:szCs w:val="20"/>
                <w:color w:val="auto"/>
              </w:rPr>
            </w:pPr>
            <w:r>
              <w:rPr>
                <w:rFonts w:ascii="Arial" w:cs="Arial" w:eastAsia="Arial" w:hAnsi="Arial"/>
                <w:sz w:val="18"/>
                <w:szCs w:val="18"/>
                <w:color w:val="auto"/>
              </w:rPr>
              <w:t>U.S. Government</w:t>
            </w:r>
          </w:p>
        </w:tc>
        <w:tc>
          <w:tcPr>
            <w:tcW w:w="1220" w:type="dxa"/>
            <w:vAlign w:val="bottom"/>
          </w:tcPr>
          <w:p>
            <w:pPr>
              <w:spacing w:after="0"/>
              <w:rPr>
                <w:sz w:val="18"/>
                <w:szCs w:val="18"/>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i w:val="1"/>
                <w:iCs w:val="1"/>
                <w:color w:val="auto"/>
              </w:rPr>
              <w:t>Square feet (in thousands)</w:t>
            </w:r>
          </w:p>
        </w:tc>
        <w:tc>
          <w:tcPr>
            <w:tcW w:w="2940" w:type="dxa"/>
            <w:vAlign w:val="bottom"/>
          </w:tcPr>
          <w:p>
            <w:pPr>
              <w:jc w:val="right"/>
              <w:ind w:right="550"/>
              <w:spacing w:after="0"/>
              <w:rPr>
                <w:sz w:val="20"/>
                <w:szCs w:val="20"/>
                <w:color w:val="auto"/>
              </w:rPr>
            </w:pPr>
            <w:r>
              <w:rPr>
                <w:rFonts w:ascii="Arial" w:cs="Arial" w:eastAsia="Arial" w:hAnsi="Arial"/>
                <w:sz w:val="18"/>
                <w:szCs w:val="18"/>
                <w:color w:val="auto"/>
              </w:rPr>
              <w:t>Owned</w:t>
            </w: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Leased</w:t>
            </w:r>
          </w:p>
        </w:tc>
        <w:tc>
          <w:tcPr>
            <w:tcW w:w="2120" w:type="dxa"/>
            <w:vAlign w:val="bottom"/>
          </w:tcPr>
          <w:p>
            <w:pPr>
              <w:jc w:val="right"/>
              <w:ind w:right="570"/>
              <w:spacing w:after="0"/>
              <w:rPr>
                <w:sz w:val="20"/>
                <w:szCs w:val="20"/>
                <w:color w:val="auto"/>
              </w:rPr>
            </w:pPr>
            <w:r>
              <w:rPr>
                <w:rFonts w:ascii="Arial" w:cs="Arial" w:eastAsia="Arial" w:hAnsi="Arial"/>
                <w:sz w:val="18"/>
                <w:szCs w:val="18"/>
                <w:color w:val="auto"/>
              </w:rPr>
              <w:t>Owned/Leased</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3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2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6,775</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7,164</w:t>
            </w:r>
          </w:p>
        </w:tc>
        <w:tc>
          <w:tcPr>
            <w:tcW w:w="2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2,761</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16,700</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Mission Systems</w:t>
            </w:r>
          </w:p>
        </w:tc>
        <w:tc>
          <w:tcPr>
            <w:tcW w:w="2940" w:type="dxa"/>
            <w:vAlign w:val="bottom"/>
          </w:tcPr>
          <w:p>
            <w:pPr>
              <w:jc w:val="right"/>
              <w:ind w:right="250"/>
              <w:spacing w:after="0"/>
              <w:rPr>
                <w:sz w:val="20"/>
                <w:szCs w:val="20"/>
                <w:color w:val="auto"/>
              </w:rPr>
            </w:pPr>
            <w:r>
              <w:rPr>
                <w:rFonts w:ascii="Arial" w:cs="Arial" w:eastAsia="Arial" w:hAnsi="Arial"/>
                <w:sz w:val="18"/>
                <w:szCs w:val="18"/>
                <w:color w:val="auto"/>
              </w:rPr>
              <w:t>8,783</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5,588</w:t>
            </w:r>
          </w:p>
        </w:tc>
        <w:tc>
          <w:tcPr>
            <w:tcW w:w="2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14,371</w:t>
            </w:r>
          </w:p>
        </w:tc>
      </w:tr>
      <w:tr>
        <w:trPr>
          <w:trHeight w:val="27"/>
        </w:trPr>
        <w:tc>
          <w:tcPr>
            <w:tcW w:w="37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2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434</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2,772</w:t>
            </w:r>
          </w:p>
        </w:tc>
        <w:tc>
          <w:tcPr>
            <w:tcW w:w="2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3,207</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940" w:type="dxa"/>
            <w:vAlign w:val="bottom"/>
          </w:tcPr>
          <w:p>
            <w:pPr>
              <w:jc w:val="right"/>
              <w:ind w:right="250"/>
              <w:spacing w:after="0"/>
              <w:rPr>
                <w:sz w:val="20"/>
                <w:szCs w:val="20"/>
                <w:color w:val="auto"/>
              </w:rPr>
            </w:pPr>
            <w:r>
              <w:rPr>
                <w:rFonts w:ascii="Arial" w:cs="Arial" w:eastAsia="Arial" w:hAnsi="Arial"/>
                <w:sz w:val="18"/>
                <w:szCs w:val="18"/>
                <w:color w:val="auto"/>
              </w:rPr>
              <w:t>657</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444</w:t>
            </w:r>
          </w:p>
        </w:tc>
        <w:tc>
          <w:tcPr>
            <w:tcW w:w="2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1,101</w:t>
            </w:r>
          </w:p>
        </w:tc>
      </w:tr>
      <w:tr>
        <w:trPr>
          <w:trHeight w:val="27"/>
        </w:trPr>
        <w:tc>
          <w:tcPr>
            <w:tcW w:w="3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16,649</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15,968</w:t>
            </w:r>
          </w:p>
        </w:tc>
        <w:tc>
          <w:tcPr>
            <w:tcW w:w="2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2,762</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35,379</w:t>
            </w:r>
          </w:p>
        </w:tc>
      </w:tr>
      <w:tr>
        <w:trPr>
          <w:trHeight w:val="27"/>
        </w:trPr>
        <w:tc>
          <w:tcPr>
            <w:tcW w:w="3700" w:type="dxa"/>
            <w:vAlign w:val="bottom"/>
            <w:shd w:val="clear" w:color="auto" w:fill="000000"/>
          </w:tcPr>
          <w:p>
            <w:pPr>
              <w:spacing w:after="0"/>
              <w:rPr>
                <w:sz w:val="2"/>
                <w:szCs w:val="2"/>
                <w:color w:val="auto"/>
              </w:rPr>
            </w:pPr>
          </w:p>
        </w:tc>
        <w:tc>
          <w:tcPr>
            <w:tcW w:w="29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maintain our properties in good operating condition and believe that the productive capacity of our properties is adequate to meet current contractual requirements and those for the foreseeable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have provided information about certain legal proceedings in which we are involved in Notes 11 and 12 to the consolidated financial statements.</w:t>
      </w:r>
    </w:p>
    <w:p>
      <w:pPr>
        <w:spacing w:after="0" w:line="1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a party to various investigations, lawsuits,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 11 to the consolidated financial statements, and for further information on the risks we face from existing and future investigations, lawsuits, claims, enforcement actions and other legal proceedings, please see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800,000,000 shares authorized at a $1 par value per share, of which 174,085,619 shares and 175,068,263 shares were issued and outstanding as of December 31, 2017 and 2016,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have 10,000,000 shares authorized at a $1 par value per share, of which no shares were issued and outstanding as of December 31, 2017 and 2016.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MARKET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and trades under the symbol NOC.</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for the periods indicated, quarterly dividends declared per common share and the intraday low and high prices of our common stock as reported in the consolidated reporting system for the New York Stock Exchange Composite Transactions.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960" w:type="dxa"/>
            <w:vAlign w:val="bottom"/>
            <w:gridSpan w:val="3"/>
          </w:tcPr>
          <w:p>
            <w:pPr>
              <w:jc w:val="right"/>
              <w:spacing w:after="0"/>
              <w:rPr>
                <w:sz w:val="20"/>
                <w:szCs w:val="20"/>
                <w:color w:val="auto"/>
              </w:rPr>
            </w:pPr>
            <w:r>
              <w:rPr>
                <w:rFonts w:ascii="Arial" w:cs="Arial" w:eastAsia="Arial" w:hAnsi="Arial"/>
                <w:sz w:val="18"/>
                <w:szCs w:val="18"/>
                <w:b w:val="1"/>
                <w:bCs w:val="1"/>
                <w:color w:val="auto"/>
              </w:rPr>
              <w:t>Dividends per common share</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Stock prices (Low - High)</w:t>
            </w:r>
          </w:p>
        </w:tc>
        <w:tc>
          <w:tcPr>
            <w:tcW w:w="114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2016</w:t>
            </w:r>
          </w:p>
        </w:tc>
        <w:tc>
          <w:tcPr>
            <w:tcW w:w="700" w:type="dxa"/>
            <w:vAlign w:val="bottom"/>
          </w:tcPr>
          <w:p>
            <w:pPr>
              <w:spacing w:after="0"/>
              <w:rPr>
                <w:sz w:val="20"/>
                <w:szCs w:val="20"/>
                <w:color w:val="auto"/>
              </w:rPr>
            </w:pPr>
          </w:p>
        </w:tc>
        <w:tc>
          <w:tcPr>
            <w:tcW w:w="210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2017</w:t>
            </w:r>
          </w:p>
        </w:tc>
        <w:tc>
          <w:tcPr>
            <w:tcW w:w="2220" w:type="dxa"/>
            <w:vAlign w:val="bottom"/>
            <w:gridSpan w:val="2"/>
          </w:tcPr>
          <w:p>
            <w:pPr>
              <w:jc w:val="right"/>
              <w:ind w:right="810"/>
              <w:spacing w:after="0"/>
              <w:rPr>
                <w:sz w:val="20"/>
                <w:szCs w:val="20"/>
                <w:color w:val="auto"/>
              </w:rPr>
            </w:pPr>
            <w:r>
              <w:rPr>
                <w:rFonts w:ascii="Arial" w:cs="Arial" w:eastAsia="Arial" w:hAnsi="Arial"/>
                <w:sz w:val="18"/>
                <w:szCs w:val="18"/>
                <w:color w:val="auto"/>
              </w:rPr>
              <w:t>2016</w:t>
            </w:r>
          </w:p>
        </w:tc>
      </w:tr>
      <w:tr>
        <w:trPr>
          <w:trHeight w:val="27"/>
        </w:trPr>
        <w:tc>
          <w:tcPr>
            <w:tcW w:w="3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22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0.90</w:t>
            </w:r>
          </w:p>
        </w:tc>
        <w:tc>
          <w:tcPr>
            <w:tcW w:w="12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0.80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$223.88</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$249.43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$200.78</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12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1.00</w:t>
            </w:r>
          </w:p>
        </w:tc>
        <w:tc>
          <w:tcPr>
            <w:tcW w:w="1200" w:type="dxa"/>
            <w:vAlign w:val="bottom"/>
          </w:tcPr>
          <w:p>
            <w:pPr>
              <w:spacing w:after="0"/>
              <w:rPr>
                <w:sz w:val="21"/>
                <w:szCs w:val="21"/>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0.90</w:t>
            </w:r>
          </w:p>
        </w:tc>
        <w:tc>
          <w:tcPr>
            <w:tcW w:w="21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235.16 - 262.59</w:t>
            </w:r>
          </w:p>
        </w:tc>
        <w:tc>
          <w:tcPr>
            <w:tcW w:w="1080" w:type="dxa"/>
            <w:vAlign w:val="bottom"/>
          </w:tcPr>
          <w:p>
            <w:pPr>
              <w:jc w:val="right"/>
              <w:spacing w:after="0"/>
              <w:rPr>
                <w:sz w:val="20"/>
                <w:szCs w:val="20"/>
                <w:color w:val="auto"/>
              </w:rPr>
            </w:pPr>
            <w:r>
              <w:rPr>
                <w:rFonts w:ascii="Arial" w:cs="Arial" w:eastAsia="Arial" w:hAnsi="Arial"/>
                <w:sz w:val="18"/>
                <w:szCs w:val="18"/>
                <w:color w:val="auto"/>
              </w:rPr>
              <w:t>198.75</w:t>
            </w:r>
          </w:p>
        </w:tc>
        <w:tc>
          <w:tcPr>
            <w:tcW w:w="1140" w:type="dxa"/>
            <w:vAlign w:val="bottom"/>
          </w:tcPr>
          <w:p>
            <w:pPr>
              <w:ind w:left="20"/>
              <w:spacing w:after="0"/>
              <w:rPr>
                <w:sz w:val="20"/>
                <w:szCs w:val="20"/>
                <w:color w:val="auto"/>
              </w:rPr>
            </w:pPr>
            <w:r>
              <w:rPr>
                <w:rFonts w:ascii="Arial" w:cs="Arial" w:eastAsia="Arial" w:hAnsi="Arial"/>
                <w:sz w:val="18"/>
                <w:szCs w:val="18"/>
                <w:color w:val="auto"/>
              </w:rPr>
              <w:t>- 223.42</w:t>
            </w:r>
          </w:p>
        </w:tc>
      </w:tr>
      <w:tr>
        <w:trPr>
          <w:trHeight w:val="27"/>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w:t>
            </w:r>
          </w:p>
        </w:tc>
        <w:tc>
          <w:tcPr>
            <w:tcW w:w="1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0.90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256.65</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- 287.81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206.69</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- 224.12</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12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1.00</w:t>
            </w:r>
          </w:p>
        </w:tc>
        <w:tc>
          <w:tcPr>
            <w:tcW w:w="1200" w:type="dxa"/>
            <w:vAlign w:val="bottom"/>
          </w:tcPr>
          <w:p>
            <w:pPr>
              <w:spacing w:after="0"/>
              <w:rPr>
                <w:sz w:val="21"/>
                <w:szCs w:val="21"/>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0.90</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287.22</w:t>
            </w:r>
          </w:p>
        </w:tc>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- 311.15</w:t>
            </w:r>
          </w:p>
        </w:tc>
        <w:tc>
          <w:tcPr>
            <w:tcW w:w="1080" w:type="dxa"/>
            <w:vAlign w:val="bottom"/>
          </w:tcPr>
          <w:p>
            <w:pPr>
              <w:jc w:val="right"/>
              <w:spacing w:after="0"/>
              <w:rPr>
                <w:sz w:val="20"/>
                <w:szCs w:val="20"/>
                <w:color w:val="auto"/>
              </w:rPr>
            </w:pPr>
            <w:r>
              <w:rPr>
                <w:rFonts w:ascii="Arial" w:cs="Arial" w:eastAsia="Arial" w:hAnsi="Arial"/>
                <w:sz w:val="18"/>
                <w:szCs w:val="18"/>
                <w:color w:val="auto"/>
              </w:rPr>
              <w:t>212.02</w:t>
            </w:r>
          </w:p>
        </w:tc>
        <w:tc>
          <w:tcPr>
            <w:tcW w:w="1140" w:type="dxa"/>
            <w:vAlign w:val="bottom"/>
          </w:tcPr>
          <w:p>
            <w:pPr>
              <w:ind w:left="20"/>
              <w:spacing w:after="0"/>
              <w:rPr>
                <w:sz w:val="20"/>
                <w:szCs w:val="20"/>
                <w:color w:val="auto"/>
              </w:rPr>
            </w:pPr>
            <w:r>
              <w:rPr>
                <w:rFonts w:ascii="Arial" w:cs="Arial" w:eastAsia="Arial" w:hAnsi="Arial"/>
                <w:sz w:val="18"/>
                <w:szCs w:val="18"/>
                <w:color w:val="auto"/>
              </w:rPr>
              <w:t>- 253.80</w:t>
            </w:r>
          </w:p>
        </w:tc>
      </w:tr>
      <w:tr>
        <w:trPr>
          <w:trHeight w:val="27"/>
        </w:trPr>
        <w:tc>
          <w:tcPr>
            <w:tcW w:w="3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3.90</w:t>
            </w:r>
          </w:p>
        </w:tc>
        <w:tc>
          <w:tcPr>
            <w:tcW w:w="12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$223.88</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$311.15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$253.80</w:t>
            </w:r>
          </w:p>
        </w:tc>
      </w:tr>
      <w:tr>
        <w:trPr>
          <w:trHeight w:val="27"/>
        </w:trPr>
        <w:tc>
          <w:tcPr>
            <w:tcW w:w="34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approximate number of common stockholders was 23,420 as of January 25, 2018.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had no repurchases of common stock during the three months ended December 31, 2017. The approximate dollar value of shares that may yet be purchased as part of the company’s publicly announced plans or programs is $2.3 billion as of December 31, 2017.</w:t>
      </w:r>
    </w:p>
    <w:p>
      <w:pPr>
        <w:spacing w:after="0" w:line="35" w:lineRule="exact"/>
        <w:rPr>
          <w:sz w:val="20"/>
          <w:szCs w:val="20"/>
          <w:color w:val="auto"/>
        </w:rPr>
      </w:pPr>
    </w:p>
    <w:p>
      <w:pPr>
        <w:ind w:left="60" w:right="420"/>
        <w:spacing w:after="0" w:line="277"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financial statements for further information on our share repurchase programs.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Comparison of Cumulative Five Year Total Return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Among Northrop Grumman, the S&amp;P 500 Index and the S&amp;P Aerospace &amp; Defense (A&amp;D)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5715</wp:posOffset>
            </wp:positionV>
            <wp:extent cx="4810760"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1076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0" w:hanging="249"/>
        <w:spacing w:after="0" w:line="257" w:lineRule="auto"/>
        <w:tabs>
          <w:tab w:leader="none" w:pos="5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Assumes $100 invested at the close of business on December 31, 2012, in Northrop Grumman Corporation common stock, Standard &amp; Poor’s (S&amp;P) 500 Index and the S&amp;P Aerospace &amp; Defense Index.</w:t>
      </w:r>
    </w:p>
    <w:p>
      <w:pPr>
        <w:ind w:left="500" w:hanging="249"/>
        <w:spacing w:after="0"/>
        <w:tabs>
          <w:tab w:leader="none" w:pos="5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cumulative total return assumes reinvestment of dividends.</w:t>
      </w:r>
    </w:p>
    <w:p>
      <w:pPr>
        <w:spacing w:after="0" w:line="26" w:lineRule="exact"/>
        <w:rPr>
          <w:rFonts w:ascii="Arial" w:cs="Arial" w:eastAsia="Arial" w:hAnsi="Arial"/>
          <w:sz w:val="22"/>
          <w:szCs w:val="22"/>
          <w:color w:val="auto"/>
        </w:rPr>
      </w:pPr>
    </w:p>
    <w:p>
      <w:pPr>
        <w:ind w:left="500" w:right="100" w:hanging="249"/>
        <w:spacing w:after="0" w:line="269" w:lineRule="auto"/>
        <w:tabs>
          <w:tab w:leader="none" w:pos="5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S&amp;P Aerospace &amp; Defense Index is comprised of Arconic, Inc., The Boeing Company, General Dynamics Corporation, Harris Corporation, L3 Technologies, Inc., Lockheed Martin Corporation, Northrop Grumman Corporation, Raytheon Company, Rockwell Collins, Inc., Textron, Inc., TransDigm Group and United Technologies Corporation.</w:t>
      </w:r>
    </w:p>
    <w:p>
      <w:pPr>
        <w:ind w:left="500" w:hanging="249"/>
        <w:spacing w:after="0"/>
        <w:tabs>
          <w:tab w:leader="none" w:pos="5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total return is weighted according to market capitalization of each company at the beginning of each year.</w:t>
      </w:r>
    </w:p>
    <w:p>
      <w:pPr>
        <w:spacing w:after="0" w:line="26" w:lineRule="exact"/>
        <w:rPr>
          <w:rFonts w:ascii="Arial" w:cs="Arial" w:eastAsia="Arial" w:hAnsi="Arial"/>
          <w:sz w:val="22"/>
          <w:szCs w:val="22"/>
          <w:color w:val="auto"/>
        </w:rPr>
      </w:pPr>
    </w:p>
    <w:p>
      <w:pPr>
        <w:ind w:left="500" w:right="120" w:hanging="249"/>
        <w:spacing w:after="0" w:line="280" w:lineRule="auto"/>
        <w:tabs>
          <w:tab w:leader="none" w:pos="5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This graph is not deemed to be “filed” with the U.S. Securities and Exchange Commission (SEC) or subject to the liabilities of Section 18 of the Securities Exchange Act of 1934 (the Exchange Act), and should not be deemed to be incorporated by reference into any of our prior or subsequent filings under the Securities Act of 1933 or the Exchange Act.</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337"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data presented in the following table is derived from the audited consolidated financial statements and other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2014</w:t>
            </w:r>
          </w:p>
        </w:tc>
        <w:tc>
          <w:tcPr>
            <w:tcW w:w="3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5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21,837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20,573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19,458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20,085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21,278</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3,302</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3,205</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3,339</w:t>
            </w: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3,045</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43"/>
        </w:trPr>
        <w:tc>
          <w:tcPr>
            <w:tcW w:w="5840" w:type="dxa"/>
            <w:vAlign w:val="bottom"/>
          </w:tcPr>
          <w:p>
            <w:pPr>
              <w:ind w:left="2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664</w:t>
            </w: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730</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729</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849</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
        </w:trPr>
        <w:tc>
          <w:tcPr>
            <w:tcW w:w="5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25,803</w:t>
            </w: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24,508</w:t>
            </w: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23,526</w:t>
            </w: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23,979</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24,661</w:t>
            </w:r>
          </w:p>
        </w:tc>
        <w:tc>
          <w:tcPr>
            <w:tcW w:w="0" w:type="dxa"/>
            <w:vAlign w:val="bottom"/>
          </w:tcPr>
          <w:p>
            <w:pPr>
              <w:spacing w:after="0"/>
              <w:rPr>
                <w:sz w:val="1"/>
                <w:szCs w:val="1"/>
                <w:color w:val="auto"/>
              </w:rPr>
            </w:pPr>
          </w:p>
        </w:tc>
      </w:tr>
      <w:tr>
        <w:trPr>
          <w:trHeight w:val="237"/>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3,299</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3,193</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3,076</w:t>
            </w: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3,196</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2,200</w:t>
            </w: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1,990</w:t>
            </w:r>
          </w:p>
        </w:tc>
        <w:tc>
          <w:tcPr>
            <w:tcW w:w="4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w:t>
            </w: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43"/>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11.55</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12.30</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10.51</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9.91</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11.47</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12.19</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3.90</w:t>
            </w: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34"/>
        </w:trPr>
        <w:tc>
          <w:tcPr>
            <w:tcW w:w="5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Year-End Financial Position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34,917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25,614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24,424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26,545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26,351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 to banks and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15,266</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7,070</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6,496</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5,901</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351"/>
        </w:trPr>
        <w:tc>
          <w:tcPr>
            <w:tcW w:w="5840" w:type="dxa"/>
            <w:vAlign w:val="bottom"/>
          </w:tcPr>
          <w:p>
            <w:pPr>
              <w:ind w:left="40"/>
              <w:spacing w:after="0"/>
              <w:rPr>
                <w:sz w:val="20"/>
                <w:szCs w:val="20"/>
                <w:color w:val="auto"/>
              </w:rPr>
            </w:pPr>
            <w:r>
              <w:rPr>
                <w:rFonts w:ascii="Arial" w:cs="Arial" w:eastAsia="Arial" w:hAnsi="Arial"/>
                <w:sz w:val="18"/>
                <w:szCs w:val="18"/>
                <w:color w:val="auto"/>
              </w:rPr>
              <w:t>Other long-term obligations</w:t>
            </w:r>
            <w:r>
              <w:rPr>
                <w:rFonts w:ascii="Arial" w:cs="Arial" w:eastAsia="Arial" w:hAnsi="Arial"/>
                <w:sz w:val="25"/>
                <w:szCs w:val="25"/>
                <w:color w:val="auto"/>
                <w:vertAlign w:val="superscript"/>
              </w:rPr>
              <w:t>(3)</w:t>
            </w:r>
          </w:p>
        </w:tc>
        <w:tc>
          <w:tcPr>
            <w:tcW w:w="240" w:type="dxa"/>
            <w:vAlign w:val="bottom"/>
          </w:tcPr>
          <w:p>
            <w:pPr>
              <w:spacing w:after="0"/>
              <w:rPr>
                <w:sz w:val="24"/>
                <w:szCs w:val="24"/>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6,505</w:t>
            </w:r>
          </w:p>
        </w:tc>
        <w:tc>
          <w:tcPr>
            <w:tcW w:w="320" w:type="dxa"/>
            <w:vAlign w:val="bottom"/>
          </w:tcPr>
          <w:p>
            <w:pPr>
              <w:spacing w:after="0"/>
              <w:rPr>
                <w:sz w:val="24"/>
                <w:szCs w:val="24"/>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rPr>
              <w:t>7,667</w:t>
            </w:r>
          </w:p>
        </w:tc>
        <w:tc>
          <w:tcPr>
            <w:tcW w:w="300" w:type="dxa"/>
            <w:vAlign w:val="bottom"/>
          </w:tcPr>
          <w:p>
            <w:pPr>
              <w:spacing w:after="0"/>
              <w:rPr>
                <w:sz w:val="24"/>
                <w:szCs w:val="24"/>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7,059</w:t>
            </w:r>
          </w:p>
        </w:tc>
        <w:tc>
          <w:tcPr>
            <w:tcW w:w="420" w:type="dxa"/>
            <w:vAlign w:val="bottom"/>
          </w:tcPr>
          <w:p>
            <w:pPr>
              <w:spacing w:after="0"/>
              <w:rPr>
                <w:sz w:val="24"/>
                <w:szCs w:val="24"/>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7,520</w:t>
            </w:r>
          </w:p>
        </w:tc>
        <w:tc>
          <w:tcPr>
            <w:tcW w:w="320" w:type="dxa"/>
            <w:vAlign w:val="bottom"/>
          </w:tcPr>
          <w:p>
            <w:pPr>
              <w:spacing w:after="0"/>
              <w:rPr>
                <w:sz w:val="24"/>
                <w:szCs w:val="24"/>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54"/>
        </w:trPr>
        <w:tc>
          <w:tcPr>
            <w:tcW w:w="5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5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Metrics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2,613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2,813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2,162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2,593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84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5"/>
                <w:szCs w:val="25"/>
                <w:color w:val="auto"/>
                <w:vertAlign w:val="superscript"/>
              </w:rPr>
              <w:t>(4)</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1,685</w:t>
            </w:r>
          </w:p>
        </w:tc>
        <w:tc>
          <w:tcPr>
            <w:tcW w:w="3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1,893</w:t>
            </w:r>
          </w:p>
        </w:tc>
        <w:tc>
          <w:tcPr>
            <w:tcW w:w="3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1,691</w:t>
            </w:r>
          </w:p>
        </w:tc>
        <w:tc>
          <w:tcPr>
            <w:tcW w:w="4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2,032</w:t>
            </w:r>
          </w:p>
        </w:tc>
        <w:tc>
          <w:tcPr>
            <w:tcW w:w="3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Company-sponsored research and development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Total backlog</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42,878</w:t>
            </w: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45,339</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35,923</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38,199</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37,033</w:t>
            </w:r>
          </w:p>
        </w:tc>
        <w:tc>
          <w:tcPr>
            <w:tcW w:w="0" w:type="dxa"/>
            <w:vAlign w:val="bottom"/>
          </w:tcPr>
          <w:p>
            <w:pPr>
              <w:spacing w:after="0"/>
              <w:rPr>
                <w:sz w:val="1"/>
                <w:szCs w:val="1"/>
                <w:color w:val="auto"/>
              </w:rPr>
            </w:pPr>
          </w:p>
        </w:tc>
      </w:tr>
      <w:tr>
        <w:trPr>
          <w:trHeight w:val="34"/>
        </w:trPr>
        <w:tc>
          <w:tcPr>
            <w:tcW w:w="5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Square footage at year-end (in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35,379</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34,112</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34,392</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34,264</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Number of employees at year-end</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70,000</w:t>
            </w: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67,000</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64,300</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65,300</w:t>
            </w:r>
          </w:p>
        </w:tc>
        <w:tc>
          <w:tcPr>
            <w:tcW w:w="0" w:type="dxa"/>
            <w:vAlign w:val="bottom"/>
          </w:tcPr>
          <w:p>
            <w:pPr>
              <w:spacing w:after="0"/>
              <w:rPr>
                <w:sz w:val="1"/>
                <w:szCs w:val="1"/>
                <w:color w:val="auto"/>
              </w:rPr>
            </w:pPr>
          </w:p>
        </w:tc>
      </w:tr>
      <w:tr>
        <w:trPr>
          <w:trHeight w:val="34"/>
        </w:trPr>
        <w:tc>
          <w:tcPr>
            <w:tcW w:w="5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80" w:right="180" w:hanging="172"/>
        <w:spacing w:after="0" w:line="229"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Sales to the United States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145" w:lineRule="exact"/>
        <w:rPr>
          <w:rFonts w:ascii="Arial" w:cs="Arial" w:eastAsia="Arial" w:hAnsi="Arial"/>
          <w:sz w:val="21"/>
          <w:szCs w:val="21"/>
          <w:color w:val="auto"/>
          <w:vertAlign w:val="superscript"/>
        </w:rPr>
      </w:pPr>
    </w:p>
    <w:p>
      <w:pPr>
        <w:ind w:left="180" w:right="180" w:hanging="172"/>
        <w:spacing w:after="0" w:line="239"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 direct sales with governments outside the U.S. and commercial sales outside the U.S.</w:t>
      </w:r>
    </w:p>
    <w:p>
      <w:pPr>
        <w:spacing w:after="0" w:line="145" w:lineRule="exact"/>
        <w:rPr>
          <w:rFonts w:ascii="Arial" w:cs="Arial" w:eastAsia="Arial" w:hAnsi="Arial"/>
          <w:sz w:val="21"/>
          <w:szCs w:val="21"/>
          <w:color w:val="auto"/>
          <w:vertAlign w:val="superscript"/>
        </w:rPr>
      </w:pPr>
    </w:p>
    <w:p>
      <w:pPr>
        <w:ind w:left="180" w:right="260" w:hanging="172"/>
        <w:spacing w:after="0" w:line="229"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Other long-term obligations include pension and other post-retirement benefit plan liabilities, deferred compensation, unrecognized tax benefits, environmental liabilities and other long-term obligations.</w:t>
      </w:r>
    </w:p>
    <w:p>
      <w:pPr>
        <w:spacing w:after="0" w:line="64" w:lineRule="exact"/>
        <w:rPr>
          <w:rFonts w:ascii="Arial" w:cs="Arial" w:eastAsia="Arial" w:hAnsi="Arial"/>
          <w:sz w:val="21"/>
          <w:szCs w:val="21"/>
          <w:color w:val="auto"/>
          <w:vertAlign w:val="superscript"/>
        </w:rPr>
      </w:pPr>
    </w:p>
    <w:p>
      <w:pPr>
        <w:ind w:left="180" w:right="40" w:hanging="172"/>
        <w:spacing w:after="0" w:line="254"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Free cash flow is a non-GAAP measure defined as net cash provided by operating activities less capital expenditures, and may not be defined and calculated by other companies in the same manner. We use free cash flow as a key factor in our planning for, and consideration of, acquisitions, stock repurchases, and the payment of dividends. This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accounting principles generally accepted in the United States of America (“GAAP” or “FAS”). See “Liquidity and Capital Resources” – “Free Cash Flow” in Management’s Discussion and Analysis of Financial Conditions and Results of Operations (MD&amp;A) for more information on this measure, including a reconciliation of free cash flow to net cash provided by operating activities.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00"/>
        <w:spacing w:after="0" w:line="344"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070808"/>
        </w:rPr>
        <w:t>Pending Acquisition of Orbital ATK</w:t>
      </w:r>
    </w:p>
    <w:p>
      <w:pPr>
        <w:spacing w:after="0" w:line="27"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070808"/>
        </w:rPr>
        <w:t xml:space="preserve">On September 17, 2017, the company entered into a definitive merger agreement to acquire all of the outstanding shares of Orbital ATK, Inc. (Orbital ATK) for approximately $7.8 billion in cash, plus the assumption of approximately $1.4 billion in net debt (the “Orbital ATK Acquisition”). </w:t>
      </w:r>
      <w:r>
        <w:rPr>
          <w:rFonts w:ascii="Arial" w:cs="Arial" w:eastAsia="Arial" w:hAnsi="Arial"/>
          <w:sz w:val="17"/>
          <w:szCs w:val="17"/>
          <w:color w:val="000000"/>
        </w:rPr>
        <w:t>See Item 1.01 in our</w:t>
      </w:r>
      <w:r>
        <w:rPr>
          <w:rFonts w:ascii="Arial" w:cs="Arial" w:eastAsia="Arial" w:hAnsi="Arial"/>
          <w:sz w:val="17"/>
          <w:szCs w:val="17"/>
          <w:color w:val="070808"/>
        </w:rPr>
        <w:t xml:space="preserve"> </w:t>
      </w:r>
      <w:r>
        <w:rPr>
          <w:rFonts w:ascii="Arial" w:cs="Arial" w:eastAsia="Arial" w:hAnsi="Arial"/>
          <w:sz w:val="17"/>
          <w:szCs w:val="17"/>
          <w:color w:val="000000"/>
        </w:rPr>
        <w:t xml:space="preserve">Current Report on Form 8-K filed with the SEC on September 18, 2017 for a summary and copy of the merger agreement. We believe this acquisition will enable us to broaden our capabilities and offerings, create value for shareholders, provide expanded opportunities for our combined employees and enhance our ability to provide innovative solutions to meet our customers’ emerging requirements. </w:t>
      </w:r>
      <w:r>
        <w:rPr>
          <w:rFonts w:ascii="Arial" w:cs="Arial" w:eastAsia="Arial" w:hAnsi="Arial"/>
          <w:sz w:val="17"/>
          <w:szCs w:val="17"/>
          <w:color w:val="070808"/>
        </w:rPr>
        <w:t>Under the terms of the merger agreement, Orbital ATK</w:t>
      </w:r>
      <w:r>
        <w:rPr>
          <w:rFonts w:ascii="Arial" w:cs="Arial" w:eastAsia="Arial" w:hAnsi="Arial"/>
          <w:sz w:val="17"/>
          <w:szCs w:val="17"/>
          <w:color w:val="000000"/>
        </w:rPr>
        <w:t xml:space="preserve"> </w:t>
      </w:r>
      <w:r>
        <w:rPr>
          <w:rFonts w:ascii="Arial" w:cs="Arial" w:eastAsia="Arial" w:hAnsi="Arial"/>
          <w:sz w:val="17"/>
          <w:szCs w:val="17"/>
          <w:color w:val="070808"/>
        </w:rPr>
        <w:t xml:space="preserve">shareholders are to receive all-cash consideration of $134.50 per share. We expect to fund the Orbital ATK Acquisition with the proceeds from our debt financing completed in October 2017 and cash on hand. See Note 10 </w:t>
      </w:r>
      <w:r>
        <w:rPr>
          <w:rFonts w:ascii="Arial" w:cs="Arial" w:eastAsia="Arial" w:hAnsi="Arial"/>
          <w:sz w:val="17"/>
          <w:szCs w:val="17"/>
          <w:color w:val="000000"/>
        </w:rPr>
        <w:t>to the consolidated financial statements</w:t>
      </w:r>
      <w:r>
        <w:rPr>
          <w:rFonts w:ascii="Arial" w:cs="Arial" w:eastAsia="Arial" w:hAnsi="Arial"/>
          <w:sz w:val="17"/>
          <w:szCs w:val="17"/>
          <w:color w:val="070808"/>
        </w:rPr>
        <w:t xml:space="preserve"> for further information on our Orbital ATK Acquisition financing. On November 29, 2017, Orbital ATK shareholders approved the proposed Orbital ATK Acquisition. We currently expect the transaction to close in the first half of 2018, after receiving regulatory approvals. Upon completion of the Orbital ATK Acquisition, we plan to establish Orbital ATK as a new, fourth business sector named Northrop Grumman Innovation Systems.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Tax Reform</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In December 2017, the Tax Cuts and Jobs Act (the “2017 Tax Act”) was enacted. The 2017 Tax Act represents major tax reform legislation that, among other provisions, reduces the U.S. corporate tax rate. Certain income tax effects of the 2017 Tax Act, including $300 million of tax expense recorded principally due to the write-down of our net deferred tax assets, are reflected in our financial results in accordance with Staff Accounting Bulletin No. 118 (SAB 118), which provides SEC staff guidance regarding the application of Accounting Standards Codification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in the reporting period in which the 2017 Tax Act became law. See Note 7 to the consolidated financial statements for further information on the financial statement impact of the 2017 Tax Act.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Security and Economic Environment</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U.S. and its allies continue to face a global security environment of heightened tensions and instability, threats from state and non-state actors as well as terrorist organizations, emerging nuclear tensions and diverse regional security concerns. Global threats persist across all domains, from undersea to space to cyber. The market for defense products, services and solutions globally is driven by these complex and evolving security challenges, considered in the broader context of political and socioeconomic priorities.</w:t>
      </w:r>
    </w:p>
    <w:p>
      <w:pPr>
        <w:spacing w:after="0" w:line="5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global economic environment also continues to be marked by uncertainty, instability and geopolitical tensions. Global economic growth is expected to remain in the low single digits in 2018, reflecting the impact of and uncertainty surrounding geopolitical tensions globally and financial market volatility. The global economy may also be affected by Britain’s exit from the European Union, the impact of which is not known at this time. Global economic conditions could impact customer purchasing decisions.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and Economic Environment</w:t>
      </w:r>
    </w:p>
    <w:p>
      <w:pPr>
        <w:spacing w:after="0" w:line="2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The U.S. continues to face an uncertain political environment and substantial fiscal and economic challenges, which affect funding for discretionary and non-discretionary budgets. Part I of the Budget Control Act of 2011 (the BCA) provided for a reduction in planned defense budgets by at least $487 billion over a ten year period. Part II mandated substantial additional reductions, through a process known as “sequestration,” which took effect in March 2013.</w:t>
      </w:r>
    </w:p>
    <w:p>
      <w:pPr>
        <w:spacing w:after="0" w:line="2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November 2, 2015, the President signed the Bipartisan Budget Act of 2015 (the Budget Act). The Budget Act raised the debt ceiling until March 2017 and raised the sequester caps imposed by the BCA by $80 billion, split equally between defense and non-defense discretionary spending in the Government’s FY 2016 and FY 2017 ($50 billion in FY 2016 and $30 billion in FY 2017). Sequestration spending caps under the BCA could reduce defense spending again in FY 2018.</w:t>
      </w:r>
    </w:p>
    <w:p>
      <w:pPr>
        <w:spacing w:after="0" w:line="5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On February 9, 2016, the President delivered his FY 2017 budget to Congress. The FY 2017 budget reflected the FY 2017 spending caps established in the Budget Act and requested $583 billion for the DoD’s annual budget, including $59 billion for OCO. The President signed a continuing resolution in September 2016, which was extended in December 2016 and provided funding for the U.S. Government at FY 2016 levels through April 28, 2017.</w:t>
      </w:r>
    </w:p>
    <w:p>
      <w:pPr>
        <w:spacing w:after="0" w:line="1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March 2017, the debt ceiling was reached and the Treasury Department began taking “extraordinary measures” to finance the government and avoid a breach of the debt ceiling. On September 8, 2017, the debt ceiling was suspended for three months and on December 9, 2017, the Treasury Department again began taking extraordinary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measures to finance the government. It is expected that the Treasury Department will run out of the ability to take extraordinary measures to finance the government in the first half of 2018.</w:t>
      </w:r>
    </w:p>
    <w:p>
      <w:pPr>
        <w:spacing w:after="0" w:line="3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May 2017, the President signed into law the FY 2017 Consolidated Appropriations Act. In total for FY 2017, Congress appropriated $524 billion in base discretionary funding for the DoD, consistent with the Budget Act. Congress also appropriated approximately $68 billion in OCO funding and approximately $15 billion in additional DoD appropriations.</w:t>
      </w:r>
    </w:p>
    <w:p>
      <w:pPr>
        <w:spacing w:after="0" w:line="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May 2017, the President released his FY 2018 budget request, which seeks $575 billion for the DoD’s base budget, approximately $52 billion above the statutory caps provided for in the BCA. The President’s budget request also seeks an additional $65 billion in OCO funding for expeditionary needs, not capped by the BCA. On September 8, 2017, the President signed a continuing resolution which generally funded the government at FY 2017 levels through December 8, 2017. The continuing resolution was extended to December 22, 2017 and further extended to January 19, 2018. As Congress did not enact appropriations legislation or a new continuing resolution by January 19, 2018, on January 20, 2018, the U.S. Government temporarily shut down. On January 22, 2018, a fourth continuing resolution was enacted, which funds the government through February 8, 2018.</w:t>
      </w:r>
    </w:p>
    <w:p>
      <w:pPr>
        <w:spacing w:after="0" w:line="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federal budget and debt ceiling are expected to continue to be the subject of considerable debate, which could have a significant impact on defense spending broadly and the company's programs in particular.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the risks we face from the current political and economic environment, see “Risk Factors.”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Operating Performance Assessment and Reporting</w:t>
      </w:r>
    </w:p>
    <w:p>
      <w:pPr>
        <w:spacing w:after="0" w:line="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manage and assess our business based on our performance on contracts and programs (typically larger contracts or two or more closely-related contracts). We recognize sales from our portfolio of long-term contracts primarily using the cost-to-cost method of percentage of completion accounting, but in some cases we utilize the units-of-delivery method of percentage of completion accounting. As a result, sales tend to fluctuate in concert with costs incurred and units delivered across our large portfolio of contracts. Due to Federal Acquisition Regulation (FAR) rules that govern our U.S. Government business and related Cost Accounting Standards (CAS), most types of costs are allocable to U.S. Government contracts. As such, we do not focus on individual cost groupings (such as manufacturing, engineering and design labor, subcontractor, material, overhead and general and administrative (G&amp;A) costs), as much as we do on total contract cost, which is the key driver of our sales and operating income.</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evaluating our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three segments before distinguishing between products and services. Changes in sales are generally described in terms of volume, deliveries or other indicators of sales activity. Changes in margin rates are generally described in terms of performance and contract mix. For purposes of this discussion, volume generally refers to increases or decreases in sales or cost from production/service activity levels or delivery rates. Performance generally refers to non-volume related changes in profitability. Contract mix generally refers to changes in the ratio of contract type and/or lifecycle (e.g., cost-type, fixed-price, development, production, and/or sustainment).</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337"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color w:val="auto"/>
              </w:rPr>
              <w:t>Year Ended December 31</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jc w:val="right"/>
              <w:ind w:right="610"/>
              <w:spacing w:after="0"/>
              <w:rPr>
                <w:sz w:val="20"/>
                <w:szCs w:val="20"/>
                <w:color w:val="auto"/>
              </w:rPr>
            </w:pPr>
            <w:r>
              <w:rPr>
                <w:rFonts w:ascii="Arial" w:cs="Arial" w:eastAsia="Arial" w:hAnsi="Arial"/>
                <w:sz w:val="18"/>
                <w:szCs w:val="18"/>
                <w:color w:val="auto"/>
              </w:rPr>
              <w:t>% Change in</w:t>
            </w:r>
          </w:p>
        </w:tc>
      </w:tr>
      <w:tr>
        <w:trPr>
          <w:trHeight w:val="27"/>
        </w:trPr>
        <w:tc>
          <w:tcPr>
            <w:tcW w:w="4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30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4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25,803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24,508</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23,526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21"/>
                <w:szCs w:val="21"/>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22,504</w:t>
            </w:r>
          </w:p>
        </w:tc>
        <w:tc>
          <w:tcPr>
            <w:tcW w:w="3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21,315</w:t>
            </w: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20,450</w:t>
            </w:r>
          </w:p>
        </w:tc>
        <w:tc>
          <w:tcPr>
            <w:tcW w:w="12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6 %</w:t>
            </w:r>
          </w:p>
        </w:tc>
        <w:tc>
          <w:tcPr>
            <w:tcW w:w="9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costs and expenses as a % of sales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87.2%</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3,299</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3,193</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3,076</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3 %</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rPr>
              <w:t>12.8%</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13.0%</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Federal and foreign income tax expense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1,034</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723</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43 %</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rPr>
              <w:t>33.9%</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24.7%</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2,200</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11.47</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12.19</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4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2017 – </w:t>
      </w:r>
      <w:r>
        <w:rPr>
          <w:rFonts w:ascii="Arial" w:cs="Arial" w:eastAsia="Arial" w:hAnsi="Arial"/>
          <w:sz w:val="17"/>
          <w:szCs w:val="17"/>
          <w:color w:val="auto"/>
        </w:rPr>
        <w:t>Sales increased $1.3 billion, or 5 percent, as compared with 2016, primarily due to higher sales at Aerospace Systems and Mission Systems.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2016 – </w:t>
      </w:r>
      <w:r>
        <w:rPr>
          <w:rFonts w:ascii="Arial" w:cs="Arial" w:eastAsia="Arial" w:hAnsi="Arial"/>
          <w:sz w:val="17"/>
          <w:szCs w:val="17"/>
          <w:color w:val="auto"/>
        </w:rPr>
        <w:t>Sales increased $982 million, or 4 percent, as compared with 2015, primarily due to higher sales at Aerospace Systems and Mission Systems.</w:t>
      </w:r>
    </w:p>
    <w:p>
      <w:pPr>
        <w:spacing w:after="0" w:line="1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See “Revenue Recognition” in Note 1 to the consolidated financial statements for further information on sales by customer category. See “Segment Operating Results” below for further information by segment and “Product and Service Analysis” for product and service detail.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 xml:space="preserve">2017 – </w:t>
      </w:r>
      <w:r>
        <w:rPr>
          <w:rFonts w:ascii="Arial" w:cs="Arial" w:eastAsia="Arial" w:hAnsi="Arial"/>
          <w:sz w:val="17"/>
          <w:szCs w:val="17"/>
          <w:color w:val="auto"/>
        </w:rPr>
        <w:t>Operating income increased $106 million, or 3 percent, as compared with 2016, primarily due to a $278 million increase in our net FAS/CAS pension</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and a $24 million increase in segment operating income, partially offset by a $197 million increase in unallocated corporate expenses, as described in “Segment Operating Results.” Higher operating costs and expenses as a percentage of sales reduced our operating margin rate to 12.8 percent from 13.0 percent in the prior year period and was driven by the increase in unallocated corporate expenses and a lower segment operating margin rate, as described in “Segment Operating Results,” partially offset by the increase in our net FAS/CAS pension adjustment.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G&amp;A as a percentage of sales decreased to 10.3 percent in 2017 from 10.5 percent in 2016, principally due to higher sales volume.</w:t>
      </w:r>
    </w:p>
    <w:p>
      <w:pPr>
        <w:spacing w:after="0" w:line="90"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i w:val="1"/>
          <w:iCs w:val="1"/>
          <w:color w:val="auto"/>
        </w:rPr>
        <w:t xml:space="preserve">2016 </w:t>
      </w:r>
      <w:r>
        <w:rPr>
          <w:rFonts w:ascii="Arial" w:cs="Arial" w:eastAsia="Arial" w:hAnsi="Arial"/>
          <w:sz w:val="18"/>
          <w:szCs w:val="18"/>
          <w:color w:val="auto"/>
        </w:rPr>
        <w:t>– Operating income increased $117 million, or 4 percent, as compared with 2015, primarily due to a $137 million reduction in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higher sales volume, partially offset by a $32 million decrease in our net FAS/CAS pension adjustment and lower segment margin rates. Operating costs and expenses as a percentage of sales increased slightly in 2016 as compared with 2015, which reduced our operating margin rate to 13.0 percent from 13.1 percent in the prior year period. The decrease in operating margin rate was driven by a lower segment operating margin rate and a $32 million decrease in our net FAS/CAS pension adjustment, partially offset by a $137 million reduction in unallocated corporate expenses, as described in “Segment Operating Results.”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G&amp;A as a percentage of sales decreased to 10.5 percent in 2016 from 10.9 percent in 2015, principally due to higher sales volume.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regarding product and service operating costs and expenses, see “Product and Service Analysis” below.</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Our effective tax rate for 2017 was 33.9 percent, as compared with 24.7 percent in 2016. The higher rate is principally due to $300 million of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recorded in connection with the 2017 Tax Act, largely due to the write-down of net deferred tax assets, partially offset by a $69 million increase in research credits and a $39 million benefit recognized for additional manufacturing deductions principally related to prior years. The effective tax rates for the years ended December 31, 2017 and 2016 each include separate approximately $40 million benefits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recognized in connection with the resolution of Internal Revenue Service (IRS) examinations of the company’s prior year tax returns.</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2016 </w:t>
      </w:r>
      <w:r>
        <w:rPr>
          <w:rFonts w:ascii="Arial" w:cs="Arial" w:eastAsia="Arial" w:hAnsi="Arial"/>
          <w:sz w:val="18"/>
          <w:szCs w:val="18"/>
          <w:color w:val="auto"/>
        </w:rPr>
        <w:t>– Our effective tax rate for 2016 was 24.7 percent, as compared with 28.7 percent in 2015. The lower rate is principally due to $85 million of excess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related to employee share-based payment transactions recognized in 2016, a $40 million benefit recognized in connection with resolution of the IRS examination of the company’s 2007-2011 tax returns and a $33 million benefit recognized in connection with the repatriation of earnings from certain of our foreign subsidiaries. These benefits were partially offset by a $58 million decrease in research credits, which were principally a result of credits recorded in 2015 that were claimed on our prior year tax returns.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Net earnings for 2017 decreased $185 million, or 8 percent, as compared with 2016, primarily due to the higher effective tax rate discussed above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higher interest expense resulting from our debt issuance in October 2017, as described in Note 10 to the consolidated financial statements. These decreases were partially offset by higher operating income and an increase in Other, net as a result of gains on the sale of two investments and higher interest income on short-term investments.</w:t>
      </w:r>
    </w:p>
    <w:p>
      <w:pPr>
        <w:spacing w:after="0" w:line="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2016 </w:t>
      </w:r>
      <w:r>
        <w:rPr>
          <w:rFonts w:ascii="Arial" w:cs="Arial" w:eastAsia="Arial" w:hAnsi="Arial"/>
          <w:sz w:val="18"/>
          <w:szCs w:val="18"/>
          <w:color w:val="auto"/>
        </w:rPr>
        <w:t>– Net earnings for 2016 increased $210 million, or 11 percent, as compared with 2015, primarily due to the higher operating income and lower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rate discussed above.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Diluted earnings per share for 2017 decreased $0.72, or 6 percent, as compared with 2016. The decrease is primarily due to the 8 percent decline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discussed above, partially offset by a 3 percent reduction in weighted-average shares outstanding resulting principally from shares repurchased during 2016.</w:t>
      </w:r>
    </w:p>
    <w:p>
      <w:pPr>
        <w:spacing w:after="0" w:line="5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2016 </w:t>
      </w:r>
      <w:r>
        <w:rPr>
          <w:rFonts w:ascii="Arial" w:cs="Arial" w:eastAsia="Arial" w:hAnsi="Arial"/>
          <w:sz w:val="16"/>
          <w:szCs w:val="16"/>
          <w:color w:val="auto"/>
        </w:rPr>
        <w:t>– Diluted earnings per share for 2016 increased $1.80, or 17 percent, as compared with 2015. The increase is primarily due to the 11 percent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net earnings discussed above and a 6 percent reduction in weighted-average shares outstanding resulting from shares repurchased during 2015 and 2016.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is aligned in three operating sectors, which also comprise our reportable segments: Aerospace Systems, Mission Systems and Technology Services. For a more complete description of each segment’s products and services, see “Business.”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sectors in the following business areas, which are reported in a manner reflecting core capabilities: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Aerospace Systems</w:t>
            </w:r>
          </w:p>
        </w:tc>
        <w:tc>
          <w:tcPr>
            <w:tcW w:w="3880" w:type="dxa"/>
            <w:vAlign w:val="bottom"/>
          </w:tcPr>
          <w:p>
            <w:pPr>
              <w:ind w:left="1100"/>
              <w:spacing w:after="0"/>
              <w:rPr>
                <w:sz w:val="20"/>
                <w:szCs w:val="20"/>
                <w:color w:val="auto"/>
              </w:rPr>
            </w:pPr>
            <w:r>
              <w:rPr>
                <w:rFonts w:ascii="Arial" w:cs="Arial" w:eastAsia="Arial" w:hAnsi="Arial"/>
                <w:sz w:val="18"/>
                <w:szCs w:val="18"/>
                <w:b w:val="1"/>
                <w:bCs w:val="1"/>
                <w:color w:val="auto"/>
              </w:rPr>
              <w:t>Mission Systems</w:t>
            </w:r>
          </w:p>
        </w:tc>
        <w:tc>
          <w:tcPr>
            <w:tcW w:w="4820" w:type="dxa"/>
            <w:vAlign w:val="bottom"/>
          </w:tcPr>
          <w:p>
            <w:pPr>
              <w:ind w:left="1100"/>
              <w:spacing w:after="0"/>
              <w:rPr>
                <w:sz w:val="20"/>
                <w:szCs w:val="20"/>
                <w:color w:val="auto"/>
              </w:rPr>
            </w:pPr>
            <w:r>
              <w:rPr>
                <w:rFonts w:ascii="Arial" w:cs="Arial" w:eastAsia="Arial" w:hAnsi="Arial"/>
                <w:sz w:val="18"/>
                <w:szCs w:val="18"/>
                <w:b w:val="1"/>
                <w:bCs w:val="1"/>
                <w:color w:val="auto"/>
              </w:rPr>
              <w:t>Technology Services</w:t>
            </w:r>
          </w:p>
        </w:tc>
      </w:tr>
      <w:tr>
        <w:trPr>
          <w:trHeight w:val="27"/>
        </w:trPr>
        <w:tc>
          <w:tcPr>
            <w:tcW w:w="272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Autonomous Systems</w:t>
            </w:r>
          </w:p>
        </w:tc>
        <w:tc>
          <w:tcPr>
            <w:tcW w:w="38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Sensors and Processing</w:t>
            </w:r>
          </w:p>
        </w:tc>
        <w:tc>
          <w:tcPr>
            <w:tcW w:w="48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Global Logistics and Modernization</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Manned Aircraft</w:t>
            </w:r>
          </w:p>
        </w:tc>
        <w:tc>
          <w:tcPr>
            <w:tcW w:w="3880" w:type="dxa"/>
            <w:vAlign w:val="bottom"/>
          </w:tcPr>
          <w:p>
            <w:pPr>
              <w:ind w:left="1100"/>
              <w:spacing w:after="0"/>
              <w:rPr>
                <w:sz w:val="20"/>
                <w:szCs w:val="20"/>
                <w:color w:val="auto"/>
              </w:rPr>
            </w:pPr>
            <w:r>
              <w:rPr>
                <w:rFonts w:ascii="Arial" w:cs="Arial" w:eastAsia="Arial" w:hAnsi="Arial"/>
                <w:sz w:val="18"/>
                <w:szCs w:val="18"/>
                <w:color w:val="auto"/>
              </w:rPr>
              <w:t>Cyber and ISR</w:t>
            </w:r>
          </w:p>
        </w:tc>
        <w:tc>
          <w:tcPr>
            <w:tcW w:w="4820" w:type="dxa"/>
            <w:vAlign w:val="bottom"/>
          </w:tcPr>
          <w:p>
            <w:pPr>
              <w:ind w:left="1100"/>
              <w:spacing w:after="0"/>
              <w:rPr>
                <w:sz w:val="20"/>
                <w:szCs w:val="20"/>
                <w:color w:val="auto"/>
              </w:rPr>
            </w:pPr>
            <w:r>
              <w:rPr>
                <w:rFonts w:ascii="Arial" w:cs="Arial" w:eastAsia="Arial" w:hAnsi="Arial"/>
                <w:sz w:val="18"/>
                <w:szCs w:val="18"/>
                <w:color w:val="auto"/>
              </w:rPr>
              <w:t>Advanced Defense Services</w:t>
            </w:r>
          </w:p>
        </w:tc>
      </w:tr>
      <w:tr>
        <w:trPr>
          <w:trHeight w:val="27"/>
        </w:trPr>
        <w:tc>
          <w:tcPr>
            <w:tcW w:w="27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Space</w:t>
            </w:r>
          </w:p>
        </w:tc>
        <w:tc>
          <w:tcPr>
            <w:tcW w:w="38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Advanced Capabilities</w:t>
            </w:r>
          </w:p>
        </w:tc>
        <w:tc>
          <w:tcPr>
            <w:tcW w:w="48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System Modernization and Services</w:t>
            </w:r>
          </w:p>
        </w:tc>
      </w:tr>
      <w:tr>
        <w:trPr>
          <w:trHeight w:val="20"/>
        </w:trPr>
        <w:tc>
          <w:tcPr>
            <w:tcW w:w="272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section discusses segment sales, operating income and operating margin rates. A reconciliation of segment operating income to total operating income is provided below.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Segment operating income, as reconciled in the Reconciliation of Segment Operating Income to Total Operating Income section below, is a non-GAAP measure that reflects total earnings from our three segments, including allocated pension expense recognized under CAS, and excluding unallocated corporate items and FAS pension expense. This measure may be useful to investors and other users of our financial statements as a supplemental measure in evaluating the financial performance and operational trends of our sectors. This measure may not be defined and calculated by other companies in the same manner and should not be considered in isolation or as an alternative to operating results presented in accordance with GAAP.</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20" w:type="dxa"/>
            <w:vAlign w:val="bottom"/>
            <w:gridSpan w:val="3"/>
          </w:tcPr>
          <w:p>
            <w:pPr>
              <w:jc w:val="right"/>
              <w:ind w:right="7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jc w:val="right"/>
              <w:ind w:right="570"/>
              <w:spacing w:after="0"/>
              <w:rPr>
                <w:sz w:val="20"/>
                <w:szCs w:val="20"/>
                <w:color w:val="auto"/>
              </w:rPr>
            </w:pPr>
            <w:r>
              <w:rPr>
                <w:rFonts w:ascii="Arial" w:cs="Arial" w:eastAsia="Arial" w:hAnsi="Arial"/>
                <w:sz w:val="18"/>
                <w:szCs w:val="18"/>
                <w:color w:val="auto"/>
              </w:rPr>
              <w:t>% Change in</w:t>
            </w:r>
          </w:p>
        </w:tc>
      </w:tr>
      <w:tr>
        <w:trPr>
          <w:trHeight w:val="27"/>
        </w:trPr>
        <w:tc>
          <w:tcPr>
            <w:tcW w:w="4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2016</w:t>
            </w:r>
          </w:p>
        </w:tc>
      </w:tr>
      <w:tr>
        <w:trPr>
          <w:trHeight w:val="27"/>
        </w:trPr>
        <w:tc>
          <w:tcPr>
            <w:tcW w:w="4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2,959</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2,935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2,920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Segment operating margin rate</w:t>
            </w:r>
          </w:p>
        </w:tc>
        <w:tc>
          <w:tcPr>
            <w:tcW w:w="300" w:type="dxa"/>
            <w:vAlign w:val="bottom"/>
          </w:tcPr>
          <w:p>
            <w:pPr>
              <w:spacing w:after="0"/>
              <w:rPr>
                <w:sz w:val="21"/>
                <w:szCs w:val="21"/>
                <w:color w:val="auto"/>
              </w:rPr>
            </w:pPr>
          </w:p>
        </w:tc>
        <w:tc>
          <w:tcPr>
            <w:tcW w:w="1420" w:type="dxa"/>
            <w:vAlign w:val="bottom"/>
            <w:gridSpan w:val="2"/>
          </w:tcPr>
          <w:p>
            <w:pPr>
              <w:jc w:val="right"/>
              <w:ind w:right="370"/>
              <w:spacing w:after="0"/>
              <w:rPr>
                <w:sz w:val="20"/>
                <w:szCs w:val="20"/>
                <w:color w:val="auto"/>
              </w:rPr>
            </w:pPr>
            <w:r>
              <w:rPr>
                <w:rFonts w:ascii="Arial" w:cs="Arial" w:eastAsia="Arial" w:hAnsi="Arial"/>
                <w:sz w:val="18"/>
                <w:szCs w:val="18"/>
                <w:b w:val="1"/>
                <w:bCs w:val="1"/>
                <w:i w:val="1"/>
                <w:iCs w:val="1"/>
                <w:color w:val="auto"/>
              </w:rPr>
              <w:t>11.5%</w:t>
            </w:r>
          </w:p>
        </w:tc>
        <w:tc>
          <w:tcPr>
            <w:tcW w:w="1060" w:type="dxa"/>
            <w:vAlign w:val="bottom"/>
          </w:tcPr>
          <w:p>
            <w:pPr>
              <w:jc w:val="right"/>
              <w:ind w:right="10"/>
              <w:spacing w:after="0"/>
              <w:rPr>
                <w:sz w:val="20"/>
                <w:szCs w:val="20"/>
                <w:color w:val="auto"/>
              </w:rPr>
            </w:pPr>
            <w:r>
              <w:rPr>
                <w:rFonts w:ascii="Arial" w:cs="Arial" w:eastAsia="Arial" w:hAnsi="Arial"/>
                <w:sz w:val="18"/>
                <w:szCs w:val="18"/>
                <w:i w:val="1"/>
                <w:iCs w:val="1"/>
                <w:color w:val="auto"/>
              </w:rPr>
              <w:t>12.0%</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12.4%</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440"/>
        <w:spacing w:after="0" w:line="288" w:lineRule="auto"/>
        <w:rPr>
          <w:sz w:val="20"/>
          <w:szCs w:val="20"/>
          <w:color w:val="auto"/>
        </w:rPr>
      </w:pPr>
      <w:r>
        <w:rPr>
          <w:rFonts w:ascii="Arial" w:cs="Arial" w:eastAsia="Arial" w:hAnsi="Arial"/>
          <w:sz w:val="16"/>
          <w:szCs w:val="16"/>
          <w:i w:val="1"/>
          <w:iCs w:val="1"/>
          <w:color w:val="auto"/>
        </w:rPr>
        <w:t xml:space="preserve">2017 - </w:t>
      </w:r>
      <w:r>
        <w:rPr>
          <w:rFonts w:ascii="Arial" w:cs="Arial" w:eastAsia="Arial" w:hAnsi="Arial"/>
          <w:sz w:val="16"/>
          <w:szCs w:val="16"/>
          <w:color w:val="auto"/>
        </w:rPr>
        <w:t>Segment operating income for 2017 increased $24 million, or 1 percent, as compared with 2016 and includes higher operating income at all three</w:t>
      </w:r>
      <w:r>
        <w:rPr>
          <w:rFonts w:ascii="Arial" w:cs="Arial" w:eastAsia="Arial" w:hAnsi="Arial"/>
          <w:sz w:val="16"/>
          <w:szCs w:val="16"/>
          <w:i w:val="1"/>
          <w:iCs w:val="1"/>
          <w:color w:val="auto"/>
        </w:rPr>
        <w:t xml:space="preserve"> </w:t>
      </w:r>
      <w:r>
        <w:rPr>
          <w:rFonts w:ascii="Arial" w:cs="Arial" w:eastAsia="Arial" w:hAnsi="Arial"/>
          <w:sz w:val="16"/>
          <w:szCs w:val="16"/>
          <w:color w:val="auto"/>
        </w:rPr>
        <w:t>sectors. The higher operating income includes a $56 million favorable EAC adjustment at Aerospace Systems on a restricted program largely related to performance incentives and $54 million recognized to date in connection with a claim related to certain costs incurred in prior years (the “Cost Claim”).</w:t>
      </w:r>
    </w:p>
    <w:p>
      <w:pPr>
        <w:ind w:right="120"/>
        <w:spacing w:after="0" w:line="261" w:lineRule="auto"/>
        <w:rPr>
          <w:sz w:val="20"/>
          <w:szCs w:val="20"/>
          <w:color w:val="auto"/>
        </w:rPr>
      </w:pPr>
      <w:r>
        <w:rPr>
          <w:rFonts w:ascii="Arial" w:cs="Arial" w:eastAsia="Arial" w:hAnsi="Arial"/>
          <w:sz w:val="18"/>
          <w:szCs w:val="18"/>
          <w:color w:val="auto"/>
        </w:rPr>
        <w:t>Segment operating margin rate decreased to 11.5 percent from 12.0 percent in 2016 principally due to lower segment margin rates at Aerospace Systems and Mission Systems, partially offset by a higher segment margin rate at Technology Services.</w:t>
      </w:r>
    </w:p>
    <w:p>
      <w:pPr>
        <w:spacing w:after="0" w:line="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2016 - </w:t>
      </w:r>
      <w:r>
        <w:rPr>
          <w:rFonts w:ascii="Arial" w:cs="Arial" w:eastAsia="Arial" w:hAnsi="Arial"/>
          <w:sz w:val="18"/>
          <w:szCs w:val="18"/>
          <w:color w:val="auto"/>
        </w:rPr>
        <w:t>Segment operating income for 2016 increased $15 million, or 1 percent, as compared with 2015 as a result of higher sales volume, which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offset the lower segment operating margin rate. Segment operating margin rate decreased to 12.0 percent from 12.4 percent in 2015 principally due to a lower segment margin rate at Aerospace Systems.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Reconciliation of Segment Operating Income to Total Operating Income - </w:t>
      </w:r>
      <w:r>
        <w:rPr>
          <w:rFonts w:ascii="Arial" w:cs="Arial" w:eastAsia="Arial" w:hAnsi="Arial"/>
          <w:sz w:val="18"/>
          <w:szCs w:val="18"/>
          <w:color w:val="auto"/>
        </w:rPr>
        <w:t>The table below reconciles segment operating income to total operating income by</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impact of the net FAS/CAS pension adjustment, as well as unallocated corporate expenses (certain corporate-level expenses, which are not considered allowable or allocable under applicable CAS or the FAR). See Note 4 to the consolidated financial statements for further information on the net FAS/CAS pension adjustment and unallocated corporate expenses.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4"/>
          </w:tcPr>
          <w:p>
            <w:pPr>
              <w:jc w:val="right"/>
              <w:ind w:right="10"/>
              <w:spacing w:after="0"/>
              <w:rPr>
                <w:sz w:val="20"/>
                <w:szCs w:val="20"/>
                <w:color w:val="auto"/>
              </w:rPr>
            </w:pPr>
            <w:r>
              <w:rPr>
                <w:rFonts w:ascii="Arial" w:cs="Arial" w:eastAsia="Arial" w:hAnsi="Arial"/>
                <w:sz w:val="18"/>
                <w:szCs w:val="18"/>
                <w:color w:val="auto"/>
              </w:rPr>
              <w:t>Year Ended December 31</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right"/>
              <w:ind w:right="630"/>
              <w:spacing w:after="0"/>
              <w:rPr>
                <w:sz w:val="20"/>
                <w:szCs w:val="20"/>
                <w:color w:val="auto"/>
              </w:rPr>
            </w:pPr>
            <w:r>
              <w:rPr>
                <w:rFonts w:ascii="Arial" w:cs="Arial" w:eastAsia="Arial" w:hAnsi="Arial"/>
                <w:sz w:val="18"/>
                <w:szCs w:val="18"/>
                <w:color w:val="auto"/>
              </w:rPr>
              <w:t>% Change in</w:t>
            </w:r>
          </w:p>
        </w:tc>
      </w:tr>
      <w:tr>
        <w:trPr>
          <w:trHeight w:val="27"/>
        </w:trPr>
        <w:tc>
          <w:tcPr>
            <w:tcW w:w="4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4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2,959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2,935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CAS pension expense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1,026</w:t>
            </w:r>
          </w:p>
        </w:tc>
        <w:tc>
          <w:tcPr>
            <w:tcW w:w="3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847</w:t>
            </w: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21 %</w:t>
            </w:r>
          </w:p>
        </w:tc>
        <w:tc>
          <w:tcPr>
            <w:tcW w:w="10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FAS pension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37"/>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FAS/CAS pension adjustment</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594</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316</w:t>
            </w: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0"/>
                <w:szCs w:val="20"/>
                <w:color w:val="auto"/>
              </w:rPr>
            </w:pPr>
          </w:p>
        </w:tc>
        <w:tc>
          <w:tcPr>
            <w:tcW w:w="1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88 %</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corporate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372 %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(20)%</w:t>
            </w:r>
          </w:p>
        </w:tc>
        <w:tc>
          <w:tcPr>
            <w:tcW w:w="100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7"/>
        </w:trPr>
        <w:tc>
          <w:tcPr>
            <w:tcW w:w="4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3,299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49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6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2017 </w:t>
      </w:r>
      <w:r>
        <w:rPr>
          <w:rFonts w:ascii="Arial" w:cs="Arial" w:eastAsia="Arial" w:hAnsi="Arial"/>
          <w:sz w:val="17"/>
          <w:szCs w:val="17"/>
          <w:color w:val="auto"/>
        </w:rPr>
        <w:t>- The increase in net FAS/CAS pension adjustment is primarily due to higher CAS expense and lower FAS expense than in the prior year period.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CAS expense relates to the continued phase-in of CAS harmonization and the impact of actual demographic experience, partially offset by a change in our mortality assumption as of December 31, 2016. The reduction in FAS expense was principally driven by our year-end 2016 FAS pension assumptions, including the noted change in our mortality assumption offset by a lower discount rate.</w:t>
      </w:r>
    </w:p>
    <w:p>
      <w:pPr>
        <w:spacing w:after="0" w:line="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2016 </w:t>
      </w:r>
      <w:r>
        <w:rPr>
          <w:rFonts w:ascii="Arial" w:cs="Arial" w:eastAsia="Arial" w:hAnsi="Arial"/>
          <w:sz w:val="18"/>
          <w:szCs w:val="18"/>
          <w:color w:val="auto"/>
        </w:rPr>
        <w:t>- The decrease in net FAS/CAS pension adjustment is primarily due to lower than expected asset returns during 2015, partially offset by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our FAS discount rate assumption as of December 31, 2015 and the continued phase-in of CAS harmonization.</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2017 </w:t>
      </w:r>
      <w:r>
        <w:rPr>
          <w:rFonts w:ascii="Arial" w:cs="Arial" w:eastAsia="Arial" w:hAnsi="Arial"/>
          <w:sz w:val="17"/>
          <w:szCs w:val="17"/>
          <w:color w:val="auto"/>
        </w:rPr>
        <w:t>- Unallocated corporate expenses increased in 2017, as compared to 2016, primarily due to $47 million of costs associated with the Orbital ATK</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and $41 million of deferred state tax expense resulting from state tax adjustments associated with the filing of our prior year federal tax return and the company's $500 million discretionary pension contribution in December 2017. In addition, the prior year period included a $35 million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benefit recognized for state tax refunds claimed on our prior year tax returns and a $25 million benefit recognized for estimated prior year overhead claim recoveries.</w:t>
      </w:r>
    </w:p>
    <w:p>
      <w:pPr>
        <w:spacing w:after="0" w:line="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2016 </w:t>
      </w:r>
      <w:r>
        <w:rPr>
          <w:rFonts w:ascii="Arial" w:cs="Arial" w:eastAsia="Arial" w:hAnsi="Arial"/>
          <w:sz w:val="18"/>
          <w:szCs w:val="18"/>
          <w:color w:val="auto"/>
        </w:rPr>
        <w:t>- Unallocated corporate expenses declined in 2016, as compared to 2015. In 2016, unallocated corporate expenses included a $35 million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for state tax refunds claimed on our prior year tax returns and a $25 million benefit recognized for estimated prior year overhead claim recoveries. In 2015, unallocated corporate expenses included a $45 million expense recognized for deferred state income taxes due to a change in accounting methods approved by the IRS that lowered our deductions for domestic production activities and a $25 million expense recognized for deferred state income taxes resulting from a discretionary pension contribution.</w:t>
      </w:r>
    </w:p>
    <w:p>
      <w:pPr>
        <w:spacing w:after="0" w:line="5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 xml:space="preserve">Net Estimate-At-Completion (EAC) Adjustments - </w:t>
      </w:r>
      <w:r>
        <w:rPr>
          <w:rFonts w:ascii="Arial" w:cs="Arial" w:eastAsia="Arial" w:hAnsi="Arial"/>
          <w:sz w:val="18"/>
          <w:szCs w:val="18"/>
          <w:color w:val="auto"/>
        </w:rPr>
        <w:t>We record changes in estimated contract earnings at completion (net EAC adjustments)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catch-up method of accounting. Net EAC adjustments can have a significant effect on reported sales and operating income and the aggregate amounts are presented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4"/>
          </w:tcPr>
          <w:p>
            <w:pPr>
              <w:jc w:val="center"/>
              <w:ind w:left="650"/>
              <w:spacing w:after="0"/>
              <w:rPr>
                <w:sz w:val="20"/>
                <w:szCs w:val="20"/>
                <w:color w:val="auto"/>
              </w:rPr>
            </w:pPr>
            <w:r>
              <w:rPr>
                <w:rFonts w:ascii="Arial" w:cs="Arial" w:eastAsia="Arial" w:hAnsi="Arial"/>
                <w:sz w:val="18"/>
                <w:szCs w:val="18"/>
                <w:color w:val="auto"/>
                <w:w w:val="88"/>
              </w:rPr>
              <w:t>Year Ended December 31</w:t>
            </w:r>
          </w:p>
        </w:tc>
        <w:tc>
          <w:tcPr>
            <w:tcW w:w="10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100" w:type="dxa"/>
            <w:vAlign w:val="bottom"/>
          </w:tcPr>
          <w:p>
            <w:pPr>
              <w:jc w:val="center"/>
              <w:ind w:right="290"/>
              <w:spacing w:after="0"/>
              <w:rPr>
                <w:sz w:val="20"/>
                <w:szCs w:val="20"/>
                <w:color w:val="auto"/>
              </w:rPr>
            </w:pPr>
            <w:r>
              <w:rPr>
                <w:rFonts w:ascii="Arial" w:cs="Arial" w:eastAsia="Arial" w:hAnsi="Arial"/>
                <w:sz w:val="18"/>
                <w:szCs w:val="18"/>
                <w:color w:val="auto"/>
                <w:w w:val="89"/>
              </w:rPr>
              <w:t>2016</w:t>
            </w:r>
          </w:p>
        </w:tc>
        <w:tc>
          <w:tcPr>
            <w:tcW w:w="3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r>
      <w:tr>
        <w:trPr>
          <w:trHeight w:val="27"/>
        </w:trPr>
        <w:tc>
          <w:tcPr>
            <w:tcW w:w="7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EAC adjustments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668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Unfavorable EAC adjustments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(305)</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
        </w:trPr>
        <w:tc>
          <w:tcPr>
            <w:tcW w:w="7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EAC adjustments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378"/>
        </w:trPr>
        <w:tc>
          <w:tcPr>
            <w:tcW w:w="7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4"/>
          </w:tcPr>
          <w:p>
            <w:pPr>
              <w:jc w:val="center"/>
              <w:ind w:left="650"/>
              <w:spacing w:after="0"/>
              <w:rPr>
                <w:sz w:val="20"/>
                <w:szCs w:val="20"/>
                <w:color w:val="auto"/>
              </w:rPr>
            </w:pPr>
            <w:r>
              <w:rPr>
                <w:rFonts w:ascii="Arial" w:cs="Arial" w:eastAsia="Arial" w:hAnsi="Arial"/>
                <w:sz w:val="18"/>
                <w:szCs w:val="18"/>
                <w:color w:val="auto"/>
                <w:w w:val="88"/>
              </w:rPr>
              <w:t>Year Ended December 31</w:t>
            </w:r>
          </w:p>
        </w:tc>
        <w:tc>
          <w:tcPr>
            <w:tcW w:w="104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100" w:type="dxa"/>
            <w:vAlign w:val="bottom"/>
          </w:tcPr>
          <w:p>
            <w:pPr>
              <w:jc w:val="center"/>
              <w:ind w:right="290"/>
              <w:spacing w:after="0"/>
              <w:rPr>
                <w:sz w:val="20"/>
                <w:szCs w:val="20"/>
                <w:color w:val="auto"/>
              </w:rPr>
            </w:pPr>
            <w:r>
              <w:rPr>
                <w:rFonts w:ascii="Arial" w:cs="Arial" w:eastAsia="Arial" w:hAnsi="Arial"/>
                <w:sz w:val="18"/>
                <w:szCs w:val="18"/>
                <w:color w:val="auto"/>
                <w:w w:val="89"/>
              </w:rPr>
              <w:t>2016</w:t>
            </w:r>
          </w:p>
        </w:tc>
        <w:tc>
          <w:tcPr>
            <w:tcW w:w="3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r>
      <w:tr>
        <w:trPr>
          <w:trHeight w:val="27"/>
        </w:trPr>
        <w:tc>
          <w:tcPr>
            <w:tcW w:w="7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Mission Systems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79</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191</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51</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EAC adjustments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7"/>
        </w:trPr>
        <w:tc>
          <w:tcPr>
            <w:tcW w:w="70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Arial" w:cs="Arial" w:eastAsia="Arial" w:hAnsi="Arial"/>
                <w:sz w:val="18"/>
                <w:szCs w:val="18"/>
                <w:b w:val="1"/>
                <w:bCs w:val="1"/>
                <w:color w:val="auto"/>
              </w:rPr>
              <w:t>AEROSPACE SYSTEMS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4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20" w:type="dxa"/>
            <w:vAlign w:val="bottom"/>
            <w:gridSpan w:val="3"/>
          </w:tcPr>
          <w:p>
            <w:pPr>
              <w:jc w:val="right"/>
              <w:ind w:right="7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right"/>
              <w:ind w:right="570"/>
              <w:spacing w:after="0"/>
              <w:rPr>
                <w:sz w:val="20"/>
                <w:szCs w:val="20"/>
                <w:color w:val="auto"/>
              </w:rPr>
            </w:pPr>
            <w:r>
              <w:rPr>
                <w:rFonts w:ascii="Arial" w:cs="Arial" w:eastAsia="Arial" w:hAnsi="Arial"/>
                <w:sz w:val="18"/>
                <w:szCs w:val="18"/>
                <w:color w:val="auto"/>
              </w:rPr>
              <w:t>% Change in</w:t>
            </w:r>
          </w:p>
        </w:tc>
      </w:tr>
      <w:tr>
        <w:trPr>
          <w:trHeight w:val="27"/>
        </w:trPr>
        <w:tc>
          <w:tcPr>
            <w:tcW w:w="4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2016</w:t>
            </w:r>
          </w:p>
        </w:tc>
      </w:tr>
      <w:tr>
        <w:trPr>
          <w:trHeight w:val="27"/>
        </w:trPr>
        <w:tc>
          <w:tcPr>
            <w:tcW w:w="4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11,955</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10,828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9,940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1,259</w:t>
            </w:r>
          </w:p>
        </w:tc>
        <w:tc>
          <w:tcPr>
            <w:tcW w:w="5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1,236</w:t>
            </w: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b w:val="1"/>
                <w:bCs w:val="1"/>
                <w:i w:val="1"/>
                <w:iCs w:val="1"/>
                <w:color w:val="auto"/>
              </w:rPr>
              <w:t>10.5%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11.4%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
        </w:trPr>
        <w:tc>
          <w:tcPr>
            <w:tcW w:w="4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i w:val="1"/>
          <w:iCs w:val="1"/>
          <w:color w:val="auto"/>
        </w:rPr>
        <w:t xml:space="preserve">2017 - </w:t>
      </w:r>
      <w:r>
        <w:rPr>
          <w:rFonts w:ascii="Arial" w:cs="Arial" w:eastAsia="Arial" w:hAnsi="Arial"/>
          <w:sz w:val="16"/>
          <w:szCs w:val="16"/>
          <w:color w:val="auto"/>
        </w:rPr>
        <w:t>Aerospace Systems sales for 2017 increased $1.1 billion, or 10 percent, as compared with 2016, primarily due to higher volume on Manned Aircraft</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Manned Aircraft sales were driven by higher restricted sales. Autonomous Systems sales increased principally due to higher volume for several programs, including Triton, partially offset by lower NATO Alliance Ground Surveillance (AGS) volume. Space sales increased primarily due to higher restricted sales, partially offset by lower volume on the James Webb Space Telescope (JWST) and Advanced Extremely High Frequency (AEHF) programs.</w:t>
      </w:r>
    </w:p>
    <w:p>
      <w:pPr>
        <w:spacing w:after="0" w:line="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income for 2017 increased $23 million, or 2 percent, primarily due to higher sales, partially offset by a lower operating margin rate. Operating margin rate decreased to 10.5 percent from 11.4 percent principally due to changes in contract mix on Manned Aircraft programs and a gain of $45 million recognized in the prior year associated with the sale of a property, partially offset by the previously discussed $56 million favorable EAC adjustment largely related to performance incentives.</w:t>
      </w:r>
    </w:p>
    <w:p>
      <w:pPr>
        <w:spacing w:after="0" w:line="5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2016 - </w:t>
      </w:r>
      <w:r>
        <w:rPr>
          <w:rFonts w:ascii="Arial" w:cs="Arial" w:eastAsia="Arial" w:hAnsi="Arial"/>
          <w:sz w:val="18"/>
          <w:szCs w:val="18"/>
          <w:color w:val="auto"/>
        </w:rPr>
        <w:t>Aerospace Systems sales for 2016 increased $888 million, or 9 percent, as compared with 2015. The increase was due to higher volume on Manned</w:t>
      </w:r>
      <w:r>
        <w:rPr>
          <w:rFonts w:ascii="Arial" w:cs="Arial" w:eastAsia="Arial" w:hAnsi="Arial"/>
          <w:sz w:val="18"/>
          <w:szCs w:val="18"/>
          <w:i w:val="1"/>
          <w:iCs w:val="1"/>
          <w:color w:val="auto"/>
        </w:rPr>
        <w:t xml:space="preserve"> </w:t>
      </w:r>
      <w:r>
        <w:rPr>
          <w:rFonts w:ascii="Arial" w:cs="Arial" w:eastAsia="Arial" w:hAnsi="Arial"/>
          <w:sz w:val="18"/>
          <w:szCs w:val="18"/>
          <w:color w:val="auto"/>
        </w:rPr>
        <w:t>Aircraft and Autonomous Systems programs. Manned Aircraft sales increased primarily due to higher restricted volume, increased F-35 deliveries and production ramp-up on the E-2D program.</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These increases were partially offset by lower B-2 volume and fewer F/A-18 deliveries. Autonomous Systems sales increased primarily due to higher volume on the Triton and Global Hawk programs, partially offset by ramp-down of the NATO AGS program. Space sales include higher volume on restricted programs, partially offset by lower volume on the AEHF program.</w:t>
      </w:r>
    </w:p>
    <w:p>
      <w:pPr>
        <w:spacing w:after="0" w:line="4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Operating income for 2016 increased $31 million, or 3 percent, and includes a gain of $45 million associated with the sale of a property. Higher sales volume and improved performance on Space and Autonomous Systems programs were more than offset by lower margins on Manned Aircraft programs, principally due to changes in contract mix and the timing of risk reductions. Operating margin rate decreased to 11.4 percent from 12.1 percent primarily due to the lower margins on Manned Aircraft programs, partially offset by improved performance on Space and Autonomous Systems programs.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SYSTEMS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20" w:type="dxa"/>
            <w:vAlign w:val="bottom"/>
            <w:gridSpan w:val="3"/>
          </w:tcPr>
          <w:p>
            <w:pPr>
              <w:jc w:val="right"/>
              <w:ind w:right="7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jc w:val="right"/>
              <w:ind w:right="570"/>
              <w:spacing w:after="0"/>
              <w:rPr>
                <w:sz w:val="20"/>
                <w:szCs w:val="20"/>
                <w:color w:val="auto"/>
              </w:rPr>
            </w:pPr>
            <w:r>
              <w:rPr>
                <w:rFonts w:ascii="Arial" w:cs="Arial" w:eastAsia="Arial" w:hAnsi="Arial"/>
                <w:sz w:val="18"/>
                <w:szCs w:val="18"/>
                <w:color w:val="auto"/>
              </w:rPr>
              <w:t>% Change in</w:t>
            </w:r>
          </w:p>
        </w:tc>
      </w:tr>
      <w:tr>
        <w:trPr>
          <w:trHeight w:val="27"/>
        </w:trPr>
        <w:tc>
          <w:tcPr>
            <w:tcW w:w="4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2016</w:t>
            </w:r>
          </w:p>
        </w:tc>
      </w:tr>
      <w:tr>
        <w:trPr>
          <w:trHeight w:val="27"/>
        </w:trPr>
        <w:tc>
          <w:tcPr>
            <w:tcW w:w="4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11,382</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10,928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10,674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1,453</w:t>
            </w:r>
          </w:p>
        </w:tc>
        <w:tc>
          <w:tcPr>
            <w:tcW w:w="5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1,445</w:t>
            </w: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b w:val="1"/>
                <w:bCs w:val="1"/>
                <w:i w:val="1"/>
                <w:iCs w:val="1"/>
                <w:color w:val="auto"/>
              </w:rPr>
              <w:t>12.8%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13.2%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
        </w:trPr>
        <w:tc>
          <w:tcPr>
            <w:tcW w:w="4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2017 - </w:t>
      </w:r>
      <w:r>
        <w:rPr>
          <w:rFonts w:ascii="Arial" w:cs="Arial" w:eastAsia="Arial" w:hAnsi="Arial"/>
          <w:sz w:val="18"/>
          <w:szCs w:val="18"/>
          <w:color w:val="auto"/>
        </w:rPr>
        <w:t>Mission Systems sales for 2017 increased $454 million, or 4 percent, as compared with 2016, primarily due to higher Sensors and Processing volume,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lower Cyber and ISR volume. Sensors and Processing sales increased principally due to higher volume on F-35 sensors, electro-optical/infrared self-protection and targeting programs, communications programs and the Scalable Agile Beam Radar program. These increases were partially offset by lower volume on international ground-based radar programs. Cyber and ISR sales decreased primarily due to lower volume on ISR and restricted programs.</w:t>
      </w:r>
    </w:p>
    <w:p>
      <w:pPr>
        <w:spacing w:after="0" w:line="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income for 2017 increased $8 million, or 1 percent, primarily due to higher sales and $32 million recognized in connection with the Cost Claim described above, partially offset by a lower operating margin rate. Operating margin rate decreased to 12.8 percent from 13.2 percent primarily due to lower margin rates on Sensors and Processing and Cyber and ISR programs principally resulting from lower performance and changes in contract mix. This decrease was partially offset by improved margin rates at Advanced Capabilities primarily due to the prior year including a $49 million forward loss provision on an Advanced Capabilities program as described below.</w:t>
      </w:r>
    </w:p>
    <w:p>
      <w:pPr>
        <w:spacing w:after="0" w:line="5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i w:val="1"/>
          <w:iCs w:val="1"/>
          <w:color w:val="auto"/>
        </w:rPr>
        <w:t xml:space="preserve">2016 - </w:t>
      </w:r>
      <w:r>
        <w:rPr>
          <w:rFonts w:ascii="Arial" w:cs="Arial" w:eastAsia="Arial" w:hAnsi="Arial"/>
          <w:sz w:val="18"/>
          <w:szCs w:val="18"/>
          <w:color w:val="auto"/>
        </w:rPr>
        <w:t>Mission Systems sales for 2016 increased $254 million, or 2 percent, as compared with 2015 due to higher volume on Sensors and Processing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Advanced Capabilities programs, partially offset by lower volume on Cyber and ISR programs. Sensors and Processing sales increased primarily due to higher volume on communications programs, including the Joint Counter Radio-Controlled Improvised Explosive Device Electronic Warfare program; increased restricted volume and ramp-up on the G/ATOR program. These increases were partially offset by lower volume on international programs. Advanced Capabilities sales increased primarily due to higher volume on restricted, maritime systems and marine systems programs. Cyber and ISR sales reflect lower volume on space programs.</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income for 2016 increased $35 million, or 2 percent, due to the higher sales volume described above and a $21 million gain associated with the sale of a commercial cyber security product business, partially offset by a $49 million forward loss provision recorded on an Advanced Capabilities program principally due to cost growth for changes impacting fixed-price options, which may not be fully recovered through additional contract value. Operating margin rate for 2016 was consistent with the same period in 2015 and reflects improved performance on Sensors and Processing programs, partially offset by lower margins on Advanced Capabilities programs.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2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Year Ended December 31</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2"/>
          </w:tcPr>
          <w:p>
            <w:pPr>
              <w:jc w:val="right"/>
              <w:ind w:right="590"/>
              <w:spacing w:after="0"/>
              <w:rPr>
                <w:sz w:val="20"/>
                <w:szCs w:val="20"/>
                <w:color w:val="auto"/>
              </w:rPr>
            </w:pPr>
            <w:r>
              <w:rPr>
                <w:rFonts w:ascii="Arial" w:cs="Arial" w:eastAsia="Arial" w:hAnsi="Arial"/>
                <w:sz w:val="18"/>
                <w:szCs w:val="18"/>
                <w:color w:val="auto"/>
              </w:rPr>
              <w:t>% Change in</w:t>
            </w:r>
          </w:p>
        </w:tc>
      </w:tr>
      <w:tr>
        <w:trPr>
          <w:trHeight w:val="27"/>
        </w:trPr>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2016</w:t>
            </w:r>
          </w:p>
        </w:tc>
      </w:tr>
      <w:tr>
        <w:trPr>
          <w:trHeight w:val="27"/>
        </w:trPr>
        <w:tc>
          <w:tcPr>
            <w:tcW w:w="4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4,750</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4,825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4,819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w:t>
            </w: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7"/>
              </w:rPr>
              <w:t>— %</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58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512</w:t>
            </w:r>
          </w:p>
        </w:tc>
        <w:tc>
          <w:tcPr>
            <w:tcW w:w="40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2 %</w:t>
            </w:r>
          </w:p>
        </w:tc>
        <w:tc>
          <w:tcPr>
            <w:tcW w:w="980" w:type="dxa"/>
            <w:vAlign w:val="bottom"/>
          </w:tcPr>
          <w:p>
            <w:pPr>
              <w:ind w:left="580"/>
              <w:spacing w:after="0"/>
              <w:rPr>
                <w:sz w:val="20"/>
                <w:szCs w:val="20"/>
                <w:color w:val="auto"/>
              </w:rPr>
            </w:pPr>
            <w:r>
              <w:rPr>
                <w:rFonts w:ascii="Arial" w:cs="Arial" w:eastAsia="Arial" w:hAnsi="Arial"/>
                <w:sz w:val="18"/>
                <w:szCs w:val="18"/>
                <w:color w:val="auto"/>
                <w:w w:val="97"/>
              </w:rPr>
              <w:t>— %</w:t>
            </w: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b w:val="1"/>
                <w:bCs w:val="1"/>
                <w:i w:val="1"/>
                <w:iCs w:val="1"/>
                <w:color w:val="auto"/>
              </w:rPr>
              <w:t>11.0%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10.6%</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0"/>
        </w:trPr>
        <w:tc>
          <w:tcPr>
            <w:tcW w:w="4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i w:val="1"/>
          <w:iCs w:val="1"/>
          <w:color w:val="auto"/>
        </w:rPr>
        <w:t xml:space="preserve">2017 - </w:t>
      </w:r>
      <w:r>
        <w:rPr>
          <w:rFonts w:ascii="Arial" w:cs="Arial" w:eastAsia="Arial" w:hAnsi="Arial"/>
          <w:sz w:val="18"/>
          <w:szCs w:val="18"/>
          <w:color w:val="auto"/>
        </w:rPr>
        <w:t>Technology Services sales for 2017 decreased $75 million, or 2 percent, as compared with 2016, primarily due to lower volume on System</w:t>
      </w:r>
      <w:r>
        <w:rPr>
          <w:rFonts w:ascii="Arial" w:cs="Arial" w:eastAsia="Arial" w:hAnsi="Arial"/>
          <w:sz w:val="18"/>
          <w:szCs w:val="18"/>
          <w:i w:val="1"/>
          <w:iCs w:val="1"/>
          <w:color w:val="auto"/>
        </w:rPr>
        <w:t xml:space="preserve"> </w:t>
      </w:r>
      <w:r>
        <w:rPr>
          <w:rFonts w:ascii="Arial" w:cs="Arial" w:eastAsia="Arial" w:hAnsi="Arial"/>
          <w:sz w:val="18"/>
          <w:szCs w:val="18"/>
          <w:color w:val="auto"/>
        </w:rPr>
        <w:t>Modernization and Services programs, partially offset by higher volume on Global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Logistics and Modernization programs. System Modernization and Services sales decreased principally due to the completion of several programs in 2016 and 2017. Global Logistics and Modernization sales increased primarily due to higher intercompany volume and increased sales on the UKAWACS and Hunter programs, partially offset by lower volume on the KC-10 program as our contract nears completion.</w:t>
      </w:r>
    </w:p>
    <w:p>
      <w:pPr>
        <w:spacing w:after="0" w:line="3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Operating income for 2017 increased $12 million, or 2 percent, and operating margin rate increased to 11.0 percent from 10.6 percent primarily due to improved performance across the sector.</w:t>
      </w:r>
    </w:p>
    <w:p>
      <w:pPr>
        <w:spacing w:after="0" w:line="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2016 - </w:t>
      </w:r>
      <w:r>
        <w:rPr>
          <w:rFonts w:ascii="Arial" w:cs="Arial" w:eastAsia="Arial" w:hAnsi="Arial"/>
          <w:sz w:val="17"/>
          <w:szCs w:val="17"/>
          <w:color w:val="auto"/>
        </w:rPr>
        <w:t>Technology Services sales for 2016 were slightly higher than the prior year and reflect higher volume on System Modernization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partially offset by lower volume on Advanced Defense Services and Global Logistics and Modernization programs. System Modernization and Services sales increased primarily due to higher volume on U.S. Government health programs. Advanced Defense Services sales declined primarily due to the completion of several programs in 2015, partially offset by higher volume on the Saudi Arabian Ministry of National Guard Training Support program (through our interest in a joint venture for which we consolidate the financial results). Global Logistics and Modernization sales decreased principally due to lower volume on the Intercontinental Ballistic Missile program, partially offset by higher volume on the KC-10 program.</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and margin rate for 2016 were comparable to the prior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product and service sales and operating costs and expenses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gridSpan w:val="3"/>
          </w:tcPr>
          <w:p>
            <w:pPr>
              <w:jc w:val="right"/>
              <w:ind w:right="350"/>
              <w:spacing w:after="0"/>
              <w:rPr>
                <w:sz w:val="20"/>
                <w:szCs w:val="20"/>
                <w:color w:val="auto"/>
              </w:rPr>
            </w:pPr>
            <w:r>
              <w:rPr>
                <w:rFonts w:ascii="Arial" w:cs="Arial" w:eastAsia="Arial" w:hAnsi="Arial"/>
                <w:sz w:val="18"/>
                <w:szCs w:val="18"/>
                <w:color w:val="auto"/>
                <w:w w:val="94"/>
              </w:rPr>
              <w:t>Year Ended December 31</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2017</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gridSpan w:val="3"/>
          </w:tcPr>
          <w:p>
            <w:pPr>
              <w:jc w:val="right"/>
              <w:ind w:right="107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2340" w:type="dxa"/>
            <w:vAlign w:val="bottom"/>
            <w:gridSpan w:val="3"/>
          </w:tcPr>
          <w:p>
            <w:pPr>
              <w:jc w:val="right"/>
              <w:ind w:right="1030"/>
              <w:spacing w:after="0"/>
              <w:rPr>
                <w:sz w:val="20"/>
                <w:szCs w:val="20"/>
                <w:color w:val="auto"/>
              </w:rPr>
            </w:pPr>
            <w:r>
              <w:rPr>
                <w:rFonts w:ascii="Arial" w:cs="Arial" w:eastAsia="Arial" w:hAnsi="Arial"/>
                <w:sz w:val="18"/>
                <w:szCs w:val="18"/>
                <w:color w:val="auto"/>
              </w:rPr>
              <w:t>2015</w:t>
            </w:r>
          </w:p>
        </w:tc>
      </w:tr>
      <w:tr>
        <w:trPr>
          <w:trHeight w:val="27"/>
        </w:trPr>
        <w:tc>
          <w:tcPr>
            <w:tcW w:w="3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3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94"/>
              </w:rPr>
              <w:t>Operating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87"/>
              </w:rPr>
              <w:t>Costs and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5"/>
              </w:rPr>
              <w:t>Operating Costs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Operating Costs</w:t>
            </w:r>
          </w:p>
        </w:tc>
      </w:tr>
      <w:tr>
        <w:trPr>
          <w:trHeight w:val="266"/>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Information:</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Sales</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85"/>
              </w:rPr>
              <w:t>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5"/>
              </w:rPr>
              <w:t>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and Expenses</w:t>
            </w:r>
          </w:p>
        </w:tc>
      </w:tr>
      <w:tr>
        <w:trPr>
          <w:trHeight w:val="237"/>
        </w:trPr>
        <w:tc>
          <w:tcPr>
            <w:tcW w:w="330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Aerospace Systems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9,841</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8,796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8,868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7,837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7,025</w:t>
            </w: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2,114</w:t>
            </w:r>
          </w:p>
        </w:tc>
        <w:tc>
          <w:tcPr>
            <w:tcW w:w="4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1,900</w:t>
            </w: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1,960</w:t>
            </w:r>
          </w:p>
        </w:tc>
        <w:tc>
          <w:tcPr>
            <w:tcW w:w="1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1,755</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1,964</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1,710</w:t>
            </w:r>
          </w:p>
        </w:tc>
      </w:tr>
      <w:tr>
        <w:trPr>
          <w:trHeight w:val="27"/>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Mission Systems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6,907</w:t>
            </w:r>
          </w:p>
        </w:tc>
        <w:tc>
          <w:tcPr>
            <w:tcW w:w="4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5,981</w:t>
            </w: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6,471</w:t>
            </w:r>
          </w:p>
        </w:tc>
        <w:tc>
          <w:tcPr>
            <w:tcW w:w="1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5,588</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6,448</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5,532</w:t>
            </w:r>
          </w:p>
        </w:tc>
      </w:tr>
      <w:tr>
        <w:trPr>
          <w:trHeight w:val="27"/>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3,948</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4,457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3,895</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4,226</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3,732</w:t>
            </w: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b w:val="1"/>
                <w:bCs w:val="1"/>
                <w:color w:val="auto"/>
              </w:rPr>
              <w:t>Technology Services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360</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358</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4,358</w:t>
            </w:r>
          </w:p>
        </w:tc>
        <w:tc>
          <w:tcPr>
            <w:tcW w:w="4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3,866</w:t>
            </w: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4,505</w:t>
            </w:r>
          </w:p>
        </w:tc>
        <w:tc>
          <w:tcPr>
            <w:tcW w:w="1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4,021</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4,461</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3,966</w:t>
            </w:r>
          </w:p>
        </w:tc>
      </w:tr>
      <w:tr>
        <w:trPr>
          <w:trHeight w:val="27"/>
        </w:trPr>
        <w:tc>
          <w:tcPr>
            <w:tcW w:w="3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Segment Totals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Total Product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17,140</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15,137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15,659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13,717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14,782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12,896</w:t>
            </w:r>
          </w:p>
        </w:tc>
      </w:tr>
      <w:tr>
        <w:trPr>
          <w:trHeight w:val="27"/>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Service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10,947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9,714</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10,922</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9,671</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10,651</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9,408</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Pr>
          <w:p>
            <w:pPr>
              <w:spacing w:after="0"/>
              <w:rPr>
                <w:sz w:val="21"/>
                <w:szCs w:val="21"/>
                <w:color w:val="auto"/>
              </w:rPr>
            </w:pPr>
          </w:p>
        </w:tc>
        <w:tc>
          <w:tcPr>
            <w:tcW w:w="13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(2,284)</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(2,073)</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(1,815)</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(1,907)</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(1,698)</w:t>
            </w:r>
          </w:p>
        </w:tc>
      </w:tr>
      <w:tr>
        <w:trPr>
          <w:trHeight w:val="27"/>
        </w:trPr>
        <w:tc>
          <w:tcPr>
            <w:tcW w:w="3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1"/>
        </w:trPr>
        <w:tc>
          <w:tcPr>
            <w:tcW w:w="330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Total Segment</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25,803</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22,844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24,508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21,573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23,526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20,606</w:t>
            </w:r>
          </w:p>
        </w:tc>
      </w:tr>
    </w:tbl>
    <w:p>
      <w:pPr>
        <w:spacing w:after="0" w:line="117"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A reconciliation of segment operating income to total operating income is included in “Segment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i w:val="1"/>
          <w:iCs w:val="1"/>
          <w:color w:val="auto"/>
        </w:rPr>
        <w:t xml:space="preserve">2017 - </w:t>
      </w:r>
      <w:r>
        <w:rPr>
          <w:rFonts w:ascii="Arial" w:cs="Arial" w:eastAsia="Arial" w:hAnsi="Arial"/>
          <w:sz w:val="18"/>
          <w:szCs w:val="18"/>
          <w:color w:val="auto"/>
        </w:rPr>
        <w:t>Product sales for 2017 increased $1.5 billion, or 9 percent, as compared with 2016. The increase was primarily due to higher product sales at</w:t>
      </w:r>
      <w:r>
        <w:rPr>
          <w:rFonts w:ascii="Arial" w:cs="Arial" w:eastAsia="Arial" w:hAnsi="Arial"/>
          <w:sz w:val="18"/>
          <w:szCs w:val="18"/>
          <w:i w:val="1"/>
          <w:iCs w:val="1"/>
          <w:color w:val="auto"/>
        </w:rPr>
        <w:t xml:space="preserve"> </w:t>
      </w:r>
      <w:r>
        <w:rPr>
          <w:rFonts w:ascii="Arial" w:cs="Arial" w:eastAsia="Arial" w:hAnsi="Arial"/>
          <w:sz w:val="18"/>
          <w:szCs w:val="18"/>
          <w:color w:val="auto"/>
        </w:rPr>
        <w:t>Aerospace Systems and Mission Systems. Higher Aerospace Systems product sales were primarily driven by increased restricted volume, partially offset by lower volume on the JWST and NATO AGS programs. The increase at Mission Systems was principally due to higher product volume on F-35 sensors, EO/IR self-protection and targeting programs and the SABR program.</w:t>
      </w:r>
    </w:p>
    <w:p>
      <w:pPr>
        <w:spacing w:after="0" w:line="5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Product costs for 2017 increased $1.4 billion, or 10 percent, as compared to 2016. The increase principally reflects a lower product margin rate at Aerospace Systems due to changes in contract mix.</w:t>
      </w:r>
    </w:p>
    <w:p>
      <w:pPr>
        <w:spacing w:after="0" w:line="3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i w:val="1"/>
          <w:iCs w:val="1"/>
          <w:color w:val="auto"/>
        </w:rPr>
        <w:t xml:space="preserve">2016 - </w:t>
      </w:r>
      <w:r>
        <w:rPr>
          <w:rFonts w:ascii="Arial" w:cs="Arial" w:eastAsia="Arial" w:hAnsi="Arial"/>
          <w:sz w:val="17"/>
          <w:szCs w:val="17"/>
          <w:color w:val="auto"/>
        </w:rPr>
        <w:t>Product sales for 2016 increased $877 million, or 6 percent, as compared with 2015. The increase was primarily driven by higher product sales at</w:t>
      </w:r>
      <w:r>
        <w:rPr>
          <w:rFonts w:ascii="Arial" w:cs="Arial" w:eastAsia="Arial" w:hAnsi="Arial"/>
          <w:sz w:val="17"/>
          <w:szCs w:val="17"/>
          <w:i w:val="1"/>
          <w:iCs w:val="1"/>
          <w:color w:val="auto"/>
        </w:rPr>
        <w:t xml:space="preserve"> </w:t>
      </w:r>
      <w:r>
        <w:rPr>
          <w:rFonts w:ascii="Arial" w:cs="Arial" w:eastAsia="Arial" w:hAnsi="Arial"/>
          <w:sz w:val="17"/>
          <w:szCs w:val="17"/>
          <w:color w:val="auto"/>
        </w:rPr>
        <w:t>Aerospace Systems due to higher restricted volume, increased F-35 deliveries and production ramp-up on the E-2D program.</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140"/>
        <w:spacing w:after="0" w:line="305" w:lineRule="auto"/>
        <w:rPr>
          <w:sz w:val="20"/>
          <w:szCs w:val="20"/>
          <w:color w:val="auto"/>
        </w:rPr>
      </w:pPr>
      <w:r>
        <w:rPr>
          <w:rFonts w:ascii="Arial" w:cs="Arial" w:eastAsia="Arial" w:hAnsi="Arial"/>
          <w:sz w:val="18"/>
          <w:szCs w:val="18"/>
          <w:color w:val="auto"/>
        </w:rPr>
        <w:t xml:space="preserve">Product costs for 2016 increased $821 million, or 6 percent, as compared to 2015, consistent with the change in product sales described above. </w:t>
      </w:r>
      <w:r>
        <w:rPr>
          <w:rFonts w:ascii="Arial" w:cs="Arial" w:eastAsia="Arial" w:hAnsi="Arial"/>
          <w:sz w:val="18"/>
          <w:szCs w:val="18"/>
          <w:b w:val="1"/>
          <w:bCs w:val="1"/>
          <w:color w:val="auto"/>
        </w:rPr>
        <w:t>Service Sales and Costs</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2017 - </w:t>
      </w:r>
      <w:r>
        <w:rPr>
          <w:rFonts w:ascii="Arial" w:cs="Arial" w:eastAsia="Arial" w:hAnsi="Arial"/>
          <w:sz w:val="18"/>
          <w:szCs w:val="18"/>
          <w:color w:val="auto"/>
        </w:rPr>
        <w:t>Service sales for 2017 were comparable with 2016. Higher service sales at Aerospace Systems on several Autonomous Systems and Manned Aircraft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were offset by lower service volume principally on the KC-10 program at Technology Services.</w:t>
      </w:r>
    </w:p>
    <w:p>
      <w:pPr>
        <w:spacing w:after="0" w:line="4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Service costs for 2017 were comparable with 2016, consistent with the change in service sales described above and reflect lower service margins at Mission Systems, partially offset by higher service margins at Technology Services principally due to improved performance across the sector.</w:t>
      </w:r>
    </w:p>
    <w:p>
      <w:pPr>
        <w:spacing w:after="0" w:line="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2016 - </w:t>
      </w:r>
      <w:r>
        <w:rPr>
          <w:rFonts w:ascii="Arial" w:cs="Arial" w:eastAsia="Arial" w:hAnsi="Arial"/>
          <w:sz w:val="18"/>
          <w:szCs w:val="18"/>
          <w:color w:val="auto"/>
        </w:rPr>
        <w:t>Service sales for 2016 increased $271 million, or 3 percent, as compared with 2015. The increase was primarily driven by higher volume on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Cyber and ISR and Sensors and Processing service programs at Mission Systems.</w:t>
      </w:r>
    </w:p>
    <w:p>
      <w:pPr>
        <w:spacing w:after="0" w:line="3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Service costs for 2016 increased $263 million, or 3 percent, as compared with 2015, consistent with the change in service sales described above and reflects higher service margins at Mission Systems, partially offset by lower service margins at Aerospace Systems.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Total backlog includes both funded backlog (firm orders for which funding is authorized and appropriated) and unfunded backlog. Unexercised contract options and indefinite delivery indefinite quantity (IDIQ) contracts are not included in backlog until the time the option or IDIQ task order is exercised or awarded. For multi-year service contracts with non-U.S. Government customers having no stated contract values, backlog includes only the amounts committed by the customer. Backlog is converted into sales as costs are incurred or deliveries are made.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Backlog consisted of the following at December 31, 2017 and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Total</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 Change in</w:t>
            </w: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Funded</w:t>
            </w:r>
          </w:p>
        </w:tc>
        <w:tc>
          <w:tcPr>
            <w:tcW w:w="24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Unfunded</w:t>
            </w:r>
          </w:p>
        </w:tc>
        <w:tc>
          <w:tcPr>
            <w:tcW w:w="2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Backlog</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Backlog</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2017</w:t>
            </w:r>
          </w:p>
        </w:tc>
      </w:tr>
      <w:tr>
        <w:trPr>
          <w:trHeight w:val="27"/>
        </w:trPr>
        <w:tc>
          <w:tcPr>
            <w:tcW w:w="5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15,687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25,022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27,310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Mission Systems</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10,241</w:t>
            </w: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3,790</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14,031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13,715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2 %</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2,797</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1,028</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4,314</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backlog</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22,373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20,505</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42,878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45,339</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r>
      <w:tr>
        <w:trPr>
          <w:trHeight w:val="34"/>
        </w:trPr>
        <w:tc>
          <w:tcPr>
            <w:tcW w:w="5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ind w:right="1960"/>
        <w:spacing w:after="0" w:line="391" w:lineRule="auto"/>
        <w:rPr>
          <w:sz w:val="20"/>
          <w:szCs w:val="20"/>
          <w:color w:val="auto"/>
        </w:rPr>
      </w:pPr>
      <w:r>
        <w:rPr>
          <w:rFonts w:ascii="Arial" w:cs="Arial" w:eastAsia="Arial" w:hAnsi="Arial"/>
          <w:sz w:val="18"/>
          <w:szCs w:val="18"/>
          <w:color w:val="auto"/>
        </w:rPr>
        <w:t xml:space="preserve">Approximately $20.3 billion of the $42.9 billion total backlog at December 31, 2017 is expected to be converted into sales in 2018. </w:t>
      </w:r>
      <w:r>
        <w:rPr>
          <w:rFonts w:ascii="Arial" w:cs="Arial" w:eastAsia="Arial" w:hAnsi="Arial"/>
          <w:sz w:val="18"/>
          <w:szCs w:val="18"/>
          <w:b w:val="1"/>
          <w:bCs w:val="1"/>
          <w:color w:val="auto"/>
        </w:rPr>
        <w:t>OTHER</w:t>
      </w:r>
    </w:p>
    <w:p>
      <w:pPr>
        <w:spacing w:after="0" w:line="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July 18, 2017, the Armed Services Board of Contract Appeals made public its decision that the government improperly required Northrop Grumman to treat $253 million of its post-retirement benefit costs as unallowable for government contract cost accounting purposes. The decision, if upheld on any potential appeal, would only apply to certain contracts spanning a 20-year period.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endeavor to ensure the most efficient conversion of operating income into cash for deployment in our business and to maximize shareholder value through cash deployment activities. In addition to our cash position, we use various financial measures to assist in capital deployment decision-making, including cash provided by operating activities and free cash flow, a non-GAAP measure described in more detail below.</w:t>
      </w:r>
    </w:p>
    <w:p>
      <w:pPr>
        <w:spacing w:after="0" w:line="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2017, we had cash and cash equivalents of $11.2 billion; approximately $200 million was held outside of the U.S. by foreign subsidiaries. Cash and cash equivalents and cash generated from operating activities, supplemented by borrowings under credit facilities and/or in the capital markets, if needed, are expected to be sufficient to fund our operations for at least the next 12 months. Capital expenditure commitments were $492 million at December 31, 2017, and are expected to be paid with cash on hand.</w:t>
      </w:r>
    </w:p>
    <w:p>
      <w:pPr>
        <w:spacing w:after="0" w:line="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September 17, 2017, we entered into a definitive merger agreement to acquire Orbital ATK for approximately $7.8 billion in cash, plus the assumption of approximately $1.4 billion in net debt. In October 2017, the company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issued $8.25 billion of unsecured senior notes and intends to use the net proceeds, as well as cash on hand, to finance the Orbital ATK Acquisition and to pay related fees and expenses. See Notes 2 and 10 to the consolidated financial statements for further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key components of cash flow provided by operating activities: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4"/>
          </w:tcPr>
          <w:p>
            <w:pPr>
              <w:jc w:val="right"/>
              <w:ind w:right="90"/>
              <w:spacing w:after="0"/>
              <w:rPr>
                <w:sz w:val="20"/>
                <w:szCs w:val="20"/>
                <w:color w:val="auto"/>
              </w:rPr>
            </w:pPr>
            <w:r>
              <w:rPr>
                <w:rFonts w:ascii="Arial" w:cs="Arial" w:eastAsia="Arial" w:hAnsi="Arial"/>
                <w:sz w:val="18"/>
                <w:szCs w:val="18"/>
                <w:color w:val="auto"/>
              </w:rPr>
              <w:t>Year Ended December 31</w:t>
            </w:r>
          </w:p>
        </w:tc>
        <w:tc>
          <w:tcPr>
            <w:tcW w:w="104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r>
      <w:tr>
        <w:trPr>
          <w:trHeight w:val="27"/>
        </w:trPr>
        <w:tc>
          <w:tcPr>
            <w:tcW w:w="7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1,990</w:t>
            </w:r>
          </w:p>
        </w:tc>
      </w:tr>
      <w:tr>
        <w:trPr>
          <w:trHeight w:val="270"/>
        </w:trPr>
        <w:tc>
          <w:tcPr>
            <w:tcW w:w="7100" w:type="dxa"/>
            <w:vAlign w:val="bottom"/>
          </w:tcPr>
          <w:p>
            <w:pPr>
              <w:ind w:left="40"/>
              <w:spacing w:after="0" w:line="270" w:lineRule="exact"/>
              <w:rPr>
                <w:sz w:val="20"/>
                <w:szCs w:val="20"/>
                <w:color w:val="auto"/>
              </w:rPr>
            </w:pPr>
            <w:r>
              <w:rPr>
                <w:rFonts w:ascii="Arial" w:cs="Arial" w:eastAsia="Arial" w:hAnsi="Arial"/>
                <w:sz w:val="18"/>
                <w:szCs w:val="18"/>
                <w:color w:val="auto"/>
              </w:rPr>
              <w:t>Non-cash items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1,172</w:t>
            </w:r>
          </w:p>
        </w:tc>
        <w:tc>
          <w:tcPr>
            <w:tcW w:w="3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585</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1,035</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Trade working capital</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(340)</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Retiree benefits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(191)</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393</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7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2,613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2,813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w:t>
            </w:r>
          </w:p>
        </w:tc>
      </w:tr>
      <w:tr>
        <w:trPr>
          <w:trHeight w:val="27"/>
        </w:trPr>
        <w:tc>
          <w:tcPr>
            <w:tcW w:w="7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4"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25"/>
          <w:szCs w:val="25"/>
          <w:color w:val="auto"/>
          <w:vertAlign w:val="superscript"/>
        </w:rPr>
      </w:pPr>
      <w:r>
        <w:rPr>
          <w:rFonts w:ascii="Arial" w:cs="Arial" w:eastAsia="Arial" w:hAnsi="Arial"/>
          <w:sz w:val="16"/>
          <w:szCs w:val="16"/>
          <w:color w:val="auto"/>
        </w:rPr>
        <w:t>Includes deferred income taxes, depreciation and amortization and stock based compensation expense (including related excess tax benefits in 2015).</w:t>
      </w:r>
    </w:p>
    <w:p>
      <w:pPr>
        <w:spacing w:after="0" w:line="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Net cash provided by operating activities for 2017 decreased by $200 million, or 7 percent, as compared with 2016, principally due to a $500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pre-tax pension contribution ($325 million after-tax) made in December 2017.</w:t>
      </w:r>
    </w:p>
    <w:p>
      <w:pPr>
        <w:spacing w:after="0" w:line="5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2016 </w:t>
      </w:r>
      <w:r>
        <w:rPr>
          <w:rFonts w:ascii="Arial" w:cs="Arial" w:eastAsia="Arial" w:hAnsi="Arial"/>
          <w:sz w:val="18"/>
          <w:szCs w:val="18"/>
          <w:color w:val="auto"/>
        </w:rPr>
        <w:t>– Net cash provided by operating activities for 2016 increased by $651 million, or 30 percent, as compared with 2015, principally due to a $500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pre-tax pension contribution ($325 million after-tax) made in the first quarter of 2015, changes in trade working capital and an increase in net earnings during 2016, partially offset by an increase in net income tax payments.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27"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Free cash flow, as reconciled in the table below, is a non-GAAP measure defined as net cash provided by operating activities less capital expenditures, and may not be defined and calculated by other companies in the same manner. We use free cash flow as a key factor in our planning for, and consideration of, acquisitions, stock repurchases, and the payment of dividends. This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cash provided by operating activities to free cash flow: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6"/>
          </w:tcPr>
          <w:p>
            <w:pPr>
              <w:ind w:left="360"/>
              <w:spacing w:after="0"/>
              <w:rPr>
                <w:sz w:val="20"/>
                <w:szCs w:val="20"/>
                <w:color w:val="auto"/>
              </w:rPr>
            </w:pPr>
            <w:r>
              <w:rPr>
                <w:rFonts w:ascii="Arial" w:cs="Arial" w:eastAsia="Arial" w:hAnsi="Arial"/>
                <w:sz w:val="18"/>
                <w:szCs w:val="18"/>
                <w:color w:val="auto"/>
              </w:rPr>
              <w:t>Year Ended December 31</w:t>
            </w:r>
          </w:p>
        </w:tc>
        <w:tc>
          <w:tcPr>
            <w:tcW w:w="2160" w:type="dxa"/>
            <w:vAlign w:val="bottom"/>
            <w:gridSpan w:val="2"/>
          </w:tcPr>
          <w:p>
            <w:pPr>
              <w:jc w:val="right"/>
              <w:ind w:right="510"/>
              <w:spacing w:after="0"/>
              <w:rPr>
                <w:sz w:val="20"/>
                <w:szCs w:val="20"/>
                <w:color w:val="auto"/>
              </w:rPr>
            </w:pPr>
            <w:r>
              <w:rPr>
                <w:rFonts w:ascii="Arial" w:cs="Arial" w:eastAsia="Arial" w:hAnsi="Arial"/>
                <w:sz w:val="18"/>
                <w:szCs w:val="18"/>
                <w:color w:val="auto"/>
              </w:rPr>
              <w:t>% Change in</w:t>
            </w:r>
          </w:p>
        </w:tc>
      </w:tr>
      <w:tr>
        <w:trPr>
          <w:trHeight w:val="27"/>
        </w:trPr>
        <w:tc>
          <w:tcPr>
            <w:tcW w:w="6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2016</w:t>
            </w:r>
          </w:p>
        </w:tc>
      </w:tr>
      <w:tr>
        <w:trPr>
          <w:trHeight w:val="27"/>
        </w:trPr>
        <w:tc>
          <w:tcPr>
            <w:tcW w:w="6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(928)</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(920)</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1 %</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6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1,685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1,893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6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2017 – </w:t>
      </w:r>
      <w:r>
        <w:rPr>
          <w:rFonts w:ascii="Arial" w:cs="Arial" w:eastAsia="Arial" w:hAnsi="Arial"/>
          <w:sz w:val="18"/>
          <w:szCs w:val="18"/>
          <w:color w:val="auto"/>
        </w:rPr>
        <w:t>Free cash flow for 2017 decreased $208 million, or 11 percent, as compared with 2016. The decrease was principally driven by the $500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pre-tax pension contribution discussed above.</w:t>
      </w:r>
    </w:p>
    <w:p>
      <w:pPr>
        <w:spacing w:after="0" w:line="3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2016 – </w:t>
      </w:r>
      <w:r>
        <w:rPr>
          <w:rFonts w:ascii="Arial" w:cs="Arial" w:eastAsia="Arial" w:hAnsi="Arial"/>
          <w:sz w:val="18"/>
          <w:szCs w:val="18"/>
          <w:color w:val="auto"/>
        </w:rPr>
        <w:t>Free cash flow for 2016 increased $202 million, or 12 percent, as compared with 2015. The increase was principally driven by the higher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operating activities described above, partially offset by higher capital expenditures in 2016 reflecting $239 million for the purchase of facilities previously leased by Mission Systems and increased capital investment at Aerospace Systems.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2017 - </w:t>
      </w:r>
      <w:r>
        <w:rPr>
          <w:rFonts w:ascii="Arial" w:cs="Arial" w:eastAsia="Arial" w:hAnsi="Arial"/>
          <w:sz w:val="18"/>
          <w:szCs w:val="18"/>
          <w:color w:val="auto"/>
        </w:rPr>
        <w:t>Net cash used in investing activities for 2017 increased $84 million, or 10 percent, as compared with 2016. The increase was primarily due to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2016 sales of a property at Aerospace Systems and a commercial cyber security business at Mission Systems, partially offset by proceeds from the sale of two investments in 2017.</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2016 - </w:t>
      </w:r>
      <w:r>
        <w:rPr>
          <w:rFonts w:ascii="Arial" w:cs="Arial" w:eastAsia="Arial" w:hAnsi="Arial"/>
          <w:sz w:val="18"/>
          <w:szCs w:val="18"/>
          <w:color w:val="auto"/>
        </w:rPr>
        <w:t>Net cash used in investing activities for 2016 increased $374 million, or 87 percent, as compared with 2015. The increase was principally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higher capital expenditures described above, partially offset by proceeds from the sale of a property at Aerospace Systems and the sale of a commercial cyber security business at Mission Systems.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i w:val="1"/>
          <w:iCs w:val="1"/>
          <w:color w:val="auto"/>
        </w:rPr>
        <w:t xml:space="preserve">2017 - </w:t>
      </w:r>
      <w:r>
        <w:rPr>
          <w:rFonts w:ascii="Arial" w:cs="Arial" w:eastAsia="Arial" w:hAnsi="Arial"/>
          <w:sz w:val="16"/>
          <w:szCs w:val="16"/>
          <w:color w:val="auto"/>
        </w:rPr>
        <w:t>Net cash provided by financing activities during 2017 was $7.0 billion compared to net cash used in financing activities of $1.8 billion in 2016. The</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is principally due to $7.5 billion higher net proceeds from the issuance of long-term debt and $1.2 billion lower share repurchases in 2017.</w:t>
      </w:r>
    </w:p>
    <w:p>
      <w:pPr>
        <w:spacing w:after="0" w:line="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2016 - </w:t>
      </w:r>
      <w:r>
        <w:rPr>
          <w:rFonts w:ascii="Arial" w:cs="Arial" w:eastAsia="Arial" w:hAnsi="Arial"/>
          <w:sz w:val="18"/>
          <w:szCs w:val="18"/>
          <w:color w:val="auto"/>
        </w:rPr>
        <w:t>Net cash used in financing activities during 2016 decreased $1.5 billion, or 45 percent, as compared with 2015, principally due to $1.6 billion lower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repurchases, $149 million higher net proceeds from the issuance of long-term debt and $135 million of borrowings under our credit facilities, partially offset by $321 million in debt repayments.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 </w:t>
      </w:r>
      <w:r>
        <w:rPr>
          <w:rFonts w:ascii="Arial" w:cs="Arial" w:eastAsia="Arial" w:hAnsi="Arial"/>
          <w:sz w:val="18"/>
          <w:szCs w:val="18"/>
          <w:color w:val="auto"/>
        </w:rPr>
        <w:t>See Note 3 to the consolidated financial statements for further information on our share repurchase programs.</w:t>
      </w:r>
    </w:p>
    <w:p>
      <w:pPr>
        <w:spacing w:after="0" w:line="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Credit Facilities and Unsecured Senior Notes - </w:t>
      </w:r>
      <w:r>
        <w:rPr>
          <w:rFonts w:ascii="Arial" w:cs="Arial" w:eastAsia="Arial" w:hAnsi="Arial"/>
          <w:sz w:val="18"/>
          <w:szCs w:val="18"/>
          <w:color w:val="auto"/>
        </w:rPr>
        <w:t>See Note 10 to the consolidated financial statements for further information on our credit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senior notes.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Financial Arrangements - </w:t>
      </w:r>
      <w:r>
        <w:rPr>
          <w:rFonts w:ascii="Arial" w:cs="Arial" w:eastAsia="Arial" w:hAnsi="Arial"/>
          <w:sz w:val="16"/>
          <w:szCs w:val="16"/>
          <w:color w:val="auto"/>
        </w:rPr>
        <w:t>See Note 12 to the consolidated financial statements for further information on our use of standby letters of credit and guarantees.</w:t>
      </w:r>
    </w:p>
    <w:p>
      <w:pPr>
        <w:spacing w:after="0" w:line="11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Other Sources of Capital - </w:t>
      </w:r>
      <w:r>
        <w:rPr>
          <w:rFonts w:ascii="Arial" w:cs="Arial" w:eastAsia="Arial" w:hAnsi="Arial"/>
          <w:sz w:val="18"/>
          <w:szCs w:val="18"/>
          <w:color w:val="auto"/>
        </w:rPr>
        <w:t>We believe we can obtain additional capital, if necessary for long-term liquidity, from such sources as the public or private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the sale of assets, sale and leaseback of operating assets, and leasing rather than purchasing new assets. We have an effective shelf registration statement on file with the SEC, which allows us to access capital in a timely manner.</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December 31, 2017, we had contractual commitments to repay debt with interest, make payments under operating leases, settle obligations related to agreements to purchase goods and services and make payments on various other liabilities. Payments due under these obligations and commitments, and the estimated timing of those payments,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w w:val="95"/>
              </w:rPr>
              <w:t>2023 and</w:t>
            </w:r>
          </w:p>
        </w:tc>
      </w:tr>
      <w:tr>
        <w:trPr>
          <w:trHeight w:val="230"/>
        </w:trPr>
        <w:tc>
          <w:tcPr>
            <w:tcW w:w="36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2019- 2020</w:t>
            </w:r>
          </w:p>
        </w:tc>
        <w:tc>
          <w:tcPr>
            <w:tcW w:w="2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2021- 2022</w:t>
            </w:r>
          </w:p>
        </w:tc>
        <w:tc>
          <w:tcPr>
            <w:tcW w:w="32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beyond</w:t>
            </w:r>
          </w:p>
        </w:tc>
      </w:tr>
      <w:tr>
        <w:trPr>
          <w:trHeight w:val="27"/>
        </w:trPr>
        <w:tc>
          <w:tcPr>
            <w:tcW w:w="3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15,350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10,581</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Interest payments on long-term debt</w:t>
            </w:r>
          </w:p>
        </w:tc>
        <w:tc>
          <w:tcPr>
            <w:tcW w:w="1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7,705</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1,069</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955</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5,151</w:t>
            </w:r>
          </w:p>
        </w:tc>
      </w:tr>
      <w:tr>
        <w:trPr>
          <w:trHeight w:val="27"/>
        </w:trPr>
        <w:tc>
          <w:tcPr>
            <w:tcW w:w="3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70"/>
        </w:trPr>
        <w:tc>
          <w:tcPr>
            <w:tcW w:w="368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130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9,772</w:t>
            </w:r>
          </w:p>
        </w:tc>
        <w:tc>
          <w:tcPr>
            <w:tcW w:w="3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5,396</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3,187</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458</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731</w:t>
            </w:r>
          </w:p>
        </w:tc>
      </w:tr>
      <w:tr>
        <w:trPr>
          <w:trHeight w:val="270"/>
        </w:trPr>
        <w:tc>
          <w:tcPr>
            <w:tcW w:w="368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5"/>
                <w:szCs w:val="25"/>
                <w:color w:val="auto"/>
                <w:vertAlign w:val="superscript"/>
              </w:rPr>
              <w:t>(2)</w:t>
            </w:r>
          </w:p>
        </w:tc>
        <w:tc>
          <w:tcPr>
            <w:tcW w:w="1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1,187</w:t>
            </w: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37"/>
        </w:trPr>
        <w:tc>
          <w:tcPr>
            <w:tcW w:w="368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35,352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6,535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4,091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17,399</w:t>
            </w:r>
          </w:p>
        </w:tc>
      </w:tr>
      <w:tr>
        <w:trPr>
          <w:trHeight w:val="34"/>
        </w:trPr>
        <w:tc>
          <w:tcPr>
            <w:tcW w:w="3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87" w:lineRule="exact"/>
        <w:rPr>
          <w:sz w:val="20"/>
          <w:szCs w:val="20"/>
          <w:color w:val="auto"/>
        </w:rPr>
      </w:pPr>
    </w:p>
    <w:p>
      <w:pPr>
        <w:ind w:left="180" w:right="300" w:hanging="172"/>
        <w:spacing w:after="0" w:line="239" w:lineRule="auto"/>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A “purchase obligation” is defined as an agreement to purchase goods or services that is enforceable and legally binding on us and that specifies all significant terms, including: fixed or minimum quantities to be purchased; fixed, minimum, or variable price provisions; and the approximate timing of the transaction. These amounts are primarily comprised of open purchase order commitments to suppliers and subcontractors pertaining to funded contracts.</w:t>
      </w:r>
    </w:p>
    <w:p>
      <w:pPr>
        <w:spacing w:after="0" w:line="64" w:lineRule="exact"/>
        <w:rPr>
          <w:rFonts w:ascii="Arial" w:cs="Arial" w:eastAsia="Arial" w:hAnsi="Arial"/>
          <w:sz w:val="21"/>
          <w:szCs w:val="21"/>
          <w:color w:val="auto"/>
          <w:vertAlign w:val="superscript"/>
        </w:rPr>
      </w:pPr>
    </w:p>
    <w:p>
      <w:pPr>
        <w:ind w:left="180" w:right="100" w:hanging="172"/>
        <w:spacing w:after="0" w:line="239" w:lineRule="auto"/>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Other long-term liabilities, including their current portions, primarily consist of total accrued environmental reserves, deferred compensation and other miscellaneous liabilities, of which $148 million is related to environmental reserves recorded in other current liabilities. It excludes obligations for uncertain tax positions of $294 million, as the timing of such payments, if any, cannot be reasonably estimated.</w:t>
      </w:r>
    </w:p>
    <w:p>
      <w:pPr>
        <w:spacing w:after="0" w:line="60" w:lineRule="exact"/>
        <w:rPr>
          <w:sz w:val="20"/>
          <w:szCs w:val="20"/>
          <w:color w:val="auto"/>
        </w:rPr>
      </w:pPr>
    </w:p>
    <w:p>
      <w:pPr>
        <w:ind w:left="60" w:right="220"/>
        <w:spacing w:after="0" w:line="259" w:lineRule="auto"/>
        <w:rPr>
          <w:sz w:val="20"/>
          <w:szCs w:val="20"/>
          <w:color w:val="auto"/>
        </w:rPr>
      </w:pPr>
      <w:r>
        <w:rPr>
          <w:rFonts w:ascii="Arial" w:cs="Arial" w:eastAsia="Arial" w:hAnsi="Arial"/>
          <w:sz w:val="18"/>
          <w:szCs w:val="18"/>
          <w:color w:val="auto"/>
        </w:rPr>
        <w:t>The table above excludes estimated minimum funding requirements for retirement and other post-retirement benefit plans, as set forth by the Employee Retirement Income Security Act, as amended. For further information about future minimum contributions for these plans, see Note 13 to the consolidated financial statements. Further details regarding long-term debt and operating leases can be found in Notes 10 and 12, respectively, to the consolidated financial statements.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consolidated financial statements are based on GAAP, which requires us to make estimates and assumptions about future events that affect the amounts reported in our consolidated financial statements. We employ judgment in making our estimates in consideration of historical experience, currently available information and various other assumptions that we believe to be reasonable under the circumstances. Actual results could differ from our estimates and assumptions, and any such differences could be material to our consolidated financial statements. We believe the following accounting policies are critical to the understanding of our consolidated financial statements and require the use of significant management judgment in their application. For a summary of our significant accounting policies, see Note 1 to the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Due to the long-term nature of our contracts, we generally recognize revenue using the percentage-of-completion method of accounting as work on our contracts progresses, which requires us to make reasonably dependable estimates regarding the design, manufacture and delivery of our products and services. In accounting for these contracts, we utilize either the cost-to-cost or the units-of-delivery method of percentage-of-completion accounting, with cost-to-cost being the predominant method.</w:t>
      </w:r>
    </w:p>
    <w:p>
      <w:pPr>
        <w:spacing w:after="0" w:line="5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Contract sales may include estimated amounts not contractually agreed to or yet funded by the customer, including cost or performance incentives (such as award and incentive fees), un-priced change orders, contract claims and requests for equitable adjustment (REAs). Further, as contracts are performed, change orders can be a regular occurrence and may be un-priced until negotiated with the customer. Un-priced change orders, contract claims (including change orders unapproved as to both scope and price) and REAs are included in estimated contract sales when management believes it is probable the un-priced change order, claim and/or REA will result in additional contract revenue and the amount can be reliably estimated considering the facts and circumstances known to us at the time.</w:t>
      </w:r>
    </w:p>
    <w:p>
      <w:pPr>
        <w:spacing w:after="0" w:line="5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cost estimation process is based on the professional knowledge of our engineering, program management and financial professionals, and draws on their significant experience and judgment. We prepare EACs for our contracts and calculate an estimated contract operating margin based on estimated contract sales and cost. Since contract costs are typically incurred over a period of several years, estimation of these costs requires the use of judgment. Factors considered in estimating the cost of the work to be completed include our historical performance, the availability, productivity and cost of labor, the nature and complexity of work to be performed, the effect of change orders, the availability and cost of materials, components and subcontracts, the effect of any delays in performance and the level of indirect cost allocations.</w:t>
      </w:r>
    </w:p>
    <w:p>
      <w:pPr>
        <w:spacing w:after="0" w:line="4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generally review and reassess our sales, cost and profit estimates for each significant contract at least annually or more frequently as determined by the occurrence of events, changes in circumstances and evaluations of contract performance to reflect the latest reliable information available. Changes in estimates of contract sales and cost are frequent. The company performs on a broad portfolio of long-term contracts, including the development of complex and customized military platforms and systems, as well as advanced electronic equipment and software, that often include technology at the forefront of science. Changes in estimates occur for a variety of reasons, including changes in contract scope, the resolution of risk at lower or higher cost than anticipated, unanticipated risks affecting contract costs, performance issues with our subcontractors or suppliers, changes in indirect cost allocations, such as overhead and G&amp;A costs, and changes in estimated award and incentive fees. Identified risks typically include technical, schedule and/or performance risk based on our evaluation of the contract effort. Similarly, the changes in estimates may include changes in, or resolution of, identified opportunities for operating margin improvement.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impacts of changes in estimates on our consolidated statement of earnings and comprehensive income, see “Segment Operating Results” and Note 1 to the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Revenue Standard</w:t>
      </w:r>
    </w:p>
    <w:p>
      <w:pPr>
        <w:spacing w:after="0" w:line="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Effective January 1, 2018, we adopted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using the full retrospective method. Topic 606 supersedes existing revenue recognition guidance, including ASC 605-35, </w:t>
      </w:r>
      <w:r>
        <w:rPr>
          <w:rFonts w:ascii="Arial" w:cs="Arial" w:eastAsia="Arial" w:hAnsi="Arial"/>
          <w:sz w:val="17"/>
          <w:szCs w:val="17"/>
          <w:i w:val="1"/>
          <w:iCs w:val="1"/>
          <w:color w:val="auto"/>
        </w:rPr>
        <w:t>Revenue Recognition - Construction-Type and</w:t>
      </w:r>
      <w:r>
        <w:rPr>
          <w:rFonts w:ascii="Arial" w:cs="Arial" w:eastAsia="Arial" w:hAnsi="Arial"/>
          <w:sz w:val="17"/>
          <w:szCs w:val="17"/>
          <w:color w:val="auto"/>
        </w:rPr>
        <w:t xml:space="preserve"> </w:t>
      </w:r>
      <w:r>
        <w:rPr>
          <w:rFonts w:ascii="Arial" w:cs="Arial" w:eastAsia="Arial" w:hAnsi="Arial"/>
          <w:sz w:val="17"/>
          <w:szCs w:val="17"/>
          <w:i w:val="1"/>
          <w:iCs w:val="1"/>
          <w:color w:val="auto"/>
        </w:rPr>
        <w:t>Production-Type Contracts</w:t>
      </w:r>
      <w:r>
        <w:rPr>
          <w:rFonts w:ascii="Arial" w:cs="Arial" w:eastAsia="Arial" w:hAnsi="Arial"/>
          <w:sz w:val="17"/>
          <w:szCs w:val="17"/>
          <w:color w:val="auto"/>
        </w:rPr>
        <w:t>, and outlines a single set of comprehensive principles for recognizing revenue under GAAP. Under Topic 606, revenue is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as control transfers to the customer. As such, under the new standard, revenue for our contracts is generally recognized over time using the cost-to-cost method, which is consistent with the revenue recognition model used for the majority of our contracts prior to the adoption of Topic 606. In most cases the accounting for those contracts where we previously recognized revenue as units were delivered has changed under Topic 606 such that we now recognize revenue as costs are incurred. This change generally results in an acceleration of revenue as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compared with our previous revenue recognition method for those contracts. In addition, for certain of our contracts, there is a change in the number of performance obligations under Topic 606, which has altered the timing of revenue and margin recognition. See “Accounting Standards Updates” in Note 1 to the consolidated financial statements for additional information regarding our adoption of Topic 606.</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 The determination of projected benefit obligations and the fair value of plan assets for our pension and other post-retirement plans requires the</w:t>
      </w:r>
      <w:r>
        <w:rPr>
          <w:rFonts w:ascii="Arial" w:cs="Arial" w:eastAsia="Arial" w:hAnsi="Arial"/>
          <w:sz w:val="17"/>
          <w:szCs w:val="17"/>
          <w:i w:val="1"/>
          <w:iCs w:val="1"/>
          <w:color w:val="auto"/>
        </w:rPr>
        <w:t xml:space="preserve"> </w:t>
      </w:r>
      <w:r>
        <w:rPr>
          <w:rFonts w:ascii="Arial" w:cs="Arial" w:eastAsia="Arial" w:hAnsi="Arial"/>
          <w:sz w:val="17"/>
          <w:szCs w:val="17"/>
          <w:color w:val="auto"/>
        </w:rPr>
        <w:t>use of estimates and actuarial assumptions. We perform an annual review of our actuarial assumptions in consultation with our actuaries. As we determine changes in the assumptions are warranted, or as a result of plan amendments, future pension and other post-retirement benefit expense and our projected benefit obligation could increase or decrease. The principal estimates and assumptions that have a significant effect on our consolidated financial position and annual results of operations are the discount rate, cash balance crediting rate, expected long-term rate of return on plan assets, estimated fair market value of plan assets, and the mortality rate of those covered by our pension and other post-retirement benefit plans.</w:t>
      </w:r>
    </w:p>
    <w:p>
      <w:pPr>
        <w:spacing w:after="0" w:line="4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Discount Rate </w:t>
      </w:r>
      <w:r>
        <w:rPr>
          <w:rFonts w:ascii="Arial" w:cs="Arial" w:eastAsia="Arial" w:hAnsi="Arial"/>
          <w:sz w:val="16"/>
          <w:szCs w:val="16"/>
          <w:color w:val="auto"/>
        </w:rPr>
        <w:t>– The discount rate represents the interest rate that is used to determine the present value of future cash flows currently expected to be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settle our pension and other post-retirement benefit obligations. The discount rate is generally based on the yield of high-quality corporate fixed-income investments. At the end of each year, we determine the discount rate using a theoretical bond portfolio model of bonds rated AA or better to match the notional cash outflows related to projected benefit payments for each of our significant benefit plans. Taking into consideration the factors noted above, our weighted-average composite pension discount rate was 3.68 percent at December 31, 2017, and 4.19 percent at December 31, 2016.</w:t>
      </w:r>
    </w:p>
    <w:p>
      <w:pPr>
        <w:spacing w:after="0" w:line="2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effects of a hypothetical change in the discount rate may be nonlinear and asymmetrical for future years as the discount rate changes and the accounting corridor is applied. The accounting corridor is a defined range within which amortization of net gains and losses is not required and is equal to 10 percent of the greater of plan assets or benefit obligations. Holding all other assumptions constant, an increase or decrease of 25 basis points in the December 31, 2017 discount rate assumption would have the following estimated effects on 2017 pension and other post-retirement benefit obligations and 2018 expected pension and other post-retirement expense: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25 Basis Point</w:t>
            </w:r>
          </w:p>
        </w:tc>
        <w:tc>
          <w:tcPr>
            <w:tcW w:w="26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color w:val="auto"/>
                <w:w w:val="97"/>
              </w:rPr>
              <w:t>25 Basis Point</w:t>
            </w:r>
          </w:p>
        </w:tc>
      </w:tr>
      <w:tr>
        <w:trPr>
          <w:trHeight w:val="230"/>
        </w:trPr>
        <w:tc>
          <w:tcPr>
            <w:tcW w:w="5520" w:type="dxa"/>
            <w:vAlign w:val="bottom"/>
          </w:tcPr>
          <w:p>
            <w:pPr>
              <w:ind w:left="40"/>
              <w:spacing w:after="0"/>
              <w:rPr>
                <w:sz w:val="20"/>
                <w:szCs w:val="20"/>
                <w:color w:val="auto"/>
              </w:rPr>
            </w:pPr>
            <w:r>
              <w:rPr>
                <w:rFonts w:ascii="Arial" w:cs="Arial" w:eastAsia="Arial" w:hAnsi="Arial"/>
                <w:sz w:val="18"/>
                <w:szCs w:val="18"/>
                <w:i w:val="1"/>
                <w:iCs w:val="1"/>
                <w:color w:val="auto"/>
              </w:rPr>
              <w:t>$ increase/(decrease) in millions</w:t>
            </w:r>
          </w:p>
        </w:tc>
        <w:tc>
          <w:tcPr>
            <w:tcW w:w="274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w w:val="89"/>
              </w:rPr>
              <w:t>Decrease in Rate</w:t>
            </w:r>
          </w:p>
        </w:tc>
        <w:tc>
          <w:tcPr>
            <w:tcW w:w="26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w w:val="89"/>
              </w:rPr>
              <w:t>Increase in Rate</w:t>
            </w:r>
          </w:p>
        </w:tc>
      </w:tr>
      <w:tr>
        <w:trPr>
          <w:trHeight w:val="27"/>
        </w:trPr>
        <w:tc>
          <w:tcPr>
            <w:tcW w:w="55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expense</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 post-retirement benefit expense</w:t>
            </w:r>
          </w:p>
        </w:tc>
        <w:tc>
          <w:tcPr>
            <w:tcW w:w="27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5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obligation</w:t>
            </w:r>
          </w:p>
        </w:tc>
        <w:tc>
          <w:tcPr>
            <w:tcW w:w="2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1,096</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 post-retirement benefit obligation</w:t>
            </w:r>
          </w:p>
        </w:tc>
        <w:tc>
          <w:tcPr>
            <w:tcW w:w="27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5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Cash Balance Crediting Rate </w:t>
      </w:r>
      <w:r>
        <w:rPr>
          <w:rFonts w:ascii="Arial" w:cs="Arial" w:eastAsia="Arial" w:hAnsi="Arial"/>
          <w:sz w:val="17"/>
          <w:szCs w:val="17"/>
          <w:color w:val="auto"/>
        </w:rPr>
        <w:t>- A portion of the company’s pension obligation and resulting pension expense is based on a cash balance formula, where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hypothetical account balances are accumulated over time with pay-based credits and interest. Interest is credited monthly using the 30-Year Treasury bond rate. The interest crediting rate is part of the cash balance formula and independent of actual pension investment earnings. The cash balance crediting rate tends to move in concert with the discount rate but has an offsetting effect on pension benefit obligations and pension expense in comparison to the discount rate. Although current 30-Year Treasury bond rates are near historically low levels, we expect such bond rates to rise in the future. The cash balance crediting rate assumption has therefore been set to its current level of 2.75 percent as of December 31, 2017, growing to 3.0 percent by 2023. Holding all other assumptions constant, an increase or decrease of 25 basis points in the December 31, 2017 cash balance crediting rate assumption would have the following estimated effects on 2017 pension benefit obligations and 2018 expected pension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25 Basis Point</w:t>
            </w:r>
          </w:p>
        </w:tc>
        <w:tc>
          <w:tcPr>
            <w:tcW w:w="24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color w:val="auto"/>
                <w:w w:val="97"/>
              </w:rPr>
              <w:t>25 Basis Point</w:t>
            </w:r>
          </w:p>
        </w:tc>
      </w:tr>
      <w:tr>
        <w:trPr>
          <w:trHeight w:val="230"/>
        </w:trPr>
        <w:tc>
          <w:tcPr>
            <w:tcW w:w="5260" w:type="dxa"/>
            <w:vAlign w:val="bottom"/>
          </w:tcPr>
          <w:p>
            <w:pPr>
              <w:ind w:left="40"/>
              <w:spacing w:after="0"/>
              <w:rPr>
                <w:sz w:val="20"/>
                <w:szCs w:val="20"/>
                <w:color w:val="auto"/>
              </w:rPr>
            </w:pPr>
            <w:r>
              <w:rPr>
                <w:rFonts w:ascii="Arial" w:cs="Arial" w:eastAsia="Arial" w:hAnsi="Arial"/>
                <w:sz w:val="18"/>
                <w:szCs w:val="18"/>
                <w:i w:val="1"/>
                <w:iCs w:val="1"/>
                <w:color w:val="auto"/>
              </w:rPr>
              <w:t>$ increase/(decrease) in millions</w:t>
            </w:r>
          </w:p>
        </w:tc>
        <w:tc>
          <w:tcPr>
            <w:tcW w:w="300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89"/>
              </w:rPr>
              <w:t>Decrease in Rate</w:t>
            </w:r>
          </w:p>
        </w:tc>
        <w:tc>
          <w:tcPr>
            <w:tcW w:w="24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w w:val="89"/>
              </w:rPr>
              <w:t>Increase in Rate</w:t>
            </w:r>
          </w:p>
        </w:tc>
      </w:tr>
      <w:tr>
        <w:trPr>
          <w:trHeight w:val="27"/>
        </w:trPr>
        <w:tc>
          <w:tcPr>
            <w:tcW w:w="52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expense</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Pension obligation</w:t>
            </w:r>
          </w:p>
        </w:tc>
        <w:tc>
          <w:tcPr>
            <w:tcW w:w="30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52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Expected Long-Term Rate of Return on Plan Assets – </w:t>
      </w:r>
      <w:r>
        <w:rPr>
          <w:rFonts w:ascii="Arial" w:cs="Arial" w:eastAsia="Arial" w:hAnsi="Arial"/>
          <w:sz w:val="18"/>
          <w:szCs w:val="18"/>
          <w:color w:val="auto"/>
        </w:rPr>
        <w:t>The expected long-term rate of return on plan assets (EROA) assumption reflects the average rate of net</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we expect on current and future benefit plan investments. EROA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is a long-term assumption, which we review annually and adjust to reflect changes in our long-term view of expected market returns and/or significant changes in our plan asset investment policy. Due to the inherent uncertainty of this assumption, we consider multiple data points at the measurement date including historical asset returns, the plan’s target asset allocation, and third party projection models of expected long-term returns for each of the plans’ strategic asset classes. In addition to the data points themselves, we consider trends in the data points, including changes from the prior measurement date. The EROA assumptions we use for pension benefits are consistent with those used for other post-retirement benefits; however, we reduce the EROA for other post-retirement benefit plans to allow for the impact of tax on investment earnings, as certain Voluntary Employee Beneficiary Association trusts are taxable.</w:t>
      </w:r>
    </w:p>
    <w:p>
      <w:pPr>
        <w:spacing w:after="0" w:line="3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While historical market returns are not necessarily predictive of future market returns, given our long history of plan performance supported by the stability in our investment mix, investment managers, and active asset management, we believe our actual historical performance is a reasonable metric to consider when developing our EROA. Our average annual rate of return from 1976 to 2017 was approximately 11.3 percent and our 20-year rolling average rate of return was approximately 8.1 percent, each determined on an arithmetic basis. Our 2017 asset returns, net of expenses, were approximately 16.4 percent.</w:t>
      </w:r>
    </w:p>
    <w:p>
      <w:pPr>
        <w:spacing w:after="0" w:line="1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With regard to the company’s investment policy, during 2017, the Benefit Plans Investment Committee reviewed and re-affirmed the major asset class allocations. Our asset allocation is approximately 45% equities, 35% fixed-income and 20% alternatives and we are not currently contemplating significant changes to that investment mix. For further information on plan asset investments, see Note 13 to the consolidated financial statements.</w:t>
      </w:r>
    </w:p>
    <w:p>
      <w:pPr>
        <w:spacing w:after="0" w:line="1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Consistent with our past practice, we obtained long-term capital market forecasting models from several third parties and, using our target asset allocation, developed an expected rate of return on plan assets from each model. We considered not only the specific returns projected by those third party models, but also changes in the models year-to-year when developing our EROA.</w:t>
      </w:r>
    </w:p>
    <w:p>
      <w:pPr>
        <w:spacing w:after="0" w:line="4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 determining FAS expense in 2017 and 2016, we assumed an expected long-term rate of return on pension plan assets of 8.0 percent for both 2017 and 2016 and an expected long-term rate of return on other post-retirement benefit plan assets of 7.7 percent for both 2017 and 2016. For 2018 FAS expense, we have assumed an expected long-term rate of return on pension plan assets of 8.0 percent and 7.7 percent on other post-retirement benefit plans. Holding all other assumptions constant, an increase or decrease of 25 basis points in our December 31, 2017 EROA assumption would have the following estimated effects on 2018 pension and other post-retirement benefit expense: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w w:val="95"/>
              </w:rPr>
              <w:t>25 Basis Point</w:t>
            </w:r>
          </w:p>
        </w:tc>
        <w:tc>
          <w:tcPr>
            <w:tcW w:w="28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w w:val="95"/>
              </w:rPr>
              <w:t>25 Basis Point</w:t>
            </w:r>
          </w:p>
        </w:tc>
      </w:tr>
      <w:tr>
        <w:trPr>
          <w:trHeight w:val="230"/>
        </w:trPr>
        <w:tc>
          <w:tcPr>
            <w:tcW w:w="5440" w:type="dxa"/>
            <w:vAlign w:val="bottom"/>
          </w:tcPr>
          <w:p>
            <w:pPr>
              <w:ind w:left="40"/>
              <w:spacing w:after="0"/>
              <w:rPr>
                <w:sz w:val="20"/>
                <w:szCs w:val="20"/>
                <w:color w:val="auto"/>
              </w:rPr>
            </w:pPr>
            <w:r>
              <w:rPr>
                <w:rFonts w:ascii="Arial" w:cs="Arial" w:eastAsia="Arial" w:hAnsi="Arial"/>
                <w:sz w:val="18"/>
                <w:szCs w:val="18"/>
                <w:i w:val="1"/>
                <w:iCs w:val="1"/>
                <w:color w:val="auto"/>
              </w:rPr>
              <w:t>$ increase/(decrease) in millions</w:t>
            </w:r>
          </w:p>
        </w:tc>
        <w:tc>
          <w:tcPr>
            <w:tcW w:w="2880" w:type="dxa"/>
            <w:vAlign w:val="bottom"/>
          </w:tcPr>
          <w:p>
            <w:pPr>
              <w:spacing w:after="0"/>
              <w:rPr>
                <w:sz w:val="20"/>
                <w:szCs w:val="20"/>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Decrease</w:t>
            </w:r>
          </w:p>
        </w:tc>
        <w:tc>
          <w:tcPr>
            <w:tcW w:w="280" w:type="dxa"/>
            <w:vAlign w:val="bottom"/>
          </w:tcPr>
          <w:p>
            <w:pPr>
              <w:spacing w:after="0"/>
              <w:rPr>
                <w:sz w:val="20"/>
                <w:szCs w:val="20"/>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Increase</w:t>
            </w:r>
          </w:p>
        </w:tc>
      </w:tr>
      <w:tr>
        <w:trPr>
          <w:trHeight w:val="27"/>
        </w:trPr>
        <w:tc>
          <w:tcPr>
            <w:tcW w:w="54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expense</w:t>
            </w:r>
          </w:p>
        </w:tc>
        <w:tc>
          <w:tcPr>
            <w:tcW w:w="2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Other post-retirement benefit expense</w:t>
            </w:r>
          </w:p>
        </w:tc>
        <w:tc>
          <w:tcPr>
            <w:tcW w:w="28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4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Estimated Fair Market Value of Plan Assets </w:t>
      </w:r>
      <w:r>
        <w:rPr>
          <w:rFonts w:ascii="Arial" w:cs="Arial" w:eastAsia="Arial" w:hAnsi="Arial"/>
          <w:sz w:val="18"/>
          <w:szCs w:val="18"/>
          <w:color w:val="auto"/>
        </w:rPr>
        <w:t>– For certain plan assets where the fair market value is not readily determinable, such as real estate,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hedge funds and opportunistic investments, estimates of fair value are determined using the best information available. Estimated fair values on these plan assets are based on redemption values and net asset values, as well as valuation methodologies that include third party appraisals, comparable transactions, discounted cash flow valuation models and public market data.</w:t>
      </w:r>
    </w:p>
    <w:p>
      <w:pPr>
        <w:spacing w:after="0" w:line="5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Mortality Rate </w:t>
      </w:r>
      <w:r>
        <w:rPr>
          <w:rFonts w:ascii="Arial" w:cs="Arial" w:eastAsia="Arial" w:hAnsi="Arial"/>
          <w:sz w:val="16"/>
          <w:szCs w:val="16"/>
          <w:color w:val="auto"/>
        </w:rPr>
        <w:t>– Mortality assumptions are used to estimate life expectancies of plan participants. In October 2014, the Society of Actuaries (SOA) issued</w:t>
      </w:r>
      <w:r>
        <w:rPr>
          <w:rFonts w:ascii="Arial" w:cs="Arial" w:eastAsia="Arial" w:hAnsi="Arial"/>
          <w:sz w:val="16"/>
          <w:szCs w:val="16"/>
          <w:i w:val="1"/>
          <w:iCs w:val="1"/>
          <w:color w:val="auto"/>
        </w:rPr>
        <w:t xml:space="preserve"> </w:t>
      </w:r>
      <w:r>
        <w:rPr>
          <w:rFonts w:ascii="Arial" w:cs="Arial" w:eastAsia="Arial" w:hAnsi="Arial"/>
          <w:sz w:val="16"/>
          <w:szCs w:val="16"/>
          <w:color w:val="auto"/>
        </w:rPr>
        <w:t>updated mortality tables and a mortality improvement scale, which reflected longer life expectancies than previously projected. The SOA has issued annual updates to their mortality improvement scale each year since then as additional data has become available. These updates generally contained lower mortality improvement projections than the original projections from 2014. After considering the additional information released by the SOA in October 2017, and after reviewing our own historical mortality experience, we continued our practice of adopting the latest SOA projection scale, but with a long-term improvement rate of 0.75% versus 1.0% assumed by the SOA. Accordingly, we updated the mortality assumptions used in calculating our pension and post-retirement benefit obligations recognized at December 31, 2017, and the amounts estimated for our 2018 pension and post-retirement benefit expense.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 regarding our pension and post-retirement benefits, see “Risk Factors” and Note 13 to the consolidated financial statements.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Commitments and Contingencies</w:t>
      </w:r>
    </w:p>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are subject to a range of claims, disputes, enforcement actions, investigations, lawsuits, overhead cost claims, environmental matters, income tax matters and administrative proceedings that arise in the ordinary course of business. Estimating liabilities and costs associated with these matters requires judgment based upon the professional knowledge and experience of management. We determine whether to record a reserve and, if so, what amount based on consideration of the facts and circumstances of each matter as then known to us. Determinations regarding whether to record a reserve and, if so, of what amount, reflect management’s assessment regarding what is likely to occur; they do not necessarily reflect what management believes should occur. The ultimate resolution of any such exposure to us may vary materially from earlier estimates as further facts and circumstances develop or become known to us.</w:t>
      </w:r>
    </w:p>
    <w:p>
      <w:pPr>
        <w:spacing w:after="0" w:line="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Environmental Matters </w:t>
      </w:r>
      <w:r>
        <w:rPr>
          <w:rFonts w:ascii="Arial" w:cs="Arial" w:eastAsia="Arial" w:hAnsi="Arial"/>
          <w:sz w:val="18"/>
          <w:szCs w:val="18"/>
          <w:color w:val="auto"/>
        </w:rPr>
        <w:t>- We are subject to environmental laws and regulations in the jurisdictions in which we do or have done business. Factors that could</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changes to the assessment of probability, range of reasonably estimated costs and environmental accruals include: modification of planned remedial actions; changes in the estimated time required to conduct remedial actions; discovery of more or less extensive (or different) contamination than anticipated; information regarding the potential causes and effects of contamination; results of efforts to involve other responsible parties; financial capabilities of other responsible parties; changes in laws and regulations, their interpretation or application; contractual obligations affecting remediation or responsibilities; and improvements in remediation technology.</w:t>
      </w:r>
    </w:p>
    <w:p>
      <w:pPr>
        <w:spacing w:after="0" w:line="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further information on litigation, commitments and contingencies, see “Risk Factors” and Note 1, Note 11 and Note 12 to the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 We allocate the purchase price of acquired businesses to the underlying tangible and intangible assets acquired and liabilities assumed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their respective fair values, with the excess recorded as goodwill. Such fair value assessments require judgments and estimates that can be affected by contract performance and other factors over time, which may cause final amounts to differ materially from original estimates. Adjustments to the fair value of purchased assets and liabilities after the initial measurement period are recognized in net earnings.</w:t>
      </w:r>
    </w:p>
    <w:p>
      <w:pPr>
        <w:spacing w:after="0" w:line="42"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i w:val="1"/>
          <w:iCs w:val="1"/>
          <w:color w:val="auto"/>
        </w:rPr>
        <w:t xml:space="preserve">Impairment Testing </w:t>
      </w:r>
      <w:r>
        <w:rPr>
          <w:rFonts w:ascii="Arial" w:cs="Arial" w:eastAsia="Arial" w:hAnsi="Arial"/>
          <w:sz w:val="16"/>
          <w:szCs w:val="16"/>
          <w:color w:val="auto"/>
        </w:rPr>
        <w:t>– We test for impairment of goodwill annually at each of our reporting units, which comprise our operating segments. The results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goodwill impairment tests as of December 31, 2017 and 2016, respectively, indicated that the estimated fair value of each reporting unit substantially exceeded its respective carrying value. There were no impairment charges recorded in the years ended December 31, 2017, 2016 and 2015.</w:t>
      </w:r>
    </w:p>
    <w:p>
      <w:pPr>
        <w:spacing w:after="0" w:line="12"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In addition to performing an annual goodwill impairment test, we may perform an interim impairment test if events occur or circumstances change that suggest goodwill in any of our reporting units may be impaired. Such indicators may include, but are not limited to, the loss of significant business, significant reductions in federal government appropriations or other significant adverse changes in industry or market conditions.</w:t>
      </w:r>
    </w:p>
    <w:p>
      <w:pPr>
        <w:spacing w:after="0" w:line="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When testing goodwill for impairment, we compare the fair values of each of our reporting units to their respective carrying values. To determine the fair value of our reporting units, we primarily use the income approach based on the cash flows that the reporting unit expects to generate in the future, consistent with our operating plans. This income valuation method requires management to project sales, operating expenses, working capital, capital spending and cash flows for the reporting units over a multi-year period, as well as to determine the weighted-average cost of capital (WACC) used as a discount rate and terminal value assumptions. The WACC takes into account the relative weights of each component of our consolidated capital structure (equity and debt) and represents the expected cost of new capital adjusted as appropriate to consider lower risk profiles associated with longer-term contracts and barriers to market entry. The terminal value assumptions are applied to the final year of the discounted cash flow model. We use industry multiples (including relevant control premiums) of operating earnings to corroborate the fair values of our reporting units determined under the market valuation method of the income approach.</w:t>
      </w:r>
    </w:p>
    <w:p>
      <w:pPr>
        <w:spacing w:after="0" w:line="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Impairment assessment inherently involves management judgments as to assumptions about expected future cash flows and the impact of market conditions on those assumptions. Due to the many variables inherent in the estimation of a business’ fair value and the relative size of our recorded goodwill, differences in assumptions may have a material effect on the results of our impairment analysis.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December 31, 2017, we had no significant off-balance sheet arrangements other than operating leases. For a description of our operating leases, see Note 12 to the consolidated financial statements.</w:t>
      </w:r>
    </w:p>
    <w:p>
      <w:pPr>
        <w:spacing w:after="0" w:line="37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60"/>
          </w:cols>
          <w:pgMar w:left="240" w:top="337" w:right="5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are exposed to market risk with respect to our portfolio of trading and available-for-sale marketable securities with a fair value of $353 million at December 31, 2017. These securities are exposed to market volatilities, changes in price and interest rates.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exposed to interest rate risk on variable-rate, short-term borrowings under our credit facilities, for which there was £100 million (the equivalent of approximately $134 million as of December 31, 2017) outstanding at December 31, 2017. At December 31, 2017, we have $15.3 billion of long-term debt, primarily consisting of fixed-rate debt, with a fair value of approximately $16.0 billion. The terms of our fixed-rate debt obligations do not generally allow investors to demand payment of these obligations prior to maturity. Therefore, we do not have significant exposure to interest rate risk for our fixed-rate debt; however, we do have exposure to fair value risk if we repurchase or exchange long-term debt prior to maturity.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certain circumstances, we are exposed to foreign currency risk. We enter into foreign currency forward contracts to manage a portion of the exchange rate risk related to receipts from customers and payments to suppliers denominated in foreign currencies. We do not hold or issue derivative financial instruments for trading purposes. At December 31, 2017, foreign currency forward contracts with a notional amount of $89 million were outstanding. At December 31, 2017, a 10 percent unfavorable foreign exchange rate movement would not have a material impact on our consolidated financial position, annual results of operations and/or cash flows.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94"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We have generally been able to anticipate increases in costs when pricing our contracts. Bids for longer-term firm fixed-price contracts typically include assumptions for labor and other cost escalations in amounts that historically have been sufficient to cover cost increases over the period of performance.</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337" w:right="2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audited the accompanying consolidated statements of financial position of Northrop Grumman Corporation and subsidiaries (the “Company”) as of December 31, 2017 and 2016, and the related consolidated statements of earnings and comprehensive income (loss), changes in shareholders’ equity, and cash flows for each of the three years in the period ended December 31, 2017, and the related notes (collectively referred to as the “financial statements”). In our opinion, the consolidated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January 29, 2018 expressed an unqualified opinion on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4"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Deloitte &amp; Touche LLP</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McLean, Virginia</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January 29, 2018</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have served as the Company’s auditor since 1975.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CONSOLIDATED STATEMENTS OF EARNINGS AND COMPREHENSIVE INCOME</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7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4"/>
          </w:tcPr>
          <w:p>
            <w:pPr>
              <w:jc w:val="right"/>
              <w:ind w:right="30"/>
              <w:spacing w:after="0"/>
              <w:rPr>
                <w:sz w:val="20"/>
                <w:szCs w:val="20"/>
                <w:color w:val="auto"/>
              </w:rPr>
            </w:pPr>
            <w:r>
              <w:rPr>
                <w:rFonts w:ascii="Arial" w:cs="Arial" w:eastAsia="Arial" w:hAnsi="Arial"/>
                <w:sz w:val="18"/>
                <w:szCs w:val="18"/>
                <w:color w:val="auto"/>
              </w:rPr>
              <w:t>Year Ended 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16,038</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14,738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9,765</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9,770</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9,560</w:t>
            </w:r>
          </w:p>
        </w:tc>
        <w:tc>
          <w:tcPr>
            <w:tcW w:w="0" w:type="dxa"/>
            <w:vAlign w:val="bottom"/>
          </w:tcPr>
          <w:p>
            <w:pPr>
              <w:spacing w:after="0"/>
              <w:rPr>
                <w:sz w:val="1"/>
                <w:szCs w:val="1"/>
                <w:color w:val="auto"/>
              </w:rPr>
            </w:pPr>
          </w:p>
        </w:tc>
      </w:tr>
      <w:tr>
        <w:trPr>
          <w:trHeight w:val="237"/>
        </w:trPr>
        <w:tc>
          <w:tcPr>
            <w:tcW w:w="7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sales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25,803</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24,508</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23,526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12,271</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11,002</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10,333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7,578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7,729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2,655</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2,584</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3,299</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3,193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110</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3,049</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2,923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Federal and foreign income tax expense</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1,034</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723</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2,200</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70"/>
        </w:trPr>
        <w:tc>
          <w:tcPr>
            <w:tcW w:w="754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11.55</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12.30</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in millions</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174.4</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178.9</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34"/>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11.47</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12.19</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Weighted-average diluted shares outstanding, in millions</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175.6</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180.5</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34"/>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earnings (from above)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2,200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80"/>
              <w:spacing w:after="0"/>
              <w:rPr>
                <w:sz w:val="20"/>
                <w:szCs w:val="20"/>
                <w:color w:val="auto"/>
              </w:rPr>
            </w:pPr>
            <w:r>
              <w:rPr>
                <w:rFonts w:ascii="Arial" w:cs="Arial" w:eastAsia="Arial" w:hAnsi="Arial"/>
                <w:sz w:val="18"/>
                <w:szCs w:val="18"/>
                <w:color w:val="auto"/>
                <w:w w:val="95"/>
              </w:rPr>
              <w:t>Change in unamortized benefit plan costs, net of tax (expense) benefit of ($383) in 2017, $89 in</w:t>
            </w:r>
          </w:p>
        </w:tc>
        <w:tc>
          <w:tcPr>
            <w:tcW w:w="260" w:type="dxa"/>
            <w:vAlign w:val="bottom"/>
          </w:tcPr>
          <w:p>
            <w:pPr>
              <w:spacing w:after="0"/>
              <w:rPr>
                <w:sz w:val="19"/>
                <w:szCs w:val="19"/>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830</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80"/>
              <w:spacing w:after="0"/>
              <w:rPr>
                <w:sz w:val="20"/>
                <w:szCs w:val="20"/>
                <w:color w:val="auto"/>
              </w:rPr>
            </w:pPr>
            <w:r>
              <w:rPr>
                <w:rFonts w:ascii="Arial" w:cs="Arial" w:eastAsia="Arial" w:hAnsi="Arial"/>
                <w:sz w:val="18"/>
                <w:szCs w:val="18"/>
                <w:color w:val="auto"/>
              </w:rPr>
              <w:t>2016 and ($45) in 2015</w:t>
            </w: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(175)</w:t>
            </w:r>
          </w:p>
        </w:tc>
        <w:tc>
          <w:tcPr>
            <w:tcW w:w="3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cumulative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w:t>
            </w:r>
          </w:p>
        </w:tc>
        <w:tc>
          <w:tcPr>
            <w:tcW w:w="3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828</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7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2,843</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1,974</w:t>
            </w: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34"/>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r>
              <w:rPr>
                <w:rFonts w:ascii="Arial" w:cs="Arial" w:eastAsia="Arial" w:hAnsi="Arial"/>
                <w:sz w:val="18"/>
                <w:szCs w:val="18"/>
                <w:b w:val="1"/>
                <w:bCs w:val="1"/>
                <w:color w:val="auto"/>
              </w:rPr>
              <w:t>CONSOLIDATED STATEMENTS OF FINANCIAL POSITION</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December 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11,225</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3,976</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Inventoried costs, net</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780</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368</w:t>
            </w: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89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16,349</w:t>
            </w: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Property, plant and equipment, net of accumulated depreciation of $5,066 for 2017 and $4,831 for 2016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4,225</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12,455</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12,450</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475</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1,413</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34,917</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25,614</w:t>
            </w:r>
          </w:p>
        </w:tc>
        <w:tc>
          <w:tcPr>
            <w:tcW w:w="0" w:type="dxa"/>
            <w:vAlign w:val="bottom"/>
          </w:tcPr>
          <w:p>
            <w:pPr>
              <w:spacing w:after="0"/>
              <w:rPr>
                <w:sz w:val="1"/>
                <w:szCs w:val="1"/>
                <w:color w:val="auto"/>
              </w:rPr>
            </w:pPr>
          </w:p>
        </w:tc>
      </w:tr>
      <w:tr>
        <w:trPr>
          <w:trHeight w:val="297"/>
        </w:trPr>
        <w:tc>
          <w:tcPr>
            <w:tcW w:w="89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Trade 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1,661</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employee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1,382</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Advance payments and amounts in excess of costs incurred</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1,617</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2,305</w:t>
            </w: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37"/>
        </w:trPr>
        <w:tc>
          <w:tcPr>
            <w:tcW w:w="89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6,965</w:t>
            </w: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Long-term debt, net of current portion of $867 for 2017 and $12 for 2016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14,399</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Pension and other post-retirement benefit plan liabilities</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5,511</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994</w:t>
            </w: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37"/>
        </w:trPr>
        <w:tc>
          <w:tcPr>
            <w:tcW w:w="8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27,869</w:t>
            </w: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20,355</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12)</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920" w:type="dxa"/>
            <w:vAlign w:val="bottom"/>
          </w:tcPr>
          <w:p>
            <w:pPr>
              <w:ind w:left="180"/>
              <w:spacing w:after="0"/>
              <w:rPr>
                <w:sz w:val="20"/>
                <w:szCs w:val="20"/>
                <w:color w:val="auto"/>
              </w:rPr>
            </w:pPr>
            <w:r>
              <w:rPr>
                <w:rFonts w:ascii="Arial" w:cs="Arial" w:eastAsia="Arial" w:hAnsi="Arial"/>
                <w:sz w:val="18"/>
                <w:szCs w:val="18"/>
                <w:color w:val="auto"/>
                <w:w w:val="91"/>
              </w:rPr>
              <w:t>Common stock, $1 par value; 800,000,000 shares authorized; issued and outstanding: 2017—174,085,619 and 2016—</w:t>
            </w:r>
          </w:p>
        </w:tc>
        <w:tc>
          <w:tcPr>
            <w:tcW w:w="260" w:type="dxa"/>
            <w:vAlign w:val="bottom"/>
          </w:tcPr>
          <w:p>
            <w:pPr>
              <w:spacing w:after="0"/>
              <w:rPr>
                <w:sz w:val="19"/>
                <w:szCs w:val="19"/>
                <w:color w:val="auto"/>
              </w:rPr>
            </w:pP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174</w:t>
            </w: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tcPr>
          <w:p>
            <w:pPr>
              <w:ind w:left="180"/>
              <w:spacing w:after="0"/>
              <w:rPr>
                <w:sz w:val="20"/>
                <w:szCs w:val="20"/>
                <w:color w:val="auto"/>
              </w:rPr>
            </w:pPr>
            <w:r>
              <w:rPr>
                <w:rFonts w:ascii="Arial" w:cs="Arial" w:eastAsia="Arial" w:hAnsi="Arial"/>
                <w:sz w:val="18"/>
                <w:szCs w:val="18"/>
                <w:color w:val="auto"/>
              </w:rPr>
              <w:t>175,068,263</w:t>
            </w:r>
          </w:p>
        </w:tc>
        <w:tc>
          <w:tcPr>
            <w:tcW w:w="2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44</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11,548</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10,630</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(4,718)</w:t>
            </w: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37"/>
        </w:trPr>
        <w:tc>
          <w:tcPr>
            <w:tcW w:w="89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7,048</w:t>
            </w: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34,917</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25,614</w:t>
            </w:r>
          </w:p>
        </w:tc>
        <w:tc>
          <w:tcPr>
            <w:tcW w:w="0" w:type="dxa"/>
            <w:vAlign w:val="bottom"/>
          </w:tcPr>
          <w:p>
            <w:pPr>
              <w:spacing w:after="0"/>
              <w:rPr>
                <w:sz w:val="1"/>
                <w:szCs w:val="1"/>
                <w:color w:val="auto"/>
              </w:rPr>
            </w:pPr>
          </w:p>
        </w:tc>
      </w:tr>
      <w:tr>
        <w:trPr>
          <w:trHeight w:val="27"/>
        </w:trPr>
        <w:tc>
          <w:tcPr>
            <w:tcW w:w="89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7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4"/>
          </w:tcPr>
          <w:p>
            <w:pPr>
              <w:jc w:val="right"/>
              <w:ind w:right="30"/>
              <w:spacing w:after="0"/>
              <w:rPr>
                <w:sz w:val="20"/>
                <w:szCs w:val="20"/>
                <w:color w:val="auto"/>
              </w:rPr>
            </w:pPr>
            <w:r>
              <w:rPr>
                <w:rFonts w:ascii="Arial" w:cs="Arial" w:eastAsia="Arial" w:hAnsi="Arial"/>
                <w:sz w:val="18"/>
                <w:szCs w:val="18"/>
                <w:color w:val="auto"/>
              </w:rPr>
              <w:t>Year Ended December 31</w:t>
            </w:r>
          </w:p>
        </w:tc>
        <w:tc>
          <w:tcPr>
            <w:tcW w:w="880" w:type="dxa"/>
            <w:vAlign w:val="bottom"/>
          </w:tcPr>
          <w:p>
            <w:pPr>
              <w:spacing w:after="0"/>
              <w:rPr>
                <w:sz w:val="24"/>
                <w:szCs w:val="24"/>
                <w:color w:val="auto"/>
              </w:rPr>
            </w:pPr>
          </w:p>
        </w:tc>
      </w:tr>
      <w:tr>
        <w:trPr>
          <w:trHeight w:val="27"/>
        </w:trPr>
        <w:tc>
          <w:tcPr>
            <w:tcW w:w="7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2,200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1,990</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475</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456</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467</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94</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Excess tax benefits from stock-based compensation</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603</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(677)</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560" w:type="dxa"/>
            <w:vAlign w:val="bottom"/>
          </w:tcPr>
          <w:p>
            <w:pPr>
              <w:ind w:left="500"/>
              <w:spacing w:after="0"/>
              <w:rPr>
                <w:sz w:val="20"/>
                <w:szCs w:val="20"/>
                <w:color w:val="auto"/>
              </w:rPr>
            </w:pPr>
            <w:r>
              <w:rPr>
                <w:rFonts w:ascii="Arial" w:cs="Arial" w:eastAsia="Arial" w:hAnsi="Arial"/>
                <w:sz w:val="18"/>
                <w:szCs w:val="18"/>
                <w:color w:val="auto"/>
              </w:rPr>
              <w:t>Inventoried costs, net</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36</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(81)</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7560" w:type="dxa"/>
            <w:vAlign w:val="bottom"/>
          </w:tcPr>
          <w:p>
            <w:pPr>
              <w:ind w:left="50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539</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(157)</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7560" w:type="dxa"/>
            <w:vAlign w:val="bottom"/>
          </w:tcPr>
          <w:p>
            <w:pPr>
              <w:ind w:left="500"/>
              <w:spacing w:after="0"/>
              <w:rPr>
                <w:sz w:val="20"/>
                <w:szCs w:val="20"/>
                <w:color w:val="auto"/>
              </w:rPr>
            </w:pPr>
            <w:r>
              <w:rPr>
                <w:rFonts w:ascii="Arial" w:cs="Arial" w:eastAsia="Arial" w:hAnsi="Arial"/>
                <w:sz w:val="18"/>
                <w:szCs w:val="18"/>
                <w:color w:val="auto"/>
              </w:rPr>
              <w:t>Retiree benefits</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(191)</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393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(43)</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2,613</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2,813</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2,162</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7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(928)</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43"/>
        </w:trPr>
        <w:tc>
          <w:tcPr>
            <w:tcW w:w="756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39</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115</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(889)</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(805)</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91"/>
        </w:trPr>
        <w:tc>
          <w:tcPr>
            <w:tcW w:w="75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Common stock repurchases</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(393)</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(1,547)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(3,182)</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issuance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8,245</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749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(payments to) proceeds from credit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Cash dividends paid</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(689)</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(640)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employee taxes withheld from share-based awards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(92)</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(98)</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6,960</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(1,786)</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r>
      <w:tr>
        <w:trPr>
          <w:trHeight w:val="237"/>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8,684</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222</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2,541</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2,319</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3,863</w:t>
            </w:r>
          </w:p>
        </w:tc>
      </w:tr>
      <w:tr>
        <w:trPr>
          <w:trHeight w:val="237"/>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11,225</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2,541</w:t>
            </w: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2,319</w:t>
            </w:r>
          </w:p>
        </w:tc>
      </w:tr>
      <w:tr>
        <w:trPr>
          <w:trHeight w:val="34"/>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Arial" w:cs="Arial" w:eastAsia="Arial" w:hAnsi="Arial"/>
                <w:sz w:val="18"/>
                <w:szCs w:val="18"/>
                <w:b w:val="1"/>
                <w:bCs w:val="1"/>
                <w:color w:val="auto"/>
              </w:rPr>
              <w:t>CONSOLIDATED STATEMENTS OF CHANGES IN SHAREHOLDERS’ EQUITY</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7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4"/>
          </w:tcPr>
          <w:p>
            <w:pPr>
              <w:jc w:val="right"/>
              <w:ind w:right="30"/>
              <w:spacing w:after="0"/>
              <w:rPr>
                <w:sz w:val="20"/>
                <w:szCs w:val="20"/>
                <w:color w:val="auto"/>
              </w:rPr>
            </w:pPr>
            <w:r>
              <w:rPr>
                <w:rFonts w:ascii="Arial" w:cs="Arial" w:eastAsia="Arial" w:hAnsi="Arial"/>
                <w:sz w:val="18"/>
                <w:szCs w:val="18"/>
                <w:color w:val="auto"/>
              </w:rPr>
              <w:t>Year Ended December 31</w:t>
            </w:r>
          </w:p>
        </w:tc>
        <w:tc>
          <w:tcPr>
            <w:tcW w:w="880" w:type="dxa"/>
            <w:vAlign w:val="bottom"/>
          </w:tcPr>
          <w:p>
            <w:pPr>
              <w:spacing w:after="0"/>
              <w:rPr>
                <w:sz w:val="24"/>
                <w:szCs w:val="24"/>
                <w:color w:val="auto"/>
              </w:rPr>
            </w:pPr>
          </w:p>
        </w:tc>
      </w:tr>
      <w:tr>
        <w:trPr>
          <w:trHeight w:val="27"/>
        </w:trPr>
        <w:tc>
          <w:tcPr>
            <w:tcW w:w="7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175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181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repurchased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Shares issued for employee stock awards and options</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End of year</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174</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175</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37"/>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Paid-in capital</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Beginning of year</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Stock compensation</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44</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End of year</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44</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Retained earnings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Beginning of year</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10,630</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10,661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12,392</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(371)</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(1,548)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(3,154)</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2,200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1,990</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Dividends declared</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(687)</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(633)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75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End of year</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11,548</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10,630</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10,661</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Beginning of year</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(5,546)</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(5,320)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(5,356)</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828</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37"/>
        </w:trPr>
        <w:tc>
          <w:tcPr>
            <w:tcW w:w="75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End of year</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(4,718)</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(5,546)</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(5,320)</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6"/>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7,048</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5,259</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5,522</w:t>
            </w:r>
          </w:p>
        </w:tc>
      </w:tr>
      <w:tr>
        <w:trPr>
          <w:trHeight w:val="243"/>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3.90</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3.50</w:t>
            </w: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w:t>
            </w:r>
          </w:p>
        </w:tc>
      </w:tr>
      <w:tr>
        <w:trPr>
          <w:trHeight w:val="34"/>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Northrop Grumman Corporation (herein referred to as “Northrop Grumman,” the “company,” “we,” “us,” or “our”) is a leading global security company. We offer a broad portfolio of capabilities and technologies that enable us to deliver innovative products, systems and solutions for applications that range from undersea to outer space and into cyberspace. We provide products, systems and solutions in autonomous systems; cyber; command, control, communications and computers, intelligence, surveillance and reconnaissance (C4ISR); strike;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consolidated financial statements include the accounts of Northrop Grumman and its subsidiaries and joint ventures or other investments for which we consolidate the financial results. Material intercompany accounts, transactions and profits are eliminated in consolidation. Investments in equity securities and joint ventures where the company has significant influence, but not control, are accounted for using the equity method.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company’s consolidated financial statements are prepared in conformity with accounting principles generally accepted in the United States of America (“GAAP” or “FAS”). The preparation thereof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majority of our sales are derived from long-term contracts with the U.S. Government for the production of goods, the provision of services, or a combination of both. In accounting for these contracts, we utilize either the cost-to-cost method or the units-of-delivery method of percentage-of-completion accounting, with cost-to-cost being the predominant method. Generally, sales under cost-reimbursement contracts and construction-type contracts that provide for deliveries at lower volume rates are accounted for using the cost-to-cost method. Under this method, sales, including estimated profits, are recorded as costs are incurred. Generally, sales under contracts that provide for deliveries at higher volume rates are accounted for using the units-of-delivery method. Under this method, cost and sales are recognized as units are delivered to the customer. The company estimates profit on contracts as the difference between total estimated sales and total estimated cost at completion and recognizes that profit either as costs are incurred (cost-to-cost) or as units are delivered (units-of-delivery). The company classifies sales as product or service depending upon the predominant attributes of the contract.</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Contract sales may include estimated amounts not contractually agreed to or yet funded by the customer, including cost or performance incentives (such as award and incentive fees), un-priced change orders, contract claims and requests for equitable adjustment (REAs). Further, as contracts are performed, change orders can be a regular occurrence and may be un-priced until negotiated with the customer. Un-priced change orders, contract claims (including change orders unapproved as to both scope and price) and REAs are included in estimated contract sales when management believes it is probable the un-priced change order, claim and/or REA will result in additional contract revenue and the amount can be reliably estimated considering the facts and circumstances known to us at the time.</w:t>
      </w:r>
    </w:p>
    <w:p>
      <w:pPr>
        <w:spacing w:after="0" w:line="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Net Estimate-At-Completion (EAC) Adjustments - </w:t>
      </w:r>
      <w:r>
        <w:rPr>
          <w:rFonts w:ascii="Arial" w:cs="Arial" w:eastAsia="Arial" w:hAnsi="Arial"/>
          <w:sz w:val="16"/>
          <w:szCs w:val="16"/>
          <w:color w:val="auto"/>
        </w:rPr>
        <w:t>We recognize changes in estimated contract sales or costs and the resulting changes in contract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margins using the cumulative catch-up method of accounting. This method recognizes, in current period operating margin, the cumulative effect of the changes on total costs incurred to date as net EAC adjustments; sales and operating margins in future periods of contract performance are recognized as if the revised estimates had been used since contract inception. If it is determined that a loss will result from the performance of a contract, the entire amount of the estimable future loss, including an allocation of general and administrative costs, is charged against income in the period the loss is identified. Each loss provision is first offset against costs included in unbilled accounts receivable or inventoried costs; remaining amounts are reflected in current liabilities.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337"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Significant EAC adjustments on a single contract could have a material effect on the company’s consolidated financial position or results of operations. When such adjustments occur, we generally disclose the nature, underlying conditions and financial impact of the adjustments. During the third quarter of 2017, we recorded a $56 million favorable EAC adjustment on a restricted program at Aerospace Systems largely related to performance incentives.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aggregate net EAC adjustments: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data</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Net earnings</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236</w:t>
            </w:r>
          </w:p>
        </w:tc>
        <w:tc>
          <w:tcPr>
            <w:tcW w:w="3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377</w:t>
            </w:r>
          </w:p>
        </w:tc>
      </w:tr>
      <w:tr>
        <w:trPr>
          <w:trHeight w:val="270"/>
        </w:trPr>
        <w:tc>
          <w:tcPr>
            <w:tcW w:w="778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1.34</w:t>
            </w: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1.78</w:t>
            </w: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Based on statutory tax rates in effect for each year presented.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Sales by Customer Category - </w:t>
      </w:r>
      <w:r>
        <w:rPr>
          <w:rFonts w:ascii="Arial" w:cs="Arial" w:eastAsia="Arial" w:hAnsi="Arial"/>
          <w:sz w:val="18"/>
          <w:szCs w:val="18"/>
          <w:color w:val="auto"/>
        </w:rPr>
        <w:t>The following table presents sales by customer category: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Year Ended December 31</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2016</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2015</w:t>
            </w:r>
          </w:p>
        </w:tc>
        <w:tc>
          <w:tcPr>
            <w:tcW w:w="8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80" w:type="dxa"/>
            <w:vAlign w:val="bottom"/>
          </w:tcPr>
          <w:p>
            <w:pPr>
              <w:spacing w:after="0"/>
              <w:rPr>
                <w:sz w:val="20"/>
                <w:szCs w:val="20"/>
                <w:color w:val="auto"/>
              </w:rPr>
            </w:pPr>
          </w:p>
        </w:tc>
        <w:tc>
          <w:tcPr>
            <w:tcW w:w="1240" w:type="dxa"/>
            <w:vAlign w:val="bottom"/>
          </w:tcPr>
          <w:p>
            <w:pPr>
              <w:jc w:val="right"/>
              <w:ind w:right="8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36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21,837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20,573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19,458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3660" w:type="dxa"/>
            <w:vAlign w:val="bottom"/>
          </w:tcPr>
          <w:p>
            <w:pPr>
              <w:ind w:left="4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380" w:type="dxa"/>
            <w:vAlign w:val="bottom"/>
          </w:tcPr>
          <w:p>
            <w:pPr>
              <w:spacing w:after="0"/>
              <w:rPr>
                <w:sz w:val="23"/>
                <w:szCs w:val="23"/>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3,302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3,205</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3,339</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Customers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664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730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729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Sales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25,803</w:t>
            </w: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24,508</w:t>
            </w:r>
          </w:p>
        </w:tc>
        <w:tc>
          <w:tcPr>
            <w:tcW w:w="8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23,526</w:t>
            </w:r>
          </w:p>
        </w:tc>
        <w:tc>
          <w:tcPr>
            <w:tcW w:w="820" w:type="dxa"/>
            <w:vAlign w:val="bottom"/>
            <w:tcBorders>
              <w:top w:val="single" w:sz="8" w:color="auto"/>
            </w:tcBorders>
          </w:tcPr>
          <w:p>
            <w:pPr>
              <w:spacing w:after="0"/>
              <w:rPr>
                <w:sz w:val="20"/>
                <w:szCs w:val="20"/>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71" w:lineRule="exact"/>
        <w:rPr>
          <w:sz w:val="20"/>
          <w:szCs w:val="20"/>
          <w:color w:val="auto"/>
        </w:rPr>
      </w:pPr>
    </w:p>
    <w:p>
      <w:pPr>
        <w:ind w:left="180" w:right="620" w:hanging="172"/>
        <w:spacing w:after="0" w:line="229" w:lineRule="auto"/>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64" w:lineRule="exact"/>
        <w:rPr>
          <w:rFonts w:ascii="Arial" w:cs="Arial" w:eastAsia="Arial" w:hAnsi="Arial"/>
          <w:sz w:val="21"/>
          <w:szCs w:val="21"/>
          <w:color w:val="auto"/>
          <w:vertAlign w:val="superscript"/>
        </w:rPr>
      </w:pPr>
    </w:p>
    <w:p>
      <w:pPr>
        <w:ind w:left="180" w:right="180" w:hanging="172"/>
        <w:spacing w:after="0" w:line="239" w:lineRule="auto"/>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 direct sales with governments outside the U.S. and commercial sales outside the U.S.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In accordance with the regulations that govern cost accounting requirements for government contracts, most general management and corporate expenses incurred at the segment and corporate locations are considered allowable and allocable costs. Allowable and allocable G&amp;A costs, including independent research and development (IR&amp;D) and bid and proposal (B&amp;P) costs, are allocated on a systematic basis to contracts in progress and are included as a component of total estimated contract costs.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Company-sponsored research and development activities primarily include efforts related to government programs. Company-sponsored IR&amp;D expenses totaled $639 million, $705 million and $712 million in 2017, 2016 and 2015, respectively. Customer-funded research and development activities are charged directly to the related contracts.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Provisions for federal and foreign income taxes are calculated on reported earnings before income taxes based on current tax law and include the cumulative effect of any changes in tax rates from those used previously in determining deferred tax assets and liabilities. Such provisions differ from the amounts currently payable because certain items of income and expense are recognized in different periods for financial reporting purposes than for income tax purposes. The company recognizes federal and foreign interest accrued related to unrecognized tax benefits in income tax expense. Federal tax penalties are recognized as a component of income tax expense.</w:t>
      </w:r>
    </w:p>
    <w:p>
      <w:pPr>
        <w:spacing w:after="0" w:line="5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accordance with the regulations that govern cost accounting requirements for government contracts, current state and local income and franchise taxes are generally considered allowable and allocable costs and, consistent with industry practice, are recorded in operating costs and expenses. The company recognizes changes in deferred state taxes and unrecognized state tax benefits in unallocated corporate expenses.</w:t>
      </w:r>
    </w:p>
    <w:p>
      <w:pPr>
        <w:spacing w:after="0" w:line="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Uncertain tax positions reflect the company’s expected treatment of tax positions taken in a filed tax return, or planned to be taken in a future tax return or claim, which have not been reflected in measuring income tax expense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financial reporting purposes. Until these positions are sustained by the taxing authorities or the statute of limitations concerning such issues lapses, the company does not generally recognize the tax benefits resulting from such positions and reports the tax effects as a liability for uncertain tax positions in its consolidated statements of financial position.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Cash and cash equivalents are comprised of cash in banks and highly liquid instruments with original maturities of three months or less, primarily consisting of bank time deposits and investments in institutional money market funds. Cash in bank accounts often exceeds federally insured limits.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 measures the fair value of its financial instruments using observable and unobservable inputs. Observable inputs reflect market data obtained from independent sources, while unobservable inputs reflect internal market assumptions.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These two types of inputs create the following fair value hierarchy: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90" w:lineRule="exact"/>
        <w:rPr>
          <w:sz w:val="20"/>
          <w:szCs w:val="20"/>
          <w:color w:val="auto"/>
        </w:rPr>
      </w:pPr>
    </w:p>
    <w:p>
      <w:pPr>
        <w:ind w:left="740" w:right="100" w:hanging="728"/>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Marketable securities accounted for as trading and available-for-sale are recorded at fair value on a recurring basis. For available-for-sale securities, changes in unrealized gains and losses are reported as a component of other comprehensive income. Changes in unrealized gains and losses on trading securities are included in other, net in the consolidated statements of earnings and comprehensive income. Investments in held-to-maturity instruments with original maturities greater than three months are recorded at amortized cost.</w:t>
      </w:r>
    </w:p>
    <w:p>
      <w:pPr>
        <w:spacing w:after="0" w:line="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Derivative financial instruments are recognized as assets or liabilities in the financial statements and measured at fair value on a recurring basis. Changes in the fair value of derivative financial instruments that are designated as fair value hedges are recorded in net earnings, while the effective portion of the changes in the fair value of derivative financial instruments that are designated as cash flow hedges are recorded as a component of other comprehensive income until settlement. For derivative financial instruments not designated as hedging instruments, gains or losses resulting from changes in the fair value are reported in other, net in the consolidated statements of earnings and comprehensive income.</w:t>
      </w:r>
    </w:p>
    <w:p>
      <w:pPr>
        <w:spacing w:after="0" w:line="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may use derivative financial instruments to manage its exposure to interest rate risk for its long-term fixed-rate debt portfolio and foreign currency exchange risk related to receipts from customers and payments to suppliers denominated in foreign currencies. The company does not use derivative financial instruments for trading or speculative purposes, nor does it use leveraged financial instruments. Credit risk related to derivative financial instruments is considered minimal and is managed through the use of multiple counterparties with high credit standards and periodic settlements of positions, as well as by entering into master netting agreements with most of our counterparties.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Inventoried Costs</w:t>
      </w:r>
    </w:p>
    <w:p>
      <w:pPr>
        <w:spacing w:after="0" w:line="27"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Accounts receivable include amounts billed and currently due from customers, as well as amounts currently due but unbilled (primarily related to costs incurred on contracts accounted for under the cost-to-cost method). Accounts receivable also include certain estimated amounts for un-priced change orders, contract claims and/or REAs in negotiation that are probable of recovery and amounts retained by the customer pending contract completion.</w:t>
      </w:r>
    </w:p>
    <w:p>
      <w:pPr>
        <w:spacing w:after="0" w:line="3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Inventoried costs primarily relate to work in process on contracts accounted for under the units-of-delivery method. These costs represent accumulated contract costs less the portion of such costs allocated to delivered items. Product inventory primarily consists of raw materials and is stated at the lower of cost or net realizable value, generally using the average cost method.</w:t>
      </w:r>
    </w:p>
    <w:p>
      <w:pPr>
        <w:spacing w:after="0" w:line="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Accumulated contract costs in unbilled accounts receivable and inventoried costs include manufacturing, engineering and design labor, subcontractor, material, overhead and, for government contracts, allowable G&amp;A costs. According to the provisions of U.S. Government contracts, the customer asserts title to, or a security interest in, inventories related to such contracts as a result of contract advances, performance-based payments, and/or progress payments. In accordance with industry practice, unbilled accounts receivable and inventoried costs are classified as current assets and include amounts related to contracts having production cycles longer than one year.</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337"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Payments received in excess of unbilled accounts receivable and inventoried costs on a contract by contract basis are recorded as advance payments and amounts in excess of costs incurred in the consolidated statements of financial position.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Surrender Value of Life Insurance Policies</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company maintains whole life insurance policies on a group of executives, which are recorded at their cash surrender value as determined by the insurance carrier. The company also has split-dollar life insurance policies on former officers and executives from acquired businesses, which are recorded at the lesser of their cash surrender value or premiums paid. These policies are utilized as a partial funding source for deferred compensation and other non-qualified employee retirement plans. As of December 31, 2017 and 2016, the carrying values associated with these policies were $340 million and $304 million, respectively, and are recorded in other non-current assets in the consolidated statements of financial position.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Property, plant and equipment are depreciated over the estimated useful lives of individual assets. Most of these assets are depreciated using declining-balance methods, with the remainder using the straight-line method. Major classes of property, plant and equipment and their useful lives are as follows:</w:t>
      </w:r>
    </w:p>
    <w:p>
      <w:pPr>
        <w:spacing w:after="0" w:line="166" w:lineRule="exact"/>
        <w:rPr>
          <w:sz w:val="20"/>
          <w:szCs w:val="20"/>
          <w:color w:val="auto"/>
        </w:rPr>
      </w:pPr>
    </w:p>
    <w:p>
      <w:pPr>
        <w:ind w:left="976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ind w:left="40"/>
              <w:spacing w:after="0"/>
              <w:rPr>
                <w:sz w:val="20"/>
                <w:szCs w:val="20"/>
                <w:color w:val="auto"/>
              </w:rPr>
            </w:pPr>
            <w:r>
              <w:rPr>
                <w:rFonts w:ascii="Arial" w:cs="Arial" w:eastAsia="Arial" w:hAnsi="Arial"/>
                <w:sz w:val="18"/>
                <w:szCs w:val="18"/>
                <w:i w:val="1"/>
                <w:iCs w:val="1"/>
                <w:color w:val="auto"/>
              </w:rPr>
              <w:t>Useful life in years, $ in millions</w:t>
            </w:r>
          </w:p>
        </w:tc>
        <w:tc>
          <w:tcPr>
            <w:tcW w:w="3820" w:type="dxa"/>
            <w:vAlign w:val="bottom"/>
          </w:tcPr>
          <w:p>
            <w:pPr>
              <w:jc w:val="center"/>
              <w:ind w:left="1890"/>
              <w:spacing w:after="0"/>
              <w:rPr>
                <w:sz w:val="20"/>
                <w:szCs w:val="20"/>
                <w:color w:val="auto"/>
              </w:rPr>
            </w:pPr>
            <w:r>
              <w:rPr>
                <w:rFonts w:ascii="Arial" w:cs="Arial" w:eastAsia="Arial" w:hAnsi="Arial"/>
                <w:sz w:val="18"/>
                <w:szCs w:val="18"/>
                <w:color w:val="auto"/>
                <w:w w:val="98"/>
              </w:rPr>
              <w:t>Useful Life</w:t>
            </w:r>
          </w:p>
        </w:tc>
        <w:tc>
          <w:tcPr>
            <w:tcW w:w="4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50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820" w:type="dxa"/>
            <w:vAlign w:val="bottom"/>
            <w:shd w:val="clear" w:color="auto" w:fill="CCEEFF"/>
          </w:tcPr>
          <w:p>
            <w:pPr>
              <w:ind w:left="2580"/>
              <w:spacing w:after="0" w:line="264" w:lineRule="exact"/>
              <w:rPr>
                <w:sz w:val="20"/>
                <w:szCs w:val="20"/>
                <w:color w:val="auto"/>
              </w:rPr>
            </w:pPr>
            <w:r>
              <w:rPr>
                <w:rFonts w:ascii="Arial" w:cs="Arial" w:eastAsia="Arial" w:hAnsi="Arial"/>
                <w:sz w:val="18"/>
                <w:szCs w:val="18"/>
                <w:color w:val="auto"/>
              </w:rPr>
              <w:t>Up to 40</w:t>
            </w:r>
            <w:r>
              <w:rPr>
                <w:rFonts w:ascii="Arial" w:cs="Arial" w:eastAsia="Arial" w:hAnsi="Arial"/>
                <w:sz w:val="25"/>
                <w:szCs w:val="25"/>
                <w:color w:val="auto"/>
                <w:vertAlign w:val="superscript"/>
              </w:rPr>
              <w:t>(1)</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420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820" w:type="dxa"/>
            <w:vAlign w:val="bottom"/>
          </w:tcPr>
          <w:p>
            <w:pPr>
              <w:jc w:val="center"/>
              <w:ind w:left="1890"/>
              <w:spacing w:after="0"/>
              <w:rPr>
                <w:sz w:val="20"/>
                <w:szCs w:val="20"/>
                <w:color w:val="auto"/>
              </w:rPr>
            </w:pPr>
            <w:r>
              <w:rPr>
                <w:rFonts w:ascii="Arial" w:cs="Arial" w:eastAsia="Arial" w:hAnsi="Arial"/>
                <w:sz w:val="18"/>
                <w:szCs w:val="18"/>
                <w:color w:val="auto"/>
                <w:w w:val="93"/>
              </w:rPr>
              <w:t>Up to 40</w:t>
            </w:r>
          </w:p>
        </w:tc>
        <w:tc>
          <w:tcPr>
            <w:tcW w:w="4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1,834</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1,798</w:t>
            </w:r>
          </w:p>
        </w:tc>
      </w:tr>
      <w:tr>
        <w:trPr>
          <w:trHeight w:val="27"/>
        </w:trPr>
        <w:tc>
          <w:tcPr>
            <w:tcW w:w="50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other equipment</w:t>
            </w:r>
          </w:p>
        </w:tc>
        <w:tc>
          <w:tcPr>
            <w:tcW w:w="3820" w:type="dxa"/>
            <w:vAlign w:val="bottom"/>
            <w:tcBorders>
              <w:bottom w:val="single" w:sz="8" w:color="CCEEFF"/>
            </w:tcBorders>
            <w:shd w:val="clear" w:color="auto" w:fill="CCEEFF"/>
          </w:tcPr>
          <w:p>
            <w:pPr>
              <w:jc w:val="center"/>
              <w:ind w:left="1890"/>
              <w:spacing w:after="0"/>
              <w:rPr>
                <w:sz w:val="20"/>
                <w:szCs w:val="20"/>
                <w:color w:val="auto"/>
              </w:rPr>
            </w:pPr>
            <w:r>
              <w:rPr>
                <w:rFonts w:ascii="Arial" w:cs="Arial" w:eastAsia="Arial" w:hAnsi="Arial"/>
                <w:sz w:val="18"/>
                <w:szCs w:val="18"/>
                <w:color w:val="auto"/>
                <w:w w:val="93"/>
              </w:rPr>
              <w:t>Up to 20</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5,105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4,711</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Capitalized software costs</w:t>
            </w:r>
          </w:p>
        </w:tc>
        <w:tc>
          <w:tcPr>
            <w:tcW w:w="3820" w:type="dxa"/>
            <w:vAlign w:val="bottom"/>
          </w:tcPr>
          <w:p>
            <w:pPr>
              <w:jc w:val="center"/>
              <w:ind w:left="1890"/>
              <w:spacing w:after="0"/>
              <w:rPr>
                <w:sz w:val="20"/>
                <w:szCs w:val="20"/>
                <w:color w:val="auto"/>
              </w:rPr>
            </w:pPr>
            <w:r>
              <w:rPr>
                <w:rFonts w:ascii="Arial" w:cs="Arial" w:eastAsia="Arial" w:hAnsi="Arial"/>
                <w:sz w:val="18"/>
                <w:szCs w:val="18"/>
                <w:color w:val="auto"/>
                <w:w w:val="92"/>
              </w:rPr>
              <w:t>3-5</w:t>
            </w:r>
          </w:p>
        </w:tc>
        <w:tc>
          <w:tcPr>
            <w:tcW w:w="4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537</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439</w:t>
            </w:r>
          </w:p>
        </w:tc>
      </w:tr>
      <w:tr>
        <w:trPr>
          <w:trHeight w:val="27"/>
        </w:trPr>
        <w:tc>
          <w:tcPr>
            <w:tcW w:w="50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820" w:type="dxa"/>
            <w:vAlign w:val="bottom"/>
            <w:tcBorders>
              <w:bottom w:val="single" w:sz="8" w:color="auto"/>
            </w:tcBorders>
            <w:shd w:val="clear" w:color="auto" w:fill="CCEEFF"/>
          </w:tcPr>
          <w:p>
            <w:pPr>
              <w:jc w:val="center"/>
              <w:ind w:left="1890"/>
              <w:spacing w:after="0" w:line="270" w:lineRule="exact"/>
              <w:rPr>
                <w:sz w:val="20"/>
                <w:szCs w:val="20"/>
                <w:color w:val="auto"/>
              </w:rPr>
            </w:pPr>
            <w:r>
              <w:rPr>
                <w:rFonts w:ascii="Arial" w:cs="Arial" w:eastAsia="Arial" w:hAnsi="Arial"/>
                <w:sz w:val="18"/>
                <w:szCs w:val="18"/>
                <w:color w:val="auto"/>
                <w:w w:val="88"/>
              </w:rPr>
              <w:t>Length of Lease</w:t>
            </w:r>
            <w:r>
              <w:rPr>
                <w:rFonts w:ascii="Arial" w:cs="Arial" w:eastAsia="Arial" w:hAnsi="Arial"/>
                <w:sz w:val="25"/>
                <w:szCs w:val="25"/>
                <w:color w:val="auto"/>
                <w:w w:val="88"/>
                <w:vertAlign w:val="superscript"/>
              </w:rPr>
              <w:t>(2)</w:t>
            </w: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1,395</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3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9,291</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8,419</w:t>
            </w:r>
          </w:p>
        </w:tc>
      </w:tr>
      <w:tr>
        <w:trPr>
          <w:trHeight w:val="27"/>
        </w:trPr>
        <w:tc>
          <w:tcPr>
            <w:tcW w:w="50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(5,066)</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r>
      <w:tr>
        <w:trPr>
          <w:trHeight w:val="237"/>
        </w:trPr>
        <w:tc>
          <w:tcPr>
            <w:tcW w:w="5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Property, plant and equipment, net</w:t>
            </w:r>
          </w:p>
        </w:tc>
        <w:tc>
          <w:tcPr>
            <w:tcW w:w="3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4,225</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3,588</w:t>
            </w:r>
          </w:p>
        </w:tc>
      </w:tr>
      <w:tr>
        <w:trPr>
          <w:trHeight w:val="34"/>
        </w:trPr>
        <w:tc>
          <w:tcPr>
            <w:tcW w:w="50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6"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Land is not a depreciable asset.</w:t>
      </w:r>
    </w:p>
    <w:p>
      <w:pPr>
        <w:spacing w:after="0" w:line="74" w:lineRule="exact"/>
        <w:rPr>
          <w:rFonts w:ascii="Arial" w:cs="Arial" w:eastAsia="Arial" w:hAnsi="Arial"/>
          <w:sz w:val="21"/>
          <w:szCs w:val="21"/>
          <w:color w:val="auto"/>
          <w:vertAlign w:val="superscript"/>
        </w:rPr>
      </w:pPr>
    </w:p>
    <w:p>
      <w:pPr>
        <w:ind w:left="180" w:hanging="172"/>
        <w:spacing w:after="0" w:line="194" w:lineRule="auto"/>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Leasehold improvements are depreciated over the shorter of the useful life of the asset or the length of the lease.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Purchased Intangible Assets</w:t>
      </w:r>
    </w:p>
    <w:p>
      <w:pPr>
        <w:spacing w:after="0" w:line="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tests goodwill for impairment at least annually as of December 31, or when an indicator of potential impairment exists. When performing the goodwill impairment test, the company uses a discounted cash flow approach corroborated by comparative market multiples, where appropriate, to determine the fair value of its reporting units.</w:t>
      </w:r>
    </w:p>
    <w:p>
      <w:pPr>
        <w:spacing w:after="0" w:line="5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Goodwill and other purchased intangible asset balances are included in the identifiable assets of their assigned business segment. The company charges goodwill impairment, as well as the amortization of other purchased intangible assets, against the respective segment’s operating income. Purchased intangible assets are amortized on a straight-line basis over their estimated useful lives and are included in other non-current assets in the consolidated statements of financial position.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company uses its incremental borrowing rate in the assessment of lease classification as capital or operating and defines the initial lease term to include renewal options determined to be reasonably assured. The majority of our leases are operating leases.</w:t>
      </w:r>
    </w:p>
    <w:p>
      <w:pPr>
        <w:spacing w:after="0" w:line="4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Many of the company’s real property lease agreements contain incentives for tenant improvements, rent holidays, or rent escalation clauses. For tenant improvement incentives, the company records a deferred rent liability and amortizes the deferred rent over the term of the lease as a reduction to rent expense. For rent holidays and rent escalation clauses during the lease term, the company records rental expense on a straight-line basis over the term of the lease. For purposes of recognizing lease incentives, the company uses the date of initial possession as the commencement date, which is generally when the company is given the right of access to the space and begins to make improvements in preparation for intended use.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Commitments and Contingencies</w:t>
      </w:r>
    </w:p>
    <w:p>
      <w:pPr>
        <w:spacing w:after="0" w:line="2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We accrue for litigation, commitments and contingencies when management, after considering the facts and circumstances of each matter as then known to management, has determined it is probable a liability will be found to have been incurred and the amount of the loss can be reasonably estimated. When only a range of amounts is reasonably estimable and no amount within the range is more likely than another, the low end of the range is recorded. Legal fees are expensed as incurred. Due to the inherent uncertainties surrounding gain contingencies, we generally do not recognize potential gains until realized.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Costs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accrue for environmental liabilities when management determines that, based on the facts and circumstances known to the company, it is probable the company will incur costs to address environmental impacts and the costs are reasonably estimable. When only a range of amounts is reasonably estimable and no amount within the range is more probable than another, we record the low end of the range. The company typically projects environmental costs for up to 30 years, records environmental liabilities on an undiscounted basis, and excludes asset retirement obligations and certain legal costs. At sites involving multiple parties, we accrue environmental liabilities based upon our expected share of liability, taking into account the financial viability of other liable parties. As a portion of environmental remediation liabilities are expected to be recoverable through overhead charges on government contracts, such amounts are deferred in inventoried costs (current portion) and other non-current assets until charged to contracts. The portion of environmental costs not expected to be recoverable is expensed.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The company sponsors various defined benefit pension plans and defined contribution retirement plans covering substantially all of its employees. In most cases, our defined contribution plans provide for a company match of employee contributions. The company also provides post-retirement benefits other than pensions to eligible retirees and qualifying dependents, consisting principally of health care and life insurance benefits.</w:t>
      </w:r>
    </w:p>
    <w:p>
      <w:pPr>
        <w:spacing w:after="0" w:line="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liabilities, unamortized benefit plan costs and annual income or expense of the company’s defined benefit pension and other post-retirement benefit plans are determined using methodologies that involve several actuarial assumptions. Unamortized benefit plan costs consist primarily of accumulated net after-tax actuarial losses.</w:t>
      </w:r>
    </w:p>
    <w:p>
      <w:pPr>
        <w:spacing w:after="0" w:line="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Because U.S. Government regulations require that the costs of pension and other post-retirement plans be charged to our contracts in accordance with the Federal Acquisition Regulation (FAR) and the related U.S. Government Cost Accounting Standards (CAS) that govern such plans, we calculate retiree benefit plan costs under both CAS and FAS methods. While both FAS and CAS recognize a normal service cost component in measuring periodic pension cost, there are differences in the way the components of annual pension costs are calculated under each method. Measuring plan obligations under FAS and CAS includes different assumptions and models, such as in estimating returns on plan assets, calculating interest expense, and the periods over which gains/losses related to pension assets and actuarial changes are amortized. As a result, annual retiree benefit plan expense amounts for FAS are different from the amounts for CAS in any given reporting period even though the ultimate cost of providing benefits over the life of the plans is the same under either method. CAS retiree benefit plan costs are charged to contracts and are included in segment operating income, and the difference between FAS and CAS expense is recorded in operating income at the consolidated company level.</w:t>
      </w:r>
    </w:p>
    <w:p>
      <w:pPr>
        <w:spacing w:after="0" w:line="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GAAP reporting, net actuarial gains or losses are amortized to expense on a plan-by-plan basis when they exceed the accounting corridor. The accounting corridor is a defined range within which amortization of net gains and losses is not required and is equal to 10 percent of the greater of plan assets or benefit obligations. For most of the company’s plans, gains or losses outside of the corridor are subject to amortization over the average future service period of active plan participants (approximately eight years). For plans where all or almost all plan participants are inactive, gains or losses outside of the corridor are generally subject to amortization over the average remaining life expectancy of plan participants (approximately 20 years). Not all net periodic pension expense is recognized in net earnings in the year incurred because it is allocated as production costs and a portion remains in inventory at the end of a reporting period. The company’s funding policy for the qualified pension plans is to contribute, at a minimum, the statutorily required amount to an irrevocable trust.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27"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The company’s stock compensation plans are classified as equity plans and compensation expense is generally recognized over the vesting period (typically three years), net of estimated forfeitures. The company issues stock awards in the form of restricted performance stock rights and restricted stock rights. The fair value of stock awards is determined based on the closing market price of the company’s common stock on the grant date. At each reporting</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337"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date, the number of shares used to calculate compensation expense and diluted earnings per share is adjusted to reflect the number ultimately expected to vest.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benefit plan costs, net of tax benefit of $3,056 for 2017 and $3,439 for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(4,586)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(5,416)</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Cumulative translation adjustment</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(136)</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on marketable securities and cash flow hedges,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(4,718)</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(5,546)</w:t>
            </w:r>
          </w:p>
        </w:tc>
      </w:tr>
      <w:tr>
        <w:trPr>
          <w:trHeight w:val="34"/>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Unamortized benefit plan costs consist primarily of net after-tax actuarial losses totaling $4.7 billion and $5.6 billion as of December 31, 2017 and 2016, respectively. Net actuarial gains or losses are re-determined annually or upon remeasurement events and principally arise from changes in the interest rate used to discount our benefit obligations and differences between expected and actual returns on plan assets.</w:t>
      </w:r>
    </w:p>
    <w:p>
      <w:pPr>
        <w:spacing w:after="0" w:line="3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Reclassifications from accumulated other comprehensive loss to net earnings related to the amortization of benefit plan costs were $398 million, $402 million and $388 million, net of taxes, for the years ended December 31, 2017, 2016 and 2015, respectively. The reclassifications represent the amortization of net actuarial losses and prior service credits, and are included in the computation of net periodic pension cost. See Note 13 for further information.</w:t>
      </w:r>
    </w:p>
    <w:p>
      <w:pPr>
        <w:spacing w:after="0" w:line="1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Reclassifications from accumulated other comprehensive loss to net earnings, relating to cumulative translation adjustments, marketable securities and effective cash flow hedges were not material for the years ended December 31, 2017, 2016 and 2015.</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the company had no material related party transactions.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March 10, 2017, the Financial Accounting Standards Board (FASB) issued Accounting Standards Update (ASU) No. 2017-07 </w:t>
      </w:r>
      <w:r>
        <w:rPr>
          <w:rFonts w:ascii="Arial" w:cs="Arial" w:eastAsia="Arial" w:hAnsi="Arial"/>
          <w:sz w:val="17"/>
          <w:szCs w:val="17"/>
          <w:i w:val="1"/>
          <w:iCs w:val="1"/>
          <w:color w:val="auto"/>
        </w:rPr>
        <w:t>Compensation Retirement</w:t>
      </w:r>
      <w:r>
        <w:rPr>
          <w:rFonts w:ascii="Arial" w:cs="Arial" w:eastAsia="Arial" w:hAnsi="Arial"/>
          <w:sz w:val="17"/>
          <w:szCs w:val="17"/>
          <w:color w:val="auto"/>
        </w:rPr>
        <w:t xml:space="preserve"> </w:t>
      </w:r>
      <w:r>
        <w:rPr>
          <w:rFonts w:ascii="Arial" w:cs="Arial" w:eastAsia="Arial" w:hAnsi="Arial"/>
          <w:sz w:val="17"/>
          <w:szCs w:val="17"/>
          <w:i w:val="1"/>
          <w:iCs w:val="1"/>
          <w:color w:val="auto"/>
        </w:rPr>
        <w:t>Benefits (Topic 715): Improving the Presentation of Net Periodic Pension Cost and Net Periodic Postretirement Benefit Cost</w:t>
      </w:r>
      <w:r>
        <w:rPr>
          <w:rFonts w:ascii="Arial" w:cs="Arial" w:eastAsia="Arial" w:hAnsi="Arial"/>
          <w:sz w:val="17"/>
          <w:szCs w:val="17"/>
          <w:color w:val="auto"/>
        </w:rPr>
        <w:t>. ASU 2017-07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employers that sponsor defined benefit pension and/or other post-retirement benefit plans to report the service cost component of net benefit cost in the same line item as other compensation costs arising from services rendered by the pertinent employees during the period. Employers are required to present the other components of net benefit costs in the income statement separately from the service cost component and outside a subtotal of income from operations. Additionally, only the service cost component of net periodic pension cost will be eligible for asset capitalization.</w:t>
      </w:r>
    </w:p>
    <w:p>
      <w:pPr>
        <w:spacing w:after="0" w:line="4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expect adoption of ASU 2017-07 to result in a change in our net FAS/CAS pension adjustment within operating income, which will be offset by a corresponding change in Other, net to reflect the impact of presenting the interest cost, expected return on plan assets, and amortization of prior service credit and net actuarial loss components of net periodic benefit costs outside of operating income. In addition, interest on service cost and plan administrative expenses, which, in some cases, are currently included within service cost, will be presented in the interest cost and amortization of net actuarial loss components, respectively, in Other, net. We adopted ASU 2017-07 on January 1, 2018 using the retrospective method and do not anticipate a material change to our 2017 net FAS/CAS pension adjustment in operating income or Other, net when they are recast to reflect the standard. We also do not expect ASU 2017-07 to have a material impact on our consolidated statements of financial position and/or cash flows.</w:t>
      </w:r>
    </w:p>
    <w:p>
      <w:pPr>
        <w:spacing w:after="0" w:line="4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On February 25,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supersedes existing lease guidance, including Accounting Standards Codification (ASC) 840 - </w:t>
      </w:r>
      <w:r>
        <w:rPr>
          <w:rFonts w:ascii="Arial" w:cs="Arial" w:eastAsia="Arial" w:hAnsi="Arial"/>
          <w:sz w:val="17"/>
          <w:szCs w:val="17"/>
          <w:i w:val="1"/>
          <w:iCs w:val="1"/>
          <w:color w:val="auto"/>
        </w:rPr>
        <w:t>Leases</w:t>
      </w:r>
      <w:r>
        <w:rPr>
          <w:rFonts w:ascii="Arial" w:cs="Arial" w:eastAsia="Arial" w:hAnsi="Arial"/>
          <w:sz w:val="17"/>
          <w:szCs w:val="17"/>
          <w:color w:val="auto"/>
        </w:rPr>
        <w:t>. Among other things, ASU 2016-02 requires recognition of a right-of-use asset and liability for future lease payments for contracts that meet the definition of a lease and requires disclosure of certain information about leasing arrangements. ASU 2016-02 will be effective January 1, 2019, although early adoption is permitted, and it is currently required to be applied using a modified retrospective transition method. We expect to adopt the standard on January 1, 2019. We are reviewing our leases to determine the effect ASU 2016-02 will have on the company’s consolidated financial position, annual results of operations and/or cash flows. We currently expect the right-of-use assets and lease liabilities recognized upon adoption will each approximate our future minimum lease payments, as disclosed in our Annual Reports 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Form 10-K. We do not expect ASU 2016-02 to have a material impact on our annual results of operations and/or cash flows.</w:t>
      </w:r>
    </w:p>
    <w:p>
      <w:pPr>
        <w:spacing w:after="0" w:line="9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On May 28,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Topic 606 supersedes existing revenue recognition guidance, including ASC 605-35, </w:t>
      </w:r>
      <w:r>
        <w:rPr>
          <w:rFonts w:ascii="Arial" w:cs="Arial" w:eastAsia="Arial" w:hAnsi="Arial"/>
          <w:sz w:val="16"/>
          <w:szCs w:val="16"/>
          <w:i w:val="1"/>
          <w:iCs w:val="1"/>
          <w:color w:val="auto"/>
        </w:rPr>
        <w:t>Revenue Recognition - Construction-Type and Production-Type Contracts,</w:t>
      </w:r>
      <w:r>
        <w:rPr>
          <w:rFonts w:ascii="Arial" w:cs="Arial" w:eastAsia="Arial" w:hAnsi="Arial"/>
          <w:sz w:val="16"/>
          <w:szCs w:val="16"/>
          <w:color w:val="auto"/>
        </w:rPr>
        <w:t xml:space="preserve"> and outlines a single set of comprehensive principles for recognizing revenue under GAAP. Among other things, it requires companies to identify contractual performance obligations and determine whether revenue should be recognized at a point in time or over time. On July 9, 2015, the FASB approved a one year deferral of the effective date of Topic 606 to annual reporting periods beginning after December 15, 2017. Topic 606 may be applied either retrospectively or through the use of a modified-retrospective method. We adopted the standard effective January 1, 2018, using the full retrospective method.</w:t>
      </w:r>
    </w:p>
    <w:p>
      <w:pPr>
        <w:spacing w:after="0" w:line="3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2017, we completed our evaluation of Topic 606, including the impact on our business processes, systems and controls, and differences in the timing and/or method of revenue recognition for our contracts. As a result of our evaluation, we identified changes to and modified certain of our accounting policies and practices. We also designed and implemented specific controls over our evaluation of the impact of Topic 606, including our calculation of the cumulative effect of adopting Topic 606. Although there were no significant changes to our accounting systems or controls upon adoption of Topic 606, we modified certain of our existing controls to incorporate the revisions we made to our accounting policies and practices.</w:t>
      </w:r>
    </w:p>
    <w:p>
      <w:pPr>
        <w:spacing w:after="0" w:line="3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Based on our evaluation of Topic 606, we do not expect it to have a material impact on our results of operations or cash flows in the periods after adoption. Under Topic 606, revenue is recognized as control transfers to the customer. As such, under the new standard, revenue for our contracts is generally recognized over time using the cost-to-cost method, which is consistent with the revenue recognition model used for the majority of our contracts prior to the adoption of Topic 606. In most cases the accounting for those contracts where we previously recognized revenue as units were delivered has changed under Topic 606 such that we now recognize revenue as costs are incurred. This change generally results in an acceleration of revenue as compared with our previous revenue recognition method for those contracts. In addition, for certain of our contracts, there is a change in the number of performance obligations under Topic 606, which has altered the timing of revenue and margin recognition.</w:t>
      </w:r>
    </w:p>
    <w:p>
      <w:pPr>
        <w:spacing w:after="0" w:line="4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Topic 606 also requires expanded disclosure regarding the nature, timing, and uncertainty of revenue, cash flow and customer contract balances, including how and when we satisfy our performance obligations and the relationship between revenue recognized and changes in contract balances during a reporting period. We have evaluated these disclosure requirements and incorporated the collection of relevant data into our reporting process.</w:t>
      </w:r>
    </w:p>
    <w:p>
      <w:pPr>
        <w:spacing w:after="0" w:line="1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2017, we completed our assessment of the cumulative effect of adopting Topic 606. Under the full retrospective method, we principally recognized the cumulative effect of adoption as an increase in unbilled accounts receivable, a reduction in inventoried costs, an increase in advance payments and amounts in excess of costs incurred and a net increase in retained earnings as of January 1, 2016. We also completed our assessment of the impact of adoption on our 2016 and 2017 results. The following table includes selected financial information that has been recast to reflect the adoption of Topic 606: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3"/>
          </w:tcPr>
          <w:p>
            <w:pPr>
              <w:ind w:left="200"/>
              <w:spacing w:after="0"/>
              <w:rPr>
                <w:sz w:val="20"/>
                <w:szCs w:val="20"/>
                <w:color w:val="auto"/>
              </w:rPr>
            </w:pPr>
            <w:r>
              <w:rPr>
                <w:rFonts w:ascii="Arial" w:cs="Arial" w:eastAsia="Arial" w:hAnsi="Arial"/>
                <w:sz w:val="18"/>
                <w:szCs w:val="18"/>
                <w:color w:val="auto"/>
              </w:rPr>
              <w:t>Year Ended December 31</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300" w:type="dxa"/>
            <w:vAlign w:val="bottom"/>
          </w:tcPr>
          <w:p>
            <w:pPr>
              <w:spacing w:after="0"/>
              <w:rPr>
                <w:sz w:val="20"/>
                <w:szCs w:val="20"/>
                <w:color w:val="auto"/>
              </w:rPr>
            </w:pPr>
          </w:p>
        </w:tc>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8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26,004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24,706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3,246</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1,995</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w:t>
            </w:r>
          </w:p>
        </w:tc>
      </w:tr>
      <w:tr>
        <w:trPr>
          <w:trHeight w:val="237"/>
        </w:trPr>
        <w:tc>
          <w:tcPr>
            <w:tcW w:w="8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11.44</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11.36</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r>
      <w:tr>
        <w:trPr>
          <w:trHeight w:val="27"/>
        </w:trPr>
        <w:tc>
          <w:tcPr>
            <w:tcW w:w="85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bl>
    <w:p>
      <w:pPr>
        <w:spacing w:after="0" w:line="6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These amounts principally reflect the impact under Topic 606 of converting contracts to the cost-to-cost method of accounting as well as changes in the number of performance obligations for certain of our contracts. The impact of adopting Topic 606 on our 2016 and 2017 results of operations may not be indicative of the impact in future years.</w:t>
      </w:r>
    </w:p>
    <w:p>
      <w:pPr>
        <w:spacing w:after="0" w:line="4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Other accounting standards updates issued, but not effective until after December 31, 2017, are not expected to have a material effect on the company’s consolidated financial position, annual results of operations and/or cash flows.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PENDING ACQUISITION OF ORBITAL ATK</w:t>
      </w:r>
    </w:p>
    <w:p>
      <w:pPr>
        <w:spacing w:after="0" w:line="9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070808"/>
        </w:rPr>
        <w:t>On September 17, 2017, the company entered into a definitive merger agreement to acquire all of the outstanding shares of Orbital ATK, Inc. (Orbital ATK) for approximately $7.8 billion in cash, plus the assumption of approximately $1.4 billion in net debt (the “Orbital ATK Acquisition”). Under the terms of the merger agreement, Orbital ATK shareholders are to receive all-cash consideration of $134.50 per share. We expect to fund the Orbital ATK Acquisition with the proceeds from our debt financing completed in October 2017 and cash on hand. See Note 10 for further information on our Orbital ATK Acquisition financing. On November 29, 2017, Orbital ATK shareholders approved the proposed Orbital ATK Acquisition. We currently expect the transaction to close in the first half of 2018, after receiving regulatory approvals. Upon completion of the Orbital ATK Acquisition, we plan to establish Orbital ATK as a new, fourth business sector named Northrop Grumman Innovation Systems.</w:t>
      </w:r>
    </w:p>
    <w:p>
      <w:pPr>
        <w:spacing w:after="0" w:line="120" w:lineRule="exact"/>
        <w:rPr>
          <w:sz w:val="20"/>
          <w:szCs w:val="20"/>
          <w:color w:val="auto"/>
        </w:rPr>
      </w:pPr>
    </w:p>
    <w:p>
      <w:pPr>
        <w:ind w:right="3720"/>
        <w:spacing w:after="0" w:line="308" w:lineRule="auto"/>
        <w:rPr>
          <w:sz w:val="20"/>
          <w:szCs w:val="20"/>
          <w:color w:val="auto"/>
        </w:rPr>
      </w:pPr>
      <w:r>
        <w:rPr>
          <w:rFonts w:ascii="Arial" w:cs="Arial" w:eastAsia="Arial" w:hAnsi="Arial"/>
          <w:sz w:val="18"/>
          <w:szCs w:val="18"/>
          <w:b w:val="1"/>
          <w:bCs w:val="1"/>
          <w:color w:val="auto"/>
        </w:rPr>
        <w:t>3. EARNINGS PER SHARE, SHARE REPURCHASES AND DIVIDENDS ON COMMON STOCK Basic Earnings Per Share</w:t>
      </w:r>
    </w:p>
    <w:p>
      <w:pPr>
        <w:ind w:right="220"/>
        <w:spacing w:after="0" w:line="297" w:lineRule="auto"/>
        <w:rPr>
          <w:sz w:val="20"/>
          <w:szCs w:val="20"/>
          <w:color w:val="auto"/>
        </w:rPr>
      </w:pPr>
      <w:r>
        <w:rPr>
          <w:rFonts w:ascii="Arial" w:cs="Arial" w:eastAsia="Arial" w:hAnsi="Arial"/>
          <w:sz w:val="18"/>
          <w:szCs w:val="18"/>
          <w:color w:val="auto"/>
        </w:rPr>
        <w:t xml:space="preserve">We calculate basic earnings per share by dividing net earnings by the weighted-average number of shares of common stock outstanding during each period. </w:t>
      </w:r>
      <w:r>
        <w:rPr>
          <w:rFonts w:ascii="Arial" w:cs="Arial" w:eastAsia="Arial" w:hAnsi="Arial"/>
          <w:sz w:val="18"/>
          <w:szCs w:val="18"/>
          <w:b w:val="1"/>
          <w:bCs w:val="1"/>
          <w:color w:val="auto"/>
        </w:rPr>
        <w:t>Diluted Earnings Per Share</w:t>
      </w:r>
    </w:p>
    <w:p>
      <w:pPr>
        <w:spacing w:after="0" w:line="1" w:lineRule="exact"/>
        <w:rPr>
          <w:sz w:val="20"/>
          <w:szCs w:val="20"/>
          <w:color w:val="auto"/>
        </w:rPr>
      </w:pPr>
    </w:p>
    <w:p>
      <w:pPr>
        <w:ind w:right="460"/>
        <w:spacing w:after="0" w:line="290" w:lineRule="auto"/>
        <w:rPr>
          <w:sz w:val="20"/>
          <w:szCs w:val="20"/>
          <w:color w:val="auto"/>
        </w:rPr>
      </w:pPr>
      <w:r>
        <w:rPr>
          <w:rFonts w:ascii="Arial" w:cs="Arial" w:eastAsia="Arial" w:hAnsi="Arial"/>
          <w:sz w:val="17"/>
          <w:szCs w:val="17"/>
          <w:color w:val="auto"/>
        </w:rPr>
        <w:t>Diluted earnings per share include the dilutive effect of awards granted to employees under stock-based compensation plans. The dilutive effect of these securities totaled 1.2 million, 1.6 million and 2.2 million shares for the years ended December 31, 2017, 2016 and 2015, respectively.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left="60" w:right="20"/>
        <w:spacing w:after="0" w:line="295" w:lineRule="auto"/>
        <w:rPr>
          <w:sz w:val="20"/>
          <w:szCs w:val="20"/>
          <w:color w:val="auto"/>
        </w:rPr>
      </w:pPr>
      <w:r>
        <w:rPr>
          <w:rFonts w:ascii="Arial" w:cs="Arial" w:eastAsia="Arial" w:hAnsi="Arial"/>
          <w:sz w:val="16"/>
          <w:szCs w:val="16"/>
          <w:color w:val="auto"/>
        </w:rPr>
        <w:t>On May 15, 2013, the company’s board of directors authorized a share repurchase program of up to $4.0 billion of the company’s common stock (the “2013 Repurchase Program”). Repurchases under the 2013 Repurchase Program commenced in September 2013 and were completed in March 2015. On December 4, 2014, the company’s board of directors authorized a new share repurchase program of up to $3.0 billion of the company’s common stock (the “2014 Repurchase Program”). Repurchases under the 2014 Repurchase Program commenced in March 2015 and were completed in March 2016.</w:t>
      </w:r>
    </w:p>
    <w:p>
      <w:pPr>
        <w:spacing w:after="0" w:line="26" w:lineRule="exact"/>
        <w:rPr>
          <w:sz w:val="20"/>
          <w:szCs w:val="20"/>
          <w:color w:val="auto"/>
        </w:rPr>
      </w:pPr>
    </w:p>
    <w:p>
      <w:pPr>
        <w:ind w:left="60" w:right="140"/>
        <w:spacing w:after="0" w:line="291" w:lineRule="auto"/>
        <w:rPr>
          <w:sz w:val="20"/>
          <w:szCs w:val="20"/>
          <w:color w:val="auto"/>
        </w:rPr>
      </w:pPr>
      <w:r>
        <w:rPr>
          <w:rFonts w:ascii="Arial" w:cs="Arial" w:eastAsia="Arial" w:hAnsi="Arial"/>
          <w:sz w:val="16"/>
          <w:szCs w:val="16"/>
          <w:color w:val="auto"/>
        </w:rPr>
        <w:t>On September 16, 2015, the company’s board of directors authorized a new share repurchase program of up to $4.0 billion of the company’s common stock (the “2015 Repurchase Program”). Repurchases under the 2015 Repurchase Program commenced in March 2016 upon the completion of the company’s</w:t>
      </w:r>
    </w:p>
    <w:p>
      <w:pPr>
        <w:ind w:left="60" w:right="80"/>
        <w:spacing w:after="0" w:line="323" w:lineRule="auto"/>
        <w:rPr>
          <w:sz w:val="20"/>
          <w:szCs w:val="20"/>
          <w:color w:val="auto"/>
        </w:rPr>
      </w:pPr>
      <w:r>
        <w:rPr>
          <w:rFonts w:ascii="Arial" w:cs="Arial" w:eastAsia="Arial" w:hAnsi="Arial"/>
          <w:sz w:val="16"/>
          <w:szCs w:val="16"/>
          <w:color w:val="auto"/>
        </w:rPr>
        <w:t>2014 Repurchase Program. As of December 31, 2017, repurchases under the 2015 Repurchase Program totaled $1.7 billion; $2.3 billion remained under this share repurchase authorization. By its terms, the 2015 Repurchase Program is set to expire when we have used all authorized funds for repurchases.</w:t>
      </w:r>
    </w:p>
    <w:p>
      <w:pPr>
        <w:spacing w:after="0" w:line="4" w:lineRule="exact"/>
        <w:rPr>
          <w:sz w:val="20"/>
          <w:szCs w:val="20"/>
          <w:color w:val="auto"/>
        </w:rPr>
      </w:pPr>
    </w:p>
    <w:p>
      <w:pPr>
        <w:ind w:left="60" w:right="120"/>
        <w:spacing w:after="0" w:line="264"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560" w:type="dxa"/>
            <w:vAlign w:val="bottom"/>
            <w:gridSpan w:val="3"/>
          </w:tcPr>
          <w:p>
            <w:pPr>
              <w:jc w:val="center"/>
              <w:spacing w:after="0"/>
              <w:rPr>
                <w:sz w:val="20"/>
                <w:szCs w:val="20"/>
                <w:color w:val="auto"/>
              </w:rPr>
            </w:pPr>
            <w:r>
              <w:rPr>
                <w:rFonts w:ascii="Arial" w:cs="Arial" w:eastAsia="Arial" w:hAnsi="Arial"/>
                <w:sz w:val="18"/>
                <w:szCs w:val="18"/>
                <w:color w:val="auto"/>
                <w:w w:val="86"/>
              </w:rPr>
              <w:t>Shares Repurchased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vMerge w:val="restart"/>
          </w:tcPr>
          <w:p>
            <w:pPr>
              <w:jc w:val="center"/>
              <w:ind w:right="210"/>
              <w:spacing w:after="0"/>
              <w:rPr>
                <w:sz w:val="20"/>
                <w:szCs w:val="20"/>
                <w:color w:val="auto"/>
              </w:rPr>
            </w:pPr>
            <w:r>
              <w:rPr>
                <w:rFonts w:ascii="Arial" w:cs="Arial" w:eastAsia="Arial" w:hAnsi="Arial"/>
                <w:sz w:val="18"/>
                <w:szCs w:val="18"/>
                <w:color w:val="auto"/>
                <w:w w:val="93"/>
              </w:rPr>
              <w:t>Amount</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Total</w:t>
            </w:r>
          </w:p>
        </w:tc>
        <w:tc>
          <w:tcPr>
            <w:tcW w:w="300" w:type="dxa"/>
            <w:vAlign w:val="bottom"/>
          </w:tcPr>
          <w:p>
            <w:pPr>
              <w:spacing w:after="0"/>
              <w:rPr>
                <w:sz w:val="20"/>
                <w:szCs w:val="20"/>
                <w:color w:val="auto"/>
              </w:rPr>
            </w:pPr>
          </w:p>
        </w:tc>
        <w:tc>
          <w:tcPr>
            <w:tcW w:w="1300" w:type="dxa"/>
            <w:vAlign w:val="bottom"/>
            <w:vMerge w:val="restart"/>
          </w:tcPr>
          <w:p>
            <w:pPr>
              <w:jc w:val="center"/>
              <w:ind w:right="250"/>
              <w:spacing w:after="0"/>
              <w:rPr>
                <w:sz w:val="20"/>
                <w:szCs w:val="20"/>
                <w:color w:val="auto"/>
              </w:rPr>
            </w:pPr>
            <w:r>
              <w:rPr>
                <w:rFonts w:ascii="Arial" w:cs="Arial" w:eastAsia="Arial" w:hAnsi="Arial"/>
                <w:sz w:val="18"/>
                <w:szCs w:val="18"/>
                <w:color w:val="auto"/>
                <w:w w:val="89"/>
              </w:rPr>
              <w:t>Average</w:t>
            </w:r>
          </w:p>
        </w:tc>
        <w:tc>
          <w:tcPr>
            <w:tcW w:w="1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(in millions)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25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Year Ended December 31</w:t>
            </w:r>
          </w:p>
        </w:tc>
        <w:tc>
          <w:tcPr>
            <w:tcW w:w="0" w:type="dxa"/>
            <w:vAlign w:val="bottom"/>
          </w:tcPr>
          <w:p>
            <w:pPr>
              <w:spacing w:after="0"/>
              <w:rPr>
                <w:sz w:val="1"/>
                <w:szCs w:val="1"/>
                <w:color w:val="auto"/>
              </w:rPr>
            </w:pPr>
          </w:p>
        </w:tc>
      </w:tr>
      <w:tr>
        <w:trPr>
          <w:trHeight w:val="163"/>
        </w:trPr>
        <w:tc>
          <w:tcPr>
            <w:tcW w:w="2180" w:type="dxa"/>
            <w:vAlign w:val="bottom"/>
            <w:vMerge w:val="restart"/>
          </w:tcPr>
          <w:p>
            <w:pPr>
              <w:jc w:val="center"/>
              <w:ind w:left="30"/>
              <w:spacing w:after="0" w:line="190" w:lineRule="exact"/>
              <w:rPr>
                <w:sz w:val="20"/>
                <w:szCs w:val="20"/>
                <w:color w:val="auto"/>
              </w:rPr>
            </w:pPr>
            <w:r>
              <w:rPr>
                <w:rFonts w:ascii="Arial" w:cs="Arial" w:eastAsia="Arial" w:hAnsi="Arial"/>
                <w:sz w:val="18"/>
                <w:szCs w:val="18"/>
                <w:color w:val="auto"/>
                <w:w w:val="87"/>
              </w:rPr>
              <w:t>Repurchase Program</w:t>
            </w:r>
          </w:p>
        </w:tc>
        <w:tc>
          <w:tcPr>
            <w:tcW w:w="440" w:type="dxa"/>
            <w:vAlign w:val="bottom"/>
          </w:tcPr>
          <w:p>
            <w:pPr>
              <w:spacing w:after="0"/>
              <w:rPr>
                <w:sz w:val="14"/>
                <w:szCs w:val="14"/>
                <w:color w:val="auto"/>
              </w:rPr>
            </w:pPr>
          </w:p>
        </w:tc>
        <w:tc>
          <w:tcPr>
            <w:tcW w:w="1320" w:type="dxa"/>
            <w:vAlign w:val="bottom"/>
            <w:vMerge w:val="restart"/>
          </w:tcPr>
          <w:p>
            <w:pPr>
              <w:jc w:val="center"/>
              <w:ind w:right="210"/>
              <w:spacing w:after="0" w:line="190" w:lineRule="exact"/>
              <w:rPr>
                <w:sz w:val="20"/>
                <w:szCs w:val="20"/>
                <w:color w:val="auto"/>
              </w:rPr>
            </w:pPr>
            <w:r>
              <w:rPr>
                <w:rFonts w:ascii="Arial" w:cs="Arial" w:eastAsia="Arial" w:hAnsi="Arial"/>
                <w:sz w:val="18"/>
                <w:szCs w:val="18"/>
                <w:color w:val="auto"/>
                <w:w w:val="95"/>
              </w:rPr>
              <w:t>Authorized</w:t>
            </w:r>
          </w:p>
        </w:tc>
        <w:tc>
          <w:tcPr>
            <w:tcW w:w="1520" w:type="dxa"/>
            <w:vAlign w:val="bottom"/>
            <w:vMerge w:val="restart"/>
          </w:tcPr>
          <w:p>
            <w:pPr>
              <w:jc w:val="center"/>
              <w:spacing w:after="0" w:line="190" w:lineRule="exact"/>
              <w:rPr>
                <w:sz w:val="20"/>
                <w:szCs w:val="20"/>
                <w:color w:val="auto"/>
              </w:rPr>
            </w:pPr>
            <w:r>
              <w:rPr>
                <w:rFonts w:ascii="Arial" w:cs="Arial" w:eastAsia="Arial" w:hAnsi="Arial"/>
                <w:sz w:val="18"/>
                <w:szCs w:val="18"/>
                <w:color w:val="auto"/>
                <w:w w:val="86"/>
              </w:rPr>
              <w:t>Shares Retired</w:t>
            </w:r>
          </w:p>
        </w:tc>
        <w:tc>
          <w:tcPr>
            <w:tcW w:w="300" w:type="dxa"/>
            <w:vAlign w:val="bottom"/>
          </w:tcPr>
          <w:p>
            <w:pPr>
              <w:spacing w:after="0"/>
              <w:rPr>
                <w:sz w:val="14"/>
                <w:szCs w:val="14"/>
                <w:color w:val="auto"/>
              </w:rPr>
            </w:pPr>
          </w:p>
        </w:tc>
        <w:tc>
          <w:tcPr>
            <w:tcW w:w="1300" w:type="dxa"/>
            <w:vAlign w:val="bottom"/>
            <w:vMerge w:val="restart"/>
          </w:tcPr>
          <w:p>
            <w:pPr>
              <w:jc w:val="center"/>
              <w:ind w:right="230"/>
              <w:spacing w:after="0" w:line="190" w:lineRule="exact"/>
              <w:rPr>
                <w:sz w:val="20"/>
                <w:szCs w:val="20"/>
                <w:color w:val="auto"/>
              </w:rPr>
            </w:pPr>
            <w:r>
              <w:rPr>
                <w:rFonts w:ascii="Arial" w:cs="Arial" w:eastAsia="Arial" w:hAnsi="Arial"/>
                <w:sz w:val="18"/>
                <w:szCs w:val="18"/>
                <w:color w:val="auto"/>
                <w:w w:val="92"/>
              </w:rPr>
              <w:t>Price</w:t>
            </w:r>
          </w:p>
        </w:tc>
        <w:tc>
          <w:tcPr>
            <w:tcW w:w="180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1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Authorization Date</w:t>
            </w: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8"/>
              </w:rPr>
              <w:t>(in millions)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(in millions)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10"/>
              <w:spacing w:after="0" w:line="264" w:lineRule="exact"/>
              <w:rPr>
                <w:sz w:val="20"/>
                <w:szCs w:val="20"/>
                <w:color w:val="auto"/>
              </w:rPr>
            </w:pPr>
            <w:r>
              <w:rPr>
                <w:rFonts w:ascii="Arial" w:cs="Arial" w:eastAsia="Arial" w:hAnsi="Arial"/>
                <w:sz w:val="18"/>
                <w:szCs w:val="18"/>
                <w:color w:val="auto"/>
                <w:w w:val="82"/>
              </w:rPr>
              <w:t>Per Share</w:t>
            </w:r>
            <w:r>
              <w:rPr>
                <w:rFonts w:ascii="Arial" w:cs="Arial" w:eastAsia="Arial" w:hAnsi="Arial"/>
                <w:sz w:val="25"/>
                <w:szCs w:val="25"/>
                <w:color w:val="auto"/>
                <w:w w:val="82"/>
                <w:vertAlign w:val="superscript"/>
              </w:rPr>
              <w:t>(1)</w:t>
            </w:r>
          </w:p>
        </w:tc>
        <w:tc>
          <w:tcPr>
            <w:tcW w:w="1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Date Completed</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15, 2013</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4,000</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121.97</w:t>
            </w:r>
          </w:p>
        </w:tc>
        <w:tc>
          <w:tcPr>
            <w:tcW w:w="18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2"/>
              </w:rPr>
              <w:t>March 2015</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December 4, 2014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3,000</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166.70</w:t>
            </w:r>
          </w:p>
        </w:tc>
        <w:tc>
          <w:tcPr>
            <w:tcW w:w="1800" w:type="dxa"/>
            <w:vAlign w:val="bottom"/>
          </w:tcPr>
          <w:p>
            <w:pPr>
              <w:jc w:val="center"/>
              <w:ind w:right="30"/>
              <w:spacing w:after="0"/>
              <w:rPr>
                <w:sz w:val="20"/>
                <w:szCs w:val="20"/>
                <w:color w:val="auto"/>
              </w:rPr>
            </w:pPr>
            <w:r>
              <w:rPr>
                <w:rFonts w:ascii="Arial" w:cs="Arial" w:eastAsia="Arial" w:hAnsi="Arial"/>
                <w:sz w:val="18"/>
                <w:szCs w:val="18"/>
                <w:color w:val="auto"/>
                <w:w w:val="92"/>
              </w:rPr>
              <w:t>March 2016</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16, 2015</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4,000</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222.93</w:t>
            </w:r>
          </w:p>
        </w:tc>
        <w:tc>
          <w:tcPr>
            <w:tcW w:w="18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5.9</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w:t>
            </w:r>
          </w:p>
        </w:tc>
        <w:tc>
          <w:tcPr>
            <w:tcW w:w="11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7.3</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34"/>
        </w:trPr>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Includes commissions paid.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In May 2017, the company increased the quarterly common stock dividend 11 percent to $1.00 per share from the previous amount of $0.90 per share.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In May 2016, the company increased the quarterly common stock dividend 13 percent to $0.90 per share from the previous amount of $0.80 per share.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In May 2015, the company increased the quarterly common stock dividend 14 percent to $0.80 per share from the previous amount of $0.70 per share.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is aligned in three operating sectors, which also comprise our reportable segments: Aerospace Systems, Mission Systems and Technology Services.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sales and operating income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Aerospace Systems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11,955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10,828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9,940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11,382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10,928</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10,674</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Technology Services</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4,750</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4,825</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4,819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(2,284)</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r>
      <w:tr>
        <w:trPr>
          <w:trHeight w:val="237"/>
        </w:trPr>
        <w:tc>
          <w:tcPr>
            <w:tcW w:w="7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sales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25,803</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24,508</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23,526</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Aerospace Systems</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1,259</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1,236</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1,205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1,453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1,445</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Technology Services</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524</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512</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(277)</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segment operating income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2,959</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2,935</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FAS/CAS pension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594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316</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Unallocated corporate expenses</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3,299</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3,193</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3,076</w:t>
            </w:r>
          </w:p>
        </w:tc>
      </w:tr>
      <w:tr>
        <w:trPr>
          <w:trHeight w:val="34"/>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FAS/CAS Pension Adjustment</w:t>
      </w:r>
    </w:p>
    <w:p>
      <w:pPr>
        <w:spacing w:after="0" w:line="27"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color w:val="auto"/>
        </w:rPr>
        <w:t>For financial statement purposes, we account for our employee pension plans in accordance with FAS. However, the cost of these plans is charged to our contracts in accordance with the FAR and the related CAS. The net FAS/CAS pension adjustment reflects the difference between CAS pension expense included as cost in segment operating income and FAS expense included in total operating income.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Expenses</w:t>
      </w:r>
    </w:p>
    <w:p>
      <w:pPr>
        <w:spacing w:after="0" w:line="27" w:lineRule="exact"/>
        <w:rPr>
          <w:sz w:val="20"/>
          <w:szCs w:val="20"/>
          <w:color w:val="auto"/>
        </w:rPr>
      </w:pPr>
    </w:p>
    <w:p>
      <w:pPr>
        <w:jc w:val="both"/>
        <w:ind w:right="540"/>
        <w:spacing w:after="0" w:line="255" w:lineRule="auto"/>
        <w:rPr>
          <w:sz w:val="20"/>
          <w:szCs w:val="20"/>
          <w:color w:val="auto"/>
        </w:rPr>
      </w:pPr>
      <w:r>
        <w:rPr>
          <w:rFonts w:ascii="Arial" w:cs="Arial" w:eastAsia="Arial" w:hAnsi="Arial"/>
          <w:sz w:val="18"/>
          <w:szCs w:val="18"/>
          <w:color w:val="auto"/>
        </w:rPr>
        <w:t>Unallocated corporate expenses include the portion of corporate expenses not considered allowable or allocable under applicable CAS or the FAR, and therefore not allocated to the segments. Such costs consist of a portion of management and administration, legal, environmental, compensation, retiree benefits and other corporate unallowable costs.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Intersegment Sales and Operating Income</w:t>
      </w:r>
    </w:p>
    <w:p>
      <w:pPr>
        <w:spacing w:after="0" w:line="27" w:lineRule="exact"/>
        <w:rPr>
          <w:sz w:val="20"/>
          <w:szCs w:val="20"/>
          <w:color w:val="auto"/>
        </w:rPr>
      </w:pPr>
    </w:p>
    <w:p>
      <w:pPr>
        <w:jc w:val="both"/>
        <w:ind w:right="320"/>
        <w:spacing w:after="0" w:line="277" w:lineRule="auto"/>
        <w:rPr>
          <w:sz w:val="20"/>
          <w:szCs w:val="20"/>
          <w:color w:val="auto"/>
        </w:rPr>
      </w:pPr>
      <w:r>
        <w:rPr>
          <w:rFonts w:ascii="Arial" w:cs="Arial" w:eastAsia="Arial" w:hAnsi="Arial"/>
          <w:sz w:val="17"/>
          <w:szCs w:val="17"/>
          <w:color w:val="auto"/>
        </w:rPr>
        <w:t>Sales between segments are recorded at values that include intercompany operating income for the performing segment based on that segment’s estimated average operating margin rate for external sales. Such intercompany operating income is eliminated in consolidation, so that the company’s total sales and total operating income reflect only those transactions with external customers. See Note 1 for additional information.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intersegment sales and operating income before eliminations: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color w:val="auto"/>
                <w:w w:val="95"/>
              </w:rPr>
              <w:t>Year Ended December 31</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2016</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w w:val="94"/>
              </w:rPr>
              <w:t>2015</w:t>
            </w:r>
          </w:p>
        </w:tc>
        <w:tc>
          <w:tcPr>
            <w:tcW w:w="540" w:type="dxa"/>
            <w:vAlign w:val="bottom"/>
          </w:tcPr>
          <w:p>
            <w:pPr>
              <w:spacing w:after="0"/>
              <w:rPr>
                <w:sz w:val="20"/>
                <w:szCs w:val="20"/>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Operating</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Operating</w:t>
            </w:r>
          </w:p>
        </w:tc>
      </w:tr>
      <w:tr>
        <w:trPr>
          <w:trHeight w:val="234"/>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Sales</w:t>
            </w:r>
          </w:p>
        </w:tc>
        <w:tc>
          <w:tcPr>
            <w:tcW w:w="12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Income</w:t>
            </w:r>
          </w:p>
        </w:tc>
        <w:tc>
          <w:tcPr>
            <w:tcW w:w="30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Sales</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Income</w:t>
            </w:r>
          </w:p>
        </w:tc>
        <w:tc>
          <w:tcPr>
            <w:tcW w:w="30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Sales</w:t>
            </w:r>
          </w:p>
        </w:tc>
        <w:tc>
          <w:tcPr>
            <w:tcW w:w="200" w:type="dxa"/>
            <w:vAlign w:val="bottom"/>
          </w:tcPr>
          <w:p>
            <w:pPr>
              <w:spacing w:after="0"/>
              <w:rPr>
                <w:sz w:val="20"/>
                <w:szCs w:val="20"/>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rPr>
              <w:t>Income</w:t>
            </w:r>
          </w:p>
        </w:tc>
      </w:tr>
      <w:tr>
        <w:trPr>
          <w:trHeight w:val="27"/>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Intersegment sales and 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Aerospace Systems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239</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Mission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954</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141</w:t>
            </w: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Technology Services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1,035</w:t>
            </w:r>
          </w:p>
        </w:tc>
        <w:tc>
          <w:tcPr>
            <w:tcW w:w="7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103</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959</w:t>
            </w: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7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2,284</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364"/>
        </w:trPr>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30"/>
        </w:trPr>
        <w:tc>
          <w:tcPr>
            <w:tcW w:w="8800" w:type="dxa"/>
            <w:vAlign w:val="bottom"/>
            <w:gridSpan w:val="8"/>
          </w:tcPr>
          <w:p>
            <w:pPr>
              <w:spacing w:after="0"/>
              <w:rPr>
                <w:sz w:val="20"/>
                <w:szCs w:val="20"/>
                <w:color w:val="auto"/>
              </w:rPr>
            </w:pPr>
            <w:r>
              <w:rPr>
                <w:rFonts w:ascii="Arial" w:cs="Arial" w:eastAsia="Arial" w:hAnsi="Arial"/>
                <w:sz w:val="18"/>
                <w:szCs w:val="18"/>
                <w:color w:val="auto"/>
                <w:w w:val="90"/>
              </w:rPr>
              <w:t>Substantially all of the company’s operating assets are located in the U.S. The following table presents assets by segment: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78"/>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jc w:val="right"/>
              <w:ind w:right="190"/>
              <w:spacing w:after="0"/>
              <w:rPr>
                <w:sz w:val="20"/>
                <w:szCs w:val="20"/>
                <w:color w:val="auto"/>
              </w:rPr>
            </w:pPr>
            <w:r>
              <w:rPr>
                <w:rFonts w:ascii="Arial" w:cs="Arial" w:eastAsia="Arial" w:hAnsi="Arial"/>
                <w:sz w:val="18"/>
                <w:szCs w:val="18"/>
                <w:color w:val="auto"/>
                <w:w w:val="98"/>
              </w:rPr>
              <w:t>December 31</w:t>
            </w:r>
          </w:p>
        </w:tc>
        <w:tc>
          <w:tcPr>
            <w:tcW w:w="540" w:type="dxa"/>
            <w:vAlign w:val="bottom"/>
          </w:tcPr>
          <w:p>
            <w:pPr>
              <w:spacing w:after="0"/>
              <w:rPr>
                <w:sz w:val="24"/>
                <w:szCs w:val="24"/>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020" w:type="dxa"/>
            <w:vAlign w:val="bottom"/>
            <w:gridSpan w:val="2"/>
          </w:tcPr>
          <w:p>
            <w:pPr>
              <w:jc w:val="right"/>
              <w:ind w:right="350"/>
              <w:spacing w:after="0"/>
              <w:rPr>
                <w:sz w:val="20"/>
                <w:szCs w:val="20"/>
                <w:color w:val="auto"/>
              </w:rPr>
            </w:pPr>
            <w:r>
              <w:rPr>
                <w:rFonts w:ascii="Arial" w:cs="Arial" w:eastAsia="Arial" w:hAnsi="Arial"/>
                <w:sz w:val="18"/>
                <w:szCs w:val="18"/>
                <w:color w:val="auto"/>
              </w:rPr>
              <w:t>2016</w:t>
            </w:r>
          </w:p>
        </w:tc>
      </w:tr>
      <w:tr>
        <w:trPr>
          <w:trHeight w:val="27"/>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Aerospace Systems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21"/>
                <w:szCs w:val="21"/>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8,449</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7,523</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Mission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10,204</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9,991</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Technology Services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3,010</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3,082</w:t>
            </w:r>
          </w:p>
        </w:tc>
      </w:tr>
      <w:tr>
        <w:trPr>
          <w:trHeight w:val="27"/>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Segment assets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21,663</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20,596</w:t>
            </w:r>
          </w:p>
        </w:tc>
      </w:tr>
      <w:tr>
        <w:trPr>
          <w:trHeight w:val="270"/>
        </w:trPr>
        <w:tc>
          <w:tcPr>
            <w:tcW w:w="5040" w:type="dxa"/>
            <w:vAlign w:val="bottom"/>
            <w:tcBorders>
              <w:bottom w:val="single" w:sz="8" w:color="auto"/>
            </w:tcBorders>
          </w:tcPr>
          <w:p>
            <w:pPr>
              <w:ind w:left="280"/>
              <w:spacing w:after="0" w:line="270" w:lineRule="exact"/>
              <w:rPr>
                <w:sz w:val="20"/>
                <w:szCs w:val="20"/>
                <w:color w:val="auto"/>
              </w:rPr>
            </w:pPr>
            <w:r>
              <w:rPr>
                <w:rFonts w:ascii="Arial" w:cs="Arial" w:eastAsia="Arial" w:hAnsi="Arial"/>
                <w:sz w:val="18"/>
                <w:szCs w:val="18"/>
                <w:color w:val="auto"/>
              </w:rPr>
              <w:t>Corporate assets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13,254</w:t>
            </w:r>
          </w:p>
        </w:tc>
        <w:tc>
          <w:tcPr>
            <w:tcW w:w="2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5,018</w:t>
            </w: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34,917</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25,614</w:t>
            </w:r>
          </w:p>
        </w:tc>
      </w:tr>
      <w:tr>
        <w:trPr>
          <w:trHeight w:val="27"/>
        </w:trPr>
        <w:tc>
          <w:tcPr>
            <w:tcW w:w="50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Corporate assets principally consist of cash and cash equivalents and deferred tax assets.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Depreciation and Amortization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 expenditures and depreciation and amortization by segment: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color w:val="auto"/>
                <w:w w:val="90"/>
              </w:rPr>
              <w:t>Capital Expenditures</w:t>
            </w:r>
          </w:p>
        </w:tc>
        <w:tc>
          <w:tcPr>
            <w:tcW w:w="3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(1)</w:t>
            </w:r>
          </w:p>
        </w:tc>
        <w:tc>
          <w:tcPr>
            <w:tcW w:w="380" w:type="dxa"/>
            <w:vAlign w:val="bottom"/>
            <w:tcBorders>
              <w:bottom w:val="single" w:sz="8" w:color="auto"/>
            </w:tcBorders>
          </w:tcPr>
          <w:p>
            <w:pPr>
              <w:spacing w:after="0"/>
              <w:rPr>
                <w:sz w:val="24"/>
                <w:szCs w:val="24"/>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20"/>
                <w:szCs w:val="20"/>
                <w:color w:val="auto"/>
              </w:rPr>
            </w:pPr>
          </w:p>
        </w:tc>
      </w:tr>
      <w:tr>
        <w:trPr>
          <w:trHeight w:val="27"/>
        </w:trPr>
        <w:tc>
          <w:tcPr>
            <w:tcW w:w="4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c>
          <w:tcPr>
            <w:tcW w:w="96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451</w:t>
            </w:r>
          </w:p>
        </w:tc>
        <w:tc>
          <w:tcPr>
            <w:tcW w:w="8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237</w:t>
            </w:r>
          </w:p>
        </w:tc>
        <w:tc>
          <w:tcPr>
            <w:tcW w:w="8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234</w:t>
            </w:r>
          </w:p>
        </w:tc>
        <w:tc>
          <w:tcPr>
            <w:tcW w:w="8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216</w:t>
            </w:r>
          </w:p>
        </w:tc>
        <w:tc>
          <w:tcPr>
            <w:tcW w:w="8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215</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Mission Systems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9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372</w:t>
            </w:r>
          </w:p>
        </w:tc>
        <w:tc>
          <w:tcPr>
            <w:tcW w:w="8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141</w:t>
            </w:r>
          </w:p>
        </w:tc>
        <w:tc>
          <w:tcPr>
            <w:tcW w:w="8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131</w:t>
            </w:r>
          </w:p>
        </w:tc>
        <w:tc>
          <w:tcPr>
            <w:tcW w:w="860" w:type="dxa"/>
            <w:vAlign w:val="bottom"/>
          </w:tcPr>
          <w:p>
            <w:pPr>
              <w:spacing w:after="0"/>
              <w:rPr>
                <w:sz w:val="21"/>
                <w:szCs w:val="21"/>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w w:val="79"/>
              </w:rPr>
              <w:t>140</w:t>
            </w:r>
          </w:p>
        </w:tc>
        <w:tc>
          <w:tcPr>
            <w:tcW w:w="8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153</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9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8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8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70</w:t>
            </w:r>
          </w:p>
        </w:tc>
        <w:tc>
          <w:tcPr>
            <w:tcW w:w="860" w:type="dxa"/>
            <w:vAlign w:val="bottom"/>
          </w:tcPr>
          <w:p>
            <w:pPr>
              <w:spacing w:after="0"/>
              <w:rPr>
                <w:sz w:val="21"/>
                <w:szCs w:val="21"/>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8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4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w:t>
            </w:r>
          </w:p>
        </w:tc>
        <w:tc>
          <w:tcPr>
            <w:tcW w:w="96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920</w:t>
            </w:r>
          </w:p>
        </w:tc>
        <w:tc>
          <w:tcPr>
            <w:tcW w:w="8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471</w:t>
            </w:r>
          </w:p>
        </w:tc>
        <w:tc>
          <w:tcPr>
            <w:tcW w:w="8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475</w:t>
            </w:r>
          </w:p>
        </w:tc>
        <w:tc>
          <w:tcPr>
            <w:tcW w:w="8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456</w:t>
            </w:r>
          </w:p>
        </w:tc>
        <w:tc>
          <w:tcPr>
            <w:tcW w:w="8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467</w:t>
            </w:r>
          </w:p>
        </w:tc>
      </w:tr>
      <w:tr>
        <w:trPr>
          <w:trHeight w:val="27"/>
        </w:trPr>
        <w:tc>
          <w:tcPr>
            <w:tcW w:w="40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5"/>
          <w:szCs w:val="15"/>
          <w:color w:val="auto"/>
        </w:rPr>
        <w:t>Depreciation and amortization expense includes amortization of purchased intangible assets, as well as amortization of deferred and other outsourcing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 NET</w:t>
      </w:r>
    </w:p>
    <w:p>
      <w:pPr>
        <w:spacing w:after="0" w:line="9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Unbilled amounts represent sales for which billings have not been presented to customers by period-end. These amounts are generally billed and collected within one year. Substantially all accounts receivable at December 31, 2017 are expected to be collected in 2018. The company does not believe it has significant exposure to credit risk, as accounts receivable and the related unbilled amounts are primarily due from the U.S. Government either as the ultimate customer or in connection with foreign military sales. Progress and performance-based payments are reflected as an offset to the related unbilled accounts receivable balance for contracts accounted for under the cost-to-cost method of percentage-of-completion accounting.</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Accounts receivable consisted of the following:</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40"/>
        </w:trPr>
        <w:tc>
          <w:tcPr>
            <w:tcW w:w="9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Due from U.S. Government </w:t>
            </w:r>
            <w:r>
              <w:rPr>
                <w:rFonts w:ascii="Arial" w:cs="Arial" w:eastAsia="Arial" w:hAnsi="Arial"/>
                <w:sz w:val="25"/>
                <w:szCs w:val="25"/>
                <w:b w:val="1"/>
                <w:bCs w:val="1"/>
                <w:color w:val="auto"/>
                <w:vertAlign w:val="superscript"/>
              </w:rPr>
              <w:t>(1)</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Billed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656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482</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10,818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9,730</w:t>
            </w: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Progress and performance-based payments received</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(8,068)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(7,484)</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due from U.S. Government</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3,406</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2,728</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Due from International and Other Customers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Unbilled</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3,397</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3,895</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Progress and performance-based payments received</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(2,966)</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due from International and Other Customers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649</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634</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4,055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3,362</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(79)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3,976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3,299</w:t>
            </w:r>
          </w:p>
        </w:tc>
      </w:tr>
      <w:tr>
        <w:trPr>
          <w:trHeight w:val="27"/>
        </w:trPr>
        <w:tc>
          <w:tcPr>
            <w:tcW w:w="90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color w:val="auto"/>
        </w:rPr>
        <w:t>Includes receivables due from the U.S. Government associated with foreign military sales (FMS). For FMS, we contract with and are paid by the U.S. Government.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INVENTORIED COSTS, NET</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Inventoried costs are primarily from contracts where the U.S. Government is the primary customer, therefore the company does not believe it has significant exposure to recoverability risk related to these amounts.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Inventoried costs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costs of contracts in process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1,813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G&amp;A expenses</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266</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 in process, gross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2,079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Progress and performance-based payments received</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(1,396)</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(1,107)</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 in process,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683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Product inventory and raw material</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97</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inventoried costs,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780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r>
      <w:tr>
        <w:trPr>
          <w:trHeight w:val="27"/>
        </w:trPr>
        <w:tc>
          <w:tcPr>
            <w:tcW w:w="90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2017, the Tax Cuts and Jobs Act (the “2017 Tax Act”) was enacted. The 2017 Tax Act includes a number of changes to existing U.S. tax laws that impact the company, most notably a reduction of the U.S. corporate income tax rate from 35 percent to 21 percent for tax years beginning after December 31, 2017. The 2017 Tax Act also provides for a one-time transition tax on certain foreign earnings and the acceleration of depreciation for certain assets placed into service after September 27, 2017 as well as prospective changes beginning in 2018, including repeal of the domestic manufacturing deduction, acceleration of tax revenue recognition, capitalization of research and development expenditures, additional limitations on executive compensation and limitations on the deductibility of interest.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The company recognized the income tax effects of the 2017 Tax Act in its 2017 financial statements in accordance with Staff Accounting Bulletin No. 118, which provides SEC staff guidance for the application of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in the reporting period in which the 2017 Tax Act was signed into law. As such, the company’s financial results reflect the income tax effects of the 2017 Tax Act for which the accounting under ASC Topic 740 is complete and provisional amounts for those specific income tax effects of the 2017 Tax Act for which the accounting under ASC Topic 740 is incomplete but a reasonable estimate could be determined. The company did not identify items for which the income tax effects of the 2017 Tax Act have not been completed and a reasonable estimate could not be determined as of December 31, 2017.</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impact of the 2017 Tax Act as an increase (decrease) reflected in the noted line items in the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Earnings and Comprehensive Income and Consolidated Statements of Financial Position: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4"/>
          </w:tcPr>
          <w:p>
            <w:pPr>
              <w:jc w:val="center"/>
              <w:ind w:left="610"/>
              <w:spacing w:after="0"/>
              <w:rPr>
                <w:sz w:val="20"/>
                <w:szCs w:val="20"/>
                <w:color w:val="auto"/>
              </w:rPr>
            </w:pPr>
            <w:r>
              <w:rPr>
                <w:rFonts w:ascii="Arial" w:cs="Arial" w:eastAsia="Arial" w:hAnsi="Arial"/>
                <w:sz w:val="18"/>
                <w:szCs w:val="18"/>
                <w:color w:val="auto"/>
                <w:w w:val="88"/>
              </w:rPr>
              <w:t>Year Ended December 31, 2017</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color w:val="auto"/>
                <w:w w:val="90"/>
              </w:rPr>
              <w:t>Reduction of U.S.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color w:val="auto"/>
                <w:w w:val="89"/>
              </w:rPr>
              <w:t>Corporate Income Tax</w:t>
            </w:r>
          </w:p>
        </w:tc>
        <w:tc>
          <w:tcPr>
            <w:tcW w:w="16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Transition Tax on</w:t>
            </w:r>
          </w:p>
        </w:tc>
        <w:tc>
          <w:tcPr>
            <w:tcW w:w="24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92"/>
              </w:rPr>
              <w:t>Acceleration of</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0"/>
                <w:szCs w:val="20"/>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color w:val="auto"/>
                <w:w w:val="84"/>
              </w:rPr>
              <w:t>Rate</w:t>
            </w:r>
          </w:p>
        </w:tc>
        <w:tc>
          <w:tcPr>
            <w:tcW w:w="16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Foreign Earnings</w:t>
            </w:r>
          </w:p>
        </w:tc>
        <w:tc>
          <w:tcPr>
            <w:tcW w:w="240" w:type="dxa"/>
            <w:vAlign w:val="bottom"/>
          </w:tcPr>
          <w:p>
            <w:pPr>
              <w:spacing w:after="0"/>
              <w:rPr>
                <w:sz w:val="20"/>
                <w:szCs w:val="20"/>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92"/>
              </w:rPr>
              <w:t>Depreciation</w:t>
            </w:r>
          </w:p>
        </w:tc>
        <w:tc>
          <w:tcPr>
            <w:tcW w:w="34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9.1%</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0.4%</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0.1%</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9.8%</w:t>
            </w:r>
          </w:p>
        </w:tc>
        <w:tc>
          <w:tcPr>
            <w:tcW w:w="0" w:type="dxa"/>
            <w:vAlign w:val="bottom"/>
          </w:tcPr>
          <w:p>
            <w:pPr>
              <w:spacing w:after="0"/>
              <w:rPr>
                <w:sz w:val="1"/>
                <w:szCs w:val="1"/>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3"/>
          </w:tcPr>
          <w:p>
            <w:pPr>
              <w:jc w:val="center"/>
              <w:ind w:left="950"/>
              <w:spacing w:after="0"/>
              <w:rPr>
                <w:sz w:val="20"/>
                <w:szCs w:val="20"/>
                <w:color w:val="auto"/>
              </w:rPr>
            </w:pPr>
            <w:r>
              <w:rPr>
                <w:rFonts w:ascii="Arial" w:cs="Arial" w:eastAsia="Arial" w:hAnsi="Arial"/>
                <w:sz w:val="18"/>
                <w:szCs w:val="18"/>
                <w:color w:val="auto"/>
                <w:w w:val="90"/>
              </w:rPr>
              <w:t>As of December 31, 2017</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color w:val="auto"/>
                <w:w w:val="90"/>
              </w:rPr>
              <w:t>Reduction of U.S.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color w:val="auto"/>
                <w:w w:val="89"/>
              </w:rPr>
              <w:t>Corporate Income Tax</w:t>
            </w:r>
          </w:p>
        </w:tc>
        <w:tc>
          <w:tcPr>
            <w:tcW w:w="16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Transition Tax on</w:t>
            </w:r>
          </w:p>
        </w:tc>
        <w:tc>
          <w:tcPr>
            <w:tcW w:w="24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92"/>
              </w:rPr>
              <w:t>Acceleration of</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0"/>
                <w:szCs w:val="20"/>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color w:val="auto"/>
                <w:w w:val="84"/>
              </w:rPr>
              <w:t>Rate</w:t>
            </w:r>
          </w:p>
        </w:tc>
        <w:tc>
          <w:tcPr>
            <w:tcW w:w="16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Foreign Earnings</w:t>
            </w:r>
          </w:p>
        </w:tc>
        <w:tc>
          <w:tcPr>
            <w:tcW w:w="240" w:type="dxa"/>
            <w:vAlign w:val="bottom"/>
          </w:tcPr>
          <w:p>
            <w:pPr>
              <w:spacing w:after="0"/>
              <w:rPr>
                <w:sz w:val="20"/>
                <w:szCs w:val="20"/>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92"/>
              </w:rPr>
              <w:t>Depreciation</w:t>
            </w:r>
          </w:p>
        </w:tc>
        <w:tc>
          <w:tcPr>
            <w:tcW w:w="34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(373)</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changes to existing U.S. tax laws as a result of the 2017 Tax Act, which we believe have the most significant impact on the company’s federal income taxes are as follows: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Reduction of the U.S. Corporate Income Tax Rate</w:t>
      </w:r>
    </w:p>
    <w:p>
      <w:pPr>
        <w:spacing w:after="0" w:line="23" w:lineRule="exact"/>
        <w:rPr>
          <w:sz w:val="20"/>
          <w:szCs w:val="20"/>
          <w:color w:val="auto"/>
        </w:rPr>
      </w:pPr>
    </w:p>
    <w:p>
      <w:pPr>
        <w:ind w:left="180"/>
        <w:spacing w:after="0" w:line="254" w:lineRule="auto"/>
        <w:rPr>
          <w:sz w:val="20"/>
          <w:szCs w:val="20"/>
          <w:color w:val="auto"/>
        </w:rPr>
      </w:pPr>
      <w:r>
        <w:rPr>
          <w:rFonts w:ascii="Arial" w:cs="Arial" w:eastAsia="Arial" w:hAnsi="Arial"/>
          <w:sz w:val="18"/>
          <w:szCs w:val="18"/>
          <w:color w:val="auto"/>
        </w:rPr>
        <w:t>The company measures deferred tax assets and liabilities using enacted tax rates that will apply in the years in which the temporary differences are expected to be recovered or paid. Accordingly, the company’s deferred tax assets and liabilities were remeasured to reflect the reduction in the U.S. corporate income tax rate from 35 percent to 21 percent, resulting in a $280 million increase in income tax expense for the year ended December 31, 2017 and a corresponding $280 million decrease in net deferred tax assets as of December 31, 2017.</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Transition Tax on Foreign Earnings</w:t>
      </w:r>
    </w:p>
    <w:p>
      <w:pPr>
        <w:spacing w:after="0" w:line="23" w:lineRule="exact"/>
        <w:rPr>
          <w:sz w:val="20"/>
          <w:szCs w:val="20"/>
          <w:color w:val="auto"/>
        </w:rPr>
      </w:pPr>
    </w:p>
    <w:p>
      <w:pPr>
        <w:ind w:left="180" w:right="220"/>
        <w:spacing w:after="0" w:line="254" w:lineRule="auto"/>
        <w:rPr>
          <w:sz w:val="20"/>
          <w:szCs w:val="20"/>
          <w:color w:val="auto"/>
        </w:rPr>
      </w:pPr>
      <w:r>
        <w:rPr>
          <w:rFonts w:ascii="Arial" w:cs="Arial" w:eastAsia="Arial" w:hAnsi="Arial"/>
          <w:sz w:val="18"/>
          <w:szCs w:val="18"/>
          <w:color w:val="auto"/>
        </w:rPr>
        <w:t>The company recognized a provisional income tax expense of $13 million for the year ended December 31, 2017 related to the one-time transition tax on certain foreign earnings. This resulted in a corresponding decrease in deferred tax assets due to the utilization of foreign tax credit carryforwards. The determination of the transition tax requires further analysis regarding the amount and composition of the company’s historical foreign earnings, which is expected to be completed in the second half of 2018.</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Acceleration of Depreciation</w:t>
      </w:r>
    </w:p>
    <w:p>
      <w:pPr>
        <w:spacing w:after="0" w:line="23" w:lineRule="exact"/>
        <w:rPr>
          <w:sz w:val="20"/>
          <w:szCs w:val="20"/>
          <w:color w:val="auto"/>
        </w:rPr>
      </w:pPr>
    </w:p>
    <w:p>
      <w:pPr>
        <w:ind w:left="180" w:right="280"/>
        <w:spacing w:after="0" w:line="253" w:lineRule="auto"/>
        <w:rPr>
          <w:sz w:val="20"/>
          <w:szCs w:val="20"/>
          <w:color w:val="auto"/>
        </w:rPr>
      </w:pPr>
      <w:r>
        <w:rPr>
          <w:rFonts w:ascii="Arial" w:cs="Arial" w:eastAsia="Arial" w:hAnsi="Arial"/>
          <w:sz w:val="18"/>
          <w:szCs w:val="18"/>
          <w:color w:val="auto"/>
        </w:rPr>
        <w:t>The company recognized a provisional reduction to net deferred tax assets of $80 million attributable to the accelerated depreciation for certain assets placed into service after September 27, 2017 and a provisional income tax expense of $5 million for the corresponding impact on its 2017 domestic manufacturing deduction. These provisional adjustments resulted in a decrease in income tax payable of $75 million. The income tax effects for these positions require further analysis due to the volume of data required to complete the calculations; the company expects to complete those analyses in the second half of 2018.</w:t>
      </w:r>
    </w:p>
    <w:p>
      <w:pPr>
        <w:spacing w:after="0" w:line="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Effective January 1, 2018, the 2017 Tax Act requires the acceleration of revenue for tax purposes for certain types of revenue. This change impacts several accounting methods previously used by the company and is expected to result in an acceleration of taxability of such revenue beginning in 2018 as compared with prior U.S. tax laws.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Federal and foreign income tax expense consisted of the following: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7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2015</w:t>
            </w:r>
          </w:p>
        </w:tc>
      </w:tr>
      <w:tr>
        <w:trPr>
          <w:trHeight w:val="27"/>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Current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449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661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310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581</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federal income tax expense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1,030</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710</w:t>
            </w: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782</w:t>
            </w:r>
          </w:p>
        </w:tc>
      </w:tr>
      <w:tr>
        <w:trPr>
          <w:trHeight w:val="27"/>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foreign income tax expense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federal and foreign income tax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1,034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r>
      <w:tr>
        <w:trPr>
          <w:trHeight w:val="20"/>
        </w:trPr>
        <w:tc>
          <w:tcPr>
            <w:tcW w:w="8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Earnings from foreign operations before income taxes are not material for all periods presented.</w:t>
      </w:r>
    </w:p>
    <w:p>
      <w:pPr>
        <w:spacing w:after="0" w:line="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Income tax expense differs from the amount computed by multiplying earnings before income taxes by the statutory federal income tax rate due to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00" w:type="dxa"/>
            <w:vAlign w:val="bottom"/>
            <w:gridSpan w:val="3"/>
          </w:tcPr>
          <w:p>
            <w:pPr>
              <w:jc w:val="right"/>
              <w:ind w:right="30"/>
              <w:spacing w:after="0"/>
              <w:rPr>
                <w:sz w:val="20"/>
                <w:szCs w:val="20"/>
                <w:color w:val="auto"/>
              </w:rPr>
            </w:pPr>
            <w:r>
              <w:rPr>
                <w:rFonts w:ascii="Arial" w:cs="Arial" w:eastAsia="Arial" w:hAnsi="Arial"/>
                <w:sz w:val="18"/>
                <w:szCs w:val="18"/>
                <w:color w:val="auto"/>
                <w:w w:val="94"/>
              </w:rPr>
              <w:t>Year Ended December 31</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tcPr>
          <w:p>
            <w:pPr>
              <w:jc w:val="right"/>
              <w:ind w:right="790"/>
              <w:spacing w:after="0"/>
              <w:rPr>
                <w:sz w:val="20"/>
                <w:szCs w:val="20"/>
                <w:color w:val="auto"/>
              </w:rPr>
            </w:pPr>
            <w:r>
              <w:rPr>
                <w:rFonts w:ascii="Arial" w:cs="Arial" w:eastAsia="Arial" w:hAnsi="Arial"/>
                <w:sz w:val="18"/>
                <w:szCs w:val="18"/>
                <w:b w:val="1"/>
                <w:bCs w:val="1"/>
                <w:color w:val="auto"/>
                <w:w w:val="89"/>
              </w:rPr>
              <w:t>2017</w:t>
            </w:r>
          </w:p>
        </w:tc>
        <w:tc>
          <w:tcPr>
            <w:tcW w:w="3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2016</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2015</w:t>
            </w:r>
          </w:p>
        </w:tc>
        <w:tc>
          <w:tcPr>
            <w:tcW w:w="680" w:type="dxa"/>
            <w:vAlign w:val="bottom"/>
          </w:tcPr>
          <w:p>
            <w:pPr>
              <w:spacing w:after="0"/>
              <w:rPr>
                <w:sz w:val="20"/>
                <w:szCs w:val="20"/>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at statutory 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35.0 %</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1,023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976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Stock compensation - excess tax benefits</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(1.6)</w:t>
            </w: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(85)</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1"/>
                <w:szCs w:val="21"/>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credit</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(4.2)</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(61)</w:t>
            </w: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(119)</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Manufacturing deduction</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(3.2)</w:t>
            </w: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(58)</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(1.1)</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with taxing authorities</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(1.4)</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(40)</w:t>
            </w: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Repatriation of non-U.S. earnings</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(33)</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1"/>
                <w:szCs w:val="21"/>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Impacts related to the 2017 Tax Act</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9.8</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(0.5)</w:t>
            </w: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(23)</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(26)</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(0.9)</w:t>
            </w:r>
          </w:p>
        </w:tc>
      </w:tr>
      <w:tr>
        <w:trPr>
          <w:trHeight w:val="27"/>
        </w:trPr>
        <w:tc>
          <w:tcPr>
            <w:tcW w:w="5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federal and foreign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1,034</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33.9 %</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723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800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28.7 %</w:t>
            </w:r>
          </w:p>
        </w:tc>
      </w:tr>
      <w:tr>
        <w:trPr>
          <w:trHeight w:val="27"/>
        </w:trPr>
        <w:tc>
          <w:tcPr>
            <w:tcW w:w="5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The effective tax rate for 2017 was 33.9 percent, as compared with 24.7 percent in 2016. The higher rate is principally due to $300 million of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recorded in connection with the 2017 Tax Act, largely due to the write-down of net deferred tax assets, partially offset by a $69 million increase in research credits and a $39 million benefit recognized for additional manufacturing deductions principally related to prior years. The effective tax rates for the years ended December 31, 2017 and 2016 each include separate approximately $40 million benefits recognized in connection with the resolution of Internal Revenue Service (IRS) examinations of the company’s prior year tax returns.</w:t>
      </w:r>
    </w:p>
    <w:p>
      <w:pPr>
        <w:spacing w:after="0" w:line="5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2016 </w:t>
      </w:r>
      <w:r>
        <w:rPr>
          <w:rFonts w:ascii="Arial" w:cs="Arial" w:eastAsia="Arial" w:hAnsi="Arial"/>
          <w:sz w:val="18"/>
          <w:szCs w:val="18"/>
          <w:color w:val="auto"/>
        </w:rPr>
        <w:t>– The effective tax rate for 2016 was 24.7 percent, as compared with 28.7 percent in 2015. The lower rate is principally due to $85 million of excess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related to employee share-based payment transactions recognized in 2016, a $40 million benefit recognized in connection with resolution of the IRS examination of the company’s 2007-2011 tax returns and a $33 million benefit recognized in connection with the repatriation of earnings from certain of our foreign subsidiaries. These benefits were partially offset by a $58 million decrease in research credits, which were principally a result of credits recorded in 2015 that were claimed on our prior year tax returns.</w:t>
      </w:r>
    </w:p>
    <w:p>
      <w:pPr>
        <w:spacing w:after="0" w:line="5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Income tax payments, net of refunds received, were $517 million, $691 million and $118 million for the years ended December 31, 2017, 2016 and 2015,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file income tax returns in the U.S. federal jurisdiction and in various state and foreign jurisdictions. Our 2014-2015 federal tax returns are currently under IRS examination and our 2007-2011 federal tax returns are subject to examination due to the filing of refund claims for these years. The company believes it is reasonably possible that within the next twelve months we may resolve certain matters related to the years under examination, which may result in reductions of our unrecognized tax benefits up to $115 million and income tax expense up to $30 million.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Tax returns for open tax years related to state and foreign jurisdictions remain subject to examination, but the amounts currently subject to examination are not considered material.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unrecognized tax benefits during 2017, 2016 and 2015, excluding interest,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w w:val="94"/>
              </w:rPr>
              <w:t>December 31</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2015</w:t>
            </w:r>
          </w:p>
        </w:tc>
      </w:tr>
      <w:tr>
        <w:trPr>
          <w:trHeight w:val="27"/>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beginning of the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135</w:t>
            </w: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22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102</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(44)</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with taxing authorities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unrecognized tax benefits</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148</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Unrecognized tax benefits at end of the year</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283</w:t>
            </w: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135</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w:t>
            </w:r>
          </w:p>
        </w:tc>
      </w:tr>
      <w:tr>
        <w:trPr>
          <w:trHeight w:val="34"/>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These liabilities, along with $11 million of accrued interest and penalties, are included in other current and non-current liabilities in the consolidated statements of financial position. If the income tax benefits from these tax positions are ultimately realized, $149 million of federal and foreign tax benefits would reduce the company’s effective tax rate.</w:t>
      </w:r>
    </w:p>
    <w:p>
      <w:pPr>
        <w:spacing w:after="0" w:line="46" w:lineRule="exact"/>
        <w:rPr>
          <w:sz w:val="20"/>
          <w:szCs w:val="20"/>
          <w:color w:val="auto"/>
        </w:rPr>
      </w:pPr>
    </w:p>
    <w:p>
      <w:pPr>
        <w:ind w:right="1960"/>
        <w:spacing w:after="0" w:line="305" w:lineRule="auto"/>
        <w:rPr>
          <w:sz w:val="20"/>
          <w:szCs w:val="20"/>
          <w:color w:val="auto"/>
        </w:rPr>
      </w:pPr>
      <w:r>
        <w:rPr>
          <w:rFonts w:ascii="Arial" w:cs="Arial" w:eastAsia="Arial" w:hAnsi="Arial"/>
          <w:sz w:val="18"/>
          <w:szCs w:val="18"/>
          <w:color w:val="auto"/>
        </w:rPr>
        <w:t xml:space="preserve">Net interest expense within the company’s federal, foreign and state income tax provisions was not material for all years presented. </w:t>
      </w:r>
      <w:r>
        <w:rPr>
          <w:rFonts w:ascii="Arial" w:cs="Arial" w:eastAsia="Arial" w:hAnsi="Arial"/>
          <w:sz w:val="18"/>
          <w:szCs w:val="18"/>
          <w:b w:val="1"/>
          <w:bCs w:val="1"/>
          <w:color w:val="auto"/>
        </w:rPr>
        <w:t>Deferred Income Taxes</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tax purposes. Net deferred tax assets and liabilities are classified as non-current in the consolidated statements of financial position. As described above, deferred tax assets and liabilities are measured based on the enacted tax rates that will apply in the years in which the temporary differences are expected to be recovered or paid. As such, during December 2017, the company remeasured its deferred tax assets and liabilities as a result of passage of the 2017 Tax Act. The primary impact of this remeasurement was a reduction in deferred tax assets and liabilities in connection with the reduction of the U.S. corporate income tax rate from 35 percent to 21 percent.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3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tax effects of significant temporary differences and carryforwards that gave rise to year-end deferred federal, state and foreign tax balances, as presented in the consolidated statements of financial position,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Retiree benefits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1,477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2,814</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employee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263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Provisions for accrued liabilities</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193</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46</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Gross deferred tax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2,209</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3,889</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2,183</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3,858</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511</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798</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256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Contract accounting differences</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898</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1,200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1,708</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2,396</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475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r>
      <w:tr>
        <w:trPr>
          <w:trHeight w:val="27"/>
        </w:trPr>
        <w:tc>
          <w:tcPr>
            <w:tcW w:w="90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Realization of deferred tax assets is primarily dependent on generating sufficient taxable income in future periods. The company believes it is more-likely-than-not our deferred tax assets will be realized, net of valuation allowances currently established.</w:t>
      </w:r>
    </w:p>
    <w:p>
      <w:pPr>
        <w:spacing w:after="0" w:line="3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At December 31, 2017, the company has available foreign tax credits and unused net operating losses of $5 million and $142 million, respectively, that may be applied against future taxable income. The net operating losses are primarily attributable to the United Kingdom and may be carried forward indefinitely. A valuation allowance of $26 million, predominantly related to net operating losses, has been recorded due to the uncertainty regarding the realization of the asset.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Undistributed Foreign Earnings</w:t>
      </w:r>
    </w:p>
    <w:p>
      <w:pPr>
        <w:spacing w:after="0" w:line="2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As of December 31, 2017, the company has accumulated undistributed earnings generated by our foreign subsidiaries of approximately $168 million, of which $153 million was subject to the one-time transition tax on foreign earnings required by the 2017 Tax Act or has otherwise been previously taxed. We intend to indefinitely reinvest these earnings, as well as future earnings from our foreign subsidiaries, to fund our international operations and foreign credit facility. In addition, we expect future U.S. cash generation will be sufficient to meet future U.S. cash needs.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PURCHASED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amounts of goodwill for the years ended December 31, 2016 and 2017,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w w:val="97"/>
              </w:rPr>
              <w:t>Aerospace</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w w:val="94"/>
              </w:rPr>
              <w:t>Technology</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1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7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Systems</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Mission Systems</w:t>
            </w:r>
          </w:p>
        </w:tc>
        <w:tc>
          <w:tcPr>
            <w:tcW w:w="260" w:type="dxa"/>
            <w:vAlign w:val="bottom"/>
          </w:tcPr>
          <w:p>
            <w:pPr>
              <w:spacing w:after="0"/>
              <w:rPr>
                <w:sz w:val="20"/>
                <w:szCs w:val="20"/>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Services</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4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2015</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3,742</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12,460</w:t>
            </w:r>
          </w:p>
        </w:tc>
      </w:tr>
      <w:tr>
        <w:trPr>
          <w:trHeight w:val="270"/>
        </w:trPr>
        <w:tc>
          <w:tcPr>
            <w:tcW w:w="410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Businesses sold and other</w:t>
            </w:r>
            <w:r>
              <w:rPr>
                <w:rFonts w:ascii="Arial" w:cs="Arial" w:eastAsia="Arial" w:hAnsi="Arial"/>
                <w:sz w:val="25"/>
                <w:szCs w:val="25"/>
                <w:color w:val="auto"/>
                <w:vertAlign w:val="superscript"/>
              </w:rPr>
              <w:t>(1)</w:t>
            </w:r>
          </w:p>
        </w:tc>
        <w:tc>
          <w:tcPr>
            <w:tcW w:w="17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2016</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3,742</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6,694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12,450</w:t>
            </w:r>
          </w:p>
        </w:tc>
      </w:tr>
      <w:tr>
        <w:trPr>
          <w:trHeight w:val="270"/>
        </w:trPr>
        <w:tc>
          <w:tcPr>
            <w:tcW w:w="410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7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w:t>
            </w: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w:t>
            </w: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2017</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3,742</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6,696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12,455</w:t>
            </w:r>
          </w:p>
        </w:tc>
      </w:tr>
      <w:tr>
        <w:trPr>
          <w:trHeight w:val="27"/>
        </w:trPr>
        <w:tc>
          <w:tcPr>
            <w:tcW w:w="410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21"/>
          <w:szCs w:val="21"/>
          <w:color w:val="auto"/>
          <w:vertAlign w:val="superscript"/>
        </w:rPr>
      </w:pPr>
      <w:r>
        <w:rPr>
          <w:rFonts w:ascii="Arial" w:cs="Arial" w:eastAsia="Arial" w:hAnsi="Arial"/>
          <w:sz w:val="15"/>
          <w:szCs w:val="15"/>
          <w:color w:val="auto"/>
        </w:rPr>
        <w:t>Other consists primarily of adjustments for foreign currency translation.</w:t>
      </w:r>
    </w:p>
    <w:p>
      <w:pPr>
        <w:sectPr>
          <w:pgSz w:w="11900" w:h="16838" w:orient="portrait"/>
          <w:cols w:equalWidth="0" w:num="1">
            <w:col w:w="11420"/>
          </w:cols>
          <w:pgMar w:left="240" w:top="337" w:right="239"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337"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Accumulated goodwill impairment losses at December 31, 2017 and 2016, totaled $570 million at Aerospace Systems.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Purchased intangible assets at December 31, 2017 and 2016 totaled $52 million and $61 million, respectively, net of accumulated amortization of $1.8 billion at each respective year end.</w:t>
      </w:r>
    </w:p>
    <w:p>
      <w:pPr>
        <w:spacing w:after="0" w:line="4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Amortization expense for 2017, 2016 and 2015, was $14 million, $16 million and $22 million, respectively. The company’s purchased intangible assets are being amortized over an aggregate weighted-average period of 22 years. As of December 31, 2017, the expected future amortization of purchased intangibles for each of the next five years is approximately $10 million per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9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 holds a portfolio of marketable securities consisting of securities that are classified as either trading or available-for-sale to partially fund non-qualified employee benefit plans. These securities are included in other non-current assets in the consolidated statements of financial position.</w:t>
      </w:r>
    </w:p>
    <w:p>
      <w:pPr>
        <w:spacing w:after="0" w:line="1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company’s derivative portfolio consists primarily of foreign currency forward contracts. Where model-derived valuations are appropriate, the company utilizes the income approach to determine the fair value and uses the applicable London Interbank Offered Rate (LIBOR) swap rates.</w:t>
      </w:r>
    </w:p>
    <w:p>
      <w:pPr>
        <w:spacing w:after="0" w:line="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financial assets and liabilities we record at fair value on a recurring basis identified by the level of inputs used to determine fair value. See Note 1 for the definitions of these levels.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8"/>
              </w:rPr>
              <w:t>December 31, 2017</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color w:val="auto"/>
                <w:w w:val="89"/>
              </w:rPr>
              <w:t>December 31, 2016</w:t>
            </w:r>
          </w:p>
        </w:tc>
        <w:tc>
          <w:tcPr>
            <w:tcW w:w="8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Level 1</w:t>
            </w:r>
          </w:p>
        </w:tc>
        <w:tc>
          <w:tcPr>
            <w:tcW w:w="40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Level 2</w:t>
            </w:r>
          </w:p>
        </w:tc>
        <w:tc>
          <w:tcPr>
            <w:tcW w:w="3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Level 1</w:t>
            </w:r>
          </w:p>
        </w:tc>
        <w:tc>
          <w:tcPr>
            <w:tcW w:w="3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w w:val="99"/>
              </w:rPr>
              <w:t>Level 2</w:t>
            </w:r>
          </w:p>
        </w:tc>
        <w:tc>
          <w:tcPr>
            <w:tcW w:w="3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4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Available-for-sale</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10</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0"/>
        </w:trPr>
        <w:tc>
          <w:tcPr>
            <w:tcW w:w="4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notional value of the company’s derivative portfolio at December 31, 2017 and 2016 was $89 million and $147 million, respectively. The portion of notional value designated as a cash flow hedge at December 31, 2017 was $8 million. At December 31, 2016, no portion of the notional value was designated as a cash flow hedge. The derivative fair values and related unrealized gains/losses at December 31, 2017 and 2016, were not material.</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of financial instruments between the three levels of the fair value hierarchy during the years ended December 31, 2017 and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approximates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Unsecured Senior Notes</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October 2017, the company issued $8.25 billion of unsecured senior notes to finance the Orbital ATK Acquisition and to pay related fees and expenses as follows:</w:t>
      </w:r>
    </w:p>
    <w:p>
      <w:pPr>
        <w:spacing w:after="0" w:line="49" w:lineRule="exact"/>
        <w:rPr>
          <w:sz w:val="20"/>
          <w:szCs w:val="20"/>
          <w:color w:val="auto"/>
        </w:rPr>
      </w:pPr>
    </w:p>
    <w:p>
      <w:pPr>
        <w:ind w:left="340" w:hanging="170"/>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 billion of 2.08 percent Senior Notes due 2020 (the “2020 Notes”),</w:t>
      </w:r>
    </w:p>
    <w:p>
      <w:pPr>
        <w:spacing w:after="0" w:line="23" w:lineRule="exact"/>
        <w:rPr>
          <w:rFonts w:ascii="Arial" w:cs="Arial" w:eastAsia="Arial" w:hAnsi="Arial"/>
          <w:sz w:val="18"/>
          <w:szCs w:val="18"/>
          <w:color w:val="auto"/>
        </w:rPr>
      </w:pPr>
    </w:p>
    <w:p>
      <w:pPr>
        <w:ind w:left="340" w:hanging="170"/>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$1.5 billion of 2.55 percent Senior Notes due 2022 (the “2022 Notes”),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$1.5 billion of 2.93 percent Senior Notes due 2025 (the “2025 Notes”),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$2.0 billion of 3.25 percent Senior Notes due 2028 (the “2028 Notes”) and</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$2.25 billion of 4.03 percent Senior Notes due 2047 (the “2047 Notes”).</w:t>
      </w:r>
    </w:p>
    <w:p>
      <w:pPr>
        <w:spacing w:after="0" w:line="76" w:lineRule="exact"/>
        <w:rPr>
          <w:sz w:val="20"/>
          <w:szCs w:val="20"/>
          <w:color w:val="auto"/>
        </w:rPr>
      </w:pPr>
    </w:p>
    <w:p>
      <w:pPr>
        <w:ind w:left="180" w:right="40"/>
        <w:spacing w:after="0" w:line="259" w:lineRule="auto"/>
        <w:rPr>
          <w:sz w:val="20"/>
          <w:szCs w:val="20"/>
          <w:color w:val="auto"/>
        </w:rPr>
      </w:pPr>
      <w:r>
        <w:rPr>
          <w:rFonts w:ascii="Arial" w:cs="Arial" w:eastAsia="Arial" w:hAnsi="Arial"/>
          <w:sz w:val="18"/>
          <w:szCs w:val="18"/>
          <w:color w:val="auto"/>
        </w:rPr>
        <w:t>We refer to the 2020 Notes, 2022 Notes, 2025 Notes, 2028 Notes and 2047 Notes, together, as the “notes.” Interest on the notes is payable semi-annually in arrears. The notes are generally subject to an optional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3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0" w:right="180"/>
        <w:spacing w:after="0" w:line="259" w:lineRule="auto"/>
        <w:rPr>
          <w:sz w:val="20"/>
          <w:szCs w:val="20"/>
          <w:color w:val="auto"/>
        </w:rPr>
      </w:pPr>
      <w:r>
        <w:rPr>
          <w:rFonts w:ascii="Arial" w:cs="Arial" w:eastAsia="Arial" w:hAnsi="Arial"/>
          <w:sz w:val="18"/>
          <w:szCs w:val="18"/>
          <w:color w:val="auto"/>
        </w:rPr>
        <w:t>In addition, the 2020 Notes, 2022 Notes, 2025 Notes and 2047 Notes are subject to a mandatory redemption. If the Orbital ATK Acquisition is not consummated on or prior to December 17, 2018, or if the merger agreement relating to the Orbital ATK Acquisition is terminated prior to such date, then, in either case, the company will be required to redeem all of the outstanding 2020 Notes, 2022 Notes, 2025 Notes and 2047 Notes at a redemption price equal to 101% of the aggregate principal amount of such notes, plus accrued and unpaid interest.</w:t>
      </w:r>
    </w:p>
    <w:p>
      <w:pPr>
        <w:spacing w:after="0" w:line="52" w:lineRule="exact"/>
        <w:rPr>
          <w:sz w:val="20"/>
          <w:szCs w:val="20"/>
          <w:color w:val="auto"/>
        </w:rPr>
      </w:pPr>
    </w:p>
    <w:p>
      <w:pPr>
        <w:jc w:val="both"/>
        <w:ind w:left="180" w:right="80"/>
        <w:spacing w:after="0" w:line="264" w:lineRule="auto"/>
        <w:rPr>
          <w:sz w:val="20"/>
          <w:szCs w:val="20"/>
          <w:color w:val="auto"/>
        </w:rPr>
      </w:pPr>
      <w:r>
        <w:rPr>
          <w:rFonts w:ascii="Arial" w:cs="Arial" w:eastAsia="Arial" w:hAnsi="Arial"/>
          <w:sz w:val="18"/>
          <w:szCs w:val="18"/>
          <w:color w:val="auto"/>
        </w:rPr>
        <w:t>The 2028 Notes are not subject to a special mandatory redemption. If the Orbital ATK Acquisition is not consummated, the company expects to use the net proceeds from the offering of the 2028 Notes for general corporate purposes, which may include debt repayment, share repurchases, pension plan funding, acquisitions and working capital.</w:t>
      </w:r>
    </w:p>
    <w:p>
      <w:pPr>
        <w:spacing w:after="0" w:line="4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 December 2016, the company issued $750 million of unsecured senior notes due February 1, 2027, with a fixed interest rate of 3.20 percent. We used the net proceeds from this offering for a debt repayment of $200 million in the fourth quarter of 2016 and for general corporate purposes.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In December 2016, a subsidiary of the company entered into a two-year credit facility, with two additional one-year option periods, in an aggregate principal amount of £120 million (the equivalent of approximately $161 million as of December 31, 2017) (the “2016 Credit Agreement”). The company exercised the first option to extend the maturity to December 2019. The 2016 Credit Agreement is guaranteed by the company. At December 31, 2017, there was £100 million (the equivalent of approximately $134 million as of December 31, 2017) outstanding under this facility, which bears interest at a rate of LIBOR plus</w:t>
      </w:r>
    </w:p>
    <w:p>
      <w:pPr>
        <w:spacing w:after="0" w:line="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1.10 percent. All of the borrowings outstanding under this facility mature less than one year from the date of issuance, but may be renewed under the terms of the facility. Based on our intent and ability to refinance the obligations on a long-term basis, substantially all of the borrowings are classified as non-current.</w:t>
      </w:r>
    </w:p>
    <w:p>
      <w:pPr>
        <w:spacing w:after="0" w:line="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also maintains a five-year unsecured credit facility in an aggregate principal amount of $1.6 billion that matures in July 2020. At December 31, 2017, there was no balance outstanding under this facility.</w:t>
      </w:r>
    </w:p>
    <w:p>
      <w:pPr>
        <w:spacing w:after="0" w:line="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credit agreements contain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agreements) to exceed 65 percent. At December 31, 2017, the company was in compliance with all covenants under its credit agreements.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37"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5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3"/>
          </w:tcPr>
          <w:p>
            <w:pPr>
              <w:jc w:val="right"/>
              <w:ind w:right="550"/>
              <w:spacing w:after="0"/>
              <w:rPr>
                <w:sz w:val="20"/>
                <w:szCs w:val="20"/>
                <w:color w:val="auto"/>
              </w:rPr>
            </w:pPr>
            <w:r>
              <w:rPr>
                <w:rFonts w:ascii="Arial" w:cs="Arial" w:eastAsia="Arial" w:hAnsi="Arial"/>
                <w:sz w:val="18"/>
                <w:szCs w:val="18"/>
                <w:color w:val="auto"/>
              </w:rPr>
              <w:t>December 31</w:t>
            </w:r>
          </w:p>
        </w:tc>
      </w:tr>
      <w:tr>
        <w:trPr>
          <w:trHeight w:val="27"/>
        </w:trPr>
        <w:tc>
          <w:tcPr>
            <w:tcW w:w="5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2016</w:t>
            </w:r>
          </w:p>
        </w:tc>
      </w:tr>
      <w:tr>
        <w:trPr>
          <w:trHeight w:val="27"/>
        </w:trPr>
        <w:tc>
          <w:tcPr>
            <w:tcW w:w="52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Fixed-rate notes and debentures, maturing in</w:t>
            </w:r>
          </w:p>
        </w:tc>
        <w:tc>
          <w:tcPr>
            <w:tcW w:w="3580" w:type="dxa"/>
            <w:vAlign w:val="bottom"/>
            <w:tcBorders>
              <w:bottom w:val="single" w:sz="8" w:color="CCEEFF"/>
            </w:tcBorders>
            <w:gridSpan w:val="2"/>
            <w:shd w:val="clear" w:color="auto" w:fill="CCEEFF"/>
          </w:tcPr>
          <w:p>
            <w:pPr>
              <w:jc w:val="center"/>
              <w:ind w:left="930"/>
              <w:spacing w:after="0"/>
              <w:rPr>
                <w:sz w:val="20"/>
                <w:szCs w:val="20"/>
                <w:color w:val="auto"/>
              </w:rPr>
            </w:pPr>
            <w:r>
              <w:rPr>
                <w:rFonts w:ascii="Arial" w:cs="Arial" w:eastAsia="Arial" w:hAnsi="Arial"/>
                <w:sz w:val="18"/>
                <w:szCs w:val="18"/>
                <w:b w:val="1"/>
                <w:bCs w:val="1"/>
                <w:color w:val="auto"/>
                <w:w w:val="93"/>
              </w:rPr>
              <w:t>Interest rate</w:t>
            </w: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jc w:val="right"/>
              <w:ind w:right="4550"/>
              <w:spacing w:after="0"/>
              <w:rPr>
                <w:sz w:val="20"/>
                <w:szCs w:val="20"/>
                <w:color w:val="auto"/>
              </w:rPr>
            </w:pPr>
            <w:r>
              <w:rPr>
                <w:rFonts w:ascii="Arial" w:cs="Arial" w:eastAsia="Arial" w:hAnsi="Arial"/>
                <w:sz w:val="18"/>
                <w:szCs w:val="18"/>
                <w:color w:val="auto"/>
              </w:rPr>
              <w:t>2018</w:t>
            </w:r>
          </w:p>
        </w:tc>
        <w:tc>
          <w:tcPr>
            <w:tcW w:w="3340" w:type="dxa"/>
            <w:vAlign w:val="bottom"/>
          </w:tcPr>
          <w:p>
            <w:pPr>
              <w:jc w:val="center"/>
              <w:ind w:left="1170"/>
              <w:spacing w:after="0"/>
              <w:rPr>
                <w:sz w:val="20"/>
                <w:szCs w:val="20"/>
                <w:color w:val="auto"/>
              </w:rPr>
            </w:pPr>
            <w:r>
              <w:rPr>
                <w:rFonts w:ascii="Arial" w:cs="Arial" w:eastAsia="Arial" w:hAnsi="Arial"/>
                <w:sz w:val="18"/>
                <w:szCs w:val="18"/>
                <w:color w:val="auto"/>
                <w:w w:val="93"/>
              </w:rPr>
              <w:t>1.75%</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850</w:t>
            </w:r>
          </w:p>
        </w:tc>
        <w:tc>
          <w:tcPr>
            <w:tcW w:w="3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
        </w:trPr>
        <w:tc>
          <w:tcPr>
            <w:tcW w:w="5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jc w:val="right"/>
              <w:ind w:right="4550"/>
              <w:spacing w:after="0"/>
              <w:rPr>
                <w:sz w:val="20"/>
                <w:szCs w:val="20"/>
                <w:color w:val="auto"/>
              </w:rPr>
            </w:pPr>
            <w:r>
              <w:rPr>
                <w:rFonts w:ascii="Arial" w:cs="Arial" w:eastAsia="Arial" w:hAnsi="Arial"/>
                <w:sz w:val="18"/>
                <w:szCs w:val="18"/>
                <w:color w:val="auto"/>
              </w:rPr>
              <w:t>2019</w:t>
            </w:r>
          </w:p>
        </w:tc>
        <w:tc>
          <w:tcPr>
            <w:tcW w:w="334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93"/>
              </w:rPr>
              <w:t>5.05%</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500</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5280" w:type="dxa"/>
            <w:vAlign w:val="bottom"/>
          </w:tcPr>
          <w:p>
            <w:pPr>
              <w:jc w:val="right"/>
              <w:ind w:right="4550"/>
              <w:spacing w:after="0"/>
              <w:rPr>
                <w:sz w:val="20"/>
                <w:szCs w:val="20"/>
                <w:color w:val="auto"/>
              </w:rPr>
            </w:pPr>
            <w:r>
              <w:rPr>
                <w:rFonts w:ascii="Arial" w:cs="Arial" w:eastAsia="Arial" w:hAnsi="Arial"/>
                <w:sz w:val="18"/>
                <w:szCs w:val="18"/>
                <w:color w:val="auto"/>
              </w:rPr>
              <w:t>2020</w:t>
            </w:r>
          </w:p>
        </w:tc>
        <w:tc>
          <w:tcPr>
            <w:tcW w:w="3340" w:type="dxa"/>
            <w:vAlign w:val="bottom"/>
          </w:tcPr>
          <w:p>
            <w:pPr>
              <w:jc w:val="center"/>
              <w:ind w:left="1170"/>
              <w:spacing w:after="0"/>
              <w:rPr>
                <w:sz w:val="20"/>
                <w:szCs w:val="20"/>
                <w:color w:val="auto"/>
              </w:rPr>
            </w:pPr>
            <w:r>
              <w:rPr>
                <w:rFonts w:ascii="Arial" w:cs="Arial" w:eastAsia="Arial" w:hAnsi="Arial"/>
                <w:sz w:val="18"/>
                <w:szCs w:val="18"/>
                <w:color w:val="auto"/>
                <w:w w:val="93"/>
              </w:rPr>
              <w:t>2.08%</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3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jc w:val="right"/>
              <w:ind w:right="4550"/>
              <w:spacing w:after="0"/>
              <w:rPr>
                <w:sz w:val="20"/>
                <w:szCs w:val="20"/>
                <w:color w:val="auto"/>
              </w:rPr>
            </w:pPr>
            <w:r>
              <w:rPr>
                <w:rFonts w:ascii="Arial" w:cs="Arial" w:eastAsia="Arial" w:hAnsi="Arial"/>
                <w:sz w:val="18"/>
                <w:szCs w:val="18"/>
                <w:color w:val="auto"/>
              </w:rPr>
              <w:t>2021</w:t>
            </w:r>
          </w:p>
        </w:tc>
        <w:tc>
          <w:tcPr>
            <w:tcW w:w="334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93"/>
              </w:rPr>
              <w:t>3.50%</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700</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43"/>
        </w:trPr>
        <w:tc>
          <w:tcPr>
            <w:tcW w:w="5280" w:type="dxa"/>
            <w:vAlign w:val="bottom"/>
          </w:tcPr>
          <w:p>
            <w:pPr>
              <w:jc w:val="right"/>
              <w:ind w:right="4550"/>
              <w:spacing w:after="0"/>
              <w:rPr>
                <w:sz w:val="20"/>
                <w:szCs w:val="20"/>
                <w:color w:val="auto"/>
              </w:rPr>
            </w:pPr>
            <w:r>
              <w:rPr>
                <w:rFonts w:ascii="Arial" w:cs="Arial" w:eastAsia="Arial" w:hAnsi="Arial"/>
                <w:sz w:val="18"/>
                <w:szCs w:val="18"/>
                <w:color w:val="auto"/>
              </w:rPr>
              <w:t>2022</w:t>
            </w:r>
          </w:p>
        </w:tc>
        <w:tc>
          <w:tcPr>
            <w:tcW w:w="3340" w:type="dxa"/>
            <w:vAlign w:val="bottom"/>
          </w:tcPr>
          <w:p>
            <w:pPr>
              <w:jc w:val="center"/>
              <w:ind w:left="1170"/>
              <w:spacing w:after="0"/>
              <w:rPr>
                <w:sz w:val="20"/>
                <w:szCs w:val="20"/>
                <w:color w:val="auto"/>
              </w:rPr>
            </w:pPr>
            <w:r>
              <w:rPr>
                <w:rFonts w:ascii="Arial" w:cs="Arial" w:eastAsia="Arial" w:hAnsi="Arial"/>
                <w:sz w:val="18"/>
                <w:szCs w:val="18"/>
                <w:color w:val="auto"/>
                <w:w w:val="93"/>
              </w:rPr>
              <w:t>2.55%</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1,500</w:t>
            </w:r>
          </w:p>
        </w:tc>
        <w:tc>
          <w:tcPr>
            <w:tcW w:w="3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jc w:val="right"/>
              <w:ind w:right="4550"/>
              <w:spacing w:after="0"/>
              <w:rPr>
                <w:sz w:val="20"/>
                <w:szCs w:val="20"/>
                <w:color w:val="auto"/>
              </w:rPr>
            </w:pPr>
            <w:r>
              <w:rPr>
                <w:rFonts w:ascii="Arial" w:cs="Arial" w:eastAsia="Arial" w:hAnsi="Arial"/>
                <w:sz w:val="18"/>
                <w:szCs w:val="18"/>
                <w:color w:val="auto"/>
              </w:rPr>
              <w:t>2023</w:t>
            </w:r>
          </w:p>
        </w:tc>
        <w:tc>
          <w:tcPr>
            <w:tcW w:w="334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93"/>
              </w:rPr>
              <w:t>3.25%</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1,050</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r>
      <w:tr>
        <w:trPr>
          <w:trHeight w:val="243"/>
        </w:trPr>
        <w:tc>
          <w:tcPr>
            <w:tcW w:w="5280" w:type="dxa"/>
            <w:vAlign w:val="bottom"/>
          </w:tcPr>
          <w:p>
            <w:pPr>
              <w:jc w:val="right"/>
              <w:ind w:right="4550"/>
              <w:spacing w:after="0"/>
              <w:rPr>
                <w:sz w:val="20"/>
                <w:szCs w:val="20"/>
                <w:color w:val="auto"/>
              </w:rPr>
            </w:pPr>
            <w:r>
              <w:rPr>
                <w:rFonts w:ascii="Arial" w:cs="Arial" w:eastAsia="Arial" w:hAnsi="Arial"/>
                <w:sz w:val="18"/>
                <w:szCs w:val="18"/>
                <w:color w:val="auto"/>
              </w:rPr>
              <w:t>2025</w:t>
            </w:r>
          </w:p>
        </w:tc>
        <w:tc>
          <w:tcPr>
            <w:tcW w:w="3340" w:type="dxa"/>
            <w:vAlign w:val="bottom"/>
          </w:tcPr>
          <w:p>
            <w:pPr>
              <w:jc w:val="center"/>
              <w:ind w:left="1170"/>
              <w:spacing w:after="0"/>
              <w:rPr>
                <w:sz w:val="20"/>
                <w:szCs w:val="20"/>
                <w:color w:val="auto"/>
              </w:rPr>
            </w:pPr>
            <w:r>
              <w:rPr>
                <w:rFonts w:ascii="Arial" w:cs="Arial" w:eastAsia="Arial" w:hAnsi="Arial"/>
                <w:sz w:val="18"/>
                <w:szCs w:val="18"/>
                <w:color w:val="auto"/>
                <w:w w:val="93"/>
              </w:rPr>
              <w:t>2.93%</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1,500</w:t>
            </w:r>
          </w:p>
        </w:tc>
        <w:tc>
          <w:tcPr>
            <w:tcW w:w="3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jc w:val="right"/>
              <w:ind w:right="4550"/>
              <w:spacing w:after="0"/>
              <w:rPr>
                <w:sz w:val="20"/>
                <w:szCs w:val="20"/>
                <w:color w:val="auto"/>
              </w:rPr>
            </w:pPr>
            <w:r>
              <w:rPr>
                <w:rFonts w:ascii="Arial" w:cs="Arial" w:eastAsia="Arial" w:hAnsi="Arial"/>
                <w:sz w:val="18"/>
                <w:szCs w:val="18"/>
                <w:color w:val="auto"/>
              </w:rPr>
              <w:t>2026</w:t>
            </w:r>
          </w:p>
        </w:tc>
        <w:tc>
          <w:tcPr>
            <w:tcW w:w="334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91"/>
              </w:rPr>
              <w:t>7.75% - 7.88%</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527</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r>
      <w:tr>
        <w:trPr>
          <w:trHeight w:val="243"/>
        </w:trPr>
        <w:tc>
          <w:tcPr>
            <w:tcW w:w="5280" w:type="dxa"/>
            <w:vAlign w:val="bottom"/>
          </w:tcPr>
          <w:p>
            <w:pPr>
              <w:jc w:val="right"/>
              <w:ind w:right="4550"/>
              <w:spacing w:after="0"/>
              <w:rPr>
                <w:sz w:val="20"/>
                <w:szCs w:val="20"/>
                <w:color w:val="auto"/>
              </w:rPr>
            </w:pPr>
            <w:r>
              <w:rPr>
                <w:rFonts w:ascii="Arial" w:cs="Arial" w:eastAsia="Arial" w:hAnsi="Arial"/>
                <w:sz w:val="18"/>
                <w:szCs w:val="18"/>
                <w:color w:val="auto"/>
              </w:rPr>
              <w:t>2027</w:t>
            </w:r>
          </w:p>
        </w:tc>
        <w:tc>
          <w:tcPr>
            <w:tcW w:w="3340" w:type="dxa"/>
            <w:vAlign w:val="bottom"/>
          </w:tcPr>
          <w:p>
            <w:pPr>
              <w:jc w:val="center"/>
              <w:ind w:left="1170"/>
              <w:spacing w:after="0"/>
              <w:rPr>
                <w:sz w:val="20"/>
                <w:szCs w:val="20"/>
                <w:color w:val="auto"/>
              </w:rPr>
            </w:pPr>
            <w:r>
              <w:rPr>
                <w:rFonts w:ascii="Arial" w:cs="Arial" w:eastAsia="Arial" w:hAnsi="Arial"/>
                <w:sz w:val="18"/>
                <w:szCs w:val="18"/>
                <w:color w:val="auto"/>
                <w:w w:val="93"/>
              </w:rPr>
              <w:t>3.20%</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750</w:t>
            </w:r>
          </w:p>
        </w:tc>
        <w:tc>
          <w:tcPr>
            <w:tcW w:w="3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5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jc w:val="right"/>
              <w:ind w:right="4550"/>
              <w:spacing w:after="0"/>
              <w:rPr>
                <w:sz w:val="20"/>
                <w:szCs w:val="20"/>
                <w:color w:val="auto"/>
              </w:rPr>
            </w:pPr>
            <w:r>
              <w:rPr>
                <w:rFonts w:ascii="Arial" w:cs="Arial" w:eastAsia="Arial" w:hAnsi="Arial"/>
                <w:sz w:val="18"/>
                <w:szCs w:val="18"/>
                <w:color w:val="auto"/>
              </w:rPr>
              <w:t>2028</w:t>
            </w:r>
          </w:p>
        </w:tc>
        <w:tc>
          <w:tcPr>
            <w:tcW w:w="334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93"/>
              </w:rPr>
              <w:t>3.25%</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2,000</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jc w:val="right"/>
              <w:ind w:right="4550"/>
              <w:spacing w:after="0"/>
              <w:rPr>
                <w:sz w:val="20"/>
                <w:szCs w:val="20"/>
                <w:color w:val="auto"/>
              </w:rPr>
            </w:pPr>
            <w:r>
              <w:rPr>
                <w:rFonts w:ascii="Arial" w:cs="Arial" w:eastAsia="Arial" w:hAnsi="Arial"/>
                <w:sz w:val="18"/>
                <w:szCs w:val="18"/>
                <w:color w:val="auto"/>
              </w:rPr>
              <w:t>2031</w:t>
            </w:r>
          </w:p>
        </w:tc>
        <w:tc>
          <w:tcPr>
            <w:tcW w:w="3340" w:type="dxa"/>
            <w:vAlign w:val="bottom"/>
          </w:tcPr>
          <w:p>
            <w:pPr>
              <w:jc w:val="center"/>
              <w:ind w:left="1170"/>
              <w:spacing w:after="0"/>
              <w:rPr>
                <w:sz w:val="20"/>
                <w:szCs w:val="20"/>
                <w:color w:val="auto"/>
              </w:rPr>
            </w:pPr>
            <w:r>
              <w:rPr>
                <w:rFonts w:ascii="Arial" w:cs="Arial" w:eastAsia="Arial" w:hAnsi="Arial"/>
                <w:sz w:val="18"/>
                <w:szCs w:val="18"/>
                <w:color w:val="auto"/>
                <w:w w:val="93"/>
              </w:rPr>
              <w:t>7.75%</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466</w:t>
            </w:r>
          </w:p>
        </w:tc>
        <w:tc>
          <w:tcPr>
            <w:tcW w:w="3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466</w:t>
            </w:r>
          </w:p>
        </w:tc>
      </w:tr>
      <w:tr>
        <w:trPr>
          <w:trHeight w:val="27"/>
        </w:trPr>
        <w:tc>
          <w:tcPr>
            <w:tcW w:w="5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jc w:val="right"/>
              <w:ind w:right="4550"/>
              <w:spacing w:after="0"/>
              <w:rPr>
                <w:sz w:val="20"/>
                <w:szCs w:val="20"/>
                <w:color w:val="auto"/>
              </w:rPr>
            </w:pPr>
            <w:r>
              <w:rPr>
                <w:rFonts w:ascii="Arial" w:cs="Arial" w:eastAsia="Arial" w:hAnsi="Arial"/>
                <w:sz w:val="18"/>
                <w:szCs w:val="18"/>
                <w:color w:val="auto"/>
              </w:rPr>
              <w:t>2040</w:t>
            </w:r>
          </w:p>
        </w:tc>
        <w:tc>
          <w:tcPr>
            <w:tcW w:w="334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93"/>
              </w:rPr>
              <w:t>5.05%</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300</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5280" w:type="dxa"/>
            <w:vAlign w:val="bottom"/>
          </w:tcPr>
          <w:p>
            <w:pPr>
              <w:jc w:val="right"/>
              <w:ind w:right="4550"/>
              <w:spacing w:after="0"/>
              <w:rPr>
                <w:sz w:val="20"/>
                <w:szCs w:val="20"/>
                <w:color w:val="auto"/>
              </w:rPr>
            </w:pPr>
            <w:r>
              <w:rPr>
                <w:rFonts w:ascii="Arial" w:cs="Arial" w:eastAsia="Arial" w:hAnsi="Arial"/>
                <w:sz w:val="18"/>
                <w:szCs w:val="18"/>
                <w:color w:val="auto"/>
              </w:rPr>
              <w:t>2043</w:t>
            </w:r>
          </w:p>
        </w:tc>
        <w:tc>
          <w:tcPr>
            <w:tcW w:w="3340" w:type="dxa"/>
            <w:vAlign w:val="bottom"/>
          </w:tcPr>
          <w:p>
            <w:pPr>
              <w:jc w:val="center"/>
              <w:ind w:left="1170"/>
              <w:spacing w:after="0"/>
              <w:rPr>
                <w:sz w:val="20"/>
                <w:szCs w:val="20"/>
                <w:color w:val="auto"/>
              </w:rPr>
            </w:pPr>
            <w:r>
              <w:rPr>
                <w:rFonts w:ascii="Arial" w:cs="Arial" w:eastAsia="Arial" w:hAnsi="Arial"/>
                <w:sz w:val="18"/>
                <w:szCs w:val="18"/>
                <w:color w:val="auto"/>
                <w:w w:val="93"/>
              </w:rPr>
              <w:t>4.75%</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950</w:t>
            </w:r>
          </w:p>
        </w:tc>
        <w:tc>
          <w:tcPr>
            <w:tcW w:w="3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950</w:t>
            </w:r>
          </w:p>
        </w:tc>
      </w:tr>
      <w:tr>
        <w:trPr>
          <w:trHeight w:val="27"/>
        </w:trPr>
        <w:tc>
          <w:tcPr>
            <w:tcW w:w="5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jc w:val="right"/>
              <w:ind w:right="4550"/>
              <w:spacing w:after="0"/>
              <w:rPr>
                <w:sz w:val="20"/>
                <w:szCs w:val="20"/>
                <w:color w:val="auto"/>
              </w:rPr>
            </w:pPr>
            <w:r>
              <w:rPr>
                <w:rFonts w:ascii="Arial" w:cs="Arial" w:eastAsia="Arial" w:hAnsi="Arial"/>
                <w:sz w:val="18"/>
                <w:szCs w:val="18"/>
                <w:color w:val="auto"/>
              </w:rPr>
              <w:t>2045</w:t>
            </w:r>
          </w:p>
        </w:tc>
        <w:tc>
          <w:tcPr>
            <w:tcW w:w="334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93"/>
              </w:rPr>
              <w:t>3.85%</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600</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5280" w:type="dxa"/>
            <w:vAlign w:val="bottom"/>
          </w:tcPr>
          <w:p>
            <w:pPr>
              <w:jc w:val="right"/>
              <w:ind w:right="4550"/>
              <w:spacing w:after="0"/>
              <w:rPr>
                <w:sz w:val="20"/>
                <w:szCs w:val="20"/>
                <w:color w:val="auto"/>
              </w:rPr>
            </w:pPr>
            <w:r>
              <w:rPr>
                <w:rFonts w:ascii="Arial" w:cs="Arial" w:eastAsia="Arial" w:hAnsi="Arial"/>
                <w:sz w:val="18"/>
                <w:szCs w:val="18"/>
                <w:color w:val="auto"/>
              </w:rPr>
              <w:t>2047</w:t>
            </w:r>
          </w:p>
        </w:tc>
        <w:tc>
          <w:tcPr>
            <w:tcW w:w="3340" w:type="dxa"/>
            <w:vAlign w:val="bottom"/>
          </w:tcPr>
          <w:p>
            <w:pPr>
              <w:jc w:val="center"/>
              <w:ind w:left="1170"/>
              <w:spacing w:after="0"/>
              <w:rPr>
                <w:sz w:val="20"/>
                <w:szCs w:val="20"/>
                <w:color w:val="auto"/>
              </w:rPr>
            </w:pPr>
            <w:r>
              <w:rPr>
                <w:rFonts w:ascii="Arial" w:cs="Arial" w:eastAsia="Arial" w:hAnsi="Arial"/>
                <w:sz w:val="18"/>
                <w:szCs w:val="18"/>
                <w:color w:val="auto"/>
                <w:w w:val="93"/>
              </w:rPr>
              <w:t>4.03%</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2,250</w:t>
            </w:r>
          </w:p>
        </w:tc>
        <w:tc>
          <w:tcPr>
            <w:tcW w:w="3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w:t>
            </w:r>
          </w:p>
        </w:tc>
        <w:tc>
          <w:tcPr>
            <w:tcW w:w="334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93"/>
              </w:rPr>
              <w:t>1.62%</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134</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w:t>
            </w:r>
          </w:p>
        </w:tc>
        <w:tc>
          <w:tcPr>
            <w:tcW w:w="3580" w:type="dxa"/>
            <w:vAlign w:val="bottom"/>
            <w:gridSpan w:val="2"/>
          </w:tcPr>
          <w:p>
            <w:pPr>
              <w:jc w:val="center"/>
              <w:ind w:left="930"/>
              <w:spacing w:after="0"/>
              <w:rPr>
                <w:sz w:val="20"/>
                <w:szCs w:val="20"/>
                <w:color w:val="auto"/>
              </w:rPr>
            </w:pPr>
            <w:r>
              <w:rPr>
                <w:rFonts w:ascii="Arial" w:cs="Arial" w:eastAsia="Arial" w:hAnsi="Arial"/>
                <w:sz w:val="18"/>
                <w:szCs w:val="18"/>
                <w:color w:val="auto"/>
                <w:w w:val="91"/>
              </w:rPr>
              <w:t>Various</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271</w:t>
            </w:r>
          </w:p>
        </w:tc>
        <w:tc>
          <w:tcPr>
            <w:tcW w:w="3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7"/>
        </w:trPr>
        <w:tc>
          <w:tcPr>
            <w:tcW w:w="5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3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long-term debt</w:t>
            </w:r>
          </w:p>
        </w:tc>
        <w:tc>
          <w:tcPr>
            <w:tcW w:w="33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15,266</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7,070</w:t>
            </w:r>
          </w:p>
        </w:tc>
      </w:tr>
      <w:tr>
        <w:trPr>
          <w:trHeight w:val="27"/>
        </w:trPr>
        <w:tc>
          <w:tcPr>
            <w:tcW w:w="5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28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Less: current portion</w:t>
            </w:r>
            <w:r>
              <w:rPr>
                <w:rFonts w:ascii="Arial" w:cs="Arial" w:eastAsia="Arial" w:hAnsi="Arial"/>
                <w:sz w:val="25"/>
                <w:szCs w:val="25"/>
                <w:color w:val="auto"/>
                <w:vertAlign w:val="superscript"/>
              </w:rPr>
              <w:t>(1)</w:t>
            </w:r>
          </w:p>
        </w:tc>
        <w:tc>
          <w:tcPr>
            <w:tcW w:w="334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867</w:t>
            </w: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3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14,399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7,058</w:t>
            </w:r>
          </w:p>
        </w:tc>
      </w:tr>
      <w:tr>
        <w:trPr>
          <w:trHeight w:val="34"/>
        </w:trPr>
        <w:tc>
          <w:tcPr>
            <w:tcW w:w="52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71" w:lineRule="exact"/>
        <w:rPr>
          <w:sz w:val="20"/>
          <w:szCs w:val="20"/>
          <w:color w:val="auto"/>
        </w:rPr>
      </w:pPr>
    </w:p>
    <w:p>
      <w:pPr>
        <w:ind w:left="160" w:hanging="152"/>
        <w:spacing w:after="0"/>
        <w:tabs>
          <w:tab w:leader="none" w:pos="1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The current portion of long-term debt is recorded in Other current liabilities in the consolidated statements of financial position.</w:t>
      </w:r>
    </w:p>
    <w:p>
      <w:pPr>
        <w:spacing w:after="0" w:line="74" w:lineRule="exact"/>
        <w:rPr>
          <w:sz w:val="20"/>
          <w:szCs w:val="20"/>
          <w:color w:val="auto"/>
        </w:rPr>
      </w:pPr>
    </w:p>
    <w:p>
      <w:pPr>
        <w:jc w:val="both"/>
        <w:ind w:right="40"/>
        <w:spacing w:after="0" w:line="322" w:lineRule="auto"/>
        <w:rPr>
          <w:sz w:val="20"/>
          <w:szCs w:val="20"/>
          <w:color w:val="auto"/>
        </w:rPr>
      </w:pPr>
      <w:r>
        <w:rPr>
          <w:rFonts w:ascii="Arial" w:cs="Arial" w:eastAsia="Arial" w:hAnsi="Arial"/>
          <w:sz w:val="16"/>
          <w:szCs w:val="16"/>
          <w:color w:val="auto"/>
        </w:rPr>
        <w:t>The estimated fair value of long-term debt was $16.0 billion and $7.6 billion as of December 31, 2017 and 2016, respectively. We calculated the fair value of long-term debt using Level 2 inputs, based on interest rates available for debt with terms and maturities similar to the company’s existing debt arrangements.</w:t>
      </w:r>
    </w:p>
    <w:p>
      <w:pPr>
        <w:spacing w:after="0" w:line="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Indentures underlying long-term debt issued by the company or its subsidiaries contain various restrictions with respect to the issuer, including one or more restrictions relating to limitations on liens, sale-leaseback arrangements and funded debt of subsidiaries. The majority of these fixed rate notes and debentures are subject to redemption at the company’s discretion at any time prior to maturity in whole or in part at the principal amount plus any make-whole premium and accrued and unpaid interest. Interest on these fixed rate notes and debentures are payable semi-annually in arrears.</w:t>
      </w:r>
    </w:p>
    <w:p>
      <w:pPr>
        <w:spacing w:after="0" w:line="3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interest payments, net of interest received, were $273 million, $299 million, and $291 million for the years ended December 31, 2017, 2016 and 2015, respectively.</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337"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long-term debt as of December 31, 2017, are as follows: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2086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0865"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ind w:left="280"/>
              <w:spacing w:after="0"/>
              <w:rPr>
                <w:sz w:val="20"/>
                <w:szCs w:val="20"/>
                <w:color w:val="auto"/>
              </w:rPr>
            </w:pPr>
            <w:r>
              <w:rPr>
                <w:rFonts w:ascii="Arial" w:cs="Arial" w:eastAsia="Arial" w:hAnsi="Arial"/>
                <w:sz w:val="18"/>
                <w:szCs w:val="18"/>
                <w:color w:val="auto"/>
              </w:rPr>
              <w:t>2018</w:t>
            </w:r>
          </w:p>
        </w:tc>
        <w:tc>
          <w:tcPr>
            <w:tcW w:w="3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867</w:t>
            </w:r>
          </w:p>
        </w:tc>
      </w:tr>
      <w:tr>
        <w:trPr>
          <w:trHeight w:val="27"/>
        </w:trPr>
        <w:tc>
          <w:tcPr>
            <w:tcW w:w="70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3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r>
      <w:tr>
        <w:trPr>
          <w:trHeight w:val="243"/>
        </w:trPr>
        <w:tc>
          <w:tcPr>
            <w:tcW w:w="7060" w:type="dxa"/>
            <w:vAlign w:val="bottom"/>
          </w:tcPr>
          <w:p>
            <w:pPr>
              <w:ind w:left="280"/>
              <w:spacing w:after="0"/>
              <w:rPr>
                <w:sz w:val="20"/>
                <w:szCs w:val="20"/>
                <w:color w:val="auto"/>
              </w:rPr>
            </w:pPr>
            <w:r>
              <w:rPr>
                <w:rFonts w:ascii="Arial" w:cs="Arial" w:eastAsia="Arial" w:hAnsi="Arial"/>
                <w:sz w:val="18"/>
                <w:szCs w:val="18"/>
                <w:color w:val="auto"/>
              </w:rPr>
              <w:t>2020</w:t>
            </w:r>
          </w:p>
        </w:tc>
        <w:tc>
          <w:tcPr>
            <w:tcW w:w="3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1,045</w:t>
            </w:r>
          </w:p>
        </w:tc>
      </w:tr>
      <w:tr>
        <w:trPr>
          <w:trHeight w:val="27"/>
        </w:trPr>
        <w:tc>
          <w:tcPr>
            <w:tcW w:w="70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3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r>
      <w:tr>
        <w:trPr>
          <w:trHeight w:val="243"/>
        </w:trPr>
        <w:tc>
          <w:tcPr>
            <w:tcW w:w="7060" w:type="dxa"/>
            <w:vAlign w:val="bottom"/>
          </w:tcPr>
          <w:p>
            <w:pPr>
              <w:ind w:left="280"/>
              <w:spacing w:after="0"/>
              <w:rPr>
                <w:sz w:val="20"/>
                <w:szCs w:val="20"/>
                <w:color w:val="auto"/>
              </w:rPr>
            </w:pPr>
            <w:r>
              <w:rPr>
                <w:rFonts w:ascii="Arial" w:cs="Arial" w:eastAsia="Arial" w:hAnsi="Arial"/>
                <w:sz w:val="18"/>
                <w:szCs w:val="18"/>
                <w:color w:val="auto"/>
              </w:rPr>
              <w:t>2022</w:t>
            </w:r>
          </w:p>
        </w:tc>
        <w:tc>
          <w:tcPr>
            <w:tcW w:w="3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1,505</w:t>
            </w:r>
          </w:p>
        </w:tc>
      </w:tr>
      <w:tr>
        <w:trPr>
          <w:trHeight w:val="27"/>
        </w:trPr>
        <w:tc>
          <w:tcPr>
            <w:tcW w:w="70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3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10,581</w:t>
            </w:r>
          </w:p>
        </w:tc>
      </w:tr>
      <w:tr>
        <w:trPr>
          <w:trHeight w:val="237"/>
        </w:trPr>
        <w:tc>
          <w:tcPr>
            <w:tcW w:w="7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principal payments</w:t>
            </w:r>
          </w:p>
        </w:tc>
        <w:tc>
          <w:tcPr>
            <w:tcW w:w="3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15,350</w:t>
            </w:r>
          </w:p>
        </w:tc>
      </w:tr>
      <w:tr>
        <w:trPr>
          <w:trHeight w:val="27"/>
        </w:trPr>
        <w:tc>
          <w:tcPr>
            <w:tcW w:w="70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premium on long-term debt, net of discount</w:t>
            </w:r>
          </w:p>
        </w:tc>
        <w:tc>
          <w:tcPr>
            <w:tcW w:w="3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3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70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15,266</w:t>
            </w:r>
          </w:p>
        </w:tc>
      </w:tr>
      <w:tr>
        <w:trPr>
          <w:trHeight w:val="27"/>
        </w:trPr>
        <w:tc>
          <w:tcPr>
            <w:tcW w:w="7060" w:type="dxa"/>
            <w:vAlign w:val="bottom"/>
            <w:shd w:val="clear" w:color="auto" w:fill="000000"/>
          </w:tcPr>
          <w:p>
            <w:pPr>
              <w:spacing w:after="0"/>
              <w:rPr>
                <w:sz w:val="2"/>
                <w:szCs w:val="2"/>
                <w:color w:val="auto"/>
              </w:rPr>
            </w:pPr>
          </w:p>
        </w:tc>
        <w:tc>
          <w:tcPr>
            <w:tcW w:w="3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INVESTIGATIONS, CLAIMS AND LITIGATION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On May 4, 2012, the company commenced an action, </w:t>
      </w:r>
      <w:r>
        <w:rPr>
          <w:rFonts w:ascii="Arial" w:cs="Arial" w:eastAsia="Arial" w:hAnsi="Arial"/>
          <w:sz w:val="16"/>
          <w:szCs w:val="16"/>
          <w:i w:val="1"/>
          <w:iCs w:val="1"/>
          <w:color w:val="auto"/>
        </w:rPr>
        <w:t>Northrop Grumman Systems Corp. v. United States</w:t>
      </w:r>
      <w:r>
        <w:rPr>
          <w:rFonts w:ascii="Arial" w:cs="Arial" w:eastAsia="Arial" w:hAnsi="Arial"/>
          <w:sz w:val="16"/>
          <w:szCs w:val="16"/>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have been delivered. The company’s lawsuit is based on various theories of liability. The complaint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The principal counterclaim alleges that the company delayed its performance and caused damages to the USPS because USPS did not realize certain costs savings as early as it had expected. On April 2, 2013, the U.S. Department of Justice informed the company of a False Claims Act complaint relating to the FSS contract that was filed under seal by a relator in June 2011 in the U.S. District Court for the Eastern District of Virginia. On June 3, 2013, the United States filed a Notice informing the Court that the United States had decided not to intervene in this case. The relator alleged that the company violated the False Claims Act in a number of ways with respect to the FSS contract, alleged damage to the USPS in an amount of at least approximately $179 million annually, alleged that he was improperly discharged in retaliation, and sought an unspecified partial refund of the contract purchase price, penalties, attorney’s fees and other costs of suit. The relator later voluntarily dismissed his retaliation claim and reasserted it in a separate arbitration, which he also ultimately voluntarily dismissed. On September 5, 2014, the court granted the company’s motion for summary judgment and ordered the relator’s False Claims Act case be dismissed with prejudice. On December 19, 2014, the company filed a motion for partial summary judgment asking the court to dismiss the principal counterclaim referenced above. On June 29, 2015, the Court heard argument and denied that motion without prejudice to filing a later motion to dismiss. Although the ultimate outcome of these matters (“the FSS matters,” collectively), including any possible loss, cannot be predicted or reasonably estimated at this time, the company intends vigorously to pursue and defend the FSS matters.</w:t>
      </w:r>
    </w:p>
    <w:p>
      <w:pPr>
        <w:spacing w:after="0" w:line="3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August 8, 2013, the company received a court-appointed expert’s report in litigation pending in the Second Federal Court of the Federal District in Brazil brought by the Brazilian Post and Telegraph Corporation (ECT), a Brazilian state-owned entity, against Solystic SAS (Solystic), a French subsidiary of the company, and two of its consortium partners. In this suit, commenced on December 17, 2004, and relatively inactive for some period of time, ECT alleges the consortium breached its contract with ECT and seeks damages of approximately R$111 million (the equivalent of approximately $33 million as of December 31, 2017), plus interest, inflation adjustments and attorneys’ fees, as authorized by Brazilian law, which amounts could be significant over time. The original suit sought R$89 million (the equivalent of approximately $27 million as of December 31, 2017) in damages. In October 2013, ECT asserted an additional damage claim of R$22 million (the equivalent of approximately $7 million as of December 31, 2017). In its counterclaim, Solystic alleges ECT breached the contract by wrongfully refusing to accept the equipment Solystic had designed and built and seeks damages of approximately €31 million (the equivalent of approximately $37 million as of December 31, 2017), plus interest, inflation adjustments and attorneys’ fees, as authorized by Brazilian law. The Brazilian court retained an expert to consider certain issues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337" w:right="2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pending before it. On August 8, 2013 and September 10, 2014, the company received reports from the expert, which contain some recommended findings relating to liability and the damages calculations put forth by ECT. Some of the expert’s recommended findings were favorable to the company and others were favorable to ECT. In November 2014, the parties submitted comments on the expert’s most recent report. On June 16, 2015, the court published a decision denying the parties’ request to present oral testimony. At some future point, the court is expected to issue a decision on the parties’ claims and counterclaims that could accept or reject, in whole or in part, the expert’s recommended findings.</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previously identified and disclosed to the U.S. Government various issues relating primarily to time-charging practices of some employees working on a particular program with remote deployments. The Department of Justice is continuing to investigate this matter, and the company is cooperating in that investigation. Depending upon the ultimate outcome of this matter, the company could be subject to damages, civil or criminal fines, penalties or other sanctions, and suspension or debarment actions; however, we cannot at this point predict the outcome.</w:t>
      </w:r>
    </w:p>
    <w:p>
      <w:pPr>
        <w:spacing w:after="0" w:line="36"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We are engaged in remediation activities relating to environmental conditions allegedly resulting from historic operations at the former United States Navy and Grumman facilities in Bethpage, New York. For over 20 years, we have worked closely with the United States Navy, the United States Environmental Protection Agency, the New York State Department of Environmental Conservation, the New York State Department of Health and other federal, state and local governmental authorities, to address legacy environmental conditions in Bethpage. We have incurred, and expect to continue to incur, as included in Note 12, substantial remediation costs related to these environmental conditions. The remediation standards or requirements to which we are subject may change and costs may increase materially. The State of New York has notified us that it intends to seek to impose additional remedial requirements and, among other things, is evaluating natural resource damages. In addition, we are and may become a party to various legal proceedings and disputes related to remediation and/or alleged environmental impacts in Bethpage, including with federal and state entities, local municipalities and water districts, insurance carriers and class action plaintiffs. These Bethpage matters could result in additional costs, fines, penalties, sanctions, compensatory or other damages (including natural resource damages), determinations on allocation, allowability and coverage, and non-monetary relief. We cannot at this time predict or reasonably estimate the potential cumulative outcomes or ranges of possible liability of these aggregate Bethpage matters.</w:t>
      </w:r>
    </w:p>
    <w:p>
      <w:pPr>
        <w:spacing w:after="0" w:line="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is a party to various other investigations, lawsuits,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consolidated financial position as of December 31, 2017, or its annual results of operations and/or cash flows.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time to time, the company is advised of claims by the U.S. Government concerning certain potential disallowed costs, plus, at times, penalties and interest. When such findings are presented, the company and the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the outcome of any such matters would not have a material adverse effect on its consolidated financial position as of December 31, 2017, or its annual results of operations and/or cash flows.</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337"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table below summarizes management’s estimate of the range of reasonably possible future costs for environmental remediation, the amount accrued within that range, and the deferred costs expected to be recoverable through overhead charges on U.S. Government contracts as of December 31, 2017 and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4420" w:type="dxa"/>
            <w:vAlign w:val="bottom"/>
          </w:tcPr>
          <w:p>
            <w:pPr>
              <w:jc w:val="center"/>
              <w:ind w:left="1850"/>
              <w:spacing w:after="0"/>
              <w:rPr>
                <w:sz w:val="20"/>
                <w:szCs w:val="20"/>
                <w:color w:val="auto"/>
              </w:rPr>
            </w:pPr>
            <w:r>
              <w:rPr>
                <w:rFonts w:ascii="Arial" w:cs="Arial" w:eastAsia="Arial" w:hAnsi="Arial"/>
                <w:sz w:val="18"/>
                <w:szCs w:val="18"/>
                <w:color w:val="auto"/>
                <w:w w:val="89"/>
              </w:rPr>
              <w:t>Range of Reasonably Possible</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7"/>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4420" w:type="dxa"/>
            <w:vAlign w:val="bottom"/>
            <w:tcBorders>
              <w:bottom w:val="single" w:sz="8" w:color="auto"/>
            </w:tcBorders>
          </w:tcPr>
          <w:p>
            <w:pPr>
              <w:jc w:val="center"/>
              <w:ind w:left="1850"/>
              <w:spacing w:after="0" w:line="257" w:lineRule="exact"/>
              <w:rPr>
                <w:sz w:val="20"/>
                <w:szCs w:val="20"/>
                <w:color w:val="auto"/>
              </w:rPr>
            </w:pPr>
            <w:r>
              <w:rPr>
                <w:rFonts w:ascii="Arial" w:cs="Arial" w:eastAsia="Arial" w:hAnsi="Arial"/>
                <w:sz w:val="18"/>
                <w:szCs w:val="18"/>
                <w:color w:val="auto"/>
                <w:w w:val="87"/>
              </w:rPr>
              <w:t>Future Costs</w:t>
            </w:r>
            <w:r>
              <w:rPr>
                <w:rFonts w:ascii="Arial" w:cs="Arial" w:eastAsia="Arial" w:hAnsi="Arial"/>
                <w:sz w:val="25"/>
                <w:szCs w:val="25"/>
                <w:color w:val="auto"/>
                <w:w w:val="87"/>
                <w:vertAlign w:val="superscript"/>
              </w:rPr>
              <w:t>(1)</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0"/>
              <w:spacing w:after="0" w:line="257" w:lineRule="exact"/>
              <w:rPr>
                <w:sz w:val="20"/>
                <w:szCs w:val="20"/>
                <w:color w:val="auto"/>
              </w:rPr>
            </w:pPr>
            <w:r>
              <w:rPr>
                <w:rFonts w:ascii="Arial" w:cs="Arial" w:eastAsia="Arial" w:hAnsi="Arial"/>
                <w:sz w:val="18"/>
                <w:szCs w:val="18"/>
                <w:color w:val="auto"/>
                <w:w w:val="88"/>
              </w:rPr>
              <w:t>Accrued Costs</w:t>
            </w:r>
            <w:r>
              <w:rPr>
                <w:rFonts w:ascii="Arial" w:cs="Arial" w:eastAsia="Arial" w:hAnsi="Arial"/>
                <w:sz w:val="25"/>
                <w:szCs w:val="25"/>
                <w:color w:val="auto"/>
                <w:w w:val="88"/>
                <w:vertAlign w:val="superscript"/>
              </w:rPr>
              <w:t>(2)</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90"/>
              <w:spacing w:after="0" w:line="257" w:lineRule="exact"/>
              <w:rPr>
                <w:sz w:val="20"/>
                <w:szCs w:val="20"/>
                <w:color w:val="auto"/>
              </w:rPr>
            </w:pPr>
            <w:r>
              <w:rPr>
                <w:rFonts w:ascii="Arial" w:cs="Arial" w:eastAsia="Arial" w:hAnsi="Arial"/>
                <w:sz w:val="18"/>
                <w:szCs w:val="18"/>
                <w:color w:val="auto"/>
                <w:w w:val="87"/>
              </w:rPr>
              <w:t>Deferred Costs</w:t>
            </w:r>
            <w:r>
              <w:rPr>
                <w:rFonts w:ascii="Arial" w:cs="Arial" w:eastAsia="Arial" w:hAnsi="Arial"/>
                <w:sz w:val="25"/>
                <w:szCs w:val="25"/>
                <w:color w:val="auto"/>
                <w:w w:val="87"/>
                <w:vertAlign w:val="superscript"/>
              </w:rPr>
              <w:t>(3)</w:t>
            </w: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44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$405 - $792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207</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4420" w:type="dxa"/>
            <w:vAlign w:val="bottom"/>
          </w:tcPr>
          <w:p>
            <w:pPr>
              <w:jc w:val="right"/>
              <w:ind w:right="830"/>
              <w:spacing w:after="0"/>
              <w:rPr>
                <w:sz w:val="20"/>
                <w:szCs w:val="20"/>
                <w:color w:val="auto"/>
              </w:rPr>
            </w:pPr>
            <w:r>
              <w:rPr>
                <w:rFonts w:ascii="Arial" w:cs="Arial" w:eastAsia="Arial" w:hAnsi="Arial"/>
                <w:sz w:val="18"/>
                <w:szCs w:val="18"/>
                <w:color w:val="auto"/>
              </w:rPr>
              <w:t>379- 774</w:t>
            </w:r>
          </w:p>
        </w:tc>
        <w:tc>
          <w:tcPr>
            <w:tcW w:w="2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35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ind w:left="180" w:right="420" w:hanging="172"/>
        <w:spacing w:after="0" w:line="229" w:lineRule="auto"/>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Estimated remediation costs are not discounted to present value. The range of reasonably possible future costs does not take into consideration amounts expected to be recoverable through overhead charges on U.S. Government contracts.</w:t>
      </w:r>
    </w:p>
    <w:p>
      <w:pPr>
        <w:spacing w:after="0" w:line="2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As of December 31, 2017, $148 million is recorded in other current liabilities and $262 million is recorded in other non-current liabilities.</w:t>
      </w:r>
    </w:p>
    <w:p>
      <w:pPr>
        <w:spacing w:after="0" w:line="74" w:lineRule="exact"/>
        <w:rPr>
          <w:rFonts w:ascii="Arial" w:cs="Arial" w:eastAsia="Arial" w:hAnsi="Arial"/>
          <w:sz w:val="21"/>
          <w:szCs w:val="21"/>
          <w:color w:val="auto"/>
          <w:vertAlign w:val="superscript"/>
        </w:rPr>
      </w:pPr>
    </w:p>
    <w:p>
      <w:pPr>
        <w:ind w:left="180" w:right="880" w:hanging="172"/>
        <w:spacing w:after="0" w:line="223" w:lineRule="auto"/>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As of December 31, 2017, $76 million is deferred in inventoried costs and $131 million is deferred in other non-current assets. These amounts are evaluated for recoverability on a routine basis.</w:t>
      </w:r>
    </w:p>
    <w:p>
      <w:pPr>
        <w:spacing w:after="0" w:line="5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management cannot predict whether new information gained as our environmental remediation projects progress, or as changes in facts and circumstances occur, will materially affect the estimated liability accrued, except as we note below with respect to Bethpage, we do not anticipate that future remediation expenditures associated with our currently identified projects will have a material adverse effect on the company’s consolidated financial position as of December 31, 2017, or its annual results of operations and/or cash flows. With respect to Bethpage, as described in Note 11, we cannot at this time estimate the range of reasonably possible additional future costs that could result from potential changes to remediation standards or requirements to which we are subject.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December 31, 2017, there were $186 million of stand-by letters of credit and guarantees and $197 million of surety bonds outstanding.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provided indemnification for certain environmental, income tax and other potential liabilities in connection with certain of its divestitures. The settlement of these liabilities is not expected to have a material adverse effect on the company’s consolidated financial position as of December 31, 2017, or its annual results of operations and/or cash flows.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7"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Rental expense for operating leases was $300 million in 2017, $298 million in 2016, and $302 million in 2015. These amounts are net of immaterial amounts of sublease rental income. Minimum rental commitments under long-term non-cancelable operating leases as of December 31, 2017 are payable as follows: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2018</w:t>
            </w:r>
          </w:p>
        </w:tc>
        <w:tc>
          <w:tcPr>
            <w:tcW w:w="4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232</w:t>
            </w:r>
          </w:p>
        </w:tc>
      </w:tr>
      <w:tr>
        <w:trPr>
          <w:trHeight w:val="27"/>
        </w:trPr>
        <w:tc>
          <w:tcPr>
            <w:tcW w:w="6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4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rPr>
              <w:t>2020</w:t>
            </w:r>
          </w:p>
        </w:tc>
        <w:tc>
          <w:tcPr>
            <w:tcW w:w="4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6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4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rPr>
              <w:t>2022</w:t>
            </w:r>
          </w:p>
        </w:tc>
        <w:tc>
          <w:tcPr>
            <w:tcW w:w="4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6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4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3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minimum lease payments</w:t>
            </w:r>
          </w:p>
        </w:tc>
        <w:tc>
          <w:tcPr>
            <w:tcW w:w="4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1,338</w:t>
            </w:r>
          </w:p>
        </w:tc>
      </w:tr>
      <w:tr>
        <w:trPr>
          <w:trHeight w:val="34"/>
        </w:trPr>
        <w:tc>
          <w:tcPr>
            <w:tcW w:w="636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Descriptions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U.S. Defined Benefit Pension Plans </w:t>
      </w:r>
      <w:r>
        <w:rPr>
          <w:rFonts w:ascii="Arial" w:cs="Arial" w:eastAsia="Arial" w:hAnsi="Arial"/>
          <w:sz w:val="18"/>
          <w:szCs w:val="18"/>
          <w:color w:val="auto"/>
        </w:rPr>
        <w:t>– The company sponsors several defined benefit pension plans in the U.S. covering the majority of its employees.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for most employees are based on the employee’s years of</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3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service, age and compensation. It is our policy to fund at least the minimum amount required for all qualified plans, using actuarial cost methods and assumptions acceptable under U.S. Government regulations, by making payments into benefit trusts separate from the company.</w:t>
      </w:r>
    </w:p>
    <w:p>
      <w:pPr>
        <w:spacing w:after="0" w:line="1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Defined Contribution Plans </w:t>
      </w:r>
      <w:r>
        <w:rPr>
          <w:rFonts w:ascii="Arial" w:cs="Arial" w:eastAsia="Arial" w:hAnsi="Arial"/>
          <w:sz w:val="17"/>
          <w:szCs w:val="17"/>
          <w:color w:val="auto"/>
        </w:rPr>
        <w:t>– The company also sponsors 401(k) defined contribution plans in which most employees are eligible to participate,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employees covered under collective agreements. Company contributions for most plans are based on employer matching of employee contributions up to four percent of compensation for employees hired on or before April 1, 2016. In addition to the 401(k) defined contribution benefit, certain employees hired from July 1, 2008 through April 1, 2016, are eligible to participate in Retirement Account Contributions (RAC) in lieu of a defined benefit pension plan. Most employees hired after April 1, 2016 and certain employees that did not previously participate in the pension plan or receive RAC are eligible for an increased company match of up to seven percent of compensation. The company’s contributions to these defined contribution plans for the years ended December 31, 2017, 2016 and 2015, were $344 million, $311 million and $291 million, respectively.</w:t>
      </w:r>
    </w:p>
    <w:p>
      <w:pPr>
        <w:spacing w:after="0" w:line="43" w:lineRule="exact"/>
        <w:rPr>
          <w:sz w:val="20"/>
          <w:szCs w:val="20"/>
          <w:color w:val="auto"/>
        </w:rPr>
      </w:pPr>
    </w:p>
    <w:p>
      <w:pPr>
        <w:ind w:right="260"/>
        <w:spacing w:after="0" w:line="334" w:lineRule="auto"/>
        <w:rPr>
          <w:sz w:val="20"/>
          <w:szCs w:val="20"/>
          <w:color w:val="auto"/>
        </w:rPr>
      </w:pPr>
      <w:r>
        <w:rPr>
          <w:rFonts w:ascii="Arial" w:cs="Arial" w:eastAsia="Arial" w:hAnsi="Arial"/>
          <w:sz w:val="16"/>
          <w:szCs w:val="16"/>
          <w:i w:val="1"/>
          <w:iCs w:val="1"/>
          <w:color w:val="auto"/>
        </w:rPr>
        <w:t xml:space="preserve">Non-U.S. Benefit Plans – </w:t>
      </w:r>
      <w:r>
        <w:rPr>
          <w:rFonts w:ascii="Arial" w:cs="Arial" w:eastAsia="Arial" w:hAnsi="Arial"/>
          <w:sz w:val="16"/>
          <w:szCs w:val="16"/>
          <w:color w:val="auto"/>
        </w:rPr>
        <w:t>The company sponsors several benefit plans for non-U.S. employees. These plans are designed to provide benefits appropriate to</w:t>
      </w:r>
      <w:r>
        <w:rPr>
          <w:rFonts w:ascii="Arial" w:cs="Arial" w:eastAsia="Arial" w:hAnsi="Arial"/>
          <w:sz w:val="16"/>
          <w:szCs w:val="16"/>
          <w:i w:val="1"/>
          <w:iCs w:val="1"/>
          <w:color w:val="auto"/>
        </w:rPr>
        <w:t xml:space="preserve"> </w:t>
      </w:r>
      <w:r>
        <w:rPr>
          <w:rFonts w:ascii="Arial" w:cs="Arial" w:eastAsia="Arial" w:hAnsi="Arial"/>
          <w:sz w:val="16"/>
          <w:szCs w:val="16"/>
          <w:color w:val="auto"/>
        </w:rPr>
        <w:t>local practice and in accordance with local regulations. Some of these plans are funded using benefit trusts separate from the company.</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Medical and Life Benefits </w:t>
      </w:r>
      <w:r>
        <w:rPr>
          <w:rFonts w:ascii="Arial" w:cs="Arial" w:eastAsia="Arial" w:hAnsi="Arial"/>
          <w:sz w:val="18"/>
          <w:szCs w:val="18"/>
          <w:color w:val="auto"/>
        </w:rPr>
        <w:t>– The company provides a portion of the costs for certain health care and life insurance benefits for a substantial number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active and retired employees. Certain covered employees achieve eligibility to participate in these plans upon retirement from active service if they meet specified age and years of service requirements. Qualifying dependents are also eligible for plan benefits in certain circumstances. The company reserves the right to amend or terminate the plans at any time. The company has capped the amount of its contributions to substantially all of its remaining post-retirement medical and life benefit plans.</w:t>
      </w:r>
    </w:p>
    <w:p>
      <w:pPr>
        <w:spacing w:after="0" w:line="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a company and employee cost-sharing feature, the health plans also have provisions for deductibles, co-payments, coinsurance percentages, out-of-pocket limits, conformance to a schedule of reasonable fees, the use of managed care providers and coordination of benefits with other plans. The plans also provide for a Medicare carve-out. Subsequent to January 1, 2005 (or earlier at some segments), newly hired employees are not eligible for subsidized post-retirement medical and life benefits.</w:t>
      </w:r>
    </w:p>
    <w:p>
      <w:pPr>
        <w:spacing w:after="0" w:line="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provides subsidies to reimburse certain retirees for a portion of the cost of individual Medicare-supplemental coverage purchased directly by the retiree through a private insurance exchange.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Plan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cost to the company of its retirement benefit plans is shown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3"/>
          </w:tcPr>
          <w:p>
            <w:pPr>
              <w:jc w:val="right"/>
              <w:ind w:right="130"/>
              <w:spacing w:after="0"/>
              <w:rPr>
                <w:sz w:val="20"/>
                <w:szCs w:val="20"/>
                <w:color w:val="auto"/>
              </w:rPr>
            </w:pPr>
            <w:r>
              <w:rPr>
                <w:rFonts w:ascii="Arial" w:cs="Arial" w:eastAsia="Arial" w:hAnsi="Arial"/>
                <w:sz w:val="18"/>
                <w:szCs w:val="18"/>
                <w:color w:val="auto"/>
                <w:w w:val="90"/>
              </w:rPr>
              <w:t>Year Ended December 31</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w w:val="97"/>
              </w:rPr>
              <w:t>Pension Benefits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gridSpan w:val="4"/>
          </w:tcPr>
          <w:p>
            <w:pPr>
              <w:jc w:val="right"/>
              <w:spacing w:after="0"/>
              <w:rPr>
                <w:sz w:val="20"/>
                <w:szCs w:val="20"/>
                <w:color w:val="auto"/>
              </w:rPr>
            </w:pPr>
            <w:r>
              <w:rPr>
                <w:rFonts w:ascii="Arial" w:cs="Arial" w:eastAsia="Arial" w:hAnsi="Arial"/>
                <w:sz w:val="18"/>
                <w:szCs w:val="18"/>
                <w:color w:val="auto"/>
              </w:rPr>
              <w:t>Medical and Life Benefits</w:t>
            </w:r>
          </w:p>
        </w:tc>
        <w:tc>
          <w:tcPr>
            <w:tcW w:w="76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color w:val="auto"/>
                <w:w w:val="89"/>
              </w:rPr>
              <w:t>2016</w:t>
            </w:r>
          </w:p>
        </w:tc>
        <w:tc>
          <w:tcPr>
            <w:tcW w:w="18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w w:val="94"/>
              </w:rPr>
              <w:t>2015</w:t>
            </w:r>
          </w:p>
        </w:tc>
      </w:tr>
      <w:tr>
        <w:trPr>
          <w:trHeight w:val="27"/>
        </w:trPr>
        <w:tc>
          <w:tcPr>
            <w:tcW w:w="4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424</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446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484</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23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35</w:t>
            </w:r>
          </w:p>
        </w:tc>
      </w:tr>
      <w:tr>
        <w:trPr>
          <w:trHeight w:val="27"/>
        </w:trPr>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1,234</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1,284</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1,224</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84</w:t>
            </w: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94</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94</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(1,885)</w:t>
            </w:r>
          </w:p>
        </w:tc>
        <w:tc>
          <w:tcPr>
            <w:tcW w:w="52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w w:val="98"/>
              </w:rPr>
              <w:t>(1,853)</w:t>
            </w:r>
          </w:p>
        </w:tc>
        <w:tc>
          <w:tcPr>
            <w:tcW w:w="18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(1,975)</w:t>
            </w:r>
          </w:p>
        </w:tc>
        <w:tc>
          <w:tcPr>
            <w:tcW w:w="3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(89)</w:t>
            </w:r>
          </w:p>
        </w:tc>
        <w:tc>
          <w:tcPr>
            <w:tcW w:w="3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(89)</w:t>
            </w:r>
          </w:p>
        </w:tc>
      </w:tr>
      <w:tr>
        <w:trPr>
          <w:trHeight w:val="27"/>
        </w:trPr>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80"/>
              <w:spacing w:after="0"/>
              <w:rPr>
                <w:sz w:val="20"/>
                <w:szCs w:val="20"/>
                <w:color w:val="auto"/>
              </w:rPr>
            </w:pPr>
            <w:r>
              <w:rPr>
                <w:rFonts w:ascii="Arial" w:cs="Arial" w:eastAsia="Arial" w:hAnsi="Arial"/>
                <w:sz w:val="18"/>
                <w:szCs w:val="18"/>
                <w:color w:val="auto"/>
              </w:rPr>
              <w:t>Prior service credit</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(57)</w:t>
            </w:r>
          </w:p>
        </w:tc>
        <w:tc>
          <w:tcPr>
            <w:tcW w:w="52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(22)</w:t>
            </w:r>
          </w:p>
        </w:tc>
        <w:tc>
          <w:tcPr>
            <w:tcW w:w="3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(28)</w:t>
            </w:r>
          </w:p>
        </w:tc>
      </w:tr>
      <w:tr>
        <w:trPr>
          <w:trHeight w:val="27"/>
        </w:trPr>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from previous years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712</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714</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682</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w:t>
            </w: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4</w:t>
            </w:r>
          </w:p>
        </w:tc>
        <w:tc>
          <w:tcPr>
            <w:tcW w:w="520" w:type="dxa"/>
            <w:vAlign w:val="bottom"/>
          </w:tcPr>
          <w:p>
            <w:pPr>
              <w:spacing w:after="0"/>
              <w:rPr>
                <w:sz w:val="21"/>
                <w:szCs w:val="21"/>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1</w:t>
            </w:r>
          </w:p>
        </w:tc>
        <w:tc>
          <w:tcPr>
            <w:tcW w:w="360" w:type="dxa"/>
            <w:vAlign w:val="bottom"/>
          </w:tcPr>
          <w:p>
            <w:pPr>
              <w:spacing w:after="0"/>
              <w:rPr>
                <w:sz w:val="21"/>
                <w:szCs w:val="21"/>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6"/>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432</w:t>
            </w: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355</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r>
      <w:tr>
        <w:trPr>
          <w:trHeight w:val="459"/>
        </w:trPr>
        <w:tc>
          <w:tcPr>
            <w:tcW w:w="4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93"/>
              </w:rPr>
              <w:t>-67-</w:t>
            </w: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components of changes in unamortized benefit plan costs for the years ended December 31, 2015, 2016 and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w w:val="93"/>
              </w:rPr>
              <w:t>Medical and Life</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1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72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w w:val="88"/>
              </w:rPr>
              <w:t>Pension Benefits</w:t>
            </w:r>
          </w:p>
        </w:tc>
        <w:tc>
          <w:tcPr>
            <w:tcW w:w="18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Benefits</w:t>
            </w:r>
          </w:p>
        </w:tc>
        <w:tc>
          <w:tcPr>
            <w:tcW w:w="4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5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Changes in unamortized benefit plan costs</w:t>
            </w:r>
          </w:p>
        </w:tc>
        <w:tc>
          <w:tcPr>
            <w:tcW w:w="17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Change in net actuarial loss</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626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501</w:t>
            </w:r>
          </w:p>
        </w:tc>
      </w:tr>
      <w:tr>
        <w:trPr>
          <w:trHeight w:val="27"/>
        </w:trPr>
        <w:tc>
          <w:tcPr>
            <w:tcW w:w="5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17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80"/>
              <w:spacing w:after="0"/>
              <w:rPr>
                <w:sz w:val="20"/>
                <w:szCs w:val="20"/>
                <w:color w:val="auto"/>
              </w:rPr>
            </w:pPr>
            <w:r>
              <w:rPr>
                <w:rFonts w:ascii="Arial" w:cs="Arial" w:eastAsia="Arial" w:hAnsi="Arial"/>
                <w:sz w:val="18"/>
                <w:szCs w:val="18"/>
                <w:color w:val="auto"/>
              </w:rPr>
              <w:t>Prior service credit</w:t>
            </w:r>
          </w:p>
        </w:tc>
        <w:tc>
          <w:tcPr>
            <w:tcW w:w="17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5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from previous years</w:t>
            </w:r>
          </w:p>
        </w:tc>
        <w:tc>
          <w:tcPr>
            <w:tcW w:w="17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Tax (benefit) expense related to above items</w:t>
            </w:r>
          </w:p>
        </w:tc>
        <w:tc>
          <w:tcPr>
            <w:tcW w:w="17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5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unamortized benefit plan costs – 2015</w:t>
            </w:r>
          </w:p>
        </w:tc>
        <w:tc>
          <w:tcPr>
            <w:tcW w:w="17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net actuarial loss</w:t>
            </w:r>
          </w:p>
        </w:tc>
        <w:tc>
          <w:tcPr>
            <w:tcW w:w="17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1,003</w:t>
            </w: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4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912</w:t>
            </w:r>
          </w:p>
        </w:tc>
      </w:tr>
      <w:tr>
        <w:trPr>
          <w:trHeight w:val="27"/>
        </w:trPr>
        <w:tc>
          <w:tcPr>
            <w:tcW w:w="5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17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80"/>
              <w:spacing w:after="0"/>
              <w:rPr>
                <w:sz w:val="20"/>
                <w:szCs w:val="20"/>
                <w:color w:val="auto"/>
              </w:rPr>
            </w:pPr>
            <w:r>
              <w:rPr>
                <w:rFonts w:ascii="Arial" w:cs="Arial" w:eastAsia="Arial" w:hAnsi="Arial"/>
                <w:sz w:val="18"/>
                <w:szCs w:val="18"/>
                <w:color w:val="auto"/>
              </w:rPr>
              <w:t>Prior service credit</w:t>
            </w:r>
          </w:p>
        </w:tc>
        <w:tc>
          <w:tcPr>
            <w:tcW w:w="17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5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from previous years</w:t>
            </w:r>
          </w:p>
        </w:tc>
        <w:tc>
          <w:tcPr>
            <w:tcW w:w="17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Tax (benefit) expense related to above items</w:t>
            </w:r>
          </w:p>
        </w:tc>
        <w:tc>
          <w:tcPr>
            <w:tcW w:w="17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5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unamortized benefit plan costs – 2016</w:t>
            </w:r>
          </w:p>
        </w:tc>
        <w:tc>
          <w:tcPr>
            <w:tcW w:w="17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228</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net actuarial loss</w:t>
            </w:r>
          </w:p>
        </w:tc>
        <w:tc>
          <w:tcPr>
            <w:tcW w:w="17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(476)</w:t>
            </w: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4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(571)</w:t>
            </w:r>
          </w:p>
        </w:tc>
      </w:tr>
      <w:tr>
        <w:trPr>
          <w:trHeight w:val="27"/>
        </w:trPr>
        <w:tc>
          <w:tcPr>
            <w:tcW w:w="5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17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80"/>
              <w:spacing w:after="0"/>
              <w:rPr>
                <w:sz w:val="20"/>
                <w:szCs w:val="20"/>
                <w:color w:val="auto"/>
              </w:rPr>
            </w:pPr>
            <w:r>
              <w:rPr>
                <w:rFonts w:ascii="Arial" w:cs="Arial" w:eastAsia="Arial" w:hAnsi="Arial"/>
                <w:sz w:val="18"/>
                <w:szCs w:val="18"/>
                <w:color w:val="auto"/>
              </w:rPr>
              <w:t>Prior service credit</w:t>
            </w:r>
          </w:p>
        </w:tc>
        <w:tc>
          <w:tcPr>
            <w:tcW w:w="17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57</w:t>
            </w:r>
          </w:p>
        </w:tc>
        <w:tc>
          <w:tcPr>
            <w:tcW w:w="18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22</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79</w:t>
            </w:r>
          </w:p>
        </w:tc>
      </w:tr>
      <w:tr>
        <w:trPr>
          <w:trHeight w:val="27"/>
        </w:trPr>
        <w:tc>
          <w:tcPr>
            <w:tcW w:w="5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from previous years</w:t>
            </w:r>
          </w:p>
        </w:tc>
        <w:tc>
          <w:tcPr>
            <w:tcW w:w="17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Tax (benefit) expense related to above items</w:t>
            </w:r>
          </w:p>
        </w:tc>
        <w:tc>
          <w:tcPr>
            <w:tcW w:w="17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365</w:t>
            </w:r>
          </w:p>
        </w:tc>
        <w:tc>
          <w:tcPr>
            <w:tcW w:w="18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18</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383</w:t>
            </w:r>
          </w:p>
        </w:tc>
      </w:tr>
      <w:tr>
        <w:trPr>
          <w:trHeight w:val="27"/>
        </w:trPr>
        <w:tc>
          <w:tcPr>
            <w:tcW w:w="5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unamortized benefit plan costs – 2017</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w:t>
            </w:r>
          </w:p>
        </w:tc>
      </w:tr>
      <w:tr>
        <w:trPr>
          <w:trHeight w:val="27"/>
        </w:trPr>
        <w:tc>
          <w:tcPr>
            <w:tcW w:w="518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components of accumulated other comprehensive loss related to the company’s retirement benefit plans: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3"/>
          </w:tcPr>
          <w:p>
            <w:pPr>
              <w:jc w:val="right"/>
              <w:ind w:right="530"/>
              <w:spacing w:after="0"/>
              <w:rPr>
                <w:sz w:val="20"/>
                <w:szCs w:val="20"/>
                <w:color w:val="auto"/>
              </w:rPr>
            </w:pPr>
            <w:r>
              <w:rPr>
                <w:rFonts w:ascii="Arial" w:cs="Arial" w:eastAsia="Arial" w:hAnsi="Arial"/>
                <w:sz w:val="18"/>
                <w:szCs w:val="18"/>
                <w:color w:val="auto"/>
              </w:rPr>
              <w:t>Pension Benefits</w:t>
            </w:r>
          </w:p>
        </w:tc>
        <w:tc>
          <w:tcPr>
            <w:tcW w:w="260" w:type="dxa"/>
            <w:vAlign w:val="bottom"/>
          </w:tcPr>
          <w:p>
            <w:pPr>
              <w:spacing w:after="0"/>
              <w:rPr>
                <w:sz w:val="20"/>
                <w:szCs w:val="20"/>
                <w:color w:val="auto"/>
              </w:rPr>
            </w:pPr>
          </w:p>
        </w:tc>
        <w:tc>
          <w:tcPr>
            <w:tcW w:w="2180" w:type="dxa"/>
            <w:vAlign w:val="bottom"/>
            <w:gridSpan w:val="3"/>
          </w:tcPr>
          <w:p>
            <w:pPr>
              <w:jc w:val="right"/>
              <w:ind w:right="150"/>
              <w:spacing w:after="0"/>
              <w:rPr>
                <w:sz w:val="20"/>
                <w:szCs w:val="20"/>
                <w:color w:val="auto"/>
              </w:rPr>
            </w:pPr>
            <w:r>
              <w:rPr>
                <w:rFonts w:ascii="Arial" w:cs="Arial" w:eastAsia="Arial" w:hAnsi="Arial"/>
                <w:sz w:val="18"/>
                <w:szCs w:val="18"/>
                <w:color w:val="auto"/>
                <w:w w:val="95"/>
              </w:rPr>
              <w:t>Medical and Life Benefits</w:t>
            </w:r>
          </w:p>
        </w:tc>
      </w:tr>
      <w:tr>
        <w:trPr>
          <w:trHeight w:val="27"/>
        </w:trPr>
        <w:tc>
          <w:tcPr>
            <w:tcW w:w="5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5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6"/>
              </w:rPr>
              <w:t>Amounts recorded in accumulated other comprehensive loss</w:t>
            </w:r>
          </w:p>
        </w:tc>
        <w:tc>
          <w:tcPr>
            <w:tcW w:w="1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Net actuarial loss</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(7,842)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(9,030)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5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service credit</w:t>
            </w:r>
          </w:p>
        </w:tc>
        <w:tc>
          <w:tcPr>
            <w:tcW w:w="1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244</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Income tax benefits related to above items</w:t>
            </w: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3,042</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3,407</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5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benefit plan costs</w:t>
            </w:r>
          </w:p>
        </w:tc>
        <w:tc>
          <w:tcPr>
            <w:tcW w:w="1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(4,613)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540"/>
        </w:trPr>
        <w:tc>
          <w:tcPr>
            <w:tcW w:w="51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-68-</w:t>
            </w: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following table sets forth the funded status and amounts recognized in the consolidated statements of financial position for the company’s retirement benefit plans. Pension benefits data includes the qualified plans, foreign plans and U.S. unfunded non-qualified plans for benefits provided to directors, officers and certain employees. The company uses a December 31 measurement date for its plans.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3"/>
          </w:tcPr>
          <w:p>
            <w:pPr>
              <w:jc w:val="right"/>
              <w:ind w:right="530"/>
              <w:spacing w:after="0"/>
              <w:rPr>
                <w:sz w:val="20"/>
                <w:szCs w:val="20"/>
                <w:color w:val="auto"/>
              </w:rPr>
            </w:pPr>
            <w:r>
              <w:rPr>
                <w:rFonts w:ascii="Arial" w:cs="Arial" w:eastAsia="Arial" w:hAnsi="Arial"/>
                <w:sz w:val="18"/>
                <w:szCs w:val="18"/>
                <w:color w:val="auto"/>
              </w:rPr>
              <w:t>Pension Benefits</w:t>
            </w:r>
          </w:p>
        </w:tc>
        <w:tc>
          <w:tcPr>
            <w:tcW w:w="260" w:type="dxa"/>
            <w:vAlign w:val="bottom"/>
          </w:tcPr>
          <w:p>
            <w:pPr>
              <w:spacing w:after="0"/>
              <w:rPr>
                <w:sz w:val="20"/>
                <w:szCs w:val="20"/>
                <w:color w:val="auto"/>
              </w:rPr>
            </w:pPr>
          </w:p>
        </w:tc>
        <w:tc>
          <w:tcPr>
            <w:tcW w:w="2180" w:type="dxa"/>
            <w:vAlign w:val="bottom"/>
            <w:gridSpan w:val="3"/>
          </w:tcPr>
          <w:p>
            <w:pPr>
              <w:jc w:val="right"/>
              <w:ind w:right="150"/>
              <w:spacing w:after="0"/>
              <w:rPr>
                <w:sz w:val="20"/>
                <w:szCs w:val="20"/>
                <w:color w:val="auto"/>
              </w:rPr>
            </w:pPr>
            <w:r>
              <w:rPr>
                <w:rFonts w:ascii="Arial" w:cs="Arial" w:eastAsia="Arial" w:hAnsi="Arial"/>
                <w:sz w:val="18"/>
                <w:szCs w:val="18"/>
                <w:color w:val="auto"/>
                <w:w w:val="95"/>
              </w:rPr>
              <w:t>Medical and Life Benefits</w:t>
            </w:r>
          </w:p>
        </w:tc>
      </w:tr>
      <w:tr>
        <w:trPr>
          <w:trHeight w:val="27"/>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6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Fair value of plan assets at beginning of year</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24,384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23,950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1,208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1,153</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3,885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1,867</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Employer contributions</w:t>
            </w:r>
          </w:p>
        </w:tc>
        <w:tc>
          <w:tcPr>
            <w:tcW w:w="2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596</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45</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Participant contributions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(1,617)</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(1,480)</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(144)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6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27,226</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24,384</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1,338</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1,208</w:t>
            </w:r>
          </w:p>
        </w:tc>
      </w:tr>
      <w:tr>
        <w:trPr>
          <w:trHeight w:val="27"/>
        </w:trPr>
        <w:tc>
          <w:tcPr>
            <w:tcW w:w="6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Projected Benefit Obligation</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Projected benefit obligation at beginning of year</w:t>
            </w:r>
          </w:p>
        </w:tc>
        <w:tc>
          <w:tcPr>
            <w:tcW w:w="2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30,409</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29,182</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2,100</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2,181</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424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1,234</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1,284</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84</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Participant contributions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Actuarial loss (gain)</w:t>
            </w:r>
          </w:p>
        </w:tc>
        <w:tc>
          <w:tcPr>
            <w:tcW w:w="2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1,526</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1,026</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26</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Benefits paid</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(1,617)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31,967</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30,409</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2,110</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2,100</w:t>
            </w:r>
          </w:p>
        </w:tc>
      </w:tr>
      <w:tr>
        <w:trPr>
          <w:trHeight w:val="237"/>
        </w:trPr>
        <w:tc>
          <w:tcPr>
            <w:tcW w:w="6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Funded status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(4,741)</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(6,025)</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(772)</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w:t>
            </w:r>
          </w:p>
        </w:tc>
      </w:tr>
      <w:tr>
        <w:trPr>
          <w:trHeight w:val="27"/>
        </w:trPr>
        <w:tc>
          <w:tcPr>
            <w:tcW w:w="6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6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5"/>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w w:val="94"/>
              </w:rPr>
              <w:t>Classification of amounts recognized in the consolidated statements of financial</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position</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Current liability</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(154)</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liability</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(4,669)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(5,881)</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r>
      <w:tr>
        <w:trPr>
          <w:trHeight w:val="27"/>
        </w:trPr>
        <w:tc>
          <w:tcPr>
            <w:tcW w:w="6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gridSpan w:val="3"/>
          </w:tcPr>
          <w:p>
            <w:pPr>
              <w:spacing w:after="0"/>
              <w:rPr>
                <w:sz w:val="20"/>
                <w:szCs w:val="20"/>
                <w:color w:val="auto"/>
              </w:rPr>
            </w:pPr>
            <w:r>
              <w:rPr>
                <w:rFonts w:ascii="Arial" w:cs="Arial" w:eastAsia="Arial" w:hAnsi="Arial"/>
                <w:sz w:val="18"/>
                <w:szCs w:val="18"/>
                <w:color w:val="auto"/>
                <w:w w:val="97"/>
              </w:rPr>
              <w:t>The following table shows those amounts expected to be recognized in net periodic benefit cost in 2018:</w:t>
            </w: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64"/>
        </w:trPr>
        <w:tc>
          <w:tcPr>
            <w:tcW w:w="5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jc w:val="center"/>
              <w:ind w:right="610"/>
              <w:spacing w:after="0"/>
              <w:rPr>
                <w:sz w:val="20"/>
                <w:szCs w:val="20"/>
                <w:color w:val="auto"/>
              </w:rPr>
            </w:pPr>
            <w:r>
              <w:rPr>
                <w:rFonts w:ascii="Arial" w:cs="Arial" w:eastAsia="Arial" w:hAnsi="Arial"/>
                <w:sz w:val="18"/>
                <w:szCs w:val="18"/>
                <w:color w:val="auto"/>
                <w:w w:val="90"/>
              </w:rPr>
              <w:t>Medical and</w:t>
            </w:r>
          </w:p>
        </w:tc>
        <w:tc>
          <w:tcPr>
            <w:tcW w:w="1220" w:type="dxa"/>
            <w:vAlign w:val="bottom"/>
          </w:tcPr>
          <w:p>
            <w:pPr>
              <w:spacing w:after="0"/>
              <w:rPr>
                <w:sz w:val="24"/>
                <w:szCs w:val="24"/>
                <w:color w:val="auto"/>
              </w:rPr>
            </w:pPr>
          </w:p>
        </w:tc>
      </w:tr>
      <w:tr>
        <w:trPr>
          <w:trHeight w:val="230"/>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74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Pension Benefits</w:t>
            </w:r>
          </w:p>
        </w:tc>
        <w:tc>
          <w:tcPr>
            <w:tcW w:w="280" w:type="dxa"/>
            <w:vAlign w:val="bottom"/>
          </w:tcPr>
          <w:p>
            <w:pPr>
              <w:spacing w:after="0"/>
              <w:rPr>
                <w:sz w:val="20"/>
                <w:szCs w:val="20"/>
                <w:color w:val="auto"/>
              </w:rPr>
            </w:pPr>
          </w:p>
        </w:tc>
        <w:tc>
          <w:tcPr>
            <w:tcW w:w="1860" w:type="dxa"/>
            <w:vAlign w:val="bottom"/>
          </w:tcPr>
          <w:p>
            <w:pPr>
              <w:jc w:val="center"/>
              <w:ind w:right="610"/>
              <w:spacing w:after="0"/>
              <w:rPr>
                <w:sz w:val="20"/>
                <w:szCs w:val="20"/>
                <w:color w:val="auto"/>
              </w:rPr>
            </w:pPr>
            <w:r>
              <w:rPr>
                <w:rFonts w:ascii="Arial" w:cs="Arial" w:eastAsia="Arial" w:hAnsi="Arial"/>
                <w:sz w:val="18"/>
                <w:szCs w:val="18"/>
                <w:color w:val="auto"/>
                <w:w w:val="96"/>
              </w:rPr>
              <w:t>Life Benefits</w:t>
            </w: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r>
      <w:tr>
        <w:trPr>
          <w:trHeight w:val="27"/>
        </w:trPr>
        <w:tc>
          <w:tcPr>
            <w:tcW w:w="5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Amounts expected to be recognized in 2018 net periodic benefit cost</w:t>
            </w:r>
          </w:p>
        </w:tc>
        <w:tc>
          <w:tcPr>
            <w:tcW w:w="7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Net actuarial loss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535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535</w:t>
            </w:r>
          </w:p>
        </w:tc>
      </w:tr>
      <w:tr>
        <w:trPr>
          <w:trHeight w:val="27"/>
        </w:trPr>
        <w:tc>
          <w:tcPr>
            <w:tcW w:w="5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service credit</w:t>
            </w:r>
          </w:p>
        </w:tc>
        <w:tc>
          <w:tcPr>
            <w:tcW w:w="7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5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all defined benefit pension plans was $31.6 billion and $30.1 billion at December 31, 2017 and 2016,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Amounts for pension plans with accumulated benefit obligations in excess of fair value of plan assets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December 31</w:t>
            </w:r>
          </w:p>
        </w:tc>
        <w:tc>
          <w:tcPr>
            <w:tcW w:w="82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2016</w:t>
            </w:r>
          </w:p>
        </w:tc>
      </w:tr>
      <w:tr>
        <w:trPr>
          <w:trHeight w:val="27"/>
        </w:trPr>
        <w:tc>
          <w:tcPr>
            <w:tcW w:w="394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5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29,804</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30,350</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4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29,454</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30,065</w:t>
            </w:r>
          </w:p>
        </w:tc>
      </w:tr>
      <w:tr>
        <w:trPr>
          <w:trHeight w:val="27"/>
        </w:trPr>
        <w:tc>
          <w:tcPr>
            <w:tcW w:w="39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48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24,981</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24,322</w:t>
            </w:r>
          </w:p>
        </w:tc>
      </w:tr>
      <w:tr>
        <w:trPr>
          <w:trHeight w:val="453"/>
        </w:trPr>
        <w:tc>
          <w:tcPr>
            <w:tcW w:w="3940" w:type="dxa"/>
            <w:vAlign w:val="bottom"/>
            <w:tcBorders>
              <w:top w:val="single" w:sz="8" w:color="auto"/>
            </w:tcBorders>
          </w:tcPr>
          <w:p>
            <w:pPr>
              <w:spacing w:after="0"/>
              <w:rPr>
                <w:sz w:val="24"/>
                <w:szCs w:val="24"/>
                <w:color w:val="auto"/>
              </w:rPr>
            </w:pPr>
          </w:p>
        </w:tc>
        <w:tc>
          <w:tcPr>
            <w:tcW w:w="4860" w:type="dxa"/>
            <w:vAlign w:val="bottom"/>
            <w:tcBorders>
              <w:top w:val="single" w:sz="8" w:color="auto"/>
            </w:tcBorders>
          </w:tcPr>
          <w:p>
            <w:pPr>
              <w:jc w:val="right"/>
              <w:ind w:right="2850"/>
              <w:spacing w:after="0"/>
              <w:rPr>
                <w:sz w:val="20"/>
                <w:szCs w:val="20"/>
                <w:color w:val="auto"/>
              </w:rPr>
            </w:pPr>
            <w:r>
              <w:rPr>
                <w:rFonts w:ascii="Arial" w:cs="Arial" w:eastAsia="Arial" w:hAnsi="Arial"/>
                <w:sz w:val="18"/>
                <w:szCs w:val="18"/>
                <w:color w:val="auto"/>
              </w:rPr>
              <w:t>-69-</w:t>
            </w: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Assumptions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a weighted-average basis, the following assumptions were used to determine benefit obligations and net periodic benefit cost: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2440" w:type="dxa"/>
            <w:vAlign w:val="bottom"/>
            <w:gridSpan w:val="2"/>
          </w:tcPr>
          <w:p>
            <w:pPr>
              <w:jc w:val="right"/>
              <w:ind w:right="630"/>
              <w:spacing w:after="0"/>
              <w:rPr>
                <w:sz w:val="20"/>
                <w:szCs w:val="20"/>
                <w:color w:val="auto"/>
              </w:rPr>
            </w:pPr>
            <w:r>
              <w:rPr>
                <w:rFonts w:ascii="Arial" w:cs="Arial" w:eastAsia="Arial" w:hAnsi="Arial"/>
                <w:sz w:val="18"/>
                <w:szCs w:val="18"/>
                <w:color w:val="auto"/>
              </w:rPr>
              <w:t>Pension Benefits</w:t>
            </w:r>
          </w:p>
        </w:tc>
        <w:tc>
          <w:tcPr>
            <w:tcW w:w="2260" w:type="dxa"/>
            <w:vAlign w:val="bottom"/>
            <w:gridSpan w:val="2"/>
          </w:tcPr>
          <w:p>
            <w:pPr>
              <w:jc w:val="right"/>
              <w:ind w:right="110"/>
              <w:spacing w:after="0"/>
              <w:rPr>
                <w:sz w:val="20"/>
                <w:szCs w:val="20"/>
                <w:color w:val="auto"/>
              </w:rPr>
            </w:pPr>
            <w:r>
              <w:rPr>
                <w:rFonts w:ascii="Arial" w:cs="Arial" w:eastAsia="Arial" w:hAnsi="Arial"/>
                <w:sz w:val="18"/>
                <w:szCs w:val="18"/>
                <w:color w:val="auto"/>
              </w:rPr>
              <w:t>Medical and Life Benefits</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Assumptions used to determine benefit obligation at December 31</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Discount rate</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3.68%</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4.19%</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3.66%</w:t>
            </w:r>
          </w:p>
        </w:tc>
        <w:tc>
          <w:tcPr>
            <w:tcW w:w="98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Initial cash balance crediting rate assumed for the next year</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2.75%</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3.10%</w:t>
            </w:r>
          </w:p>
        </w:tc>
        <w:tc>
          <w:tcPr>
            <w:tcW w:w="1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w w:val="92"/>
              </w:rPr>
              <w:t>Rate to which the cash balance crediting rate is assumed to increase (the ultimate rate)</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3.00%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3.60%</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that the cash balance crediting rate reaches the ultimate rate</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2022</w:t>
            </w:r>
          </w:p>
        </w:tc>
        <w:tc>
          <w:tcPr>
            <w:tcW w:w="1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Rate of compensation increase</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3.00%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Initial health care cost trend rate assumed for the next year</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6.50%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9"/>
        </w:trPr>
        <w:tc>
          <w:tcPr>
            <w:tcW w:w="6720" w:type="dxa"/>
            <w:vAlign w:val="bottom"/>
          </w:tcPr>
          <w:p>
            <w:pPr>
              <w:ind w:left="280"/>
              <w:spacing w:after="0"/>
              <w:rPr>
                <w:sz w:val="20"/>
                <w:szCs w:val="20"/>
                <w:color w:val="auto"/>
              </w:rPr>
            </w:pPr>
            <w:r>
              <w:rPr>
                <w:rFonts w:ascii="Arial" w:cs="Arial" w:eastAsia="Arial" w:hAnsi="Arial"/>
                <w:sz w:val="18"/>
                <w:szCs w:val="18"/>
                <w:color w:val="auto"/>
                <w:w w:val="94"/>
              </w:rPr>
              <w:t>Rate to which the health care cost trend rate is assumed to decline (the ultimate trend</w:t>
            </w: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5.00%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80"/>
              <w:spacing w:after="0"/>
              <w:rPr>
                <w:sz w:val="20"/>
                <w:szCs w:val="20"/>
                <w:color w:val="auto"/>
              </w:rPr>
            </w:pPr>
            <w:r>
              <w:rPr>
                <w:rFonts w:ascii="Arial" w:cs="Arial" w:eastAsia="Arial" w:hAnsi="Arial"/>
                <w:sz w:val="18"/>
                <w:szCs w:val="18"/>
                <w:color w:val="auto"/>
              </w:rPr>
              <w:t>rate)</w:t>
            </w: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that the health care cost trend rate reaches the ultimate trend rate</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benefit cost for the year ended December 31</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Discount rate</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4.19%</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4.53%</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4.13%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Initial cash balance crediting rate assumed for the next year</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3.10%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Rate to which the cash balance crediting rate is assumed to increase (the ultimate rate)</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3.60%</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3.75%</w:t>
            </w:r>
          </w:p>
        </w:tc>
        <w:tc>
          <w:tcPr>
            <w:tcW w:w="1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Year that the cash balance crediting rate reaches the ultimate rate</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Expected long-term return on plan assets</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8.00%</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8.00%</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7.70%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Rate of compensation increase</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3.00%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Initial health care cost trend rate assumed for the next year</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6.50%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6720" w:type="dxa"/>
            <w:vAlign w:val="bottom"/>
          </w:tcPr>
          <w:p>
            <w:pPr>
              <w:ind w:left="280"/>
              <w:spacing w:after="0"/>
              <w:rPr>
                <w:sz w:val="20"/>
                <w:szCs w:val="20"/>
                <w:color w:val="auto"/>
              </w:rPr>
            </w:pPr>
            <w:r>
              <w:rPr>
                <w:rFonts w:ascii="Arial" w:cs="Arial" w:eastAsia="Arial" w:hAnsi="Arial"/>
                <w:sz w:val="18"/>
                <w:szCs w:val="18"/>
                <w:color w:val="auto"/>
                <w:w w:val="94"/>
              </w:rPr>
              <w:t>Rate to which the health care cost trend rate is assumed to decline (the ultimate trend</w:t>
            </w: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5.00%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80"/>
              <w:spacing w:after="0"/>
              <w:rPr>
                <w:sz w:val="20"/>
                <w:szCs w:val="20"/>
                <w:color w:val="auto"/>
              </w:rPr>
            </w:pPr>
            <w:r>
              <w:rPr>
                <w:rFonts w:ascii="Arial" w:cs="Arial" w:eastAsia="Arial" w:hAnsi="Arial"/>
                <w:sz w:val="18"/>
                <w:szCs w:val="18"/>
                <w:color w:val="auto"/>
              </w:rPr>
              <w:t>rate)</w:t>
            </w: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that the health care cost trend rate reaches the ultimate trend rate</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
        </w:trPr>
        <w:tc>
          <w:tcPr>
            <w:tcW w:w="67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 and Investment Policy</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Plan assets are invested in various asset classes that are expected to produce a sufficient level of diversification and investment return over the long term. The investment goal is to exceed the assumed rate of return over the long term within reasonable and prudent levels of risk. Through consultation with our investment management team and outside investment advisers, management develops expected long-term returns for each of the plans’ strategic asset classes. In addition to our historical investment performance, we consider several factors, including current market data such as yields/price-earnings ratios, historical market returns over long periods and periodic surveys of investment managers’ expectations. Using policy target allocation percentages and the asset class expected returns, we calculate a weighted-average expected long-term rate of return. Liability studies are conducted on a regular basis to provide guidance in setting investment goals with an objective to balance risk. Risk targets are established and monitored against acceptable ranges.</w:t>
      </w:r>
    </w:p>
    <w:p>
      <w:pPr>
        <w:spacing w:after="0" w:line="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investment policies and procedures are designed to ensure the plans’ investments are in compliance with the Employee Retirement Income Security Act (ERISA). Guidelines are established defining permitted investments within each asset class. Derivatives are used for transitioning assets, asset class rebalancing, managing currency risk and for management of fixed-income and alternative investments.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3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majority of the plans’ assets, the investment policies require that the asset allocation be maintained within the following ranges as of December 31,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p>
        </w:tc>
        <w:tc>
          <w:tcPr>
            <w:tcW w:w="5860" w:type="dxa"/>
            <w:vAlign w:val="bottom"/>
          </w:tcPr>
          <w:p>
            <w:pPr>
              <w:ind w:left="3620"/>
              <w:spacing w:after="0"/>
              <w:rPr>
                <w:sz w:val="20"/>
                <w:szCs w:val="20"/>
                <w:color w:val="auto"/>
              </w:rPr>
            </w:pPr>
            <w:r>
              <w:rPr>
                <w:rFonts w:ascii="Arial" w:cs="Arial" w:eastAsia="Arial" w:hAnsi="Arial"/>
                <w:sz w:val="18"/>
                <w:szCs w:val="18"/>
                <w:color w:val="auto"/>
              </w:rPr>
              <w:t>Asset Allocation Ranges</w:t>
            </w:r>
          </w:p>
        </w:tc>
      </w:tr>
      <w:tr>
        <w:trPr>
          <w:trHeight w:val="27"/>
        </w:trPr>
        <w:tc>
          <w:tcPr>
            <w:tcW w:w="55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860" w:type="dxa"/>
            <w:vAlign w:val="bottom"/>
            <w:tcBorders>
              <w:bottom w:val="single" w:sz="8" w:color="CCEEFF"/>
            </w:tcBorders>
            <w:shd w:val="clear" w:color="auto" w:fill="CCEEFF"/>
          </w:tcPr>
          <w:p>
            <w:pPr>
              <w:jc w:val="center"/>
              <w:ind w:left="3050"/>
              <w:spacing w:after="0"/>
              <w:rPr>
                <w:sz w:val="20"/>
                <w:szCs w:val="20"/>
                <w:color w:val="auto"/>
              </w:rPr>
            </w:pPr>
            <w:r>
              <w:rPr>
                <w:rFonts w:ascii="Arial" w:cs="Arial" w:eastAsia="Arial" w:hAnsi="Arial"/>
                <w:sz w:val="18"/>
                <w:szCs w:val="18"/>
                <w:color w:val="auto"/>
                <w:w w:val="92"/>
              </w:rPr>
              <w:t>0% - 12%</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U.S. equities</w:t>
            </w:r>
          </w:p>
        </w:tc>
        <w:tc>
          <w:tcPr>
            <w:tcW w:w="5860" w:type="dxa"/>
            <w:vAlign w:val="bottom"/>
          </w:tcPr>
          <w:p>
            <w:pPr>
              <w:jc w:val="center"/>
              <w:ind w:left="3050"/>
              <w:spacing w:after="0"/>
              <w:rPr>
                <w:sz w:val="20"/>
                <w:szCs w:val="20"/>
                <w:color w:val="auto"/>
              </w:rPr>
            </w:pPr>
            <w:r>
              <w:rPr>
                <w:rFonts w:ascii="Arial" w:cs="Arial" w:eastAsia="Arial" w:hAnsi="Arial"/>
                <w:sz w:val="18"/>
                <w:szCs w:val="18"/>
                <w:color w:val="auto"/>
                <w:w w:val="90"/>
              </w:rPr>
              <w:t>15% - 35%</w:t>
            </w:r>
          </w:p>
        </w:tc>
      </w:tr>
      <w:tr>
        <w:trPr>
          <w:trHeight w:val="27"/>
        </w:trPr>
        <w:tc>
          <w:tcPr>
            <w:tcW w:w="5560" w:type="dxa"/>
            <w:vAlign w:val="bottom"/>
          </w:tcPr>
          <w:p>
            <w:pPr>
              <w:spacing w:after="0"/>
              <w:rPr>
                <w:sz w:val="2"/>
                <w:szCs w:val="2"/>
                <w:color w:val="auto"/>
              </w:rPr>
            </w:pPr>
          </w:p>
        </w:tc>
        <w:tc>
          <w:tcPr>
            <w:tcW w:w="58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equities</w:t>
            </w:r>
          </w:p>
        </w:tc>
        <w:tc>
          <w:tcPr>
            <w:tcW w:w="5860" w:type="dxa"/>
            <w:vAlign w:val="bottom"/>
            <w:tcBorders>
              <w:bottom w:val="single" w:sz="8" w:color="CCEEFF"/>
            </w:tcBorders>
            <w:shd w:val="clear" w:color="auto" w:fill="CCEEFF"/>
          </w:tcPr>
          <w:p>
            <w:pPr>
              <w:jc w:val="center"/>
              <w:ind w:left="3050"/>
              <w:spacing w:after="0"/>
              <w:rPr>
                <w:sz w:val="20"/>
                <w:szCs w:val="20"/>
                <w:color w:val="auto"/>
              </w:rPr>
            </w:pPr>
            <w:r>
              <w:rPr>
                <w:rFonts w:ascii="Arial" w:cs="Arial" w:eastAsia="Arial" w:hAnsi="Arial"/>
                <w:sz w:val="18"/>
                <w:szCs w:val="18"/>
                <w:color w:val="auto"/>
                <w:w w:val="90"/>
              </w:rPr>
              <w:t>10% - 30%</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Fixed-income securities</w:t>
            </w:r>
          </w:p>
        </w:tc>
        <w:tc>
          <w:tcPr>
            <w:tcW w:w="5860" w:type="dxa"/>
            <w:vAlign w:val="bottom"/>
          </w:tcPr>
          <w:p>
            <w:pPr>
              <w:jc w:val="center"/>
              <w:ind w:left="3050"/>
              <w:spacing w:after="0"/>
              <w:rPr>
                <w:sz w:val="20"/>
                <w:szCs w:val="20"/>
                <w:color w:val="auto"/>
              </w:rPr>
            </w:pPr>
            <w:r>
              <w:rPr>
                <w:rFonts w:ascii="Arial" w:cs="Arial" w:eastAsia="Arial" w:hAnsi="Arial"/>
                <w:sz w:val="18"/>
                <w:szCs w:val="18"/>
                <w:color w:val="auto"/>
                <w:w w:val="90"/>
              </w:rPr>
              <w:t>20% - 55%</w:t>
            </w:r>
          </w:p>
        </w:tc>
      </w:tr>
      <w:tr>
        <w:trPr>
          <w:trHeight w:val="27"/>
        </w:trPr>
        <w:tc>
          <w:tcPr>
            <w:tcW w:w="5560" w:type="dxa"/>
            <w:vAlign w:val="bottom"/>
          </w:tcPr>
          <w:p>
            <w:pPr>
              <w:spacing w:after="0"/>
              <w:rPr>
                <w:sz w:val="2"/>
                <w:szCs w:val="2"/>
                <w:color w:val="auto"/>
              </w:rPr>
            </w:pPr>
          </w:p>
        </w:tc>
        <w:tc>
          <w:tcPr>
            <w:tcW w:w="58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Alternative investments</w:t>
            </w:r>
          </w:p>
        </w:tc>
        <w:tc>
          <w:tcPr>
            <w:tcW w:w="5860" w:type="dxa"/>
            <w:vAlign w:val="bottom"/>
            <w:tcBorders>
              <w:bottom w:val="single" w:sz="8" w:color="CCEEFF"/>
            </w:tcBorders>
            <w:shd w:val="clear" w:color="auto" w:fill="CCEEFF"/>
          </w:tcPr>
          <w:p>
            <w:pPr>
              <w:jc w:val="center"/>
              <w:ind w:left="3050"/>
              <w:spacing w:after="0"/>
              <w:rPr>
                <w:sz w:val="20"/>
                <w:szCs w:val="20"/>
                <w:color w:val="auto"/>
              </w:rPr>
            </w:pPr>
            <w:r>
              <w:rPr>
                <w:rFonts w:ascii="Arial" w:cs="Arial" w:eastAsia="Arial" w:hAnsi="Arial"/>
                <w:sz w:val="18"/>
                <w:szCs w:val="18"/>
                <w:color w:val="auto"/>
                <w:w w:val="92"/>
              </w:rPr>
              <w:t>8% - 28%</w:t>
            </w:r>
          </w:p>
        </w:tc>
      </w:tr>
      <w:tr>
        <w:trPr>
          <w:trHeight w:val="20"/>
        </w:trPr>
        <w:tc>
          <w:tcPr>
            <w:tcW w:w="5560" w:type="dxa"/>
            <w:vAlign w:val="bottom"/>
            <w:shd w:val="clear" w:color="auto" w:fill="000000"/>
          </w:tcPr>
          <w:p>
            <w:pPr>
              <w:spacing w:after="0" w:line="20" w:lineRule="exact"/>
              <w:rPr>
                <w:sz w:val="1"/>
                <w:szCs w:val="1"/>
                <w:color w:val="auto"/>
              </w:rPr>
            </w:pPr>
          </w:p>
        </w:tc>
        <w:tc>
          <w:tcPr>
            <w:tcW w:w="58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table below provides the fair values of the company’s pension and Voluntary Employee Beneficiary Association (VEBA) trust plan assets at December 31, 2017 and 2016, by asset category. The table also identifies the level of inputs used to determine the fair value of assets in each category. See Note 1 for the definitions of these levels. Certain investments that are measured at fair value using net asset value (NAV) per share (or its equivalent) as a practical expedient are not required to be categorized in the fair value hierarchy table. The total fair value of these investments is included in the table below to permit reconciliation of the fair value hierarchy to amounts presented in the funded status table above. As of December 31, 2017 and 2016, there were no investments expected to be sold at a value materially different than NAV.</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Level 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Level 2</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Level 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w w:val="99"/>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category</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55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4,086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4,141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equities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3,365</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3,366</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International equities</w:t>
            </w:r>
          </w:p>
        </w:tc>
        <w:tc>
          <w:tcPr>
            <w:tcW w:w="20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2,453</w:t>
            </w:r>
          </w:p>
        </w:tc>
        <w:tc>
          <w:tcPr>
            <w:tcW w:w="3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2,454</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Fixed-income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U.S. Treasuries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1,282</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1,282</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Agency</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345</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345</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Corporate bond</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Non-U.S. Government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4,404</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3,723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4,404</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backed</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255</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255</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High yield debt</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866</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866</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Bank loans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15</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Investments valued using NAV as a</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practical expedient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U.S. equities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1,053</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equities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4,315</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Fixed-income funds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129</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Hedge funds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Opportunistic investments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873</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Private equities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2,091</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Real estate funds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2,419</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34"/>
        </w:trPr>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Fair value of plan assets at the end of</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5,888</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11,626</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28,564</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year</w:t>
            </w: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vMerge w:val="continue"/>
            <w:shd w:val="clear" w:color="auto" w:fill="CCEEFF"/>
          </w:tcPr>
          <w:p>
            <w:pPr>
              <w:spacing w:after="0"/>
              <w:rPr>
                <w:sz w:val="20"/>
                <w:szCs w:val="20"/>
                <w:color w:val="auto"/>
              </w:rPr>
            </w:pPr>
          </w:p>
        </w:tc>
        <w:tc>
          <w:tcPr>
            <w:tcW w:w="740" w:type="dxa"/>
            <w:vAlign w:val="bottom"/>
            <w:tcBorders>
              <w:bottom w:val="single" w:sz="8" w:color="CCEEFF"/>
            </w:tcBorders>
            <w:vMerge w:val="continue"/>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25,592</w:t>
            </w:r>
          </w:p>
        </w:tc>
        <w:tc>
          <w:tcPr>
            <w:tcW w:w="0" w:type="dxa"/>
            <w:vAlign w:val="bottom"/>
          </w:tcPr>
          <w:p>
            <w:pPr>
              <w:spacing w:after="0"/>
              <w:rPr>
                <w:sz w:val="1"/>
                <w:szCs w:val="1"/>
                <w:color w:val="auto"/>
              </w:rPr>
            </w:pPr>
          </w:p>
        </w:tc>
      </w:tr>
      <w:tr>
        <w:trPr>
          <w:trHeight w:val="27"/>
        </w:trPr>
        <w:tc>
          <w:tcPr>
            <w:tcW w:w="2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of plan assets between the three levels of the fair value hierarchy during the years ended December 31, 2017 and 2016.</w:t>
      </w:r>
    </w:p>
    <w:p>
      <w:pPr>
        <w:spacing w:after="0" w:line="1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Generally, investments are valued based on information in financial publications of general circulation, statistical and valuation services, records of security exchanges, appraisal by qualified persons, transactions and bona fide offers. Cash and cash equivalents are predominantly held in money market or short-term investment funds. U.S. and international equities consist primarily of common stocks and institutional common trust funds. Investments in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7"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certain equity securities, which include domestic and international securities and registered investment companies, are valued at the last reported sales or quoted price on the last business day of the reporting period. Fair values for certain fixed-income securities, which are not exchange-traded, are valued using third-party pricing services.</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assets include derivative assets with a fair value of $34 million and $19 million, derivative liabilities with a fair value of $19 million and $28 million, and net notional amounts of $3.3 billion and $2.0 billion, as of December 31, 2017 and 2016, respectively. Derivative instruments may include exchange traded futures contracts, interest rate swaps, options on futures and swaps, currency contracts, total return swaps and credit default swaps. Notional amounts do not quantify risk or represent assets or liabilities of the pension and VEBA trusts, but are used in the calculation of cash settlement under the contracts. The volume of derivative activity is commensurate with the amounts disclosed at year-end. Certain derivative financial instruments within the pension trust are subject to master netting agreements with certain counterparties.</w:t>
      </w:r>
    </w:p>
    <w:p>
      <w:pPr>
        <w:spacing w:after="0" w:line="5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Investments in certain equity and fixed-income funds, which include common/collective trust funds, and alternative investments, including hedge funds, opportunistic investments, private equity funds and real estate funds, are valued based on the NAV derived by the investment managers, as a practical expedient, and are described further below.</w:t>
      </w:r>
    </w:p>
    <w:p>
      <w:pPr>
        <w:spacing w:after="0" w:line="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U.S. and International equities: Generally, redemption periods are monthly with a notice requirement less than 30 days. As of December 31, 2017 and 2016, unfunded commitments were not material.</w:t>
      </w:r>
    </w:p>
    <w:p>
      <w:pPr>
        <w:spacing w:after="0" w:line="3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Fixed-income funds: Redemption periods are daily, monthly or quarterly with various notice requirements but generally are less than 30 days. As of December 31, 2017 and 2016, there were no unfunded commitments.</w:t>
      </w:r>
    </w:p>
    <w:p>
      <w:pPr>
        <w:spacing w:after="0" w:line="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Hedge funds: The redemption period of hedge funds is generally quarterly and requires a 90-day notice. As of December 31, 2017 and 2016, there were no unfunded commitments.</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Opportunistic investments: Opportunistic investments are primarily held in partnerships with a 5-10 year life. As of December 31, 2017 and 2016, unfunded commitments were $768 million and $638 million, respectively.</w:t>
      </w:r>
    </w:p>
    <w:p>
      <w:pPr>
        <w:spacing w:after="0" w:line="3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Private equities: The term of each fund is typically 10 or more years and the fund’s investors do not have an option to redeem their interest in the fund. As of December 31, 2017 and 2016, unfunded commitments were $1.4 billion and $1.3 billion, respectively.</w:t>
      </w:r>
    </w:p>
    <w:p>
      <w:pPr>
        <w:spacing w:after="0" w:line="3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Real estate funds: Consists of closed-end real estate funds and infrastructure funds with terms that are typically 10 or more years. This class also contains open-end funds that generally allow investors to redeem their interests in the fund. As of December 31, 2017 and 2016, unfunded commitments were $71 million and $72 million, respectively.</w:t>
      </w:r>
    </w:p>
    <w:p>
      <w:pPr>
        <w:spacing w:after="0" w:line="46" w:lineRule="exact"/>
        <w:rPr>
          <w:sz w:val="20"/>
          <w:szCs w:val="20"/>
          <w:color w:val="auto"/>
        </w:rPr>
      </w:pPr>
    </w:p>
    <w:p>
      <w:pPr>
        <w:ind w:right="660"/>
        <w:spacing w:after="0" w:line="305" w:lineRule="auto"/>
        <w:rPr>
          <w:sz w:val="20"/>
          <w:szCs w:val="20"/>
          <w:color w:val="auto"/>
        </w:rPr>
      </w:pPr>
      <w:r>
        <w:rPr>
          <w:rFonts w:ascii="Arial" w:cs="Arial" w:eastAsia="Arial" w:hAnsi="Arial"/>
          <w:sz w:val="18"/>
          <w:szCs w:val="18"/>
          <w:color w:val="auto"/>
        </w:rPr>
        <w:t xml:space="preserve">For the years ended December 31, 2017 and 2016, the defined benefit pension and VEBA trusts did not hold any Northrop Grumman common stock. </w:t>
      </w:r>
      <w:r>
        <w:rPr>
          <w:rFonts w:ascii="Arial" w:cs="Arial" w:eastAsia="Arial" w:hAnsi="Arial"/>
          <w:sz w:val="18"/>
          <w:szCs w:val="18"/>
          <w:b w:val="1"/>
          <w:bCs w:val="1"/>
          <w:color w:val="auto"/>
        </w:rPr>
        <w:t>Benefit Payments</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reflects estimated future benefit payments for the next ten years, based upon the same assumptions used to measure the benefit obligation, and includes expected future employee service, as of December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w w:val="97"/>
              </w:rPr>
              <w:t>Medical and Life</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0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300" w:type="dxa"/>
            <w:vAlign w:val="bottom"/>
          </w:tcPr>
          <w:p>
            <w:pPr>
              <w:spacing w:after="0"/>
              <w:rPr>
                <w:sz w:val="20"/>
                <w:szCs w:val="20"/>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w w:val="95"/>
              </w:rPr>
              <w:t>Pension Plans</w:t>
            </w:r>
          </w:p>
        </w:tc>
        <w:tc>
          <w:tcPr>
            <w:tcW w:w="260" w:type="dxa"/>
            <w:vAlign w:val="bottom"/>
          </w:tcPr>
          <w:p>
            <w:pPr>
              <w:spacing w:after="0"/>
              <w:rPr>
                <w:sz w:val="20"/>
                <w:szCs w:val="20"/>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Plans</w:t>
            </w:r>
          </w:p>
        </w:tc>
        <w:tc>
          <w:tcPr>
            <w:tcW w:w="5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Total</w:t>
            </w:r>
          </w:p>
        </w:tc>
      </w:tr>
      <w:tr>
        <w:trPr>
          <w:trHeight w:val="27"/>
        </w:trPr>
        <w:tc>
          <w:tcPr>
            <w:tcW w:w="40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2018</w:t>
            </w: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1,573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1,722</w:t>
            </w:r>
          </w:p>
        </w:tc>
      </w:tr>
      <w:tr>
        <w:trPr>
          <w:trHeight w:val="27"/>
        </w:trPr>
        <w:tc>
          <w:tcPr>
            <w:tcW w:w="4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2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1,618</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w:t>
            </w: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2020</w:t>
            </w:r>
          </w:p>
        </w:tc>
        <w:tc>
          <w:tcPr>
            <w:tcW w:w="2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1,665</w:t>
            </w:r>
          </w:p>
        </w:tc>
        <w:tc>
          <w:tcPr>
            <w:tcW w:w="2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1,809</w:t>
            </w:r>
          </w:p>
        </w:tc>
      </w:tr>
      <w:tr>
        <w:trPr>
          <w:trHeight w:val="27"/>
        </w:trPr>
        <w:tc>
          <w:tcPr>
            <w:tcW w:w="4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2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1,713</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1,857</w:t>
            </w: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2022</w:t>
            </w:r>
          </w:p>
        </w:tc>
        <w:tc>
          <w:tcPr>
            <w:tcW w:w="2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1,757</w:t>
            </w:r>
          </w:p>
        </w:tc>
        <w:tc>
          <w:tcPr>
            <w:tcW w:w="2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1,900</w:t>
            </w:r>
          </w:p>
        </w:tc>
      </w:tr>
      <w:tr>
        <w:trPr>
          <w:trHeight w:val="27"/>
        </w:trPr>
        <w:tc>
          <w:tcPr>
            <w:tcW w:w="4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 through 2027</w:t>
            </w:r>
          </w:p>
        </w:tc>
        <w:tc>
          <w:tcPr>
            <w:tcW w:w="2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9,410</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10,086</w:t>
            </w:r>
          </w:p>
        </w:tc>
      </w:tr>
      <w:tr>
        <w:trPr>
          <w:trHeight w:val="20"/>
        </w:trPr>
        <w:tc>
          <w:tcPr>
            <w:tcW w:w="402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2018, the company expects to contribute the required minimum funding of approximately $87 million to its pension plans and approximately $43 million to its medical and life benefit plans. During the year ended December 31, 2017, the company made a voluntary pension contribution of $500 million.</w:t>
      </w:r>
    </w:p>
    <w:p>
      <w:pPr>
        <w:spacing w:after="0" w:line="66" w:lineRule="exact"/>
        <w:rPr>
          <w:sz w:val="20"/>
          <w:szCs w:val="20"/>
          <w:color w:val="auto"/>
        </w:rPr>
      </w:pPr>
    </w:p>
    <w:p>
      <w:pPr>
        <w:ind w:right="4120"/>
        <w:spacing w:after="0" w:line="308" w:lineRule="auto"/>
        <w:rPr>
          <w:sz w:val="20"/>
          <w:szCs w:val="20"/>
          <w:color w:val="auto"/>
        </w:rPr>
      </w:pPr>
      <w:r>
        <w:rPr>
          <w:rFonts w:ascii="Arial" w:cs="Arial" w:eastAsia="Arial" w:hAnsi="Arial"/>
          <w:sz w:val="18"/>
          <w:szCs w:val="18"/>
          <w:b w:val="1"/>
          <w:bCs w:val="1"/>
          <w:color w:val="auto"/>
        </w:rPr>
        <w:t>14. STOCK COMPENSATION PLANS AND OTHER COMPENSATION ARRANGEMENTS Stock Compensation Plans</w:t>
      </w:r>
    </w:p>
    <w:p>
      <w:pPr>
        <w:ind w:right="380"/>
        <w:spacing w:after="0" w:line="290" w:lineRule="auto"/>
        <w:rPr>
          <w:sz w:val="20"/>
          <w:szCs w:val="20"/>
          <w:color w:val="auto"/>
        </w:rPr>
      </w:pPr>
      <w:r>
        <w:rPr>
          <w:rFonts w:ascii="Arial" w:cs="Arial" w:eastAsia="Arial" w:hAnsi="Arial"/>
          <w:sz w:val="17"/>
          <w:szCs w:val="17"/>
          <w:color w:val="auto"/>
        </w:rPr>
        <w:t>At December 31, 2017, the company had stock-based compensation awards outstanding under the following shareholder-approved plans: the 2011 Long-Term Incentive Stock Plan (2011 Plan), applicable to employees, and the 1993 Stock Plan for Non-Employee Directors (1993 SPND).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37"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i w:val="1"/>
          <w:iCs w:val="1"/>
          <w:color w:val="auto"/>
        </w:rPr>
        <w:t xml:space="preserve">Employee Plans </w:t>
      </w:r>
      <w:r>
        <w:rPr>
          <w:rFonts w:ascii="Arial" w:cs="Arial" w:eastAsia="Arial" w:hAnsi="Arial"/>
          <w:sz w:val="16"/>
          <w:szCs w:val="16"/>
          <w:color w:val="auto"/>
        </w:rPr>
        <w:t>– In May 2015, the company’s shareholders approved amendments to the 2011 Plan. These amendments provided that shares issued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would be counted against the aggregate share limit on a one-for-one basis. As amended, 5.1 million shares plus 2.4 million of newly authorized shares were available for issuance under the 2011 Plan; as of December 31, 2017, 6.3 million shares remain available for issuance.</w:t>
      </w:r>
    </w:p>
    <w:p>
      <w:pPr>
        <w:spacing w:after="0" w:line="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2011 Plan provides for the following equity awards: stock options, stock appreciation rights (SARs) and stock awards. Under the 2011 Plan, no SARs have been granted and there are no outstanding stock options. Stock awards include restricted performance stock rights (RPSR) and restricted stock rights (RSR). RPSRs generally vest and are paid following the completion of a three-year performance period, based on achievement of financial objectives determined by the Board. RSRs generally vest 100% after three years. Each includes dividend equivalents, which are paid upon payment of the RPSR or RSR. The terms of equity awards granted under the 2011 Plan provide for accelerated vesting, and in some instances forfeiture, of all or a portion of an award upon termination of employment.</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Non-Employee Director Plans </w:t>
      </w:r>
      <w:r>
        <w:rPr>
          <w:rFonts w:ascii="Arial" w:cs="Arial" w:eastAsia="Arial" w:hAnsi="Arial"/>
          <w:sz w:val="18"/>
          <w:szCs w:val="18"/>
          <w:color w:val="auto"/>
        </w:rPr>
        <w:t>– Awards to non-employee directors are made pursuant to the Northrop Grumman Corporation Equity Grant Program for Non-Employee Directors under the 2011 Plan (the Director Program), which was amended and restated effective January 1, 2016. Prior to January 1, 2016, the Director Program and the 1993 SPND provided for quarterly award and vesting of an annual equity retainer in the form of deferred stock units (Automatic Stock Units) to be paid upon the conclusion of a director’s board service, or earlier, as specified by the director, if the director had five or more years of service.</w:t>
      </w:r>
    </w:p>
    <w:p>
      <w:pPr>
        <w:spacing w:after="0" w:line="5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Under the amended Director Program, each non-employee director is awarded an annual equity grant in the form of Automatic Stock Units, which vest on the one-year anniversary of the grant date. Directors may elect to have all or any portion of their Automatic Stock Units paid on (A) the earlier of (i) the beginning of a specified calendar year after the vesting date or (ii) their separation from service as a member of the Board, or (B) on the vesting date.</w:t>
      </w:r>
    </w:p>
    <w:p>
      <w:pPr>
        <w:spacing w:after="0" w:line="1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Directors also may elect to defer to a later year all or a portion of their remaining cash retainer or committee retainer fees into a stock unit account as Elective Stock Units or in alternative investment options. Elective Stock Units are awarded on a quarterly basis. Directors may elect to have all or a portion of their Elective Stock Units paid on the earlier of (i) the beginning of a specified calendar year or (ii) their separation from service as a member of the Board. Stock units awarded under the Director Program are paid out in an equivalent number of shares of Northrop Grumman common stock. Directors are credited with dividend equivalents in connection with the accumulated stock units until the shares of common stock relating to such stock units are issued.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Stock-based compensation expense for the years ended December 31, 2017, 2016 and 2015 was $94 million, $93 million and $99 million, respectively. The related tax benefits for stock-based compensation for the years ended December 31, 2017, 2016 and 2015 were $48 million, $85 million and $103 million, respectively.</w:t>
      </w:r>
    </w:p>
    <w:p>
      <w:pPr>
        <w:spacing w:after="0" w:line="5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At December 31, 2017, there was $91 million of unrecognized compensation expense related to unvested stock awards granted under the company’s stock-based compensation plans. These amounts are expected to be charged to expense over a weighted-average period of 1.3 years.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Compensation expense for stock awards is measured at the grant date based on the fair value of the award and is recognized over the vesting period (generally three years). The fair value of stock awards and performance stock awards is determined based on the closing market price of the company’s common stock on the grant date. The fair value of market-based stock awards is determined at the grant date using a Monte Carlo simulation model. For purposes of measuring compensation expense for performance awards, the number of shares ultimately expected to vest is estimated at each reporting date based on management’s expectations regarding the relevant performance criteria.</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337"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Stock award activity for the years ended December 31, 2015, 2016 and 2017, is presented in the table below. Vested awards do not include any adjustments to reflect the final performance measure for issued shares.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47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740" w:type="dxa"/>
            <w:vAlign w:val="bottom"/>
          </w:tcPr>
          <w:p>
            <w:pPr>
              <w:spacing w:after="0"/>
              <w:rPr>
                <w:sz w:val="18"/>
                <w:szCs w:val="18"/>
                <w:color w:val="auto"/>
              </w:rPr>
            </w:pPr>
          </w:p>
        </w:tc>
        <w:tc>
          <w:tcPr>
            <w:tcW w:w="3440" w:type="dxa"/>
            <w:vAlign w:val="bottom"/>
          </w:tcPr>
          <w:p>
            <w:pPr>
              <w:jc w:val="center"/>
              <w:ind w:left="1650"/>
              <w:spacing w:after="0"/>
              <w:rPr>
                <w:sz w:val="20"/>
                <w:szCs w:val="20"/>
                <w:color w:val="auto"/>
              </w:rPr>
            </w:pPr>
            <w:r>
              <w:rPr>
                <w:rFonts w:ascii="Arial" w:cs="Arial" w:eastAsia="Arial" w:hAnsi="Arial"/>
                <w:sz w:val="18"/>
                <w:szCs w:val="18"/>
                <w:b w:val="1"/>
                <w:bCs w:val="1"/>
                <w:color w:val="auto"/>
                <w:w w:val="85"/>
              </w:rPr>
              <w:t>Stock</w:t>
            </w:r>
          </w:p>
        </w:tc>
        <w:tc>
          <w:tcPr>
            <w:tcW w:w="24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Grant Date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4740" w:type="dxa"/>
            <w:vAlign w:val="bottom"/>
          </w:tcPr>
          <w:p>
            <w:pPr>
              <w:spacing w:after="0"/>
              <w:rPr>
                <w:sz w:val="18"/>
                <w:szCs w:val="18"/>
                <w:color w:val="auto"/>
              </w:rPr>
            </w:pPr>
          </w:p>
        </w:tc>
        <w:tc>
          <w:tcPr>
            <w:tcW w:w="3440" w:type="dxa"/>
            <w:vAlign w:val="bottom"/>
          </w:tcPr>
          <w:p>
            <w:pPr>
              <w:jc w:val="center"/>
              <w:ind w:left="1650"/>
              <w:spacing w:after="0"/>
              <w:rPr>
                <w:sz w:val="20"/>
                <w:szCs w:val="20"/>
                <w:color w:val="auto"/>
              </w:rPr>
            </w:pPr>
            <w:r>
              <w:rPr>
                <w:rFonts w:ascii="Arial" w:cs="Arial" w:eastAsia="Arial" w:hAnsi="Arial"/>
                <w:sz w:val="18"/>
                <w:szCs w:val="18"/>
                <w:b w:val="1"/>
                <w:bCs w:val="1"/>
                <w:color w:val="auto"/>
                <w:w w:val="89"/>
              </w:rPr>
              <w:t>Awards</w:t>
            </w:r>
          </w:p>
        </w:tc>
        <w:tc>
          <w:tcPr>
            <w:tcW w:w="24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Fair Value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r>
      <w:tr>
        <w:trPr>
          <w:trHeight w:val="234"/>
        </w:trPr>
        <w:tc>
          <w:tcPr>
            <w:tcW w:w="4740" w:type="dxa"/>
            <w:vAlign w:val="bottom"/>
          </w:tcPr>
          <w:p>
            <w:pPr>
              <w:spacing w:after="0"/>
              <w:rPr>
                <w:sz w:val="20"/>
                <w:szCs w:val="20"/>
                <w:color w:val="auto"/>
              </w:rPr>
            </w:pPr>
          </w:p>
        </w:tc>
        <w:tc>
          <w:tcPr>
            <w:tcW w:w="3440" w:type="dxa"/>
            <w:vAlign w:val="bottom"/>
          </w:tcPr>
          <w:p>
            <w:pPr>
              <w:jc w:val="center"/>
              <w:ind w:left="165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3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Per Share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Term (in years)</w:t>
            </w:r>
          </w:p>
        </w:tc>
      </w:tr>
      <w:tr>
        <w:trPr>
          <w:trHeight w:val="27"/>
        </w:trPr>
        <w:tc>
          <w:tcPr>
            <w:tcW w:w="47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January 1, 2015</w:t>
            </w:r>
          </w:p>
        </w:tc>
        <w:tc>
          <w:tcPr>
            <w:tcW w:w="3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40" w:type="dxa"/>
            <w:vAlign w:val="bottom"/>
          </w:tcPr>
          <w:p>
            <w:pPr>
              <w:jc w:val="right"/>
              <w:ind w:right="70"/>
              <w:spacing w:after="0"/>
              <w:rPr>
                <w:sz w:val="20"/>
                <w:szCs w:val="20"/>
                <w:color w:val="auto"/>
              </w:rPr>
            </w:pPr>
            <w:r>
              <w:rPr>
                <w:rFonts w:ascii="Arial" w:cs="Arial" w:eastAsia="Arial" w:hAnsi="Arial"/>
                <w:sz w:val="18"/>
                <w:szCs w:val="18"/>
                <w:color w:val="auto"/>
              </w:rPr>
              <w:t>539</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166</w:t>
            </w:r>
          </w:p>
        </w:tc>
        <w:tc>
          <w:tcPr>
            <w:tcW w:w="16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3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w:t>
            </w: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4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108</w:t>
            </w:r>
          </w:p>
        </w:tc>
        <w:tc>
          <w:tcPr>
            <w:tcW w:w="1680" w:type="dxa"/>
            <w:vAlign w:val="bottom"/>
          </w:tcPr>
          <w:p>
            <w:pPr>
              <w:spacing w:after="0"/>
              <w:rPr>
                <w:sz w:val="21"/>
                <w:szCs w:val="2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2015</w:t>
            </w:r>
          </w:p>
        </w:tc>
        <w:tc>
          <w:tcPr>
            <w:tcW w:w="3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40" w:type="dxa"/>
            <w:vAlign w:val="bottom"/>
          </w:tcPr>
          <w:p>
            <w:pPr>
              <w:jc w:val="right"/>
              <w:ind w:right="70"/>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186</w:t>
            </w:r>
          </w:p>
        </w:tc>
        <w:tc>
          <w:tcPr>
            <w:tcW w:w="16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3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w:t>
            </w: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4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143</w:t>
            </w:r>
          </w:p>
        </w:tc>
        <w:tc>
          <w:tcPr>
            <w:tcW w:w="1680" w:type="dxa"/>
            <w:vAlign w:val="bottom"/>
          </w:tcPr>
          <w:p>
            <w:pPr>
              <w:spacing w:after="0"/>
              <w:rPr>
                <w:sz w:val="21"/>
                <w:szCs w:val="2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2016</w:t>
            </w:r>
          </w:p>
        </w:tc>
        <w:tc>
          <w:tcPr>
            <w:tcW w:w="3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167</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40" w:type="dxa"/>
            <w:vAlign w:val="bottom"/>
          </w:tcPr>
          <w:p>
            <w:pPr>
              <w:jc w:val="right"/>
              <w:ind w:right="70"/>
              <w:spacing w:after="0"/>
              <w:rPr>
                <w:sz w:val="20"/>
                <w:szCs w:val="20"/>
                <w:color w:val="auto"/>
              </w:rPr>
            </w:pPr>
            <w:r>
              <w:rPr>
                <w:rFonts w:ascii="Arial" w:cs="Arial" w:eastAsia="Arial" w:hAnsi="Arial"/>
                <w:sz w:val="18"/>
                <w:szCs w:val="18"/>
                <w:b w:val="1"/>
                <w:bCs w:val="1"/>
                <w:color w:val="auto"/>
              </w:rPr>
              <w:t>397</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233</w:t>
            </w:r>
          </w:p>
        </w:tc>
        <w:tc>
          <w:tcPr>
            <w:tcW w:w="16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3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(521)</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152</w:t>
            </w: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440" w:type="dxa"/>
            <w:vAlign w:val="bottom"/>
          </w:tcPr>
          <w:p>
            <w:pPr>
              <w:jc w:val="right"/>
              <w:ind w:right="10"/>
              <w:spacing w:after="0"/>
              <w:rPr>
                <w:sz w:val="20"/>
                <w:szCs w:val="20"/>
                <w:color w:val="auto"/>
              </w:rPr>
            </w:pPr>
            <w:r>
              <w:rPr>
                <w:rFonts w:ascii="Arial" w:cs="Arial" w:eastAsia="Arial" w:hAnsi="Arial"/>
                <w:sz w:val="18"/>
                <w:szCs w:val="18"/>
                <w:b w:val="1"/>
                <w:bCs w:val="1"/>
                <w:color w:val="auto"/>
              </w:rPr>
              <w:t>(86)</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198</w:t>
            </w:r>
          </w:p>
        </w:tc>
        <w:tc>
          <w:tcPr>
            <w:tcW w:w="1680" w:type="dxa"/>
            <w:vAlign w:val="bottom"/>
          </w:tcPr>
          <w:p>
            <w:pPr>
              <w:spacing w:after="0"/>
              <w:rPr>
                <w:sz w:val="21"/>
                <w:szCs w:val="2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2017</w:t>
            </w:r>
          </w:p>
        </w:tc>
        <w:tc>
          <w:tcPr>
            <w:tcW w:w="3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938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r>
      <w:tr>
        <w:trPr>
          <w:trHeight w:val="27"/>
        </w:trPr>
        <w:tc>
          <w:tcPr>
            <w:tcW w:w="4740" w:type="dxa"/>
            <w:vAlign w:val="bottom"/>
            <w:shd w:val="clear" w:color="auto" w:fill="000000"/>
          </w:tcPr>
          <w:p>
            <w:pPr>
              <w:spacing w:after="0"/>
              <w:rPr>
                <w:sz w:val="2"/>
                <w:szCs w:val="2"/>
                <w:color w:val="auto"/>
              </w:rPr>
            </w:pPr>
          </w:p>
        </w:tc>
        <w:tc>
          <w:tcPr>
            <w:tcW w:w="3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majority of our stock awards are granted annually during the first quarter. RSRs typically vest on the third anniversary of the grant date, while RPSRs generally vest and pay out based on the achievement of financial metrics over a three-year period.</w:t>
      </w:r>
    </w:p>
    <w:p>
      <w:pPr>
        <w:spacing w:after="0" w:line="3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grant date fair value of shares issued in settlement of fully vested stock awards was $96 million, $97 million and $143 million during the years ended December 31, 2017, 2016 and 2015,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company grants certain employees cash units (CUs) and cash performance units (CPUs). Depending on actual performance against financial objectives, recipients of CPUs earn between 0 and 200 percent of the original grant. The following table presents the minimum and maximum aggregate payout amounts related to those cash awards granted for the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aggregate payout amount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Maximum aggregate payout amount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w:t>
            </w:r>
          </w:p>
        </w:tc>
        <w:tc>
          <w:tcPr>
            <w:tcW w:w="4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majority of our cash awards are granted annually during the first quarter. CUs typically vest and settle in cash on the third anniversary of the grant date, while CPUs generally vest and pay out in cash based on the achievement of financial metrics over a three-year period. At December 31, 2017, there was $133 million of unrecognized compensation expense related to cash awards.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37"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UNAUDITED SELECTED QUARTERLY DATA</w:t>
      </w:r>
    </w:p>
    <w:p>
      <w:pPr>
        <w:spacing w:after="0" w:line="9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Unaudited quarterly financial results are set forth in the following tables. It is the company’s long-standing practice to establish actual interim closing dates using a “fiscal” calendar in which we close our books on a Friday near each quarter-end date, in order to normalize the potentially disruptive effects of quarterly closings on business processes. This practice is only used at interim periods within a reporting year.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 share amounts</w:t>
            </w:r>
          </w:p>
        </w:tc>
        <w:tc>
          <w:tcPr>
            <w:tcW w:w="2280" w:type="dxa"/>
            <w:vAlign w:val="bottom"/>
          </w:tcPr>
          <w:p>
            <w:pPr>
              <w:spacing w:after="0"/>
              <w:rPr>
                <w:sz w:val="23"/>
                <w:szCs w:val="23"/>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1st Qtr</w:t>
            </w:r>
          </w:p>
        </w:tc>
        <w:tc>
          <w:tcPr>
            <w:tcW w:w="300" w:type="dxa"/>
            <w:vAlign w:val="bottom"/>
          </w:tcPr>
          <w:p>
            <w:pPr>
              <w:spacing w:after="0"/>
              <w:rPr>
                <w:sz w:val="23"/>
                <w:szCs w:val="23"/>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2nd Qtr</w:t>
            </w:r>
          </w:p>
        </w:tc>
        <w:tc>
          <w:tcPr>
            <w:tcW w:w="320" w:type="dxa"/>
            <w:vAlign w:val="bottom"/>
          </w:tcPr>
          <w:p>
            <w:pPr>
              <w:spacing w:after="0"/>
              <w:rPr>
                <w:sz w:val="23"/>
                <w:szCs w:val="23"/>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3rd Qtr</w:t>
            </w:r>
          </w:p>
        </w:tc>
        <w:tc>
          <w:tcPr>
            <w:tcW w:w="300" w:type="dxa"/>
            <w:vAlign w:val="bottom"/>
          </w:tcPr>
          <w:p>
            <w:pPr>
              <w:spacing w:after="0"/>
              <w:rPr>
                <w:sz w:val="23"/>
                <w:szCs w:val="23"/>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4th Qtr</w:t>
            </w:r>
          </w:p>
        </w:tc>
      </w:tr>
      <w:tr>
        <w:trPr>
          <w:trHeight w:val="27"/>
        </w:trPr>
        <w:tc>
          <w:tcPr>
            <w:tcW w:w="44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6,267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6,375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6,527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6,634</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832</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855</w:t>
            </w:r>
          </w:p>
        </w:tc>
        <w:tc>
          <w:tcPr>
            <w:tcW w:w="3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845</w:t>
            </w: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767</w:t>
            </w:r>
          </w:p>
        </w:tc>
      </w:tr>
      <w:tr>
        <w:trPr>
          <w:trHeight w:val="27"/>
        </w:trPr>
        <w:tc>
          <w:tcPr>
            <w:tcW w:w="4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640</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552</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645</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w:t>
            </w:r>
          </w:p>
        </w:tc>
      </w:tr>
      <w:tr>
        <w:trPr>
          <w:trHeight w:val="297"/>
        </w:trPr>
        <w:tc>
          <w:tcPr>
            <w:tcW w:w="4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3.66</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3.16</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3.70</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3.63</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3.15</w:t>
            </w:r>
          </w:p>
        </w:tc>
        <w:tc>
          <w:tcPr>
            <w:tcW w:w="3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3.68</w:t>
            </w: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1.01</w:t>
            </w:r>
          </w:p>
        </w:tc>
      </w:tr>
      <w:tr>
        <w:trPr>
          <w:trHeight w:val="27"/>
        </w:trPr>
        <w:tc>
          <w:tcPr>
            <w:tcW w:w="4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448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174.8</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174.5</w:t>
            </w:r>
          </w:p>
        </w:tc>
        <w:tc>
          <w:tcPr>
            <w:tcW w:w="3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174.2</w:t>
            </w: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174.2</w:t>
            </w:r>
          </w:p>
        </w:tc>
      </w:tr>
      <w:tr>
        <w:trPr>
          <w:trHeight w:val="27"/>
        </w:trPr>
        <w:tc>
          <w:tcPr>
            <w:tcW w:w="4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w:t>
            </w:r>
          </w:p>
        </w:tc>
        <w:tc>
          <w:tcPr>
            <w:tcW w:w="2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176.1</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175.5</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175.3</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175.5</w:t>
            </w:r>
          </w:p>
        </w:tc>
      </w:tr>
      <w:tr>
        <w:trPr>
          <w:trHeight w:val="453"/>
        </w:trPr>
        <w:tc>
          <w:tcPr>
            <w:tcW w:w="44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2016</w:t>
            </w:r>
          </w:p>
        </w:tc>
        <w:tc>
          <w:tcPr>
            <w:tcW w:w="2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 share amounts</w:t>
            </w:r>
          </w:p>
        </w:tc>
        <w:tc>
          <w:tcPr>
            <w:tcW w:w="2280" w:type="dxa"/>
            <w:vAlign w:val="bottom"/>
          </w:tcPr>
          <w:p>
            <w:pPr>
              <w:spacing w:after="0"/>
              <w:rPr>
                <w:sz w:val="23"/>
                <w:szCs w:val="23"/>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1st Qtr</w:t>
            </w:r>
          </w:p>
        </w:tc>
        <w:tc>
          <w:tcPr>
            <w:tcW w:w="300" w:type="dxa"/>
            <w:vAlign w:val="bottom"/>
          </w:tcPr>
          <w:p>
            <w:pPr>
              <w:spacing w:after="0"/>
              <w:rPr>
                <w:sz w:val="23"/>
                <w:szCs w:val="23"/>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2nd Qtr</w:t>
            </w:r>
          </w:p>
        </w:tc>
        <w:tc>
          <w:tcPr>
            <w:tcW w:w="320" w:type="dxa"/>
            <w:vAlign w:val="bottom"/>
          </w:tcPr>
          <w:p>
            <w:pPr>
              <w:spacing w:after="0"/>
              <w:rPr>
                <w:sz w:val="23"/>
                <w:szCs w:val="23"/>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3rd Qtr</w:t>
            </w:r>
          </w:p>
        </w:tc>
        <w:tc>
          <w:tcPr>
            <w:tcW w:w="300" w:type="dxa"/>
            <w:vAlign w:val="bottom"/>
          </w:tcPr>
          <w:p>
            <w:pPr>
              <w:spacing w:after="0"/>
              <w:rPr>
                <w:sz w:val="23"/>
                <w:szCs w:val="23"/>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4th Qtr</w:t>
            </w:r>
          </w:p>
        </w:tc>
      </w:tr>
      <w:tr>
        <w:trPr>
          <w:trHeight w:val="27"/>
        </w:trPr>
        <w:tc>
          <w:tcPr>
            <w:tcW w:w="44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6,155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6,397</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739</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797</w:t>
            </w:r>
          </w:p>
        </w:tc>
        <w:tc>
          <w:tcPr>
            <w:tcW w:w="3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826</w:t>
            </w: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831</w:t>
            </w:r>
          </w:p>
        </w:tc>
      </w:tr>
      <w:tr>
        <w:trPr>
          <w:trHeight w:val="27"/>
        </w:trPr>
        <w:tc>
          <w:tcPr>
            <w:tcW w:w="4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602</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r>
      <w:tr>
        <w:trPr>
          <w:trHeight w:val="297"/>
        </w:trPr>
        <w:tc>
          <w:tcPr>
            <w:tcW w:w="4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3.38</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3.35</w:t>
            </w: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4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448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181.3</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180.1</w:t>
            </w:r>
          </w:p>
        </w:tc>
        <w:tc>
          <w:tcPr>
            <w:tcW w:w="3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178.1</w:t>
            </w: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176.0</w:t>
            </w:r>
          </w:p>
        </w:tc>
      </w:tr>
      <w:tr>
        <w:trPr>
          <w:trHeight w:val="27"/>
        </w:trPr>
        <w:tc>
          <w:tcPr>
            <w:tcW w:w="4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w:t>
            </w:r>
          </w:p>
        </w:tc>
        <w:tc>
          <w:tcPr>
            <w:tcW w:w="2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183.4</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181.5</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179.6</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w:t>
            </w:r>
          </w:p>
        </w:tc>
      </w:tr>
      <w:tr>
        <w:trPr>
          <w:trHeight w:val="615"/>
        </w:trPr>
        <w:tc>
          <w:tcPr>
            <w:tcW w:w="448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-75-</w:t>
            </w: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92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principal executive officer (Chairman and Chief Executive Officer) and principal financial officer (Corporate Vice President and Chief Financial Officer) have evaluated the company’s disclosure controls and procedures (as defined in Rule 13a-15(e) and Rule 15d-15(e) of the Securities Exchange Act of 1934 (the Exchange Act)) as of December 31, 2017, and have concluded that these controls and procedures are effective to ensure that information required to be disclosed by us in the reports that we file or submit under the Exchange Act is recorded, processed, summarized and reported within the time periods specified in the Securities and Exchange Commission’s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three months ended December 31, 2017, no change occurred in our internal controls over financial reporting that materially affected, or is reasonably likely to materially affect, our internal controls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337" w:right="29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management of Northrop Grumman Corporation (the company) prepared and is responsible for the consolidated financial statements and all related financial information contained in this Annual Report. This responsibility includes establishing and maintaining effective internal control over financial reporting.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To comply with the requirements of Section 404 of the Sarbanes–Oxley Act of 2002, the company designed and implemented a structured and comprehensive assessment process to evaluate its internal control over financial reporting across the enterprise. The assessment of the effectiveness of the company’s internal control over financial reporting is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Because of its inherent limitations, a system of internal control over financial reporting can provide only reasonable assurance and may not prevent or detect misstatements. Management regularly monitors its internal control over financial reporting, and actions are taken to correct deficiencies as they are identified. Based on its assessment, management has concluded that the company’s internal control over financial reporting was effective as of December 31, 2017.</w:t>
      </w:r>
    </w:p>
    <w:p>
      <w:pPr>
        <w:spacing w:after="0" w:line="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Deloitte &amp; Touche LLP issued an attestation report dated January 29, 2018, concerning the company’s internal control over financial reporting, which is contained in this Annual Report. The company’s consolidated financial statements as of and for the year ended December 31, 2017, have been audited by the independent registered public accounting firm of Deloitte &amp; Touche LLP in accordance with the standards of the Public Company Accounting Oversight Board (United States).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Wesley G. Bush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Kenneth L. Bedingfield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Corporate Vice President and Chief Financial Officer</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January 29, 2018</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364"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Northrop Grumman Corporation and subsidiaries (the “Company”)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2017,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3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2017 of the Company and our report dated January 29, 2018 expressed an unqualified opinion on those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2" w:lineRule="exact"/>
        <w:rPr>
          <w:sz w:val="20"/>
          <w:szCs w:val="20"/>
          <w:color w:val="auto"/>
        </w:rPr>
      </w:pPr>
    </w:p>
    <w:p>
      <w:pPr>
        <w:jc w:val="center"/>
        <w:ind w:right="9500"/>
        <w:spacing w:after="0"/>
        <w:rPr>
          <w:sz w:val="20"/>
          <w:szCs w:val="20"/>
          <w:color w:val="auto"/>
        </w:rPr>
      </w:pPr>
      <w:r>
        <w:rPr>
          <w:rFonts w:ascii="Arial" w:cs="Arial" w:eastAsia="Arial" w:hAnsi="Arial"/>
          <w:sz w:val="16"/>
          <w:szCs w:val="16"/>
          <w:color w:val="auto"/>
        </w:rPr>
        <w:t>/s/ Deloitte &amp; Touche LLP</w:t>
      </w:r>
    </w:p>
    <w:p>
      <w:pPr>
        <w:spacing w:after="0" w:line="46" w:lineRule="exact"/>
        <w:rPr>
          <w:sz w:val="20"/>
          <w:szCs w:val="20"/>
          <w:color w:val="auto"/>
        </w:rPr>
      </w:pPr>
    </w:p>
    <w:p>
      <w:pPr>
        <w:jc w:val="center"/>
        <w:ind w:right="9480"/>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jc w:val="center"/>
        <w:ind w:right="9520"/>
        <w:spacing w:after="0"/>
        <w:rPr>
          <w:sz w:val="20"/>
          <w:szCs w:val="20"/>
          <w:color w:val="auto"/>
        </w:rPr>
      </w:pPr>
      <w:r>
        <w:rPr>
          <w:rFonts w:ascii="Arial" w:cs="Arial" w:eastAsia="Arial" w:hAnsi="Arial"/>
          <w:sz w:val="18"/>
          <w:szCs w:val="18"/>
          <w:color w:val="auto"/>
        </w:rPr>
        <w:t>January 29, 2018</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Information about our Directors will be incorporated herein by reference to the Proxy Statement for the 2018 Annual Meeting of Stockholders, to be filed with the Securities and Exchange Commission (SEC) within 120 days after the end of the company’s fiscal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executive officers as of January 29, 2018, are listed below, along with their ages on that date, positions and offices held with the company, and principal occupations and employment, focused primarily on the past five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70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w:t>
            </w:r>
          </w:p>
        </w:tc>
        <w:tc>
          <w:tcPr>
            <w:tcW w:w="2160" w:type="dxa"/>
            <w:vAlign w:val="bottom"/>
            <w:gridSpan w:val="3"/>
          </w:tcPr>
          <w:p>
            <w:pPr>
              <w:ind w:left="520"/>
              <w:spacing w:after="0"/>
              <w:rPr>
                <w:sz w:val="20"/>
                <w:szCs w:val="20"/>
                <w:color w:val="auto"/>
              </w:rPr>
            </w:pPr>
            <w:r>
              <w:rPr>
                <w:rFonts w:ascii="Arial" w:cs="Arial" w:eastAsia="Arial" w:hAnsi="Arial"/>
                <w:sz w:val="18"/>
                <w:szCs w:val="18"/>
                <w:b w:val="1"/>
                <w:bCs w:val="1"/>
                <w:color w:val="auto"/>
              </w:rPr>
              <w:t>Office Held</w:t>
            </w:r>
          </w:p>
        </w:tc>
        <w:tc>
          <w:tcPr>
            <w:tcW w:w="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Since</w:t>
            </w:r>
          </w:p>
        </w:tc>
        <w:tc>
          <w:tcPr>
            <w:tcW w:w="4900" w:type="dxa"/>
            <w:vAlign w:val="bottom"/>
          </w:tcPr>
          <w:p>
            <w:pPr>
              <w:ind w:left="1380"/>
              <w:spacing w:after="0"/>
              <w:rPr>
                <w:sz w:val="20"/>
                <w:szCs w:val="20"/>
                <w:color w:val="auto"/>
              </w:rPr>
            </w:pPr>
            <w:r>
              <w:rPr>
                <w:rFonts w:ascii="Arial" w:cs="Arial" w:eastAsia="Arial" w:hAnsi="Arial"/>
                <w:sz w:val="18"/>
                <w:szCs w:val="18"/>
                <w:b w:val="1"/>
                <w:bCs w:val="1"/>
                <w:color w:val="auto"/>
              </w:rPr>
              <w:t>Recent Business Experience</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2"/>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Wesley G. Bush</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Chairman and Chief</w:t>
            </w:r>
          </w:p>
        </w:tc>
        <w:tc>
          <w:tcPr>
            <w:tcW w:w="540" w:type="dxa"/>
            <w:vAlign w:val="bottom"/>
          </w:tcPr>
          <w:p>
            <w:pPr>
              <w:jc w:val="center"/>
              <w:ind w:right="30"/>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Chairman, Chief Executive Officer and President (2011-2017)</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Executive Officer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Patrick M. Antkowiak</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Vice President and General Manager, Advanced Concepts and</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Chief Technology</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4"/>
              </w:rPr>
              <w:t>Technologies Division, Former Electronic Systems Sector (2010-</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Officer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2014)</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Kenneth L. Bedingfield</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Vice President, Finance (2014-2015); Vice President, Business</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Chief Financial</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8"/>
              </w:rPr>
              <w:t>Management and Chief Financial Officer, Aerospace Systems</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Officer</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Sector (2013-2014); Corporate Vice President, Controller and</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Accounting Officer (2011-2013)</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Mark A. Caylor</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3"/>
              </w:rPr>
              <w:t>Corporate Vice President and President, Enterprise Services and</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President, Mission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3"/>
              </w:rPr>
              <w:t>Chief Strategy Officer (2014-2017); Corporate Vice President and</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Systems Sector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Enterprise Shared Services (2013-2014)</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Sheila C. Cheston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22"/>
                <w:szCs w:val="22"/>
                <w:color w:val="auto"/>
              </w:rPr>
            </w:pPr>
          </w:p>
        </w:tc>
        <w:tc>
          <w:tcPr>
            <w:tcW w:w="4900" w:type="dxa"/>
            <w:vAlign w:val="bottom"/>
          </w:tcPr>
          <w:p>
            <w:pPr>
              <w:spacing w:after="0"/>
              <w:rPr>
                <w:sz w:val="22"/>
                <w:szCs w:val="22"/>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General Counsel</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Lisa R. Davis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Vice President, Communications, Former Electronic Systems</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Communications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Sector (2014-2016); Vice President, Communications,</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AstraZeneca (a biopharmaceutical company) (2006-2013)</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Michael A. Hardesty</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7"/>
              </w:rPr>
              <w:t>Vice President and Chief Financial Officer, Former Information</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Controller, and Chief</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Systems Sector (2011-2013)</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Accounting Officer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Christopher T. Jones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89"/>
              </w:rPr>
              <w:t>Corporate Vice President and President, Former Technical Services</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President,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Sector (2013-2015)</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Technology Services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Sector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56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3"/>
          </w:tcPr>
          <w:p>
            <w:pPr>
              <w:ind w:left="1860"/>
              <w:spacing w:after="0"/>
              <w:rPr>
                <w:sz w:val="20"/>
                <w:szCs w:val="20"/>
                <w:color w:val="auto"/>
              </w:rPr>
            </w:pPr>
            <w:r>
              <w:rPr>
                <w:rFonts w:ascii="Arial" w:cs="Arial" w:eastAsia="Arial" w:hAnsi="Arial"/>
                <w:sz w:val="18"/>
                <w:szCs w:val="18"/>
                <w:color w:val="auto"/>
                <w:w w:val="87"/>
              </w:rPr>
              <w:t>-79-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70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w:t>
            </w:r>
          </w:p>
        </w:tc>
        <w:tc>
          <w:tcPr>
            <w:tcW w:w="2040" w:type="dxa"/>
            <w:vAlign w:val="bottom"/>
            <w:gridSpan w:val="2"/>
          </w:tcPr>
          <w:p>
            <w:pPr>
              <w:ind w:left="520"/>
              <w:spacing w:after="0"/>
              <w:rPr>
                <w:sz w:val="20"/>
                <w:szCs w:val="20"/>
                <w:color w:val="auto"/>
              </w:rPr>
            </w:pPr>
            <w:r>
              <w:rPr>
                <w:rFonts w:ascii="Arial" w:cs="Arial" w:eastAsia="Arial" w:hAnsi="Arial"/>
                <w:sz w:val="18"/>
                <w:szCs w:val="18"/>
                <w:b w:val="1"/>
                <w:bCs w:val="1"/>
                <w:color w:val="auto"/>
              </w:rPr>
              <w:t>Office Held</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Since</w:t>
            </w:r>
          </w:p>
        </w:tc>
        <w:tc>
          <w:tcPr>
            <w:tcW w:w="4900" w:type="dxa"/>
            <w:vAlign w:val="bottom"/>
          </w:tcPr>
          <w:p>
            <w:pPr>
              <w:ind w:left="1380"/>
              <w:spacing w:after="0"/>
              <w:rPr>
                <w:sz w:val="20"/>
                <w:szCs w:val="20"/>
                <w:color w:val="auto"/>
              </w:rPr>
            </w:pPr>
            <w:r>
              <w:rPr>
                <w:rFonts w:ascii="Arial" w:cs="Arial" w:eastAsia="Arial" w:hAnsi="Arial"/>
                <w:sz w:val="18"/>
                <w:szCs w:val="18"/>
                <w:b w:val="1"/>
                <w:bCs w:val="1"/>
                <w:color w:val="auto"/>
              </w:rPr>
              <w:t>Recent Business Experience</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2"/>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Lesley A. Kalan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7"/>
              </w:rPr>
              <w:t>Corporate Vice President,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Vice President, Legislative Affairs (2010-2017)</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Government Relations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Janis G. Pamiljans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9"/>
              </w:rPr>
              <w:t>Corporate Vice President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2"/>
              </w:rPr>
              <w:t>Vice President and General Manager, Strategic Systems Division,</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6"/>
              </w:rPr>
              <w:t>and President, Aerospace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Aerospace Systems Sector (2015-2017); Vice President and</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Systems Sector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General Manager, Unmanned Systems (now Autonomous</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Systems), Aerospace Systems Sector (2012-2014)</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Denise M. Peppard</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9"/>
              </w:rPr>
              <w:t>Corporate Vice President</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22"/>
                <w:szCs w:val="22"/>
                <w:color w:val="auto"/>
              </w:rPr>
            </w:pPr>
          </w:p>
        </w:tc>
        <w:tc>
          <w:tcPr>
            <w:tcW w:w="4900" w:type="dxa"/>
            <w:vAlign w:val="bottom"/>
          </w:tcPr>
          <w:p>
            <w:pPr>
              <w:spacing w:after="0"/>
              <w:rPr>
                <w:sz w:val="22"/>
                <w:szCs w:val="22"/>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and Chief Human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Resources Officer</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David T. Perry</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9"/>
              </w:rPr>
              <w:t>Corporate Vice President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2"/>
                <w:szCs w:val="22"/>
                <w:color w:val="auto"/>
              </w:rPr>
            </w:pPr>
          </w:p>
        </w:tc>
        <w:tc>
          <w:tcPr>
            <w:tcW w:w="4900" w:type="dxa"/>
            <w:vAlign w:val="bottom"/>
          </w:tcPr>
          <w:p>
            <w:pPr>
              <w:spacing w:after="0"/>
              <w:rPr>
                <w:sz w:val="22"/>
                <w:szCs w:val="22"/>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and Chief Global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Business Development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Shawn N. Purvis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9"/>
              </w:rPr>
              <w:t>Corporate Vice President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7"/>
              </w:rPr>
              <w:t>Vice President and Chief Information Officer (2016-2017); Vice</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and President of</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General Manager, Cyber Division, Former</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Enterprise Services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Information Systems Sector (2014-2016); Vice President and</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1"/>
              </w:rPr>
              <w:t>Business Manager, Integrated Intelligence Systems Business Unit,</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Former Information Systems Sector (2012-2014)</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Kathy J. Warden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President and Chief</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3"/>
              </w:rPr>
              <w:t>Corporate Vice President and President, Mission Systems Sector</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Operating Officer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8"/>
              </w:rPr>
              <w:t>(2016-2017); Corporate Vice President and President, Former</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Information Systems Sector (2013-2015)</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as to the Audit Committee and the Audit Committee Financial Expert will be incorporated herein by reference to the Proxy Statement for the 2018 Annual Meeting of Shareholders.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have adopted Standards of Business Conduct for all of our employees, including the principal executive officer, principal financial officer and principal accounting officer. The Standards of Business Conduct can be found on our internet website at www.northropgrumman.com under “Investor Relations – Corporate Governance – Overview.” A copy of the Standards of Business Conduct is available to any stockholder who requests it by writing to: Northrop Grumman Corporation, c/o Office of the Secretary, 2980 Fairview Park Drive, Falls Church, VA 22042. We disclose amendments to provisions of our Standards of Business Conduct by posting amendments on our website. Waivers of the provisions of our Standards of Business Conduct that apply to our directors and executive officers are disclosed in a Current Report on Form 8-K.</w:t>
      </w:r>
    </w:p>
    <w:p>
      <w:pPr>
        <w:spacing w:after="0" w:line="4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website and information contained on it or incorporated in it are not intended to be incorporated in this report on Form 10-K or other filings with the SEC.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Other disclosures required by this Item will be incorporated herein by reference to the Proxy Statement for the 2018 Annual Meeting of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Information concerning Executive Compensation, including information concerning Compensation Committee Interlocks and Insider Participation and the Compensation Committee Report, will be incorporated herein by reference to the Proxy Statement for the 2018 Annual Meeting of Shareholders.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37"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information as to Securities Authorized for Issuance Under Equity Compensation Plans and Security Ownership of Certain Beneficial Owners and Management will be incorporated herein by reference to the Proxy Statement for the 2018 Annual Meeting of Shareholders.</w:t>
      </w:r>
    </w:p>
    <w:p>
      <w:pPr>
        <w:spacing w:after="0" w:line="11" w:lineRule="exact"/>
        <w:rPr>
          <w:sz w:val="20"/>
          <w:szCs w:val="20"/>
          <w:color w:val="auto"/>
        </w:rPr>
      </w:pPr>
    </w:p>
    <w:p>
      <w:pPr>
        <w:ind w:right="1700"/>
        <w:spacing w:after="0" w:line="391" w:lineRule="auto"/>
        <w:rPr>
          <w:sz w:val="20"/>
          <w:szCs w:val="20"/>
          <w:color w:val="auto"/>
        </w:rPr>
      </w:pPr>
      <w:r>
        <w:rPr>
          <w:rFonts w:ascii="Arial" w:cs="Arial" w:eastAsia="Arial" w:hAnsi="Arial"/>
          <w:sz w:val="18"/>
          <w:szCs w:val="18"/>
          <w:color w:val="auto"/>
        </w:rPr>
        <w:t xml:space="preserve">For a description of securities authorized under our equity compensation plans, see Note 14 to the consolidated financial statements. </w:t>
      </w:r>
      <w:r>
        <w:rPr>
          <w:rFonts w:ascii="Arial" w:cs="Arial" w:eastAsia="Arial" w:hAnsi="Arial"/>
          <w:sz w:val="18"/>
          <w:szCs w:val="18"/>
          <w:b w:val="1"/>
          <w:bCs w:val="1"/>
          <w:color w:val="auto"/>
        </w:rPr>
        <w:t>Item 13. Certain Relationships and Related Transactions, and Director Independence</w:t>
      </w:r>
    </w:p>
    <w:p>
      <w:pPr>
        <w:spacing w:after="0" w:line="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as to Certain Relationships and Related Transactions and Director Independence will be incorporated herein by reference to the Proxy Statement for the 2018 Annual Meeting of Shareholders.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as to Principal Accountant Fees and Services will be incorporated herein by reference to the Proxy Statement for the 2018 Annual Meeting of Shareholders.</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337"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76" w:lineRule="exact"/>
        <w:rPr>
          <w:sz w:val="20"/>
          <w:szCs w:val="20"/>
          <w:color w:val="auto"/>
        </w:rPr>
      </w:pPr>
    </w:p>
    <w:p>
      <w:pPr>
        <w:ind w:left="740" w:right="5980" w:hanging="516"/>
        <w:spacing w:after="0" w:line="344" w:lineRule="auto"/>
        <w:tabs>
          <w:tab w:leader="none" w:pos="551" w:val="left"/>
        </w:tabs>
        <w:numPr>
          <w:ilvl w:val="0"/>
          <w:numId w:val="43"/>
        </w:numPr>
        <w:rPr>
          <w:rFonts w:ascii="Arial" w:cs="Arial" w:eastAsia="Arial" w:hAnsi="Arial"/>
          <w:sz w:val="18"/>
          <w:szCs w:val="18"/>
          <w:color w:val="auto"/>
        </w:rPr>
      </w:pPr>
      <w:r>
        <w:rPr>
          <w:rFonts w:ascii="Arial" w:cs="Arial" w:eastAsia="Arial" w:hAnsi="Arial"/>
          <w:sz w:val="18"/>
          <w:szCs w:val="18"/>
          <w:color w:val="auto"/>
        </w:rPr>
        <w:t>1. Report of Independent Registered Public Accounting Firm Financial Statements</w:t>
      </w:r>
    </w:p>
    <w:p>
      <w:pPr>
        <w:spacing w:after="0" w:line="1" w:lineRule="exact"/>
        <w:rPr>
          <w:sz w:val="20"/>
          <w:szCs w:val="20"/>
          <w:color w:val="auto"/>
        </w:rPr>
      </w:pPr>
    </w:p>
    <w:p>
      <w:pPr>
        <w:ind w:left="8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Earnings and Comprehensive Income</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Consolidated Statements of Financial Position</w:t>
        </w:r>
      </w:hyperlink>
    </w:p>
    <w:p>
      <w:pPr>
        <w:spacing w:after="0" w:line="9" w:lineRule="exact"/>
        <w:rPr>
          <w:sz w:val="20"/>
          <w:szCs w:val="20"/>
          <w:color w:val="auto"/>
        </w:rPr>
      </w:pPr>
    </w:p>
    <w:p>
      <w:pPr>
        <w:ind w:left="8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Consolidated Statements of Cash Flows</w:t>
        </w:r>
      </w:hyperlink>
    </w:p>
    <w:p>
      <w:pPr>
        <w:spacing w:after="0" w:line="9" w:lineRule="exact"/>
        <w:rPr>
          <w:sz w:val="20"/>
          <w:szCs w:val="20"/>
          <w:color w:val="auto"/>
        </w:rPr>
      </w:pPr>
    </w:p>
    <w:p>
      <w:pPr>
        <w:ind w:left="8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Consolidated Statements of Changes in Shareholders’ Equity</w:t>
        </w:r>
      </w:hyperlink>
    </w:p>
    <w:p>
      <w:pPr>
        <w:spacing w:after="0" w:line="9" w:lineRule="exact"/>
        <w:rPr>
          <w:sz w:val="20"/>
          <w:szCs w:val="20"/>
          <w:color w:val="auto"/>
        </w:rPr>
      </w:pPr>
    </w:p>
    <w:p>
      <w:pPr>
        <w:ind w:left="8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Notes to Consolidated Financial Statements</w:t>
        </w:r>
      </w:hyperlink>
    </w:p>
    <w:p>
      <w:pPr>
        <w:spacing w:after="0" w:line="76" w:lineRule="exact"/>
        <w:rPr>
          <w:sz w:val="20"/>
          <w:szCs w:val="20"/>
          <w:color w:val="auto"/>
        </w:rPr>
      </w:pPr>
    </w:p>
    <w:p>
      <w:pPr>
        <w:ind w:left="760" w:hanging="185"/>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0" w:lineRule="exact"/>
        <w:rPr>
          <w:rFonts w:ascii="Arial" w:cs="Arial" w:eastAsia="Arial" w:hAnsi="Arial"/>
          <w:sz w:val="18"/>
          <w:szCs w:val="18"/>
          <w:color w:val="auto"/>
        </w:rPr>
      </w:pPr>
    </w:p>
    <w:p>
      <w:pPr>
        <w:ind w:left="740"/>
        <w:spacing w:after="0" w:line="277" w:lineRule="auto"/>
        <w:rPr>
          <w:rFonts w:ascii="Arial" w:cs="Arial" w:eastAsia="Arial" w:hAnsi="Arial"/>
          <w:sz w:val="18"/>
          <w:szCs w:val="18"/>
          <w:color w:val="auto"/>
        </w:rPr>
      </w:pPr>
      <w:r>
        <w:rPr>
          <w:rFonts w:ascii="Arial" w:cs="Arial" w:eastAsia="Arial" w:hAnsi="Arial"/>
          <w:sz w:val="18"/>
          <w:szCs w:val="18"/>
          <w:color w:val="auto"/>
        </w:rPr>
        <w:t>All schedules have been omitted because they are not applicable, not required, or the information has been otherwise supplied in the financial statements or notes to the financial statements.</w:t>
      </w:r>
    </w:p>
    <w:p>
      <w:pPr>
        <w:spacing w:after="0" w:line="35" w:lineRule="exact"/>
        <w:rPr>
          <w:rFonts w:ascii="Arial" w:cs="Arial" w:eastAsia="Arial" w:hAnsi="Arial"/>
          <w:sz w:val="18"/>
          <w:szCs w:val="18"/>
          <w:color w:val="auto"/>
        </w:rPr>
      </w:pPr>
    </w:p>
    <w:p>
      <w:pPr>
        <w:ind w:left="760" w:hanging="185"/>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2(a)</w:t>
            </w:r>
          </w:p>
        </w:tc>
        <w:tc>
          <w:tcPr>
            <w:tcW w:w="8440" w:type="dxa"/>
            <w:vAlign w:val="bottom"/>
            <w:tcBorders>
              <w:bottom w:val="single" w:sz="8" w:color="0000FF"/>
            </w:tcBorders>
            <w:gridSpan w:val="8"/>
          </w:tcPr>
          <w:p>
            <w:pPr>
              <w:spacing w:after="0"/>
              <w:rPr>
                <w:rFonts w:ascii="Arial" w:cs="Arial" w:eastAsia="Arial" w:hAnsi="Arial"/>
                <w:sz w:val="18"/>
                <w:szCs w:val="18"/>
                <w:color w:val="0000FF"/>
                <w:w w:val="92"/>
              </w:rPr>
            </w:pPr>
            <w:hyperlink r:id="rId12">
              <w:r>
                <w:rPr>
                  <w:rFonts w:ascii="Arial" w:cs="Arial" w:eastAsia="Arial" w:hAnsi="Arial"/>
                  <w:sz w:val="18"/>
                  <w:szCs w:val="18"/>
                  <w:color w:val="0000FF"/>
                  <w:w w:val="92"/>
                </w:rPr>
                <w:t>Agreement and Plan of Merger among Titan II, Inc. (formerly Northrop Grumman Corporation), Northrop Grumman</w:t>
              </w:r>
            </w:hyperlink>
          </w:p>
        </w:tc>
        <w:tc>
          <w:tcPr>
            <w:tcW w:w="580" w:type="dxa"/>
            <w:vAlign w:val="bottom"/>
            <w:gridSpan w:val="10"/>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86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Corporation (formerly New P, Inc.) and Titan Merger Sub Inc., dated March 30, 2011 (incorporated by reference to Exhibit</w:t>
              </w:r>
            </w:hyperlink>
          </w:p>
        </w:tc>
        <w:tc>
          <w:tcPr>
            <w:tcW w:w="16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200" w:type="dxa"/>
            <w:vAlign w:val="bottom"/>
            <w:tcBorders>
              <w:bottom w:val="single" w:sz="8" w:color="0000FF"/>
            </w:tcBorders>
            <w:gridSpan w:val="4"/>
          </w:tcPr>
          <w:p>
            <w:pPr>
              <w:spacing w:after="0" w:line="196" w:lineRule="exact"/>
              <w:rPr>
                <w:rFonts w:ascii="Arial" w:cs="Arial" w:eastAsia="Arial" w:hAnsi="Arial"/>
                <w:sz w:val="18"/>
                <w:szCs w:val="18"/>
                <w:color w:val="0000FF"/>
                <w:w w:val="93"/>
              </w:rPr>
            </w:pPr>
            <w:hyperlink r:id="rId1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w:t>
              </w:r>
              <w:r>
                <w:rPr>
                  <w:rFonts w:ascii="Arial" w:cs="Arial" w:eastAsia="Arial" w:hAnsi="Arial"/>
                  <w:sz w:val="18"/>
                  <w:szCs w:val="18"/>
                  <w:color w:val="0000FF"/>
                  <w:w w:val="93"/>
                </w:rPr>
                <w:t xml:space="preserve"> to Form 8-K filed April 4, 2011, File No. 001-16411)</w:t>
              </w:r>
            </w:hyperlink>
          </w:p>
        </w:tc>
        <w:tc>
          <w:tcPr>
            <w:tcW w:w="4820" w:type="dxa"/>
            <w:vAlign w:val="bottom"/>
            <w:gridSpan w:val="14"/>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2(b)</w:t>
            </w:r>
          </w:p>
        </w:tc>
        <w:tc>
          <w:tcPr>
            <w:tcW w:w="9020" w:type="dxa"/>
            <w:vAlign w:val="bottom"/>
            <w:gridSpan w:val="18"/>
          </w:tcPr>
          <w:p>
            <w:pPr>
              <w:spacing w:after="0"/>
              <w:rPr>
                <w:rFonts w:ascii="Arial" w:cs="Arial" w:eastAsia="Arial" w:hAnsi="Arial"/>
                <w:sz w:val="18"/>
                <w:szCs w:val="18"/>
                <w:color w:val="0000FF"/>
                <w:w w:val="96"/>
              </w:rPr>
            </w:pPr>
            <w:hyperlink r:id="rId13">
              <w:r>
                <w:rPr>
                  <w:rFonts w:ascii="Arial" w:cs="Arial" w:eastAsia="Arial" w:hAnsi="Arial"/>
                  <w:sz w:val="18"/>
                  <w:szCs w:val="18"/>
                  <w:color w:val="0000FF"/>
                  <w:w w:val="96"/>
                </w:rPr>
                <w:t>Separation and Distribution Agreement dated as of March 29, 2011, among Titan II, Inc. (formerly Northrop Grumman</w:t>
              </w:r>
            </w:hyperlink>
          </w:p>
        </w:tc>
      </w:tr>
      <w:tr>
        <w:trPr>
          <w:trHeight w:val="196"/>
        </w:trPr>
        <w:tc>
          <w:tcPr>
            <w:tcW w:w="980" w:type="dxa"/>
            <w:vAlign w:val="bottom"/>
          </w:tcPr>
          <w:p>
            <w:pPr>
              <w:spacing w:after="0"/>
              <w:rPr>
                <w:sz w:val="17"/>
                <w:szCs w:val="17"/>
                <w:color w:val="auto"/>
              </w:rPr>
            </w:pPr>
          </w:p>
        </w:tc>
        <w:tc>
          <w:tcPr>
            <w:tcW w:w="83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13">
              <w:r>
                <w:rPr>
                  <w:rFonts w:ascii="Arial" w:cs="Arial" w:eastAsia="Arial" w:hAnsi="Arial"/>
                  <w:sz w:val="18"/>
                  <w:szCs w:val="18"/>
                  <w:color w:val="0000FF"/>
                  <w:w w:val="92"/>
                </w:rPr>
                <w:t>Corporation), Northrop Grumman Corporation (formerly New P, Inc.), Huntington Ingalls Industries, Inc., Northrop</w:t>
              </w:r>
            </w:hyperlink>
          </w:p>
        </w:tc>
        <w:tc>
          <w:tcPr>
            <w:tcW w:w="220" w:type="dxa"/>
            <w:vAlign w:val="bottom"/>
            <w:tcBorders>
              <w:top w:val="single" w:sz="8" w:color="0000FF"/>
            </w:tcBorders>
            <w:gridSpan w:val="3"/>
          </w:tcPr>
          <w:p>
            <w:pPr>
              <w:spacing w:after="0"/>
              <w:rPr>
                <w:sz w:val="17"/>
                <w:szCs w:val="17"/>
                <w:color w:val="auto"/>
              </w:rPr>
            </w:pPr>
          </w:p>
        </w:tc>
        <w:tc>
          <w:tcPr>
            <w:tcW w:w="440" w:type="dxa"/>
            <w:vAlign w:val="bottom"/>
            <w:gridSpan w:val="8"/>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6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Grumman Shipbuilding, Inc. and Northrop Grumman Systems Corporation (incorporated by reference to Exhibit 10.2 to</w:t>
              </w:r>
            </w:hyperlink>
          </w:p>
        </w:tc>
        <w:tc>
          <w:tcPr>
            <w:tcW w:w="340" w:type="dxa"/>
            <w:vAlign w:val="bottom"/>
            <w:gridSpan w:val="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20" w:type="dxa"/>
            <w:vAlign w:val="bottom"/>
            <w:gridSpan w:val="18"/>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Form 8-K filed April 4, 2011, File No. 001-16411)</w:t>
              </w:r>
            </w:hyperlink>
          </w:p>
        </w:tc>
      </w:tr>
      <w:tr>
        <w:trPr>
          <w:trHeight w:val="20"/>
        </w:trPr>
        <w:tc>
          <w:tcPr>
            <w:tcW w:w="98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2(c)</w:t>
            </w:r>
          </w:p>
        </w:tc>
        <w:tc>
          <w:tcPr>
            <w:tcW w:w="8840" w:type="dxa"/>
            <w:vAlign w:val="bottom"/>
            <w:tcBorders>
              <w:bottom w:val="single" w:sz="8" w:color="0000FF"/>
            </w:tcBorders>
            <w:gridSpan w:val="14"/>
          </w:tcPr>
          <w:p>
            <w:pPr>
              <w:spacing w:after="0"/>
              <w:rPr>
                <w:rFonts w:ascii="Arial" w:cs="Arial" w:eastAsia="Arial" w:hAnsi="Arial"/>
                <w:sz w:val="18"/>
                <w:szCs w:val="18"/>
                <w:color w:val="0000FF"/>
                <w:w w:val="90"/>
              </w:rPr>
            </w:pPr>
            <w:hyperlink r:id="rId14">
              <w:r>
                <w:rPr>
                  <w:rFonts w:ascii="Arial" w:cs="Arial" w:eastAsia="Arial" w:hAnsi="Arial"/>
                  <w:sz w:val="18"/>
                  <w:szCs w:val="18"/>
                  <w:color w:val="0000FF"/>
                  <w:w w:val="90"/>
                </w:rPr>
                <w:t>Agreement and Plan of Merger dated as of September 17, 2017, among Northrop Grumman Corporation, Neptune Merger,</w:t>
              </w:r>
            </w:hyperlink>
          </w:p>
        </w:tc>
        <w:tc>
          <w:tcPr>
            <w:tcW w:w="18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20" w:type="dxa"/>
            <w:vAlign w:val="bottom"/>
            <w:gridSpan w:val="18"/>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Inc. and Orbital ATK, Inc. (incorporated by reference to Exhibit 2.1 to Form 8-K filed September 18, 2017)</w:t>
              </w:r>
            </w:hyperlink>
          </w:p>
        </w:tc>
      </w:tr>
      <w:tr>
        <w:trPr>
          <w:trHeight w:val="20"/>
        </w:trPr>
        <w:tc>
          <w:tcPr>
            <w:tcW w:w="98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80" w:type="dxa"/>
            <w:vAlign w:val="bottom"/>
          </w:tcPr>
          <w:p>
            <w:pPr>
              <w:spacing w:after="0"/>
              <w:rPr>
                <w:sz w:val="20"/>
                <w:szCs w:val="20"/>
                <w:color w:val="auto"/>
              </w:rPr>
            </w:pPr>
            <w:r>
              <w:rPr>
                <w:rFonts w:ascii="Arial" w:cs="Arial" w:eastAsia="Arial" w:hAnsi="Arial"/>
                <w:sz w:val="18"/>
                <w:szCs w:val="18"/>
                <w:color w:val="auto"/>
              </w:rPr>
              <w:t>3(a)</w:t>
            </w:r>
          </w:p>
        </w:tc>
        <w:tc>
          <w:tcPr>
            <w:tcW w:w="9020" w:type="dxa"/>
            <w:vAlign w:val="bottom"/>
            <w:tcBorders>
              <w:bottom w:val="single" w:sz="8" w:color="0000FF"/>
            </w:tcBorders>
            <w:gridSpan w:val="18"/>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Amended and Restated Certificate of Incorporation of Northrop Grumman Corporation dated May 29, 2012 (incorporated by</w:t>
              </w:r>
            </w:hyperlink>
          </w:p>
        </w:tc>
      </w:tr>
      <w:tr>
        <w:trPr>
          <w:trHeight w:val="196"/>
        </w:trPr>
        <w:tc>
          <w:tcPr>
            <w:tcW w:w="980" w:type="dxa"/>
            <w:vAlign w:val="bottom"/>
          </w:tcPr>
          <w:p>
            <w:pPr>
              <w:spacing w:after="0"/>
              <w:rPr>
                <w:sz w:val="17"/>
                <w:szCs w:val="17"/>
                <w:color w:val="auto"/>
              </w:rPr>
            </w:pPr>
          </w:p>
        </w:tc>
        <w:tc>
          <w:tcPr>
            <w:tcW w:w="9020" w:type="dxa"/>
            <w:vAlign w:val="bottom"/>
            <w:gridSpan w:val="18"/>
          </w:tcPr>
          <w:p>
            <w:pPr>
              <w:spacing w:after="0" w:line="196" w:lineRule="exact"/>
              <w:rPr>
                <w:rFonts w:ascii="Arial" w:cs="Arial" w:eastAsia="Arial" w:hAnsi="Arial"/>
                <w:sz w:val="18"/>
                <w:szCs w:val="18"/>
                <w:color w:val="0000FF"/>
                <w:w w:val="98"/>
              </w:rPr>
            </w:pPr>
            <w:hyperlink r:id="rId15">
              <w:r>
                <w:rPr>
                  <w:rFonts w:ascii="Arial" w:cs="Arial" w:eastAsia="Arial" w:hAnsi="Arial"/>
                  <w:sz w:val="18"/>
                  <w:szCs w:val="18"/>
                  <w:color w:val="0000FF"/>
                  <w:w w:val="98"/>
                </w:rPr>
                <w:t>reference to Exhibit 3.1 to Form 10-Q for the quarter ended June 30, 2012, filed July 25, 2012, File No. 001-16411)</w:t>
              </w:r>
            </w:hyperlink>
          </w:p>
        </w:tc>
      </w:tr>
      <w:tr>
        <w:trPr>
          <w:trHeight w:val="20"/>
        </w:trPr>
        <w:tc>
          <w:tcPr>
            <w:tcW w:w="98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8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3(b)</w:t>
            </w:r>
          </w:p>
        </w:tc>
        <w:tc>
          <w:tcPr>
            <w:tcW w:w="9020" w:type="dxa"/>
            <w:vAlign w:val="bottom"/>
            <w:gridSpan w:val="18"/>
          </w:tcPr>
          <w:p>
            <w:pPr>
              <w:spacing w:after="0"/>
              <w:rPr>
                <w:rFonts w:ascii="Arial" w:cs="Arial" w:eastAsia="Arial" w:hAnsi="Arial"/>
                <w:sz w:val="18"/>
                <w:szCs w:val="18"/>
                <w:color w:val="0000FF"/>
                <w:w w:val="92"/>
              </w:rPr>
            </w:pPr>
            <w:hyperlink r:id="rId16">
              <w:r>
                <w:rPr>
                  <w:rFonts w:ascii="Arial" w:cs="Arial" w:eastAsia="Arial" w:hAnsi="Arial"/>
                  <w:sz w:val="18"/>
                  <w:szCs w:val="18"/>
                  <w:color w:val="0000FF"/>
                  <w:w w:val="92"/>
                </w:rPr>
                <w:t>Amended and Restated Bylaws of Northrop Grumman Corporation dated February 17, 2016 (incorporated by reference to</w:t>
              </w:r>
            </w:hyperlink>
          </w:p>
        </w:tc>
      </w:tr>
      <w:tr>
        <w:trPr>
          <w:trHeight w:val="196"/>
        </w:trPr>
        <w:tc>
          <w:tcPr>
            <w:tcW w:w="980" w:type="dxa"/>
            <w:vAlign w:val="bottom"/>
          </w:tcPr>
          <w:p>
            <w:pPr>
              <w:spacing w:after="0"/>
              <w:rPr>
                <w:sz w:val="17"/>
                <w:szCs w:val="17"/>
                <w:color w:val="auto"/>
              </w:rPr>
            </w:pPr>
          </w:p>
        </w:tc>
        <w:tc>
          <w:tcPr>
            <w:tcW w:w="878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Exhibit 3.2 to Form 8-K filed February 22, 2016)</w:t>
              </w:r>
            </w:hyperlink>
          </w:p>
        </w:tc>
        <w:tc>
          <w:tcPr>
            <w:tcW w:w="240" w:type="dxa"/>
            <w:vAlign w:val="bottom"/>
            <w:gridSpan w:val="5"/>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4(a)</w:t>
            </w:r>
          </w:p>
        </w:tc>
        <w:tc>
          <w:tcPr>
            <w:tcW w:w="9020" w:type="dxa"/>
            <w:vAlign w:val="bottom"/>
            <w:gridSpan w:val="18"/>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Registration Rights Agreement dated as of January 23, 2001, by and among Northrop Grumman Corporation (now Northrop</w:t>
              </w:r>
            </w:hyperlink>
          </w:p>
        </w:tc>
      </w:tr>
      <w:tr>
        <w:trPr>
          <w:trHeight w:val="196"/>
        </w:trPr>
        <w:tc>
          <w:tcPr>
            <w:tcW w:w="980" w:type="dxa"/>
            <w:vAlign w:val="bottom"/>
          </w:tcPr>
          <w:p>
            <w:pPr>
              <w:spacing w:after="0"/>
              <w:rPr>
                <w:sz w:val="17"/>
                <w:szCs w:val="17"/>
                <w:color w:val="auto"/>
              </w:rPr>
            </w:pPr>
          </w:p>
        </w:tc>
        <w:tc>
          <w:tcPr>
            <w:tcW w:w="85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Grumman Systems Corporation), NNG, Inc. (now Northrop Grumman Corporation) and Unitrin, Inc. (incorporated by</w:t>
              </w:r>
            </w:hyperlink>
          </w:p>
        </w:tc>
        <w:tc>
          <w:tcPr>
            <w:tcW w:w="420" w:type="dxa"/>
            <w:vAlign w:val="bottom"/>
            <w:tcBorders>
              <w:top w:val="single" w:sz="8" w:color="0000FF"/>
            </w:tcBorders>
            <w:gridSpan w:val="7"/>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77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reference to Exhibit(d)(6) to Amendment No. 4 to Schedule TO filed January 31, 2001, File No. 001-3229)</w:t>
              </w:r>
            </w:hyperlink>
          </w:p>
        </w:tc>
        <w:tc>
          <w:tcPr>
            <w:tcW w:w="1280" w:type="dxa"/>
            <w:vAlign w:val="bottom"/>
            <w:gridSpan w:val="13"/>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4(b)</w:t>
            </w:r>
          </w:p>
        </w:tc>
        <w:tc>
          <w:tcPr>
            <w:tcW w:w="8440" w:type="dxa"/>
            <w:vAlign w:val="bottom"/>
            <w:tcBorders>
              <w:bottom w:val="single" w:sz="8" w:color="0000FF"/>
            </w:tcBorders>
            <w:gridSpan w:val="8"/>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Indenture dated as of October 15, 1994, between Northrop Grumman Corporation (now Northrop Grumman Systems</w:t>
              </w:r>
            </w:hyperlink>
          </w:p>
        </w:tc>
        <w:tc>
          <w:tcPr>
            <w:tcW w:w="580" w:type="dxa"/>
            <w:vAlign w:val="bottom"/>
            <w:gridSpan w:val="10"/>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76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Corporation) and The Chase Manhattan Bank (National Association), Trustee (incorporated by reference to Exhibit 4.1 to</w:t>
              </w:r>
            </w:hyperlink>
          </w:p>
        </w:tc>
        <w:tc>
          <w:tcPr>
            <w:tcW w:w="26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20" w:type="dxa"/>
            <w:vAlign w:val="bottom"/>
            <w:gridSpan w:val="18"/>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Form 8-K filed October 25, 1994, File No. 001-3229)</w:t>
              </w:r>
            </w:hyperlink>
          </w:p>
        </w:tc>
      </w:tr>
      <w:tr>
        <w:trPr>
          <w:trHeight w:val="20"/>
        </w:trPr>
        <w:tc>
          <w:tcPr>
            <w:tcW w:w="980" w:type="dxa"/>
            <w:vAlign w:val="bottom"/>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4(c)</w:t>
            </w:r>
          </w:p>
        </w:tc>
        <w:tc>
          <w:tcPr>
            <w:tcW w:w="9020" w:type="dxa"/>
            <w:vAlign w:val="bottom"/>
            <w:gridSpan w:val="18"/>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First Supplemental Indenture dated as of March 30, 2011 by and among Northrop Grumman Systems Corporation, The Bank</w:t>
              </w:r>
            </w:hyperlink>
          </w:p>
        </w:tc>
      </w:tr>
      <w:tr>
        <w:trPr>
          <w:trHeight w:val="196"/>
        </w:trPr>
        <w:tc>
          <w:tcPr>
            <w:tcW w:w="980" w:type="dxa"/>
            <w:vAlign w:val="bottom"/>
          </w:tcPr>
          <w:p>
            <w:pPr>
              <w:spacing w:after="0"/>
              <w:rPr>
                <w:sz w:val="17"/>
                <w:szCs w:val="17"/>
                <w:color w:val="auto"/>
              </w:rPr>
            </w:pPr>
          </w:p>
        </w:tc>
        <w:tc>
          <w:tcPr>
            <w:tcW w:w="85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of New York Mellon (successor trustee to JPMorgan Chase Bank and The Chase Manhattan Bank, N.A.), Titan II, Inc.</w:t>
              </w:r>
            </w:hyperlink>
          </w:p>
        </w:tc>
        <w:tc>
          <w:tcPr>
            <w:tcW w:w="46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2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(formerly known as Northrop Grumman Corporation), and Titan Holdings II, L.P., to Indenture dated as of October 15, 1994,</w:t>
              </w:r>
            </w:hyperlink>
          </w:p>
        </w:tc>
      </w:tr>
    </w:tbl>
    <w:p>
      <w:pPr>
        <w:spacing w:after="0" w:line="13" w:lineRule="exact"/>
        <w:rPr>
          <w:sz w:val="20"/>
          <w:szCs w:val="20"/>
          <w:color w:val="auto"/>
        </w:rPr>
      </w:pPr>
    </w:p>
    <w:p>
      <w:pPr>
        <w:jc w:val="both"/>
        <w:ind w:left="1780" w:right="240"/>
        <w:spacing w:after="0" w:line="264" w:lineRule="auto"/>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between Northrop Grumman Corporation (now Northrop Grumman Systems Corporation) and The Chase Manhattan Bank,</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N.A., Trustee (incorporated by reference to Exhibit 4.1 to Form 10-Q for the quarter ended March 31, 2011, filed April 27,</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2011, File No. 001-16411)</w:t>
        </w:r>
      </w:hyperlink>
    </w:p>
    <w:p>
      <w:pPr>
        <w:spacing w:after="0" w:line="235" w:lineRule="exact"/>
        <w:rPr>
          <w:rFonts w:ascii="Arial" w:cs="Arial" w:eastAsia="Arial" w:hAnsi="Arial"/>
          <w:sz w:val="18"/>
          <w:szCs w:val="18"/>
          <w:u w:val="single" w:color="auto"/>
          <w:color w:val="0000FF"/>
        </w:rPr>
      </w:pPr>
    </w:p>
    <w:p>
      <w:pPr>
        <w:jc w:val="center"/>
        <w:ind w:right="-4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20"/>
          </w:cols>
          <w:pgMar w:left="240" w:top="337" w:right="7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4(d)</w:t>
            </w:r>
          </w:p>
        </w:tc>
        <w:tc>
          <w:tcPr>
            <w:tcW w:w="8780" w:type="dxa"/>
            <w:vAlign w:val="bottom"/>
            <w:tcBorders>
              <w:bottom w:val="single" w:sz="8" w:color="0000FF"/>
            </w:tcBorders>
            <w:gridSpan w:val="16"/>
          </w:tcPr>
          <w:p>
            <w:pPr>
              <w:spacing w:after="0"/>
              <w:rPr>
                <w:rFonts w:ascii="Arial" w:cs="Arial" w:eastAsia="Arial" w:hAnsi="Arial"/>
                <w:sz w:val="18"/>
                <w:szCs w:val="18"/>
                <w:color w:val="0000FF"/>
                <w:w w:val="89"/>
              </w:rPr>
            </w:pPr>
            <w:hyperlink r:id="rId20">
              <w:r>
                <w:rPr>
                  <w:rFonts w:ascii="Arial" w:cs="Arial" w:eastAsia="Arial" w:hAnsi="Arial"/>
                  <w:sz w:val="18"/>
                  <w:szCs w:val="18"/>
                  <w:color w:val="0000FF"/>
                  <w:w w:val="89"/>
                </w:rPr>
                <w:t>Second Supplemental Indenture dated as of March 30, 2011 by and among Northrop Grumman Systems Corporation, The</w:t>
              </w:r>
            </w:hyperlink>
          </w:p>
        </w:tc>
        <w:tc>
          <w:tcPr>
            <w:tcW w:w="300" w:type="dxa"/>
            <w:vAlign w:val="bottom"/>
            <w:gridSpan w:val="1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44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Bank of New York Mellon (successor trustee to JPMorgan Chase Bank and The Chase Manhattan Bank, N.A.), Titan</w:t>
              </w:r>
            </w:hyperlink>
          </w:p>
        </w:tc>
        <w:tc>
          <w:tcPr>
            <w:tcW w:w="640" w:type="dxa"/>
            <w:vAlign w:val="bottom"/>
            <w:gridSpan w:val="1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Holdings II, L.P., and Northrop Grumman Corporation (formerly known as New P, Inc.), to Indenture dated as of October 15,</w:t>
              </w:r>
            </w:hyperlink>
          </w:p>
        </w:tc>
        <w:tc>
          <w:tcPr>
            <w:tcW w:w="4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0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1994, between Northrop Grumman Corporation (now Northrop Grumman Systems Corporation) and The Chase Manhattan</w:t>
              </w:r>
            </w:hyperlink>
          </w:p>
        </w:tc>
        <w:tc>
          <w:tcPr>
            <w:tcW w:w="180" w:type="dxa"/>
            <w:vAlign w:val="bottom"/>
            <w:gridSpan w:val="8"/>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6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Bank, N.A., Trustee (incorporated by reference to Exhibit 4.2 to Form 10-Q for the quarter ended March 31, 2011, filed</w:t>
              </w:r>
            </w:hyperlink>
          </w:p>
        </w:tc>
        <w:tc>
          <w:tcPr>
            <w:tcW w:w="460" w:type="dxa"/>
            <w:vAlign w:val="bottom"/>
            <w:gridSpan w:val="1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28"/>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April 27, 2011, File No. 001-16411)</w:t>
              </w:r>
            </w:hyperlink>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4(e)</w:t>
            </w:r>
          </w:p>
        </w:tc>
        <w:tc>
          <w:tcPr>
            <w:tcW w:w="8860" w:type="dxa"/>
            <w:vAlign w:val="bottom"/>
            <w:tcBorders>
              <w:bottom w:val="single" w:sz="8" w:color="0000FF"/>
            </w:tcBorders>
            <w:gridSpan w:val="18"/>
          </w:tcPr>
          <w:p>
            <w:pPr>
              <w:spacing w:after="0"/>
              <w:rPr>
                <w:rFonts w:ascii="Arial" w:cs="Arial" w:eastAsia="Arial" w:hAnsi="Arial"/>
                <w:sz w:val="18"/>
                <w:szCs w:val="18"/>
                <w:color w:val="0000FF"/>
                <w:w w:val="93"/>
              </w:rPr>
            </w:pPr>
            <w:hyperlink r:id="rId21">
              <w:r>
                <w:rPr>
                  <w:rFonts w:ascii="Arial" w:cs="Arial" w:eastAsia="Arial" w:hAnsi="Arial"/>
                  <w:sz w:val="18"/>
                  <w:szCs w:val="18"/>
                  <w:color w:val="0000FF"/>
                  <w:w w:val="93"/>
                </w:rPr>
                <w:t>Form of Officers’ Certificate (without exhibits) establishing the terms of Northrop Grumman Corporation’s (now Northrop</w:t>
              </w:r>
            </w:hyperlink>
          </w:p>
        </w:tc>
        <w:tc>
          <w:tcPr>
            <w:tcW w:w="220" w:type="dxa"/>
            <w:vAlign w:val="bottom"/>
            <w:gridSpan w:val="10"/>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80" w:type="dxa"/>
            <w:vAlign w:val="bottom"/>
            <w:gridSpan w:val="28"/>
          </w:tcPr>
          <w:p>
            <w:pPr>
              <w:spacing w:after="0" w:line="196" w:lineRule="exact"/>
              <w:rPr>
                <w:rFonts w:ascii="Arial" w:cs="Arial" w:eastAsia="Arial" w:hAnsi="Arial"/>
                <w:sz w:val="18"/>
                <w:szCs w:val="18"/>
                <w:color w:val="0000FF"/>
                <w:w w:val="96"/>
              </w:rPr>
            </w:pPr>
            <w:hyperlink r:id="rId21">
              <w:r>
                <w:rPr>
                  <w:rFonts w:ascii="Arial" w:cs="Arial" w:eastAsia="Arial" w:hAnsi="Arial"/>
                  <w:sz w:val="18"/>
                  <w:szCs w:val="18"/>
                  <w:color w:val="0000FF"/>
                  <w:w w:val="96"/>
                </w:rPr>
                <w:t>Grumman Systems Corporation’s) 7.875% Debentures due 2026 (incorporated by reference to Exhibit 4.3 to Form S-4</w:t>
              </w:r>
            </w:hyperlink>
          </w:p>
        </w:tc>
      </w:tr>
      <w:tr>
        <w:trPr>
          <w:trHeight w:val="196"/>
        </w:trPr>
        <w:tc>
          <w:tcPr>
            <w:tcW w:w="98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Registration Statement No. 333-02653 filed April 19, 1996)</w:t>
              </w:r>
            </w:hyperlink>
          </w:p>
        </w:tc>
        <w:tc>
          <w:tcPr>
            <w:tcW w:w="4220" w:type="dxa"/>
            <w:vAlign w:val="bottom"/>
            <w:tcBorders>
              <w:top w:val="single" w:sz="8" w:color="0000FF"/>
            </w:tcBorders>
            <w:gridSpan w:val="10"/>
          </w:tcPr>
          <w:p>
            <w:pPr>
              <w:spacing w:after="0"/>
              <w:rPr>
                <w:sz w:val="17"/>
                <w:szCs w:val="17"/>
                <w:color w:val="auto"/>
              </w:rPr>
            </w:pPr>
          </w:p>
        </w:tc>
        <w:tc>
          <w:tcPr>
            <w:tcW w:w="540" w:type="dxa"/>
            <w:vAlign w:val="bottom"/>
            <w:gridSpan w:val="15"/>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4(f)</w:t>
            </w:r>
          </w:p>
        </w:tc>
        <w:tc>
          <w:tcPr>
            <w:tcW w:w="9080" w:type="dxa"/>
            <w:vAlign w:val="bottom"/>
            <w:gridSpan w:val="28"/>
          </w:tcPr>
          <w:p>
            <w:pPr>
              <w:spacing w:after="0"/>
              <w:rPr>
                <w:rFonts w:ascii="Arial" w:cs="Arial" w:eastAsia="Arial" w:hAnsi="Arial"/>
                <w:sz w:val="18"/>
                <w:szCs w:val="18"/>
                <w:color w:val="0000FF"/>
                <w:w w:val="92"/>
              </w:rPr>
            </w:pPr>
            <w:hyperlink r:id="rId21">
              <w:r>
                <w:rPr>
                  <w:rFonts w:ascii="Arial" w:cs="Arial" w:eastAsia="Arial" w:hAnsi="Arial"/>
                  <w:sz w:val="18"/>
                  <w:szCs w:val="18"/>
                  <w:color w:val="0000FF"/>
                  <w:w w:val="92"/>
                </w:rPr>
                <w:t>Form of Northrop Grumman Corporation’s (now Northrop Grumman Systems Corporation’s) 7.875% Debentures due 2026</w:t>
              </w:r>
            </w:hyperlink>
          </w:p>
        </w:tc>
      </w:tr>
      <w:tr>
        <w:trPr>
          <w:trHeight w:val="196"/>
        </w:trPr>
        <w:tc>
          <w:tcPr>
            <w:tcW w:w="980" w:type="dxa"/>
            <w:vAlign w:val="bottom"/>
          </w:tcPr>
          <w:p>
            <w:pPr>
              <w:spacing w:after="0"/>
              <w:rPr>
                <w:sz w:val="17"/>
                <w:szCs w:val="17"/>
                <w:color w:val="auto"/>
              </w:rPr>
            </w:pPr>
          </w:p>
        </w:tc>
        <w:tc>
          <w:tcPr>
            <w:tcW w:w="82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(incorporated by reference to Exhibit 4.6 to Form S-4 Registration Statement No. 333-02653 filed April 19, 1996)</w:t>
              </w:r>
            </w:hyperlink>
          </w:p>
        </w:tc>
        <w:tc>
          <w:tcPr>
            <w:tcW w:w="680" w:type="dxa"/>
            <w:vAlign w:val="bottom"/>
            <w:tcBorders>
              <w:top w:val="single" w:sz="8" w:color="0000FF"/>
            </w:tcBorders>
            <w:gridSpan w:val="12"/>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4(g)</w:t>
            </w:r>
          </w:p>
        </w:tc>
        <w:tc>
          <w:tcPr>
            <w:tcW w:w="9080" w:type="dxa"/>
            <w:vAlign w:val="bottom"/>
            <w:gridSpan w:val="28"/>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Form of Officers’ Certificate establishing the terms of Northrop Grumman Corporation’s (now Northrop Grumman Systems</w:t>
              </w:r>
            </w:hyperlink>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000" w:type="dxa"/>
            <w:vAlign w:val="bottom"/>
            <w:tcBorders>
              <w:bottom w:val="single" w:sz="8" w:color="0000FF"/>
            </w:tcBorders>
            <w:gridSpan w:val="24"/>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Corporation’s) 7.75% Debentures due 2031 (incorporated by reference to Exhibit 10.9 to Form 8-K filed April 17, 2001, File</w:t>
              </w:r>
            </w:hyperlink>
          </w:p>
        </w:tc>
        <w:tc>
          <w:tcPr>
            <w:tcW w:w="8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28"/>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No. 001-16411)</w:t>
              </w:r>
            </w:hyperlink>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4(h)</w:t>
            </w:r>
          </w:p>
        </w:tc>
        <w:tc>
          <w:tcPr>
            <w:tcW w:w="8420" w:type="dxa"/>
            <w:vAlign w:val="bottom"/>
            <w:tcBorders>
              <w:bottom w:val="single" w:sz="8" w:color="0000FF"/>
            </w:tcBorders>
            <w:gridSpan w:val="11"/>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Senior Indenture dated as of December 15, 1991, between Litton Industries, Inc. (predecessor-in-interest to Northrop</w:t>
              </w:r>
            </w:hyperlink>
          </w:p>
        </w:tc>
        <w:tc>
          <w:tcPr>
            <w:tcW w:w="660" w:type="dxa"/>
            <w:vAlign w:val="bottom"/>
            <w:gridSpan w:val="17"/>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80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Grumman Systems Corporation) and The Bank of New York, as trustee, under which its 7.75% and 6.98% debentures due</w:t>
              </w:r>
            </w:hyperlink>
          </w:p>
        </w:tc>
        <w:tc>
          <w:tcPr>
            <w:tcW w:w="280" w:type="dxa"/>
            <w:vAlign w:val="bottom"/>
            <w:gridSpan w:val="11"/>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0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2026 and 2036 were issued, and specimens of such debentures (incorporated by reference to Exhibit 4.1 to the Form 10-Q of</w:t>
              </w:r>
            </w:hyperlink>
          </w:p>
        </w:tc>
        <w:tc>
          <w:tcPr>
            <w:tcW w:w="8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28"/>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Litton Industries, Inc. for the quarter ended April 30, 1996, filed June 11, 1996, File No. 001-3998)</w:t>
              </w:r>
            </w:hyperlink>
          </w:p>
        </w:tc>
      </w:tr>
      <w:tr>
        <w:trPr>
          <w:trHeight w:val="20"/>
        </w:trPr>
        <w:tc>
          <w:tcPr>
            <w:tcW w:w="980" w:type="dxa"/>
            <w:vAlign w:val="bottom"/>
          </w:tcPr>
          <w:p>
            <w:pPr>
              <w:spacing w:after="0" w:line="20" w:lineRule="exact"/>
              <w:rPr>
                <w:sz w:val="1"/>
                <w:szCs w:val="1"/>
                <w:color w:val="auto"/>
              </w:rPr>
            </w:pPr>
          </w:p>
        </w:tc>
        <w:tc>
          <w:tcPr>
            <w:tcW w:w="65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4(i)</w:t>
            </w:r>
          </w:p>
        </w:tc>
        <w:tc>
          <w:tcPr>
            <w:tcW w:w="8940" w:type="dxa"/>
            <w:vAlign w:val="bottom"/>
            <w:tcBorders>
              <w:bottom w:val="single" w:sz="8" w:color="0000FF"/>
            </w:tcBorders>
            <w:gridSpan w:val="21"/>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Supplemental Indenture with respect to Senior Indenture dated December 15, 1991, dated as of April 3, 2001, among Litton</w:t>
              </w:r>
            </w:hyperlink>
          </w:p>
        </w:tc>
        <w:tc>
          <w:tcPr>
            <w:tcW w:w="140" w:type="dxa"/>
            <w:vAlign w:val="bottom"/>
            <w:gridSpan w:val="7"/>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80" w:type="dxa"/>
            <w:vAlign w:val="bottom"/>
            <w:gridSpan w:val="28"/>
          </w:tcPr>
          <w:p>
            <w:pPr>
              <w:spacing w:after="0" w:line="196" w:lineRule="exact"/>
              <w:rPr>
                <w:rFonts w:ascii="Arial" w:cs="Arial" w:eastAsia="Arial" w:hAnsi="Arial"/>
                <w:sz w:val="18"/>
                <w:szCs w:val="18"/>
                <w:color w:val="0000FF"/>
                <w:w w:val="96"/>
              </w:rPr>
            </w:pPr>
            <w:hyperlink r:id="rId24">
              <w:r>
                <w:rPr>
                  <w:rFonts w:ascii="Arial" w:cs="Arial" w:eastAsia="Arial" w:hAnsi="Arial"/>
                  <w:sz w:val="18"/>
                  <w:szCs w:val="18"/>
                  <w:color w:val="0000FF"/>
                  <w:w w:val="96"/>
                </w:rPr>
                <w:t>Industries, Inc. (predecessor-in-interest to Northrop Grumman Systems Corporation), Northrop Grumman Corporation,</w:t>
              </w:r>
            </w:hyperlink>
          </w:p>
        </w:tc>
      </w:tr>
      <w:tr>
        <w:trPr>
          <w:trHeight w:val="20"/>
        </w:trPr>
        <w:tc>
          <w:tcPr>
            <w:tcW w:w="980" w:type="dxa"/>
            <w:vAlign w:val="bottom"/>
          </w:tcPr>
          <w:p>
            <w:pPr>
              <w:spacing w:after="0" w:line="20" w:lineRule="exact"/>
              <w:rPr>
                <w:sz w:val="1"/>
                <w:szCs w:val="1"/>
                <w:color w:val="auto"/>
              </w:rPr>
            </w:pPr>
          </w:p>
        </w:tc>
        <w:tc>
          <w:tcPr>
            <w:tcW w:w="65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9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Northrop Grumman Systems Corporation and The Bank of New York, as trustee (incorporated by reference to Exhibit 4.7 to</w:t>
              </w:r>
            </w:hyperlink>
          </w:p>
        </w:tc>
        <w:tc>
          <w:tcPr>
            <w:tcW w:w="12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28"/>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Form 10-Q for the quarter ended March 31, 2001, filed May 10, 2001, File No. 001-16411)</w:t>
              </w:r>
            </w:hyperlink>
          </w:p>
        </w:tc>
      </w:tr>
      <w:tr>
        <w:trPr>
          <w:trHeight w:val="20"/>
        </w:trPr>
        <w:tc>
          <w:tcPr>
            <w:tcW w:w="980" w:type="dxa"/>
            <w:vAlign w:val="bottom"/>
          </w:tcPr>
          <w:p>
            <w:pPr>
              <w:spacing w:after="0" w:line="20" w:lineRule="exact"/>
              <w:rPr>
                <w:sz w:val="1"/>
                <w:szCs w:val="1"/>
                <w:color w:val="auto"/>
              </w:rPr>
            </w:pPr>
          </w:p>
        </w:tc>
        <w:tc>
          <w:tcPr>
            <w:tcW w:w="65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4(j)</w:t>
            </w:r>
          </w:p>
        </w:tc>
        <w:tc>
          <w:tcPr>
            <w:tcW w:w="8880" w:type="dxa"/>
            <w:vAlign w:val="bottom"/>
            <w:tcBorders>
              <w:bottom w:val="single" w:sz="8" w:color="0000FF"/>
            </w:tcBorders>
            <w:gridSpan w:val="19"/>
          </w:tcPr>
          <w:p>
            <w:pPr>
              <w:spacing w:after="0"/>
              <w:rPr>
                <w:rFonts w:ascii="Arial" w:cs="Arial" w:eastAsia="Arial" w:hAnsi="Arial"/>
                <w:sz w:val="18"/>
                <w:szCs w:val="18"/>
                <w:color w:val="0000FF"/>
                <w:w w:val="89"/>
              </w:rPr>
            </w:pPr>
            <w:hyperlink r:id="rId25">
              <w:r>
                <w:rPr>
                  <w:rFonts w:ascii="Arial" w:cs="Arial" w:eastAsia="Arial" w:hAnsi="Arial"/>
                  <w:sz w:val="18"/>
                  <w:szCs w:val="18"/>
                  <w:color w:val="0000FF"/>
                  <w:w w:val="89"/>
                </w:rPr>
                <w:t>Supplemental Indenture with respect to Senior Indenture dated December 15, 1991, dated as of December 20, 2002, among</w:t>
              </w:r>
            </w:hyperlink>
          </w:p>
        </w:tc>
        <w:tc>
          <w:tcPr>
            <w:tcW w:w="200" w:type="dxa"/>
            <w:vAlign w:val="bottom"/>
            <w:gridSpan w:val="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80" w:type="dxa"/>
            <w:vAlign w:val="bottom"/>
            <w:gridSpan w:val="28"/>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Litton Industries, Inc. (predecessor-in-interest to Northrop Grumman Systems Corporation), Northrop Grumman Corporation,</w:t>
              </w:r>
            </w:hyperlink>
          </w:p>
        </w:tc>
      </w:tr>
      <w:tr>
        <w:trPr>
          <w:trHeight w:val="196"/>
        </w:trPr>
        <w:tc>
          <w:tcPr>
            <w:tcW w:w="980" w:type="dxa"/>
            <w:vAlign w:val="bottom"/>
          </w:tcPr>
          <w:p>
            <w:pPr>
              <w:spacing w:after="0"/>
              <w:rPr>
                <w:sz w:val="17"/>
                <w:szCs w:val="17"/>
                <w:color w:val="auto"/>
              </w:rPr>
            </w:pPr>
          </w:p>
        </w:tc>
        <w:tc>
          <w:tcPr>
            <w:tcW w:w="900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Northrop Grumman Systems Corporation and The Bank of New York, as trustee (incorporated by reference to Exhibit 4(t) to</w:t>
              </w:r>
            </w:hyperlink>
          </w:p>
        </w:tc>
        <w:tc>
          <w:tcPr>
            <w:tcW w:w="6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7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Form 10-K for the year ended December 31, 2002, filed March 24, 2003, File No. 001-16411)</w:t>
              </w:r>
            </w:hyperlink>
          </w:p>
        </w:tc>
        <w:tc>
          <w:tcPr>
            <w:tcW w:w="2300" w:type="dxa"/>
            <w:vAlign w:val="bottom"/>
            <w:gridSpan w:val="23"/>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4(k)</w:t>
            </w:r>
          </w:p>
        </w:tc>
        <w:tc>
          <w:tcPr>
            <w:tcW w:w="8280" w:type="dxa"/>
            <w:vAlign w:val="bottom"/>
            <w:tcBorders>
              <w:bottom w:val="single" w:sz="8" w:color="0000FF"/>
            </w:tcBorders>
            <w:gridSpan w:val="9"/>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Third Supplemental Indenture dated as of March 30, 2011 by and among Northrop Grumman Systems Corporation</w:t>
              </w:r>
            </w:hyperlink>
          </w:p>
        </w:tc>
        <w:tc>
          <w:tcPr>
            <w:tcW w:w="800" w:type="dxa"/>
            <w:vAlign w:val="bottom"/>
            <w:gridSpan w:val="1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2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(successor-in-interest to Litton Industries, Inc.), The Bank of New York Mellon (formerly known as The Bank of New York),</w:t>
              </w:r>
            </w:hyperlink>
          </w:p>
        </w:tc>
        <w:tc>
          <w:tcPr>
            <w:tcW w:w="6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as trustee, Titan II, Inc. (formerly known as Northrop Grumman Corporation), and Titan Holdings II, L.P., to Senior Indenture</w:t>
              </w:r>
            </w:hyperlink>
          </w:p>
        </w:tc>
      </w:tr>
      <w:tr>
        <w:trPr>
          <w:trHeight w:val="196"/>
        </w:trPr>
        <w:tc>
          <w:tcPr>
            <w:tcW w:w="980" w:type="dxa"/>
            <w:vAlign w:val="bottom"/>
          </w:tcPr>
          <w:p>
            <w:pPr>
              <w:spacing w:after="0"/>
              <w:rPr>
                <w:sz w:val="17"/>
                <w:szCs w:val="17"/>
                <w:color w:val="auto"/>
              </w:rPr>
            </w:pPr>
          </w:p>
        </w:tc>
        <w:tc>
          <w:tcPr>
            <w:tcW w:w="908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dated December 15, 1991, between Litton Industries, Inc. and The Bank of New York, as trustee (incorporated by reference to</w:t>
              </w:r>
            </w:hyperlink>
          </w:p>
        </w:tc>
      </w:tr>
      <w:tr>
        <w:trPr>
          <w:trHeight w:val="196"/>
        </w:trPr>
        <w:tc>
          <w:tcPr>
            <w:tcW w:w="980" w:type="dxa"/>
            <w:vAlign w:val="bottom"/>
          </w:tcPr>
          <w:p>
            <w:pPr>
              <w:spacing w:after="0"/>
              <w:rPr>
                <w:sz w:val="17"/>
                <w:szCs w:val="17"/>
                <w:color w:val="auto"/>
              </w:rPr>
            </w:pPr>
          </w:p>
        </w:tc>
        <w:tc>
          <w:tcPr>
            <w:tcW w:w="764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Exhibit 4.5 to Form 10-Q for the quarter ended March 31, 2011, filed April 27, 2011, File No. 001-16411)</w:t>
              </w:r>
            </w:hyperlink>
          </w:p>
        </w:tc>
        <w:tc>
          <w:tcPr>
            <w:tcW w:w="1440" w:type="dxa"/>
            <w:vAlign w:val="bottom"/>
            <w:gridSpan w:val="21"/>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4(l)</w:t>
            </w:r>
          </w:p>
        </w:tc>
        <w:tc>
          <w:tcPr>
            <w:tcW w:w="8360" w:type="dxa"/>
            <w:vAlign w:val="bottom"/>
            <w:tcBorders>
              <w:bottom w:val="single" w:sz="8" w:color="0000FF"/>
            </w:tcBorders>
            <w:gridSpan w:val="10"/>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Fourth Supplemental Indenture dated as of March 30, 2011 by and among Northrop Grumman Systems Corporation</w:t>
              </w:r>
            </w:hyperlink>
          </w:p>
        </w:tc>
        <w:tc>
          <w:tcPr>
            <w:tcW w:w="720" w:type="dxa"/>
            <w:vAlign w:val="bottom"/>
            <w:gridSpan w:val="18"/>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980" w:type="dxa"/>
            <w:vAlign w:val="bottom"/>
            <w:tcBorders>
              <w:bottom w:val="single" w:sz="8" w:color="0000FF"/>
            </w:tcBorders>
            <w:gridSpan w:val="23"/>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(successor-in-interest to Litton Industries, Inc.), The Bank of New York Mellon (formerly known as The Bank of New York)</w:t>
              </w:r>
            </w:hyperlink>
          </w:p>
        </w:tc>
        <w:tc>
          <w:tcPr>
            <w:tcW w:w="100" w:type="dxa"/>
            <w:vAlign w:val="bottom"/>
            <w:gridSpan w:val="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as trustee, Titan Holdings II, L.P., and Northrop Grumman Corporation (formerly known as New P, Inc.), to Senior Indenture</w:t>
              </w:r>
            </w:hyperlink>
          </w:p>
        </w:tc>
        <w:tc>
          <w:tcPr>
            <w:tcW w:w="8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dated December 15, 1991, between Litton Industries, Inc. and The Bank of New York, as trustee (incorporated by reference to</w:t>
              </w:r>
            </w:hyperlink>
          </w:p>
        </w:tc>
      </w:tr>
      <w:tr>
        <w:trPr>
          <w:trHeight w:val="196"/>
        </w:trPr>
        <w:tc>
          <w:tcPr>
            <w:tcW w:w="980" w:type="dxa"/>
            <w:vAlign w:val="bottom"/>
          </w:tcPr>
          <w:p>
            <w:pPr>
              <w:spacing w:after="0"/>
              <w:rPr>
                <w:sz w:val="17"/>
                <w:szCs w:val="17"/>
                <w:color w:val="auto"/>
              </w:rPr>
            </w:pPr>
          </w:p>
        </w:tc>
        <w:tc>
          <w:tcPr>
            <w:tcW w:w="764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Exhibit 4.6 to Form 10-Q for the quarter ended March 31, 2011, filed April 27, 2011, File No. 001-16411)</w:t>
              </w:r>
            </w:hyperlink>
          </w:p>
        </w:tc>
        <w:tc>
          <w:tcPr>
            <w:tcW w:w="1440" w:type="dxa"/>
            <w:vAlign w:val="bottom"/>
            <w:gridSpan w:val="21"/>
          </w:tcPr>
          <w:p>
            <w:pPr>
              <w:spacing w:after="0"/>
              <w:rPr>
                <w:sz w:val="17"/>
                <w:szCs w:val="17"/>
                <w:color w:val="auto"/>
              </w:rPr>
            </w:pPr>
          </w:p>
        </w:tc>
      </w:tr>
      <w:tr>
        <w:trPr>
          <w:trHeight w:val="411"/>
        </w:trPr>
        <w:tc>
          <w:tcPr>
            <w:tcW w:w="980" w:type="dxa"/>
            <w:vAlign w:val="bottom"/>
          </w:tcPr>
          <w:p>
            <w:pPr>
              <w:spacing w:after="0"/>
              <w:rPr>
                <w:sz w:val="20"/>
                <w:szCs w:val="20"/>
                <w:color w:val="auto"/>
              </w:rPr>
            </w:pPr>
            <w:r>
              <w:rPr>
                <w:rFonts w:ascii="Arial" w:cs="Arial" w:eastAsia="Arial" w:hAnsi="Arial"/>
                <w:sz w:val="18"/>
                <w:szCs w:val="18"/>
                <w:color w:val="auto"/>
              </w:rPr>
              <w:t>4(m)</w:t>
            </w:r>
          </w:p>
        </w:tc>
        <w:tc>
          <w:tcPr>
            <w:tcW w:w="9080" w:type="dxa"/>
            <w:vAlign w:val="bottom"/>
            <w:gridSpan w:val="28"/>
          </w:tcPr>
          <w:p>
            <w:pPr>
              <w:spacing w:after="0"/>
              <w:rPr>
                <w:sz w:val="20"/>
                <w:szCs w:val="20"/>
                <w:color w:val="auto"/>
              </w:rPr>
            </w:pPr>
            <w:r>
              <w:rPr>
                <w:rFonts w:ascii="Arial" w:cs="Arial" w:eastAsia="Arial" w:hAnsi="Arial"/>
                <w:sz w:val="18"/>
                <w:szCs w:val="18"/>
                <w:color w:val="auto"/>
                <w:w w:val="90"/>
              </w:rPr>
              <w:t>Indenture between TRW Inc. (predecessor-in-interest to Northrop Grumman Systems Corporation) and Mellon Bank, N.A., as</w:t>
            </w:r>
          </w:p>
        </w:tc>
      </w:tr>
      <w:tr>
        <w:trPr>
          <w:trHeight w:val="216"/>
        </w:trPr>
        <w:tc>
          <w:tcPr>
            <w:tcW w:w="980" w:type="dxa"/>
            <w:vAlign w:val="bottom"/>
          </w:tcPr>
          <w:p>
            <w:pPr>
              <w:spacing w:after="0"/>
              <w:rPr>
                <w:sz w:val="18"/>
                <w:szCs w:val="18"/>
                <w:color w:val="auto"/>
              </w:rPr>
            </w:pPr>
          </w:p>
        </w:tc>
        <w:tc>
          <w:tcPr>
            <w:tcW w:w="9080" w:type="dxa"/>
            <w:vAlign w:val="bottom"/>
            <w:gridSpan w:val="28"/>
          </w:tcPr>
          <w:p>
            <w:pPr>
              <w:spacing w:after="0"/>
              <w:rPr>
                <w:sz w:val="20"/>
                <w:szCs w:val="20"/>
                <w:color w:val="auto"/>
              </w:rPr>
            </w:pPr>
            <w:r>
              <w:rPr>
                <w:rFonts w:ascii="Arial" w:cs="Arial" w:eastAsia="Arial" w:hAnsi="Arial"/>
                <w:sz w:val="18"/>
                <w:szCs w:val="18"/>
                <w:color w:val="auto"/>
                <w:w w:val="91"/>
              </w:rPr>
              <w:t>trustee, dated as of May 1, 1986 (incorporated by reference to Exhibit 2 to the Form 8-A Registration Statement of TRW Inc.</w:t>
            </w:r>
          </w:p>
        </w:tc>
      </w:tr>
      <w:tr>
        <w:trPr>
          <w:trHeight w:val="230"/>
        </w:trPr>
        <w:tc>
          <w:tcPr>
            <w:tcW w:w="980" w:type="dxa"/>
            <w:vAlign w:val="bottom"/>
          </w:tcPr>
          <w:p>
            <w:pPr>
              <w:spacing w:after="0"/>
              <w:rPr>
                <w:sz w:val="20"/>
                <w:szCs w:val="20"/>
                <w:color w:val="auto"/>
              </w:rPr>
            </w:pPr>
          </w:p>
        </w:tc>
        <w:tc>
          <w:tcPr>
            <w:tcW w:w="9080" w:type="dxa"/>
            <w:vAlign w:val="bottom"/>
            <w:gridSpan w:val="28"/>
          </w:tcPr>
          <w:p>
            <w:pPr>
              <w:spacing w:after="0"/>
              <w:rPr>
                <w:sz w:val="20"/>
                <w:szCs w:val="20"/>
                <w:color w:val="auto"/>
              </w:rPr>
            </w:pPr>
            <w:r>
              <w:rPr>
                <w:rFonts w:ascii="Arial" w:cs="Arial" w:eastAsia="Arial" w:hAnsi="Arial"/>
                <w:sz w:val="18"/>
                <w:szCs w:val="18"/>
                <w:color w:val="auto"/>
              </w:rPr>
              <w:t>dated July 3, 1986, File No. 001-02384)</w:t>
            </w:r>
          </w:p>
        </w:tc>
      </w:tr>
      <w:tr>
        <w:trPr>
          <w:trHeight w:val="391"/>
        </w:trPr>
        <w:tc>
          <w:tcPr>
            <w:tcW w:w="980" w:type="dxa"/>
            <w:vAlign w:val="bottom"/>
          </w:tcPr>
          <w:p>
            <w:pPr>
              <w:spacing w:after="0"/>
              <w:rPr>
                <w:sz w:val="20"/>
                <w:szCs w:val="20"/>
                <w:color w:val="auto"/>
              </w:rPr>
            </w:pPr>
            <w:r>
              <w:rPr>
                <w:rFonts w:ascii="Arial" w:cs="Arial" w:eastAsia="Arial" w:hAnsi="Arial"/>
                <w:sz w:val="18"/>
                <w:szCs w:val="18"/>
                <w:color w:val="auto"/>
              </w:rPr>
              <w:t>4(n)</w:t>
            </w:r>
          </w:p>
        </w:tc>
        <w:tc>
          <w:tcPr>
            <w:tcW w:w="9080" w:type="dxa"/>
            <w:vAlign w:val="bottom"/>
            <w:gridSpan w:val="28"/>
          </w:tcPr>
          <w:p>
            <w:pPr>
              <w:spacing w:after="0"/>
              <w:rPr>
                <w:sz w:val="20"/>
                <w:szCs w:val="20"/>
                <w:color w:val="auto"/>
              </w:rPr>
            </w:pPr>
            <w:r>
              <w:rPr>
                <w:rFonts w:ascii="Arial" w:cs="Arial" w:eastAsia="Arial" w:hAnsi="Arial"/>
                <w:sz w:val="18"/>
                <w:szCs w:val="18"/>
                <w:color w:val="auto"/>
                <w:w w:val="93"/>
              </w:rPr>
              <w:t>First Supplemental Indenture between TRW Inc. (predecessor-in-interest to Northrop Grumman Systems Corporation) and</w:t>
            </w:r>
          </w:p>
        </w:tc>
      </w:tr>
      <w:tr>
        <w:trPr>
          <w:trHeight w:val="216"/>
        </w:trPr>
        <w:tc>
          <w:tcPr>
            <w:tcW w:w="980" w:type="dxa"/>
            <w:vAlign w:val="bottom"/>
          </w:tcPr>
          <w:p>
            <w:pPr>
              <w:spacing w:after="0"/>
              <w:rPr>
                <w:sz w:val="18"/>
                <w:szCs w:val="18"/>
                <w:color w:val="auto"/>
              </w:rPr>
            </w:pPr>
          </w:p>
        </w:tc>
        <w:tc>
          <w:tcPr>
            <w:tcW w:w="9080" w:type="dxa"/>
            <w:vAlign w:val="bottom"/>
            <w:gridSpan w:val="28"/>
          </w:tcPr>
          <w:p>
            <w:pPr>
              <w:spacing w:after="0"/>
              <w:rPr>
                <w:sz w:val="20"/>
                <w:szCs w:val="20"/>
                <w:color w:val="auto"/>
              </w:rPr>
            </w:pPr>
            <w:r>
              <w:rPr>
                <w:rFonts w:ascii="Arial" w:cs="Arial" w:eastAsia="Arial" w:hAnsi="Arial"/>
                <w:sz w:val="18"/>
                <w:szCs w:val="18"/>
                <w:color w:val="auto"/>
              </w:rPr>
              <w:t>Mellon Bank, N.A., as trustee, dated as of August 24, 1989 (incorporated by reference to Exhibit 4(b) to Form S-3</w:t>
            </w:r>
          </w:p>
        </w:tc>
      </w:tr>
      <w:tr>
        <w:trPr>
          <w:trHeight w:val="230"/>
        </w:trPr>
        <w:tc>
          <w:tcPr>
            <w:tcW w:w="980" w:type="dxa"/>
            <w:vAlign w:val="bottom"/>
          </w:tcPr>
          <w:p>
            <w:pPr>
              <w:spacing w:after="0"/>
              <w:rPr>
                <w:sz w:val="20"/>
                <w:szCs w:val="20"/>
                <w:color w:val="auto"/>
              </w:rPr>
            </w:pPr>
          </w:p>
        </w:tc>
        <w:tc>
          <w:tcPr>
            <w:tcW w:w="9080" w:type="dxa"/>
            <w:vAlign w:val="bottom"/>
            <w:gridSpan w:val="28"/>
          </w:tcPr>
          <w:p>
            <w:pPr>
              <w:spacing w:after="0"/>
              <w:rPr>
                <w:sz w:val="20"/>
                <w:szCs w:val="20"/>
                <w:color w:val="auto"/>
              </w:rPr>
            </w:pPr>
            <w:r>
              <w:rPr>
                <w:rFonts w:ascii="Arial" w:cs="Arial" w:eastAsia="Arial" w:hAnsi="Arial"/>
                <w:sz w:val="18"/>
                <w:szCs w:val="18"/>
                <w:color w:val="auto"/>
              </w:rPr>
              <w:t>Registration Statement No. 33-30350 of TRW Inc.)</w:t>
            </w:r>
          </w:p>
        </w:tc>
      </w:tr>
      <w:tr>
        <w:trPr>
          <w:trHeight w:val="486"/>
        </w:trPr>
        <w:tc>
          <w:tcPr>
            <w:tcW w:w="980" w:type="dxa"/>
            <w:vAlign w:val="bottom"/>
          </w:tcPr>
          <w:p>
            <w:pPr>
              <w:spacing w:after="0"/>
              <w:rPr>
                <w:sz w:val="24"/>
                <w:szCs w:val="24"/>
                <w:color w:val="auto"/>
              </w:rPr>
            </w:pPr>
          </w:p>
        </w:tc>
        <w:tc>
          <w:tcPr>
            <w:tcW w:w="4320" w:type="dxa"/>
            <w:vAlign w:val="bottom"/>
            <w:gridSpan w:val="3"/>
          </w:tcPr>
          <w:p>
            <w:pPr>
              <w:ind w:left="3780"/>
              <w:spacing w:after="0"/>
              <w:rPr>
                <w:sz w:val="20"/>
                <w:szCs w:val="20"/>
                <w:color w:val="auto"/>
              </w:rPr>
            </w:pPr>
            <w:r>
              <w:rPr>
                <w:rFonts w:ascii="Arial" w:cs="Arial" w:eastAsia="Arial" w:hAnsi="Arial"/>
                <w:sz w:val="18"/>
                <w:szCs w:val="18"/>
                <w:color w:val="auto"/>
              </w:rPr>
              <w:t>-83-</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60"/>
          </w:cols>
          <w:pgMar w:left="240" w:top="337" w:right="79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4(o)</w:t>
            </w:r>
          </w:p>
        </w:tc>
        <w:tc>
          <w:tcPr>
            <w:tcW w:w="8860" w:type="dxa"/>
            <w:vAlign w:val="bottom"/>
            <w:tcBorders>
              <w:bottom w:val="single" w:sz="8" w:color="0000FF"/>
            </w:tcBorders>
            <w:gridSpan w:val="22"/>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Fifth Supplemental Indenture between TRW Inc. (predecessor-in-interest to Northrop Grumman Systems Corporation) and</w:t>
              </w:r>
            </w:hyperlink>
          </w:p>
        </w:tc>
        <w:tc>
          <w:tcPr>
            <w:tcW w:w="220" w:type="dxa"/>
            <w:vAlign w:val="bottom"/>
            <w:gridSpan w:val="9"/>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1"/>
          </w:tcPr>
          <w:p>
            <w:pPr>
              <w:spacing w:after="0" w:line="196" w:lineRule="exact"/>
              <w:rPr>
                <w:rFonts w:ascii="Arial" w:cs="Arial" w:eastAsia="Arial" w:hAnsi="Arial"/>
                <w:sz w:val="18"/>
                <w:szCs w:val="18"/>
                <w:color w:val="0000FF"/>
                <w:w w:val="94"/>
              </w:rPr>
            </w:pPr>
            <w:hyperlink r:id="rId28">
              <w:r>
                <w:rPr>
                  <w:rFonts w:ascii="Arial" w:cs="Arial" w:eastAsia="Arial" w:hAnsi="Arial"/>
                  <w:sz w:val="18"/>
                  <w:szCs w:val="18"/>
                  <w:color w:val="0000FF"/>
                  <w:w w:val="94"/>
                </w:rPr>
                <w:t>The Chase Manhattan Bank, as successor trustee, dated as of June 2, 1999 (incorporated by reference to Exhibit 4(f) to</w:t>
              </w:r>
            </w:hyperlink>
          </w:p>
        </w:tc>
      </w:tr>
      <w:tr>
        <w:trPr>
          <w:trHeight w:val="196"/>
        </w:trPr>
        <w:tc>
          <w:tcPr>
            <w:tcW w:w="980" w:type="dxa"/>
            <w:vAlign w:val="bottom"/>
          </w:tcPr>
          <w:p>
            <w:pPr>
              <w:spacing w:after="0"/>
              <w:rPr>
                <w:sz w:val="17"/>
                <w:szCs w:val="17"/>
                <w:color w:val="auto"/>
              </w:rPr>
            </w:pPr>
          </w:p>
        </w:tc>
        <w:tc>
          <w:tcPr>
            <w:tcW w:w="59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Form S-4 Registration Statement No. 333-83227 of TRW Inc. filed July 20, 1999)</w:t>
              </w:r>
            </w:hyperlink>
          </w:p>
        </w:tc>
        <w:tc>
          <w:tcPr>
            <w:tcW w:w="2620" w:type="dxa"/>
            <w:vAlign w:val="bottom"/>
            <w:tcBorders>
              <w:top w:val="single" w:sz="8" w:color="0000FF"/>
            </w:tcBorders>
            <w:gridSpan w:val="8"/>
          </w:tcPr>
          <w:p>
            <w:pPr>
              <w:spacing w:after="0"/>
              <w:rPr>
                <w:sz w:val="17"/>
                <w:szCs w:val="17"/>
                <w:color w:val="auto"/>
              </w:rPr>
            </w:pPr>
          </w:p>
        </w:tc>
        <w:tc>
          <w:tcPr>
            <w:tcW w:w="540" w:type="dxa"/>
            <w:vAlign w:val="bottom"/>
            <w:gridSpan w:val="15"/>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4(p)</w:t>
            </w:r>
          </w:p>
        </w:tc>
        <w:tc>
          <w:tcPr>
            <w:tcW w:w="8860" w:type="dxa"/>
            <w:vAlign w:val="bottom"/>
            <w:tcBorders>
              <w:bottom w:val="single" w:sz="8" w:color="0000FF"/>
            </w:tcBorders>
            <w:gridSpan w:val="22"/>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Ninth Supplemental Indenture dated as of December 31, 2009 among Northrop Grumman Space &amp; Mission Systems Corp.</w:t>
              </w:r>
            </w:hyperlink>
          </w:p>
        </w:tc>
        <w:tc>
          <w:tcPr>
            <w:tcW w:w="220" w:type="dxa"/>
            <w:vAlign w:val="bottom"/>
            <w:gridSpan w:val="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92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(predecessor–in-interest to Northrop Grumman Systems Corporation); The Bank of New York Mellon, as successor trustee;</w:t>
              </w:r>
            </w:hyperlink>
          </w:p>
        </w:tc>
        <w:tc>
          <w:tcPr>
            <w:tcW w:w="16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1"/>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Northrop Grumman Corporation; and Northrop Grumman Systems Corporation (incorporated by reference to Exhibit 4(p) to</w:t>
              </w:r>
            </w:hyperlink>
          </w:p>
        </w:tc>
      </w:tr>
      <w:tr>
        <w:trPr>
          <w:trHeight w:val="196"/>
        </w:trPr>
        <w:tc>
          <w:tcPr>
            <w:tcW w:w="980" w:type="dxa"/>
            <w:vAlign w:val="bottom"/>
          </w:tcPr>
          <w:p>
            <w:pPr>
              <w:spacing w:after="0"/>
              <w:rPr>
                <w:sz w:val="17"/>
                <w:szCs w:val="17"/>
                <w:color w:val="auto"/>
              </w:rPr>
            </w:pPr>
          </w:p>
        </w:tc>
        <w:tc>
          <w:tcPr>
            <w:tcW w:w="898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Form 10-K for the year ended December 31, 2009, filed February 9, 2010, File No. 001-16411)</w:t>
              </w:r>
            </w:hyperlink>
          </w:p>
        </w:tc>
        <w:tc>
          <w:tcPr>
            <w:tcW w:w="100" w:type="dxa"/>
            <w:vAlign w:val="bottom"/>
            <w:gridSpan w:val="3"/>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4(q)</w:t>
            </w:r>
          </w:p>
        </w:tc>
        <w:tc>
          <w:tcPr>
            <w:tcW w:w="8340" w:type="dxa"/>
            <w:vAlign w:val="bottom"/>
            <w:tcBorders>
              <w:bottom w:val="single" w:sz="8" w:color="0000FF"/>
            </w:tcBorders>
            <w:gridSpan w:val="12"/>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Tenth Supplemental Indenture dated as of March 30, 2011, by and among Northrop Grumman Systems Corporation</w:t>
              </w:r>
            </w:hyperlink>
          </w:p>
        </w:tc>
        <w:tc>
          <w:tcPr>
            <w:tcW w:w="740" w:type="dxa"/>
            <w:vAlign w:val="bottom"/>
            <w:gridSpan w:val="1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5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(successor-in-interest to Northrop Grumman Space &amp; Mission Systems Corp. and TRW, Inc.), The Bank of New York</w:t>
              </w:r>
            </w:hyperlink>
          </w:p>
        </w:tc>
        <w:tc>
          <w:tcPr>
            <w:tcW w:w="580" w:type="dxa"/>
            <w:vAlign w:val="bottom"/>
            <w:gridSpan w:val="1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Mellon, as successor trustee to JPMorgan Chase Bank and to Mellon Bank, N.A., Titan II Inc. (formerly known as Northrop</w:t>
              </w:r>
            </w:hyperlink>
          </w:p>
        </w:tc>
        <w:tc>
          <w:tcPr>
            <w:tcW w:w="140" w:type="dxa"/>
            <w:vAlign w:val="bottom"/>
            <w:gridSpan w:val="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6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Grumman Corporation), and Titan Holdings II, L.P., to Indenture between TRW Inc. and Mellon Bank, N.A., as trustee, dated</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as of May 1, 1986 (incorporated by reference to Exhibit 4.7 to Form 10-Q for the quarter ended March 31, 2011, filed April</w:t>
              </w:r>
            </w:hyperlink>
          </w:p>
        </w:tc>
        <w:tc>
          <w:tcPr>
            <w:tcW w:w="180" w:type="dxa"/>
            <w:vAlign w:val="bottom"/>
            <w:gridSpan w:val="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21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27, 2011, File No. 001-16411)</w:t>
              </w:r>
            </w:hyperlink>
          </w:p>
        </w:tc>
        <w:tc>
          <w:tcPr>
            <w:tcW w:w="6900" w:type="dxa"/>
            <w:vAlign w:val="bottom"/>
            <w:gridSpan w:val="27"/>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4(r)</w:t>
            </w:r>
          </w:p>
        </w:tc>
        <w:tc>
          <w:tcPr>
            <w:tcW w:w="9080" w:type="dxa"/>
            <w:vAlign w:val="bottom"/>
            <w:gridSpan w:val="31"/>
          </w:tcPr>
          <w:p>
            <w:pPr>
              <w:spacing w:after="0"/>
              <w:rPr>
                <w:rFonts w:ascii="Arial" w:cs="Arial" w:eastAsia="Arial" w:hAnsi="Arial"/>
                <w:sz w:val="18"/>
                <w:szCs w:val="18"/>
                <w:color w:val="0000FF"/>
                <w:w w:val="95"/>
              </w:rPr>
            </w:pPr>
            <w:hyperlink r:id="rId31">
              <w:r>
                <w:rPr>
                  <w:rFonts w:ascii="Arial" w:cs="Arial" w:eastAsia="Arial" w:hAnsi="Arial"/>
                  <w:sz w:val="18"/>
                  <w:szCs w:val="18"/>
                  <w:color w:val="0000FF"/>
                  <w:w w:val="95"/>
                </w:rPr>
                <w:t>Eleventh Supplemental Indenture dated as of March 30, 2011, by and among Northrop Grumman Systems Corporation</w:t>
              </w:r>
            </w:hyperlink>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08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(successor-in-interest to Northrop Grumman Space &amp; Mission Systems Corp. and TRW Inc.), The Bank of New York Mellon,</w:t>
              </w:r>
            </w:hyperlink>
          </w:p>
        </w:tc>
      </w:tr>
      <w:tr>
        <w:trPr>
          <w:trHeight w:val="196"/>
        </w:trPr>
        <w:tc>
          <w:tcPr>
            <w:tcW w:w="980" w:type="dxa"/>
            <w:vAlign w:val="bottom"/>
          </w:tcPr>
          <w:p>
            <w:pPr>
              <w:spacing w:after="0"/>
              <w:rPr>
                <w:sz w:val="17"/>
                <w:szCs w:val="17"/>
                <w:color w:val="auto"/>
              </w:rPr>
            </w:pPr>
          </w:p>
        </w:tc>
        <w:tc>
          <w:tcPr>
            <w:tcW w:w="874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as successor trustee to JPMorgan Chase Bank and to Mellon Bank, N.A., Titan Holdings II, L.P., and Northrop Grumman</w:t>
              </w:r>
            </w:hyperlink>
          </w:p>
        </w:tc>
        <w:tc>
          <w:tcPr>
            <w:tcW w:w="340" w:type="dxa"/>
            <w:vAlign w:val="bottom"/>
            <w:gridSpan w:val="1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6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Corporation (formerly known as New P, Inc.) to Indenture between TRW Inc. and Mellon Bank, N.A., as trustee, dated as of</w:t>
              </w:r>
            </w:hyperlink>
          </w:p>
        </w:tc>
        <w:tc>
          <w:tcPr>
            <w:tcW w:w="12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7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May 1, 1986 (incorporated by reference to Exhibit 4.8 to Form 10-Q for the quarter ended March 31, 2011, filed April 27,</w:t>
              </w:r>
            </w:hyperlink>
          </w:p>
        </w:tc>
        <w:tc>
          <w:tcPr>
            <w:tcW w:w="300" w:type="dxa"/>
            <w:vAlign w:val="bottom"/>
            <w:gridSpan w:val="1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1"/>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2011, File No. 001-16411)</w:t>
              </w:r>
            </w:hyperlink>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4(s)</w:t>
            </w:r>
          </w:p>
        </w:tc>
        <w:tc>
          <w:tcPr>
            <w:tcW w:w="8840" w:type="dxa"/>
            <w:vAlign w:val="bottom"/>
            <w:tcBorders>
              <w:bottom w:val="single" w:sz="8" w:color="0000FF"/>
            </w:tcBorders>
            <w:gridSpan w:val="21"/>
          </w:tcPr>
          <w:p>
            <w:pPr>
              <w:spacing w:after="0"/>
              <w:rPr>
                <w:rFonts w:ascii="Arial" w:cs="Arial" w:eastAsia="Arial" w:hAnsi="Arial"/>
                <w:sz w:val="18"/>
                <w:szCs w:val="18"/>
                <w:color w:val="0000FF"/>
                <w:w w:val="89"/>
              </w:rPr>
            </w:pPr>
            <w:hyperlink r:id="rId32">
              <w:r>
                <w:rPr>
                  <w:rFonts w:ascii="Arial" w:cs="Arial" w:eastAsia="Arial" w:hAnsi="Arial"/>
                  <w:sz w:val="18"/>
                  <w:szCs w:val="18"/>
                  <w:color w:val="0000FF"/>
                  <w:w w:val="89"/>
                </w:rPr>
                <w:t>Indenture dated as of November 21, 2001, between Northrop Grumman Corporation and JPMorgan Chase Bank, as trustee</w:t>
              </w:r>
            </w:hyperlink>
          </w:p>
        </w:tc>
        <w:tc>
          <w:tcPr>
            <w:tcW w:w="240" w:type="dxa"/>
            <w:vAlign w:val="bottom"/>
            <w:gridSpan w:val="10"/>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30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(incorporated by reference to Exhibit 4.1 to Form 8-K filed November 21, 2001, File No. 001-16411)</w:t>
              </w:r>
            </w:hyperlink>
          </w:p>
        </w:tc>
        <w:tc>
          <w:tcPr>
            <w:tcW w:w="1780" w:type="dxa"/>
            <w:vAlign w:val="bottom"/>
            <w:gridSpan w:val="21"/>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4(t)</w:t>
            </w:r>
          </w:p>
        </w:tc>
        <w:tc>
          <w:tcPr>
            <w:tcW w:w="9060" w:type="dxa"/>
            <w:vAlign w:val="bottom"/>
            <w:tcBorders>
              <w:bottom w:val="single" w:sz="8" w:color="0000FF"/>
            </w:tcBorders>
            <w:gridSpan w:val="30"/>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First Supplemental Indenture dated as of July 30, 2009, between Northrop Grumman Corporation and The Bank of New York</w:t>
              </w:r>
            </w:hyperlink>
          </w:p>
        </w:tc>
        <w:tc>
          <w:tcPr>
            <w:tcW w:w="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52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Mellon, as successor trustee, to Indenture dated as of November 21, 2001 (incorporated by reference to Exhibit 4(a) to</w:t>
              </w:r>
            </w:hyperlink>
          </w:p>
        </w:tc>
        <w:tc>
          <w:tcPr>
            <w:tcW w:w="560" w:type="dxa"/>
            <w:vAlign w:val="bottom"/>
            <w:gridSpan w:val="1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1"/>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Form 8-K filed July 30, 2009, File No. 001-16411)</w:t>
              </w:r>
            </w:hyperlink>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4(u)</w:t>
            </w:r>
          </w:p>
        </w:tc>
        <w:tc>
          <w:tcPr>
            <w:tcW w:w="8300" w:type="dxa"/>
            <w:vAlign w:val="bottom"/>
            <w:tcBorders>
              <w:bottom w:val="single" w:sz="8" w:color="0000FF"/>
            </w:tcBorders>
            <w:gridSpan w:val="11"/>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Form of Northrop Grumman Corporation’s 5.05% Senior Note due 2019 (incorporated by reference to Exhibit B to</w:t>
              </w:r>
            </w:hyperlink>
          </w:p>
        </w:tc>
        <w:tc>
          <w:tcPr>
            <w:tcW w:w="780" w:type="dxa"/>
            <w:vAlign w:val="bottom"/>
            <w:gridSpan w:val="20"/>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76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Exhibit 4(a) to Form 8-K filed July 30, 2009, File No. 001-16411)</w:t>
              </w:r>
            </w:hyperlink>
          </w:p>
        </w:tc>
        <w:tc>
          <w:tcPr>
            <w:tcW w:w="4320" w:type="dxa"/>
            <w:vAlign w:val="bottom"/>
            <w:gridSpan w:val="24"/>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4(v)</w:t>
            </w:r>
          </w:p>
        </w:tc>
        <w:tc>
          <w:tcPr>
            <w:tcW w:w="9080" w:type="dxa"/>
            <w:vAlign w:val="bottom"/>
            <w:gridSpan w:val="31"/>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Second Supplemental Indenture dated as of November 8, 2010, between Northrop Grumman Corporation and The Bank of</w:t>
              </w:r>
            </w:hyperlink>
          </w:p>
        </w:tc>
      </w:tr>
      <w:tr>
        <w:trPr>
          <w:trHeight w:val="196"/>
        </w:trPr>
        <w:tc>
          <w:tcPr>
            <w:tcW w:w="980" w:type="dxa"/>
            <w:vAlign w:val="bottom"/>
          </w:tcPr>
          <w:p>
            <w:pPr>
              <w:spacing w:after="0"/>
              <w:rPr>
                <w:sz w:val="17"/>
                <w:szCs w:val="17"/>
                <w:color w:val="auto"/>
              </w:rPr>
            </w:pPr>
          </w:p>
        </w:tc>
        <w:tc>
          <w:tcPr>
            <w:tcW w:w="8840" w:type="dxa"/>
            <w:vAlign w:val="bottom"/>
            <w:tcBorders>
              <w:top w:val="single" w:sz="8" w:color="0000FF"/>
            </w:tcBorders>
            <w:gridSpan w:val="21"/>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New York Mellon, as successor trustee, to Indenture dated as of November 21, 2001 (incorporated by reference to Exhibit</w:t>
              </w:r>
            </w:hyperlink>
          </w:p>
        </w:tc>
        <w:tc>
          <w:tcPr>
            <w:tcW w:w="240" w:type="dxa"/>
            <w:vAlign w:val="bottom"/>
            <w:gridSpan w:val="10"/>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5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4(a) to Form 8-K filed November 8, 2010, File No. 001-16411)</w:t>
              </w:r>
            </w:hyperlink>
          </w:p>
        </w:tc>
        <w:tc>
          <w:tcPr>
            <w:tcW w:w="4220" w:type="dxa"/>
            <w:vAlign w:val="bottom"/>
            <w:tcBorders>
              <w:top w:val="single" w:sz="8" w:color="0000FF"/>
            </w:tcBorders>
            <w:gridSpan w:val="13"/>
          </w:tcPr>
          <w:p>
            <w:pPr>
              <w:spacing w:after="0"/>
              <w:rPr>
                <w:sz w:val="17"/>
                <w:szCs w:val="17"/>
                <w:color w:val="auto"/>
              </w:rPr>
            </w:pPr>
          </w:p>
        </w:tc>
        <w:tc>
          <w:tcPr>
            <w:tcW w:w="300" w:type="dxa"/>
            <w:vAlign w:val="bottom"/>
            <w:gridSpan w:val="12"/>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4(w)</w:t>
            </w:r>
          </w:p>
        </w:tc>
        <w:tc>
          <w:tcPr>
            <w:tcW w:w="8960" w:type="dxa"/>
            <w:vAlign w:val="bottom"/>
            <w:tcBorders>
              <w:bottom w:val="single" w:sz="8" w:color="0000FF"/>
            </w:tcBorders>
            <w:gridSpan w:val="27"/>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Form of Northrop Grumman Corporation’s 3.500% Senior Note due 2021 (incorporated by reference to Exhibit B to Exhibit</w:t>
              </w:r>
            </w:hyperlink>
          </w:p>
        </w:tc>
        <w:tc>
          <w:tcPr>
            <w:tcW w:w="12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56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4(a) to Form 8-K filed November 8, 2010, File No. 001-16411)</w:t>
              </w:r>
            </w:hyperlink>
          </w:p>
        </w:tc>
        <w:tc>
          <w:tcPr>
            <w:tcW w:w="4520" w:type="dxa"/>
            <w:vAlign w:val="bottom"/>
            <w:gridSpan w:val="25"/>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4(x)</w:t>
            </w:r>
          </w:p>
        </w:tc>
        <w:tc>
          <w:tcPr>
            <w:tcW w:w="8960" w:type="dxa"/>
            <w:vAlign w:val="bottom"/>
            <w:tcBorders>
              <w:bottom w:val="single" w:sz="8" w:color="0000FF"/>
            </w:tcBorders>
            <w:gridSpan w:val="27"/>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Form of Northrop Grumman Corporation’s 5.050% Senior Note due 2040 (incorporated by reference to Exhibit C to Exhibit</w:t>
              </w:r>
            </w:hyperlink>
          </w:p>
        </w:tc>
        <w:tc>
          <w:tcPr>
            <w:tcW w:w="12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56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4(a) to Form 8-K filed November 8, 2010, File No. 001-16411)</w:t>
              </w:r>
            </w:hyperlink>
          </w:p>
        </w:tc>
        <w:tc>
          <w:tcPr>
            <w:tcW w:w="4520" w:type="dxa"/>
            <w:vAlign w:val="bottom"/>
            <w:gridSpan w:val="25"/>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4(y)</w:t>
            </w:r>
          </w:p>
        </w:tc>
        <w:tc>
          <w:tcPr>
            <w:tcW w:w="9080" w:type="dxa"/>
            <w:vAlign w:val="bottom"/>
            <w:gridSpan w:val="31"/>
          </w:tcPr>
          <w:p>
            <w:pPr>
              <w:spacing w:after="0"/>
              <w:rPr>
                <w:rFonts w:ascii="Arial" w:cs="Arial" w:eastAsia="Arial" w:hAnsi="Arial"/>
                <w:sz w:val="18"/>
                <w:szCs w:val="18"/>
                <w:color w:val="0000FF"/>
                <w:w w:val="98"/>
              </w:rPr>
            </w:pPr>
            <w:hyperlink r:id="rId35">
              <w:r>
                <w:rPr>
                  <w:rFonts w:ascii="Arial" w:cs="Arial" w:eastAsia="Arial" w:hAnsi="Arial"/>
                  <w:sz w:val="18"/>
                  <w:szCs w:val="18"/>
                  <w:color w:val="0000FF"/>
                  <w:w w:val="98"/>
                </w:rPr>
                <w:t>Third Supplemental Indenture dated as of March 30, 2011, by and among Titan II, Inc. (formerly known as Northrop</w:t>
              </w:r>
            </w:hyperlink>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940" w:type="dxa"/>
            <w:vAlign w:val="bottom"/>
            <w:gridSpan w:val="11"/>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080" w:type="dxa"/>
            <w:vAlign w:val="bottom"/>
            <w:gridSpan w:val="31"/>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Grumman Corporation), The Bank of New York Mellon, as successor trustee to JPMorgan Chase Bank, and Titan Holdings</w:t>
              </w:r>
            </w:hyperlink>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320" w:type="dxa"/>
            <w:vAlign w:val="bottom"/>
            <w:gridSpan w:val="1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04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II, L.P., to Indenture dated as of November 21, 2001 between Northrop Grumman Corporation and JPMorgan Chase Bank, as</w:t>
              </w:r>
            </w:hyperlink>
          </w:p>
        </w:tc>
        <w:tc>
          <w:tcPr>
            <w:tcW w:w="4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1"/>
          </w:tcPr>
          <w:p>
            <w:pPr>
              <w:spacing w:after="0" w:line="196" w:lineRule="exact"/>
              <w:rPr>
                <w:rFonts w:ascii="Arial" w:cs="Arial" w:eastAsia="Arial" w:hAnsi="Arial"/>
                <w:sz w:val="18"/>
                <w:szCs w:val="18"/>
                <w:color w:val="0000FF"/>
                <w:w w:val="94"/>
              </w:rPr>
            </w:pPr>
            <w:hyperlink r:id="rId35">
              <w:r>
                <w:rPr>
                  <w:rFonts w:ascii="Arial" w:cs="Arial" w:eastAsia="Arial" w:hAnsi="Arial"/>
                  <w:sz w:val="18"/>
                  <w:szCs w:val="18"/>
                  <w:color w:val="0000FF"/>
                  <w:w w:val="94"/>
                </w:rPr>
                <w:t>trustee (incorporated by reference to Exhibit 4.9 to Form 10-Q for the quarter ended March 31, 2011, filed April 27, 2011,</w:t>
              </w:r>
            </w:hyperlink>
          </w:p>
        </w:tc>
      </w:tr>
      <w:tr>
        <w:trPr>
          <w:trHeight w:val="196"/>
        </w:trPr>
        <w:tc>
          <w:tcPr>
            <w:tcW w:w="980" w:type="dxa"/>
            <w:vAlign w:val="bottom"/>
          </w:tcPr>
          <w:p>
            <w:pPr>
              <w:spacing w:after="0"/>
              <w:rPr>
                <w:sz w:val="17"/>
                <w:szCs w:val="17"/>
                <w:color w:val="auto"/>
              </w:rPr>
            </w:pPr>
          </w:p>
        </w:tc>
        <w:tc>
          <w:tcPr>
            <w:tcW w:w="87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File No. 001-16411)</w:t>
              </w:r>
            </w:hyperlink>
          </w:p>
        </w:tc>
        <w:tc>
          <w:tcPr>
            <w:tcW w:w="300" w:type="dxa"/>
            <w:vAlign w:val="bottom"/>
            <w:gridSpan w:val="1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340" w:type="dxa"/>
            <w:vAlign w:val="bottom"/>
            <w:gridSpan w:val="18"/>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4(z)</w:t>
            </w:r>
          </w:p>
        </w:tc>
        <w:tc>
          <w:tcPr>
            <w:tcW w:w="8800" w:type="dxa"/>
            <w:vAlign w:val="bottom"/>
            <w:tcBorders>
              <w:bottom w:val="single" w:sz="8" w:color="0000FF"/>
            </w:tcBorders>
            <w:gridSpan w:val="20"/>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Fourth Supplemental Indenture dated as of March 30, 2011, by and among Titan Holdings II, L.P., The Bank of New York</w:t>
              </w:r>
            </w:hyperlink>
          </w:p>
        </w:tc>
        <w:tc>
          <w:tcPr>
            <w:tcW w:w="280" w:type="dxa"/>
            <w:vAlign w:val="bottom"/>
            <w:gridSpan w:val="11"/>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8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Mellon, as successor trustee to JPMorgan Chase Bank, and Northrop Grumman Corporation (formerly known as New P, Inc.),</w:t>
              </w:r>
            </w:hyperlink>
          </w:p>
        </w:tc>
      </w:tr>
      <w:tr>
        <w:trPr>
          <w:trHeight w:val="196"/>
        </w:trPr>
        <w:tc>
          <w:tcPr>
            <w:tcW w:w="980" w:type="dxa"/>
            <w:vAlign w:val="bottom"/>
          </w:tcPr>
          <w:p>
            <w:pPr>
              <w:spacing w:after="0"/>
              <w:rPr>
                <w:sz w:val="17"/>
                <w:szCs w:val="17"/>
                <w:color w:val="auto"/>
              </w:rPr>
            </w:pPr>
          </w:p>
        </w:tc>
        <w:tc>
          <w:tcPr>
            <w:tcW w:w="8980" w:type="dxa"/>
            <w:vAlign w:val="bottom"/>
            <w:tcBorders>
              <w:bottom w:val="single" w:sz="8" w:color="0000FF"/>
            </w:tcBorders>
            <w:gridSpan w:val="28"/>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to Indenture dated as of November 21, 2001 between Northrop Grumman Corporation and JPMorgan Chase Bank, as trustee</w:t>
              </w:r>
            </w:hyperlink>
          </w:p>
        </w:tc>
        <w:tc>
          <w:tcPr>
            <w:tcW w:w="10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1"/>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(incorporated by reference to Exhibit 4.10 to Form 10-Q for the quarter ended March 31, 2011, filed April 27, 2011, File No.</w:t>
              </w:r>
            </w:hyperlink>
          </w:p>
        </w:tc>
      </w:tr>
      <w:tr>
        <w:trPr>
          <w:trHeight w:val="196"/>
        </w:trPr>
        <w:tc>
          <w:tcPr>
            <w:tcW w:w="980" w:type="dxa"/>
            <w:vAlign w:val="bottom"/>
          </w:tcPr>
          <w:p>
            <w:pPr>
              <w:spacing w:after="0"/>
              <w:rPr>
                <w:sz w:val="17"/>
                <w:szCs w:val="17"/>
                <w:color w:val="auto"/>
              </w:rPr>
            </w:pPr>
          </w:p>
        </w:tc>
        <w:tc>
          <w:tcPr>
            <w:tcW w:w="8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001-16411)</w:t>
              </w:r>
            </w:hyperlink>
          </w:p>
        </w:tc>
        <w:tc>
          <w:tcPr>
            <w:tcW w:w="6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07"/>
        </w:trPr>
        <w:tc>
          <w:tcPr>
            <w:tcW w:w="980" w:type="dxa"/>
            <w:vAlign w:val="bottom"/>
          </w:tcPr>
          <w:p>
            <w:pPr>
              <w:spacing w:after="0"/>
              <w:rPr>
                <w:sz w:val="24"/>
                <w:szCs w:val="24"/>
                <w:color w:val="auto"/>
              </w:rPr>
            </w:pPr>
          </w:p>
        </w:tc>
        <w:tc>
          <w:tcPr>
            <w:tcW w:w="4560" w:type="dxa"/>
            <w:vAlign w:val="bottom"/>
            <w:gridSpan w:val="6"/>
          </w:tcPr>
          <w:p>
            <w:pPr>
              <w:ind w:left="378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60"/>
          </w:cols>
          <w:pgMar w:left="240" w:top="337" w:right="79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4(aa)</w:t>
            </w:r>
          </w:p>
        </w:tc>
        <w:tc>
          <w:tcPr>
            <w:tcW w:w="8780" w:type="dxa"/>
            <w:vAlign w:val="bottom"/>
            <w:tcBorders>
              <w:bottom w:val="single" w:sz="8" w:color="0000FF"/>
            </w:tcBorders>
            <w:gridSpan w:val="13"/>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Fifth Supplemental Indenture, dated as of May 31, 2013, between Northrop Grumman Corporation and The Bank of New</w:t>
              </w:r>
            </w:hyperlink>
          </w:p>
        </w:tc>
        <w:tc>
          <w:tcPr>
            <w:tcW w:w="280" w:type="dxa"/>
            <w:vAlign w:val="bottom"/>
            <w:gridSpan w:val="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0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York Mellon, as successor to JPMorgan Chase Bank, Trustee, to Indenture dated as of November 21, 2001 (incorporated by</w:t>
              </w:r>
            </w:hyperlink>
          </w:p>
        </w:tc>
        <w:tc>
          <w:tcPr>
            <w:tcW w:w="160" w:type="dxa"/>
            <w:vAlign w:val="bottom"/>
            <w:gridSpan w:val="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20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reference to Exhibit 4(a) to Form 8-K filed May 31, 2013)</w:t>
              </w:r>
            </w:hyperlink>
          </w:p>
        </w:tc>
        <w:tc>
          <w:tcPr>
            <w:tcW w:w="4860" w:type="dxa"/>
            <w:vAlign w:val="bottom"/>
            <w:gridSpan w:val="17"/>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4(bb)</w:t>
            </w:r>
          </w:p>
        </w:tc>
        <w:tc>
          <w:tcPr>
            <w:tcW w:w="9060" w:type="dxa"/>
            <w:vAlign w:val="bottom"/>
            <w:gridSpan w:val="20"/>
          </w:tcPr>
          <w:p>
            <w:pPr>
              <w:spacing w:after="0"/>
              <w:rPr>
                <w:rFonts w:ascii="Arial" w:cs="Arial" w:eastAsia="Arial" w:hAnsi="Arial"/>
                <w:sz w:val="18"/>
                <w:szCs w:val="18"/>
                <w:color w:val="0000FF"/>
                <w:w w:val="95"/>
              </w:rPr>
            </w:pPr>
            <w:hyperlink r:id="rId37">
              <w:r>
                <w:rPr>
                  <w:rFonts w:ascii="Arial" w:cs="Arial" w:eastAsia="Arial" w:hAnsi="Arial"/>
                  <w:sz w:val="18"/>
                  <w:szCs w:val="18"/>
                  <w:color w:val="0000FF"/>
                  <w:w w:val="95"/>
                </w:rPr>
                <w:t>Form of 1.750% Senior Note due 2018 (incorporated by reference to Exhibit A to Exhibit 4(a) to Form 8-K filed May 31,</w:t>
              </w:r>
            </w:hyperlink>
          </w:p>
        </w:tc>
      </w:tr>
      <w:tr>
        <w:trPr>
          <w:trHeight w:val="196"/>
        </w:trPr>
        <w:tc>
          <w:tcPr>
            <w:tcW w:w="9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37">
              <w:r>
                <w:rPr>
                  <w:rFonts w:ascii="Arial" w:cs="Arial" w:eastAsia="Arial" w:hAnsi="Arial"/>
                  <w:sz w:val="18"/>
                  <w:szCs w:val="18"/>
                  <w:color w:val="0000FF"/>
                  <w:w w:val="86"/>
                </w:rPr>
                <w:t>2013)</w:t>
              </w:r>
            </w:hyperlink>
          </w:p>
        </w:tc>
        <w:tc>
          <w:tcPr>
            <w:tcW w:w="20" w:type="dxa"/>
            <w:vAlign w:val="bottom"/>
            <w:tcBorders>
              <w:top w:val="single" w:sz="8" w:color="0000FF"/>
            </w:tcBorders>
          </w:tcPr>
          <w:p>
            <w:pPr>
              <w:spacing w:after="0"/>
              <w:rPr>
                <w:sz w:val="17"/>
                <w:szCs w:val="17"/>
                <w:color w:val="auto"/>
              </w:rPr>
            </w:pPr>
          </w:p>
        </w:tc>
        <w:tc>
          <w:tcPr>
            <w:tcW w:w="37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4(cc)</w:t>
            </w:r>
          </w:p>
        </w:tc>
        <w:tc>
          <w:tcPr>
            <w:tcW w:w="9060" w:type="dxa"/>
            <w:vAlign w:val="bottom"/>
            <w:gridSpan w:val="20"/>
          </w:tcPr>
          <w:p>
            <w:pPr>
              <w:spacing w:after="0"/>
              <w:rPr>
                <w:rFonts w:ascii="Arial" w:cs="Arial" w:eastAsia="Arial" w:hAnsi="Arial"/>
                <w:sz w:val="18"/>
                <w:szCs w:val="18"/>
                <w:color w:val="0000FF"/>
                <w:w w:val="95"/>
              </w:rPr>
            </w:pPr>
            <w:hyperlink r:id="rId37">
              <w:r>
                <w:rPr>
                  <w:rFonts w:ascii="Arial" w:cs="Arial" w:eastAsia="Arial" w:hAnsi="Arial"/>
                  <w:sz w:val="18"/>
                  <w:szCs w:val="18"/>
                  <w:color w:val="0000FF"/>
                  <w:w w:val="95"/>
                </w:rPr>
                <w:t>Form of 3.250% Senior Note due 2023 (incorporated by reference to Exhibit B to Exhibit 4(a) to Form 8-K filed May 31,</w:t>
              </w:r>
            </w:hyperlink>
          </w:p>
        </w:tc>
      </w:tr>
      <w:tr>
        <w:trPr>
          <w:trHeight w:val="196"/>
        </w:trPr>
        <w:tc>
          <w:tcPr>
            <w:tcW w:w="9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37">
              <w:r>
                <w:rPr>
                  <w:rFonts w:ascii="Arial" w:cs="Arial" w:eastAsia="Arial" w:hAnsi="Arial"/>
                  <w:sz w:val="18"/>
                  <w:szCs w:val="18"/>
                  <w:color w:val="0000FF"/>
                  <w:w w:val="86"/>
                </w:rPr>
                <w:t>2013)</w:t>
              </w:r>
            </w:hyperlink>
          </w:p>
        </w:tc>
        <w:tc>
          <w:tcPr>
            <w:tcW w:w="20" w:type="dxa"/>
            <w:vAlign w:val="bottom"/>
            <w:tcBorders>
              <w:top w:val="single" w:sz="8" w:color="0000FF"/>
            </w:tcBorders>
          </w:tcPr>
          <w:p>
            <w:pPr>
              <w:spacing w:after="0"/>
              <w:rPr>
                <w:sz w:val="17"/>
                <w:szCs w:val="17"/>
                <w:color w:val="auto"/>
              </w:rPr>
            </w:pPr>
          </w:p>
        </w:tc>
        <w:tc>
          <w:tcPr>
            <w:tcW w:w="37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4(dd)</w:t>
            </w:r>
          </w:p>
        </w:tc>
        <w:tc>
          <w:tcPr>
            <w:tcW w:w="9060" w:type="dxa"/>
            <w:vAlign w:val="bottom"/>
            <w:gridSpan w:val="20"/>
          </w:tcPr>
          <w:p>
            <w:pPr>
              <w:spacing w:after="0"/>
              <w:rPr>
                <w:rFonts w:ascii="Arial" w:cs="Arial" w:eastAsia="Arial" w:hAnsi="Arial"/>
                <w:sz w:val="18"/>
                <w:szCs w:val="18"/>
                <w:color w:val="0000FF"/>
                <w:w w:val="95"/>
              </w:rPr>
            </w:pPr>
            <w:hyperlink r:id="rId37">
              <w:r>
                <w:rPr>
                  <w:rFonts w:ascii="Arial" w:cs="Arial" w:eastAsia="Arial" w:hAnsi="Arial"/>
                  <w:sz w:val="18"/>
                  <w:szCs w:val="18"/>
                  <w:color w:val="0000FF"/>
                  <w:w w:val="95"/>
                </w:rPr>
                <w:t>Form of 4.750% Senior Note due 2043 (incorporated by reference to Exhibit C to Exhibit 4(a) to Form 8-K filed May 31,</w:t>
              </w:r>
            </w:hyperlink>
          </w:p>
        </w:tc>
      </w:tr>
      <w:tr>
        <w:trPr>
          <w:trHeight w:val="196"/>
        </w:trPr>
        <w:tc>
          <w:tcPr>
            <w:tcW w:w="9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37">
              <w:r>
                <w:rPr>
                  <w:rFonts w:ascii="Arial" w:cs="Arial" w:eastAsia="Arial" w:hAnsi="Arial"/>
                  <w:sz w:val="18"/>
                  <w:szCs w:val="18"/>
                  <w:color w:val="0000FF"/>
                  <w:w w:val="86"/>
                </w:rPr>
                <w:t>2013)</w:t>
              </w:r>
            </w:hyperlink>
          </w:p>
        </w:tc>
        <w:tc>
          <w:tcPr>
            <w:tcW w:w="20" w:type="dxa"/>
            <w:vAlign w:val="bottom"/>
            <w:tcBorders>
              <w:top w:val="single" w:sz="8" w:color="0000FF"/>
            </w:tcBorders>
          </w:tcPr>
          <w:p>
            <w:pPr>
              <w:spacing w:after="0"/>
              <w:rPr>
                <w:sz w:val="17"/>
                <w:szCs w:val="17"/>
                <w:color w:val="auto"/>
              </w:rPr>
            </w:pPr>
          </w:p>
        </w:tc>
        <w:tc>
          <w:tcPr>
            <w:tcW w:w="37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4(ee)</w:t>
            </w:r>
          </w:p>
        </w:tc>
        <w:tc>
          <w:tcPr>
            <w:tcW w:w="9020" w:type="dxa"/>
            <w:vAlign w:val="bottom"/>
            <w:tcBorders>
              <w:bottom w:val="single" w:sz="8" w:color="0000FF"/>
            </w:tcBorders>
            <w:gridSpan w:val="19"/>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Sixth Supplemental Indenture, dated as of February 6, 2015, between Northrop Grumman Corporation and The Bank of New</w:t>
              </w:r>
            </w:hyperlink>
          </w:p>
        </w:tc>
        <w:tc>
          <w:tcPr>
            <w:tcW w:w="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90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York Mellon, as successor to JPMorgan Chase Bank, Trustee, to Indenture dated as of November 21, 2001 (incorporated by</w:t>
              </w:r>
            </w:hyperlink>
          </w:p>
        </w:tc>
        <w:tc>
          <w:tcPr>
            <w:tcW w:w="160" w:type="dxa"/>
            <w:vAlign w:val="bottom"/>
            <w:gridSpan w:val="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3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reference to Exhibit 4.1 to Form 8-K filed February 6, 2015)</w:t>
              </w:r>
            </w:hyperlink>
          </w:p>
        </w:tc>
        <w:tc>
          <w:tcPr>
            <w:tcW w:w="4700" w:type="dxa"/>
            <w:vAlign w:val="bottom"/>
            <w:gridSpan w:val="16"/>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4(ff)</w:t>
            </w:r>
          </w:p>
        </w:tc>
        <w:tc>
          <w:tcPr>
            <w:tcW w:w="9060" w:type="dxa"/>
            <w:vAlign w:val="bottom"/>
            <w:gridSpan w:val="20"/>
          </w:tcPr>
          <w:p>
            <w:pPr>
              <w:spacing w:after="0"/>
              <w:rPr>
                <w:rFonts w:ascii="Arial" w:cs="Arial" w:eastAsia="Arial" w:hAnsi="Arial"/>
                <w:sz w:val="18"/>
                <w:szCs w:val="18"/>
                <w:color w:val="0000FF"/>
                <w:w w:val="93"/>
              </w:rPr>
            </w:pPr>
            <w:hyperlink r:id="rId38">
              <w:r>
                <w:rPr>
                  <w:rFonts w:ascii="Arial" w:cs="Arial" w:eastAsia="Arial" w:hAnsi="Arial"/>
                  <w:sz w:val="18"/>
                  <w:szCs w:val="18"/>
                  <w:color w:val="0000FF"/>
                  <w:w w:val="93"/>
                </w:rPr>
                <w:t>Form of 3.850% Senior Note due 2045 (incorporated by reference to Exhibit A to Exhibit 4.1 to Form 8-K filed February 6,</w:t>
              </w:r>
            </w:hyperlink>
          </w:p>
        </w:tc>
      </w:tr>
      <w:tr>
        <w:trPr>
          <w:trHeight w:val="196"/>
        </w:trPr>
        <w:tc>
          <w:tcPr>
            <w:tcW w:w="980" w:type="dxa"/>
            <w:vAlign w:val="bottom"/>
          </w:tcPr>
          <w:p>
            <w:pPr>
              <w:spacing w:after="0"/>
              <w:rPr>
                <w:sz w:val="17"/>
                <w:szCs w:val="17"/>
                <w:color w:val="auto"/>
              </w:rPr>
            </w:pPr>
          </w:p>
        </w:tc>
        <w:tc>
          <w:tcPr>
            <w:tcW w:w="4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2015)</w:t>
              </w:r>
            </w:hyperlink>
          </w:p>
        </w:tc>
        <w:tc>
          <w:tcPr>
            <w:tcW w:w="37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4(gg)</w:t>
            </w:r>
          </w:p>
        </w:tc>
        <w:tc>
          <w:tcPr>
            <w:tcW w:w="8920" w:type="dxa"/>
            <w:vAlign w:val="bottom"/>
            <w:tcBorders>
              <w:bottom w:val="single" w:sz="8" w:color="0000FF"/>
            </w:tcBorders>
            <w:gridSpan w:val="16"/>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Seventh Supplemental Indenture, dated as of December 1, 2016, between Northrop Grumman Corporation and The Bank of</w:t>
              </w:r>
            </w:hyperlink>
          </w:p>
        </w:tc>
        <w:tc>
          <w:tcPr>
            <w:tcW w:w="14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6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New York Mellon, as successor to JPMorgan Chase Bank, Trustee, to Indenture dated as of November 21, 2001 (incorporated</w:t>
              </w:r>
            </w:hyperlink>
          </w:p>
        </w:tc>
      </w:tr>
      <w:tr>
        <w:trPr>
          <w:trHeight w:val="196"/>
        </w:trPr>
        <w:tc>
          <w:tcPr>
            <w:tcW w:w="980" w:type="dxa"/>
            <w:vAlign w:val="bottom"/>
          </w:tcPr>
          <w:p>
            <w:pPr>
              <w:spacing w:after="0"/>
              <w:rPr>
                <w:sz w:val="17"/>
                <w:szCs w:val="17"/>
                <w:color w:val="auto"/>
              </w:rPr>
            </w:pPr>
          </w:p>
        </w:tc>
        <w:tc>
          <w:tcPr>
            <w:tcW w:w="468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by reference to Exhibit 4.1 to Form 8-K filed December 1, 2016)</w:t>
              </w:r>
            </w:hyperlink>
          </w:p>
        </w:tc>
        <w:tc>
          <w:tcPr>
            <w:tcW w:w="4380" w:type="dxa"/>
            <w:vAlign w:val="bottom"/>
            <w:gridSpan w:val="14"/>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4(hh)</w:t>
            </w:r>
          </w:p>
        </w:tc>
        <w:tc>
          <w:tcPr>
            <w:tcW w:w="9060" w:type="dxa"/>
            <w:vAlign w:val="bottom"/>
            <w:gridSpan w:val="20"/>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Form of 3.200% Senior Note due 2027 (incorporated by reference to Exhibit A to Exhibit 4.1 to Form 8-K filed December 1,</w:t>
              </w:r>
            </w:hyperlink>
          </w:p>
        </w:tc>
      </w:tr>
      <w:tr>
        <w:trPr>
          <w:trHeight w:val="196"/>
        </w:trPr>
        <w:tc>
          <w:tcPr>
            <w:tcW w:w="980" w:type="dxa"/>
            <w:vAlign w:val="bottom"/>
          </w:tcPr>
          <w:p>
            <w:pPr>
              <w:spacing w:after="0"/>
              <w:rPr>
                <w:sz w:val="17"/>
                <w:szCs w:val="17"/>
                <w:color w:val="auto"/>
              </w:rPr>
            </w:pPr>
          </w:p>
        </w:tc>
        <w:tc>
          <w:tcPr>
            <w:tcW w:w="4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2016)</w:t>
              </w:r>
            </w:hyperlink>
          </w:p>
        </w:tc>
        <w:tc>
          <w:tcPr>
            <w:tcW w:w="37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4(ii)</w:t>
            </w:r>
          </w:p>
        </w:tc>
        <w:tc>
          <w:tcPr>
            <w:tcW w:w="8760" w:type="dxa"/>
            <w:vAlign w:val="bottom"/>
            <w:tcBorders>
              <w:bottom w:val="single" w:sz="8" w:color="0000FF"/>
            </w:tcBorders>
            <w:gridSpan w:val="12"/>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Eighth Supplemental Indenture, dated as of October 13, 2017, between Northrop Grumman Corporation and The Bank of</w:t>
              </w:r>
            </w:hyperlink>
          </w:p>
        </w:tc>
        <w:tc>
          <w:tcPr>
            <w:tcW w:w="300" w:type="dxa"/>
            <w:vAlign w:val="bottom"/>
            <w:gridSpan w:val="8"/>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6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New York Mellon, as successor to JPMorgan Chase Bank, Trustee, to Indenture dated as of November 21, 2001 (incorporated</w:t>
              </w:r>
            </w:hyperlink>
          </w:p>
        </w:tc>
      </w:tr>
      <w:tr>
        <w:trPr>
          <w:trHeight w:val="196"/>
        </w:trPr>
        <w:tc>
          <w:tcPr>
            <w:tcW w:w="980" w:type="dxa"/>
            <w:vAlign w:val="bottom"/>
          </w:tcPr>
          <w:p>
            <w:pPr>
              <w:spacing w:after="0"/>
              <w:rPr>
                <w:sz w:val="17"/>
                <w:szCs w:val="17"/>
                <w:color w:val="auto"/>
              </w:rPr>
            </w:pPr>
          </w:p>
        </w:tc>
        <w:tc>
          <w:tcPr>
            <w:tcW w:w="9060" w:type="dxa"/>
            <w:vAlign w:val="bottom"/>
            <w:gridSpan w:val="20"/>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by reference to Exhibit 4.1 to Form 8-K filed October 13, 2017)</w:t>
              </w:r>
            </w:hyperlink>
          </w:p>
        </w:tc>
      </w:tr>
      <w:tr>
        <w:trPr>
          <w:trHeight w:val="20"/>
        </w:trPr>
        <w:tc>
          <w:tcPr>
            <w:tcW w:w="980" w:type="dxa"/>
            <w:vAlign w:val="bottom"/>
          </w:tcPr>
          <w:p>
            <w:pPr>
              <w:spacing w:after="0" w:line="20" w:lineRule="exact"/>
              <w:rPr>
                <w:sz w:val="1"/>
                <w:szCs w:val="1"/>
                <w:color w:val="auto"/>
              </w:rPr>
            </w:pPr>
          </w:p>
        </w:tc>
        <w:tc>
          <w:tcPr>
            <w:tcW w:w="4600" w:type="dxa"/>
            <w:vAlign w:val="bottom"/>
            <w:gridSpan w:val="5"/>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4(jj)</w:t>
            </w:r>
          </w:p>
        </w:tc>
        <w:tc>
          <w:tcPr>
            <w:tcW w:w="9060" w:type="dxa"/>
            <w:vAlign w:val="bottom"/>
            <w:gridSpan w:val="20"/>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Form of 2.080% Senior Note due 2020 (incorporated by reference to Exhibit A to Exhibit 4.1 to Form 8-K filed October 13,</w:t>
              </w:r>
            </w:hyperlink>
          </w:p>
        </w:tc>
      </w:tr>
      <w:tr>
        <w:trPr>
          <w:trHeight w:val="196"/>
        </w:trPr>
        <w:tc>
          <w:tcPr>
            <w:tcW w:w="9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40">
              <w:r>
                <w:rPr>
                  <w:rFonts w:ascii="Arial" w:cs="Arial" w:eastAsia="Arial" w:hAnsi="Arial"/>
                  <w:sz w:val="18"/>
                  <w:szCs w:val="18"/>
                  <w:color w:val="0000FF"/>
                  <w:w w:val="86"/>
                </w:rPr>
                <w:t>2017)</w:t>
              </w:r>
            </w:hyperlink>
          </w:p>
        </w:tc>
        <w:tc>
          <w:tcPr>
            <w:tcW w:w="20" w:type="dxa"/>
            <w:vAlign w:val="bottom"/>
            <w:tcBorders>
              <w:top w:val="single" w:sz="8" w:color="0000FF"/>
            </w:tcBorders>
          </w:tcPr>
          <w:p>
            <w:pPr>
              <w:spacing w:after="0"/>
              <w:rPr>
                <w:sz w:val="17"/>
                <w:szCs w:val="17"/>
                <w:color w:val="auto"/>
              </w:rPr>
            </w:pPr>
          </w:p>
        </w:tc>
        <w:tc>
          <w:tcPr>
            <w:tcW w:w="37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4(kk)</w:t>
            </w:r>
          </w:p>
        </w:tc>
        <w:tc>
          <w:tcPr>
            <w:tcW w:w="9060" w:type="dxa"/>
            <w:vAlign w:val="bottom"/>
            <w:gridSpan w:val="20"/>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Form of 2.550% Senior Note due 2022 (incorporated by reference to Exhibit B to Exhibit 4.1 to Form 8-K filed October 13,</w:t>
              </w:r>
            </w:hyperlink>
          </w:p>
        </w:tc>
      </w:tr>
      <w:tr>
        <w:trPr>
          <w:trHeight w:val="196"/>
        </w:trPr>
        <w:tc>
          <w:tcPr>
            <w:tcW w:w="9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40">
              <w:r>
                <w:rPr>
                  <w:rFonts w:ascii="Arial" w:cs="Arial" w:eastAsia="Arial" w:hAnsi="Arial"/>
                  <w:sz w:val="18"/>
                  <w:szCs w:val="18"/>
                  <w:color w:val="0000FF"/>
                  <w:w w:val="86"/>
                </w:rPr>
                <w:t>2017)</w:t>
              </w:r>
            </w:hyperlink>
          </w:p>
        </w:tc>
        <w:tc>
          <w:tcPr>
            <w:tcW w:w="20" w:type="dxa"/>
            <w:vAlign w:val="bottom"/>
            <w:tcBorders>
              <w:top w:val="single" w:sz="8" w:color="0000FF"/>
            </w:tcBorders>
          </w:tcPr>
          <w:p>
            <w:pPr>
              <w:spacing w:after="0"/>
              <w:rPr>
                <w:sz w:val="17"/>
                <w:szCs w:val="17"/>
                <w:color w:val="auto"/>
              </w:rPr>
            </w:pPr>
          </w:p>
        </w:tc>
        <w:tc>
          <w:tcPr>
            <w:tcW w:w="37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01"/>
        </w:trPr>
        <w:tc>
          <w:tcPr>
            <w:tcW w:w="980" w:type="dxa"/>
            <w:vAlign w:val="bottom"/>
          </w:tcPr>
          <w:p>
            <w:pPr>
              <w:spacing w:after="0"/>
              <w:rPr>
                <w:sz w:val="20"/>
                <w:szCs w:val="20"/>
                <w:color w:val="auto"/>
              </w:rPr>
            </w:pPr>
            <w:r>
              <w:rPr>
                <w:rFonts w:ascii="Arial" w:cs="Arial" w:eastAsia="Arial" w:hAnsi="Arial"/>
                <w:sz w:val="18"/>
                <w:szCs w:val="18"/>
                <w:color w:val="auto"/>
              </w:rPr>
              <w:t>4(ll)</w:t>
            </w:r>
          </w:p>
        </w:tc>
        <w:tc>
          <w:tcPr>
            <w:tcW w:w="9060" w:type="dxa"/>
            <w:vAlign w:val="bottom"/>
            <w:gridSpan w:val="20"/>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Form of 2.930% Senior Note due 2025 (incorporated by reference to Exhibit C to Exhibit 4.1 to Form 8-K filed October 13,</w:t>
              </w:r>
            </w:hyperlink>
          </w:p>
        </w:tc>
      </w:tr>
      <w:tr>
        <w:trPr>
          <w:trHeight w:val="196"/>
        </w:trPr>
        <w:tc>
          <w:tcPr>
            <w:tcW w:w="9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40">
              <w:r>
                <w:rPr>
                  <w:rFonts w:ascii="Arial" w:cs="Arial" w:eastAsia="Arial" w:hAnsi="Arial"/>
                  <w:sz w:val="18"/>
                  <w:szCs w:val="18"/>
                  <w:color w:val="0000FF"/>
                  <w:w w:val="86"/>
                </w:rPr>
                <w:t>2017)</w:t>
              </w:r>
            </w:hyperlink>
          </w:p>
        </w:tc>
        <w:tc>
          <w:tcPr>
            <w:tcW w:w="20" w:type="dxa"/>
            <w:vAlign w:val="bottom"/>
            <w:tcBorders>
              <w:top w:val="single" w:sz="8" w:color="0000FF"/>
            </w:tcBorders>
          </w:tcPr>
          <w:p>
            <w:pPr>
              <w:spacing w:after="0"/>
              <w:rPr>
                <w:sz w:val="17"/>
                <w:szCs w:val="17"/>
                <w:color w:val="auto"/>
              </w:rPr>
            </w:pPr>
          </w:p>
        </w:tc>
        <w:tc>
          <w:tcPr>
            <w:tcW w:w="37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4(mm)</w:t>
            </w:r>
          </w:p>
        </w:tc>
        <w:tc>
          <w:tcPr>
            <w:tcW w:w="9060" w:type="dxa"/>
            <w:vAlign w:val="bottom"/>
            <w:gridSpan w:val="20"/>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Form of 3.250% Senior Note due 2028 (incorporated by reference to Exhibit D to Exhibit 4.1 to Form 8-K filed October 13,</w:t>
              </w:r>
            </w:hyperlink>
          </w:p>
        </w:tc>
      </w:tr>
      <w:tr>
        <w:trPr>
          <w:trHeight w:val="196"/>
        </w:trPr>
        <w:tc>
          <w:tcPr>
            <w:tcW w:w="9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40">
              <w:r>
                <w:rPr>
                  <w:rFonts w:ascii="Arial" w:cs="Arial" w:eastAsia="Arial" w:hAnsi="Arial"/>
                  <w:sz w:val="18"/>
                  <w:szCs w:val="18"/>
                  <w:color w:val="0000FF"/>
                  <w:w w:val="86"/>
                </w:rPr>
                <w:t>2017)</w:t>
              </w:r>
            </w:hyperlink>
          </w:p>
        </w:tc>
        <w:tc>
          <w:tcPr>
            <w:tcW w:w="20" w:type="dxa"/>
            <w:vAlign w:val="bottom"/>
            <w:tcBorders>
              <w:top w:val="single" w:sz="8" w:color="0000FF"/>
            </w:tcBorders>
          </w:tcPr>
          <w:p>
            <w:pPr>
              <w:spacing w:after="0"/>
              <w:rPr>
                <w:sz w:val="17"/>
                <w:szCs w:val="17"/>
                <w:color w:val="auto"/>
              </w:rPr>
            </w:pPr>
          </w:p>
        </w:tc>
        <w:tc>
          <w:tcPr>
            <w:tcW w:w="37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4(nn)</w:t>
            </w:r>
          </w:p>
        </w:tc>
        <w:tc>
          <w:tcPr>
            <w:tcW w:w="9060" w:type="dxa"/>
            <w:vAlign w:val="bottom"/>
            <w:gridSpan w:val="20"/>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Form of 4.030% Senior Note due 2047 (incorporated by reference to Exhibit E to Exhibit 4.1 to Form 8-K filed October 13,</w:t>
              </w:r>
            </w:hyperlink>
          </w:p>
        </w:tc>
      </w:tr>
      <w:tr>
        <w:trPr>
          <w:trHeight w:val="196"/>
        </w:trPr>
        <w:tc>
          <w:tcPr>
            <w:tcW w:w="980" w:type="dxa"/>
            <w:vAlign w:val="bottom"/>
          </w:tcPr>
          <w:p>
            <w:pPr>
              <w:spacing w:after="0"/>
              <w:rPr>
                <w:sz w:val="17"/>
                <w:szCs w:val="17"/>
                <w:color w:val="auto"/>
              </w:rPr>
            </w:pPr>
          </w:p>
        </w:tc>
        <w:tc>
          <w:tcPr>
            <w:tcW w:w="4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2017)</w:t>
              </w:r>
            </w:hyperlink>
          </w:p>
        </w:tc>
        <w:tc>
          <w:tcPr>
            <w:tcW w:w="37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10(a)</w:t>
            </w:r>
          </w:p>
        </w:tc>
        <w:tc>
          <w:tcPr>
            <w:tcW w:w="9060" w:type="dxa"/>
            <w:vAlign w:val="bottom"/>
            <w:gridSpan w:val="20"/>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Amended and Restated Credit Agreement, dated as of July 8, 2015, among Northrop Grumman Corporation, as Borrower;</w:t>
              </w:r>
            </w:hyperlink>
          </w:p>
        </w:tc>
      </w:tr>
      <w:tr>
        <w:trPr>
          <w:trHeight w:val="196"/>
        </w:trPr>
        <w:tc>
          <w:tcPr>
            <w:tcW w:w="980" w:type="dxa"/>
            <w:vAlign w:val="bottom"/>
          </w:tcPr>
          <w:p>
            <w:pPr>
              <w:spacing w:after="0"/>
              <w:rPr>
                <w:sz w:val="17"/>
                <w:szCs w:val="17"/>
                <w:color w:val="auto"/>
              </w:rPr>
            </w:pPr>
          </w:p>
        </w:tc>
        <w:tc>
          <w:tcPr>
            <w:tcW w:w="8800" w:type="dxa"/>
            <w:vAlign w:val="bottom"/>
            <w:tcBorders>
              <w:top w:val="single" w:sz="8" w:color="0000FF"/>
            </w:tcBorders>
            <w:gridSpan w:val="14"/>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Northrop Grumman Systems Corporation, as Guarantor; the lenders party thereto and JPMorgan Chase Bank, N.A., as</w:t>
              </w:r>
            </w:hyperlink>
          </w:p>
        </w:tc>
        <w:tc>
          <w:tcPr>
            <w:tcW w:w="26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5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Administrative Agent (incorporated by reference to Exhibit 10.1 to Form 8-K filed July 9, 2015)</w:t>
              </w:r>
            </w:hyperlink>
          </w:p>
        </w:tc>
        <w:tc>
          <w:tcPr>
            <w:tcW w:w="540" w:type="dxa"/>
            <w:vAlign w:val="bottom"/>
            <w:gridSpan w:val="11"/>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960" w:type="dxa"/>
            <w:vAlign w:val="bottom"/>
            <w:gridSpan w:val="7"/>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10(b)</w:t>
            </w:r>
          </w:p>
        </w:tc>
        <w:tc>
          <w:tcPr>
            <w:tcW w:w="9060" w:type="dxa"/>
            <w:vAlign w:val="bottom"/>
            <w:gridSpan w:val="20"/>
          </w:tcPr>
          <w:p>
            <w:pPr>
              <w:spacing w:after="0"/>
              <w:rPr>
                <w:rFonts w:ascii="Arial" w:cs="Arial" w:eastAsia="Arial" w:hAnsi="Arial"/>
                <w:sz w:val="18"/>
                <w:szCs w:val="18"/>
                <w:color w:val="0000FF"/>
                <w:w w:val="93"/>
              </w:rPr>
            </w:pPr>
            <w:hyperlink r:id="rId42">
              <w:r>
                <w:rPr>
                  <w:rFonts w:ascii="Arial" w:cs="Arial" w:eastAsia="Arial" w:hAnsi="Arial"/>
                  <w:sz w:val="18"/>
                  <w:szCs w:val="18"/>
                  <w:color w:val="0000FF"/>
                  <w:w w:val="93"/>
                </w:rPr>
                <w:t>Form of Guarantee dated as of April 3, 2001, by Northrop Grumman Corporation of the indenture indebtedness issued by</w:t>
              </w:r>
            </w:hyperlink>
          </w:p>
        </w:tc>
      </w:tr>
      <w:tr>
        <w:trPr>
          <w:trHeight w:val="196"/>
        </w:trPr>
        <w:tc>
          <w:tcPr>
            <w:tcW w:w="980" w:type="dxa"/>
            <w:vAlign w:val="bottom"/>
          </w:tcPr>
          <w:p>
            <w:pPr>
              <w:spacing w:after="0"/>
              <w:rPr>
                <w:sz w:val="17"/>
                <w:szCs w:val="17"/>
                <w:color w:val="auto"/>
              </w:rPr>
            </w:pPr>
          </w:p>
        </w:tc>
        <w:tc>
          <w:tcPr>
            <w:tcW w:w="8740" w:type="dxa"/>
            <w:vAlign w:val="bottom"/>
            <w:tcBorders>
              <w:top w:val="single" w:sz="8" w:color="0000FF"/>
            </w:tcBorders>
            <w:gridSpan w:val="11"/>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Litton Industries, Inc. (predecessor-in-interest to Northrop Grumman Systems Corporation) (incorporated by reference to</w:t>
              </w:r>
            </w:hyperlink>
          </w:p>
        </w:tc>
        <w:tc>
          <w:tcPr>
            <w:tcW w:w="320" w:type="dxa"/>
            <w:vAlign w:val="bottom"/>
            <w:gridSpan w:val="9"/>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72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Exhibit 10.10 to Form 8-K filed April 17, 2001, File No. 001-16411)</w:t>
              </w:r>
            </w:hyperlink>
          </w:p>
        </w:tc>
        <w:tc>
          <w:tcPr>
            <w:tcW w:w="340" w:type="dxa"/>
            <w:vAlign w:val="bottom"/>
            <w:gridSpan w:val="10"/>
          </w:tcPr>
          <w:p>
            <w:pPr>
              <w:spacing w:after="0"/>
              <w:rPr>
                <w:sz w:val="17"/>
                <w:szCs w:val="17"/>
                <w:color w:val="auto"/>
              </w:rPr>
            </w:pPr>
          </w:p>
        </w:tc>
      </w:tr>
      <w:tr>
        <w:trPr>
          <w:trHeight w:val="507"/>
        </w:trPr>
        <w:tc>
          <w:tcPr>
            <w:tcW w:w="980" w:type="dxa"/>
            <w:vAlign w:val="bottom"/>
          </w:tcPr>
          <w:p>
            <w:pPr>
              <w:spacing w:after="0"/>
              <w:rPr>
                <w:sz w:val="24"/>
                <w:szCs w:val="24"/>
                <w:color w:val="auto"/>
              </w:rPr>
            </w:pPr>
          </w:p>
        </w:tc>
        <w:tc>
          <w:tcPr>
            <w:tcW w:w="4200" w:type="dxa"/>
            <w:vAlign w:val="bottom"/>
            <w:tcBorders>
              <w:top w:val="single" w:sz="8" w:color="0000FF"/>
            </w:tcBorders>
            <w:gridSpan w:val="3"/>
          </w:tcPr>
          <w:p>
            <w:pPr>
              <w:ind w:left="3780"/>
              <w:spacing w:after="0"/>
              <w:rPr>
                <w:sz w:val="20"/>
                <w:szCs w:val="20"/>
                <w:color w:val="auto"/>
              </w:rPr>
            </w:pPr>
            <w:r>
              <w:rPr>
                <w:rFonts w:ascii="Arial" w:cs="Arial" w:eastAsia="Arial" w:hAnsi="Arial"/>
                <w:sz w:val="18"/>
                <w:szCs w:val="18"/>
                <w:color w:val="auto"/>
              </w:rPr>
              <w:t>-85-</w:t>
            </w: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40"/>
          </w:cols>
          <w:pgMar w:left="240" w:top="337" w:right="81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780" w:right="26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10(c)</w:t>
      </w:r>
      <w:r>
        <w:rPr>
          <w:sz w:val="20"/>
          <w:szCs w:val="20"/>
          <w:color w:val="auto"/>
        </w:rPr>
        <w:tab/>
      </w:r>
      <w:hyperlink r:id="rId43">
        <w:r>
          <w:rPr>
            <w:rFonts w:ascii="Arial" w:cs="Arial" w:eastAsia="Arial" w:hAnsi="Arial"/>
            <w:sz w:val="18"/>
            <w:szCs w:val="18"/>
            <w:u w:val="single" w:color="auto"/>
            <w:color w:val="0000FF"/>
          </w:rPr>
          <w:t>Form of Guarantee dated as of April 3, 2001, by Northrop Grumman Corporation of Northrop Grumman Systems</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Corporation indenture indebtedness (incorporated by reference to Exhibit 10.11 to Form 8-K and filed April 17, 2001, File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No. 001-16411)</w:t>
        </w:r>
      </w:hyperlink>
    </w:p>
    <w:p>
      <w:pPr>
        <w:spacing w:after="0" w:line="154" w:lineRule="exact"/>
        <w:rPr>
          <w:rFonts w:ascii="Arial" w:cs="Arial" w:eastAsia="Arial" w:hAnsi="Arial"/>
          <w:sz w:val="18"/>
          <w:szCs w:val="18"/>
          <w:u w:val="single" w:color="auto"/>
          <w:color w:val="0000FF"/>
        </w:rPr>
      </w:pPr>
    </w:p>
    <w:p>
      <w:pPr>
        <w:ind w:left="1780" w:right="80" w:hanging="979"/>
        <w:spacing w:after="0" w:line="279" w:lineRule="auto"/>
        <w:tabs>
          <w:tab w:leader="none" w:pos="1760" w:val="left"/>
        </w:tabs>
        <w:rPr>
          <w:rFonts w:ascii="Arial" w:cs="Arial" w:eastAsia="Arial" w:hAnsi="Arial"/>
          <w:sz w:val="17"/>
          <w:szCs w:val="17"/>
          <w:u w:val="single" w:color="auto"/>
          <w:color w:val="0000FF"/>
        </w:rPr>
      </w:pPr>
      <w:r>
        <w:rPr>
          <w:rFonts w:ascii="Arial" w:cs="Arial" w:eastAsia="Arial" w:hAnsi="Arial"/>
          <w:sz w:val="17"/>
          <w:szCs w:val="17"/>
          <w:color w:val="auto"/>
        </w:rPr>
        <w:t>10(d)</w:t>
      </w:r>
      <w:r>
        <w:rPr>
          <w:sz w:val="20"/>
          <w:szCs w:val="20"/>
          <w:color w:val="auto"/>
        </w:rPr>
        <w:tab/>
      </w:r>
      <w:hyperlink r:id="rId44">
        <w:r>
          <w:rPr>
            <w:rFonts w:ascii="Arial" w:cs="Arial" w:eastAsia="Arial" w:hAnsi="Arial"/>
            <w:sz w:val="17"/>
            <w:szCs w:val="17"/>
            <w:u w:val="single" w:color="auto"/>
            <w:color w:val="0000FF"/>
          </w:rPr>
          <w:t>Form of Guarantee dated as of March 27, 2003, by Northrop Grumman Corporation, as Guarantor, in favor of JP Morgan</w:t>
        </w:r>
      </w:hyperlink>
      <w:r>
        <w:rPr>
          <w:rFonts w:ascii="Arial" w:cs="Arial" w:eastAsia="Arial" w:hAnsi="Arial"/>
          <w:sz w:val="17"/>
          <w:szCs w:val="17"/>
          <w:u w:val="single" w:color="auto"/>
          <w:color w:val="0000FF"/>
        </w:rPr>
        <w:t xml:space="preserve"> </w:t>
      </w:r>
      <w:hyperlink r:id="rId44">
        <w:r>
          <w:rPr>
            <w:rFonts w:ascii="Arial" w:cs="Arial" w:eastAsia="Arial" w:hAnsi="Arial"/>
            <w:sz w:val="17"/>
            <w:szCs w:val="17"/>
            <w:u w:val="single" w:color="auto"/>
            <w:color w:val="0000FF"/>
          </w:rPr>
          <w:t>Chase Bank, as trustee, of certain debt securities issued by the former Northrop Grumman Space &amp; Mission Systems Corp.</w:t>
        </w:r>
      </w:hyperlink>
      <w:r>
        <w:rPr>
          <w:rFonts w:ascii="Arial" w:cs="Arial" w:eastAsia="Arial" w:hAnsi="Arial"/>
          <w:sz w:val="17"/>
          <w:szCs w:val="17"/>
          <w:u w:val="single" w:color="auto"/>
          <w:color w:val="0000FF"/>
        </w:rPr>
        <w:t xml:space="preserve"> </w:t>
      </w:r>
      <w:hyperlink r:id="rId44">
        <w:r>
          <w:rPr>
            <w:rFonts w:ascii="Arial" w:cs="Arial" w:eastAsia="Arial" w:hAnsi="Arial"/>
            <w:sz w:val="17"/>
            <w:szCs w:val="17"/>
            <w:u w:val="single" w:color="auto"/>
            <w:color w:val="0000FF"/>
          </w:rPr>
          <w:t>(predecessor-in-interest to Northrop Grumman Systems Corporation) (incorporated by reference to Exhibit 4.2 to Form 10-Q</w:t>
        </w:r>
      </w:hyperlink>
      <w:r>
        <w:rPr>
          <w:rFonts w:ascii="Arial" w:cs="Arial" w:eastAsia="Arial" w:hAnsi="Arial"/>
          <w:sz w:val="17"/>
          <w:szCs w:val="17"/>
          <w:u w:val="single" w:color="auto"/>
          <w:color w:val="0000FF"/>
        </w:rPr>
        <w:t xml:space="preserve"> </w:t>
      </w:r>
      <w:hyperlink r:id="rId44">
        <w:r>
          <w:rPr>
            <w:rFonts w:ascii="Arial" w:cs="Arial" w:eastAsia="Arial" w:hAnsi="Arial"/>
            <w:sz w:val="17"/>
            <w:szCs w:val="17"/>
            <w:u w:val="single" w:color="auto"/>
            <w:color w:val="0000FF"/>
          </w:rPr>
          <w:t>for the quarter ended March 31, 2003, filed May 14, 2003, File No. 001-16411)</w:t>
        </w:r>
      </w:hyperlink>
    </w:p>
    <w:p>
      <w:pPr>
        <w:spacing w:after="0" w:line="144" w:lineRule="exact"/>
        <w:rPr>
          <w:rFonts w:ascii="Arial" w:cs="Arial" w:eastAsia="Arial" w:hAnsi="Arial"/>
          <w:sz w:val="17"/>
          <w:szCs w:val="17"/>
          <w:u w:val="single" w:color="auto"/>
          <w:color w:val="0000FF"/>
        </w:rPr>
      </w:pPr>
    </w:p>
    <w:p>
      <w:pPr>
        <w:ind w:left="1780" w:right="180" w:hanging="979"/>
        <w:spacing w:after="0" w:line="291" w:lineRule="auto"/>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+10(e)</w:t>
      </w:r>
      <w:r>
        <w:rPr>
          <w:sz w:val="20"/>
          <w:szCs w:val="20"/>
          <w:color w:val="auto"/>
        </w:rPr>
        <w:tab/>
      </w:r>
      <w:hyperlink r:id="rId45">
        <w:r>
          <w:rPr>
            <w:rFonts w:ascii="Arial" w:cs="Arial" w:eastAsia="Arial" w:hAnsi="Arial"/>
            <w:sz w:val="16"/>
            <w:szCs w:val="16"/>
            <w:u w:val="single" w:color="auto"/>
            <w:color w:val="0000FF"/>
          </w:rPr>
          <w:t>Northrop Grumman Corporation 1993 Stock Plan for Non-Employee Directors (as Amended and Restated January 1, 2010)</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(incorporated by reference to Exhibit 10.1 to Form 10-Q for the quarter ended June 30, 2009, filed July 23, 2009, File No.</w:t>
        </w:r>
      </w:hyperlink>
    </w:p>
    <w:p>
      <w:pPr>
        <w:ind w:left="1780"/>
        <w:spacing w:after="0"/>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001-16411)</w:t>
        </w:r>
      </w:hyperlink>
    </w:p>
    <w:p>
      <w:pPr>
        <w:spacing w:after="0" w:line="184" w:lineRule="exact"/>
        <w:rPr>
          <w:sz w:val="20"/>
          <w:szCs w:val="20"/>
          <w:color w:val="auto"/>
        </w:rPr>
      </w:pPr>
    </w:p>
    <w:p>
      <w:pPr>
        <w:ind w:left="17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+10(f)</w:t>
      </w:r>
      <w:r>
        <w:rPr>
          <w:sz w:val="20"/>
          <w:szCs w:val="20"/>
          <w:color w:val="auto"/>
        </w:rPr>
        <w:tab/>
      </w:r>
      <w:hyperlink r:id="rId46">
        <w:r>
          <w:rPr>
            <w:rFonts w:ascii="Arial" w:cs="Arial" w:eastAsia="Arial" w:hAnsi="Arial"/>
            <w:sz w:val="18"/>
            <w:szCs w:val="18"/>
            <w:u w:val="single" w:color="auto"/>
            <w:color w:val="0000FF"/>
          </w:rPr>
          <w:t>Northrop Grumman Corporation Non-Employee Directors Equity Participation Plan (Amended and Restated January 1, 2008)</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(incorporated by reference to Exhibit 10(q) to Form 10-K for the year ended December 31, 2007, filed February 20, 2008,</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File No. 001-16411)</w:t>
        </w:r>
      </w:hyperlink>
    </w:p>
    <w:p>
      <w:pPr>
        <w:spacing w:after="0" w:line="154" w:lineRule="exact"/>
        <w:rPr>
          <w:rFonts w:ascii="Arial" w:cs="Arial" w:eastAsia="Arial" w:hAnsi="Arial"/>
          <w:sz w:val="18"/>
          <w:szCs w:val="18"/>
          <w:u w:val="single" w:color="auto"/>
          <w:color w:val="0000FF"/>
        </w:rPr>
      </w:pPr>
    </w:p>
    <w:p>
      <w:pPr>
        <w:jc w:val="both"/>
        <w:ind w:left="1780" w:right="32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+10(g)</w:t>
      </w:r>
      <w:r>
        <w:rPr>
          <w:sz w:val="20"/>
          <w:szCs w:val="20"/>
          <w:color w:val="auto"/>
        </w:rPr>
        <w:tab/>
      </w:r>
      <w:hyperlink r:id="rId47">
        <w:r>
          <w:rPr>
            <w:rFonts w:ascii="Arial" w:cs="Arial" w:eastAsia="Arial" w:hAnsi="Arial"/>
            <w:sz w:val="18"/>
            <w:szCs w:val="18"/>
            <w:u w:val="single" w:color="auto"/>
            <w:color w:val="0000FF"/>
          </w:rPr>
          <w:t>Northrop Grumman 2001 Long-Term Incentive Stock Plan (As Amended Through December 19, 2007) (incorporated by</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reference to Exhibit A to the Company’s Proxy Statement on Schedule 14A for the 2008 Annual Meeting of Shareholders</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filed April 21, 2008)</w:t>
        </w:r>
      </w:hyperlink>
    </w:p>
    <w:p>
      <w:pPr>
        <w:spacing w:after="0" w:line="154" w:lineRule="exact"/>
        <w:rPr>
          <w:rFonts w:ascii="Arial" w:cs="Arial" w:eastAsia="Arial" w:hAnsi="Arial"/>
          <w:sz w:val="18"/>
          <w:szCs w:val="18"/>
          <w:u w:val="single" w:color="auto"/>
          <w:color w:val="0000FF"/>
        </w:rPr>
      </w:pPr>
    </w:p>
    <w:p>
      <w:pPr>
        <w:ind w:left="2340" w:right="140" w:hanging="657"/>
        <w:spacing w:after="0" w:line="264" w:lineRule="auto"/>
        <w:tabs>
          <w:tab w:leader="none" w:pos="2340" w:val="left"/>
        </w:tabs>
        <w:numPr>
          <w:ilvl w:val="0"/>
          <w:numId w:val="45"/>
        </w:numPr>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Form of Agreement for 2010 Stock Options granted under the Northrop Grumman 2001 Long-Term Incentive Stock</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Plan (as amended through December 19, 2007) (incorporated by reference to Exhibit 10.3 to Form 10-Q for the</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quarter ended March 31, 2010, filed April 28, 2010, File No. 001-16411)</w:t>
        </w:r>
      </w:hyperlink>
    </w:p>
    <w:p>
      <w:pPr>
        <w:spacing w:after="0" w:line="154" w:lineRule="exact"/>
        <w:rPr>
          <w:rFonts w:ascii="Arial" w:cs="Arial" w:eastAsia="Arial" w:hAnsi="Arial"/>
          <w:sz w:val="18"/>
          <w:szCs w:val="18"/>
          <w:u w:val="single" w:color="auto"/>
          <w:color w:val="0000FF"/>
        </w:rPr>
      </w:pPr>
    </w:p>
    <w:p>
      <w:pPr>
        <w:ind w:left="2340" w:right="160" w:hanging="657"/>
        <w:spacing w:after="0" w:line="264" w:lineRule="auto"/>
        <w:tabs>
          <w:tab w:leader="none" w:pos="2340" w:val="left"/>
        </w:tabs>
        <w:numPr>
          <w:ilvl w:val="0"/>
          <w:numId w:val="45"/>
        </w:numPr>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Form of Agreement for 2011 Stock Options granted under the Northrop Grumman 2001 Long-Term Incentive Stock</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Plan (as amended through December 19, 2007) (incorporated by reference to Exhibit 10.1 of Form 8-K filed</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February 22, 2011, File No. 001-16411)</w:t>
        </w:r>
      </w:hyperlink>
    </w:p>
    <w:p>
      <w:pPr>
        <w:spacing w:after="0" w:line="154" w:lineRule="exact"/>
        <w:rPr>
          <w:rFonts w:ascii="Arial" w:cs="Arial" w:eastAsia="Arial" w:hAnsi="Arial"/>
          <w:sz w:val="18"/>
          <w:szCs w:val="18"/>
          <w:u w:val="single" w:color="auto"/>
          <w:color w:val="0000FF"/>
        </w:rPr>
      </w:pPr>
    </w:p>
    <w:p>
      <w:pPr>
        <w:ind w:left="1780" w:right="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+10(h)</w:t>
      </w:r>
      <w:r>
        <w:rPr>
          <w:sz w:val="20"/>
          <w:szCs w:val="20"/>
          <w:color w:val="auto"/>
        </w:rPr>
        <w:tab/>
      </w:r>
      <w:hyperlink r:id="rId50">
        <w:r>
          <w:rPr>
            <w:rFonts w:ascii="Arial" w:cs="Arial" w:eastAsia="Arial" w:hAnsi="Arial"/>
            <w:sz w:val="18"/>
            <w:szCs w:val="18"/>
            <w:u w:val="single" w:color="auto"/>
            <w:color w:val="0000FF"/>
          </w:rPr>
          <w:t>Amended and Restated 2011 Long-Term Incentive Stock Plan (as amended and restated effective as of May 20, 2015)</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(incorporated by reference to Appendix B to the Company’s Proxy Statement on Schedule 14A for the 2015 Annual Meeting</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of Shareholders filed April 6, 2015)</w:t>
        </w:r>
      </w:hyperlink>
    </w:p>
    <w:p>
      <w:pPr>
        <w:spacing w:after="0" w:line="154" w:lineRule="exact"/>
        <w:rPr>
          <w:rFonts w:ascii="Arial" w:cs="Arial" w:eastAsia="Arial" w:hAnsi="Arial"/>
          <w:sz w:val="18"/>
          <w:szCs w:val="18"/>
          <w:u w:val="single" w:color="auto"/>
          <w:color w:val="0000FF"/>
        </w:rPr>
      </w:pPr>
    </w:p>
    <w:p>
      <w:pPr>
        <w:ind w:left="2340" w:right="220" w:hanging="657"/>
        <w:spacing w:after="0" w:line="312" w:lineRule="auto"/>
        <w:tabs>
          <w:tab w:leader="none" w:pos="2340" w:val="left"/>
        </w:tabs>
        <w:numPr>
          <w:ilvl w:val="0"/>
          <w:numId w:val="46"/>
        </w:numPr>
        <w:rPr>
          <w:rFonts w:ascii="Arial" w:cs="Arial" w:eastAsia="Arial" w:hAnsi="Arial"/>
          <w:sz w:val="16"/>
          <w:szCs w:val="16"/>
          <w:u w:val="single" w:color="auto"/>
          <w:color w:val="0000FF"/>
        </w:rPr>
      </w:pPr>
      <w:hyperlink r:id="rId51">
        <w:r>
          <w:rPr>
            <w:rFonts w:ascii="Arial" w:cs="Arial" w:eastAsia="Arial" w:hAnsi="Arial"/>
            <w:sz w:val="16"/>
            <w:szCs w:val="16"/>
            <w:u w:val="single" w:color="auto"/>
            <w:color w:val="0000FF"/>
          </w:rPr>
          <w:t>Northrop Grumman Corporation Equity Grant Program for Non-Employee Directors under the Northrop Grumman</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2011 Long-Term Incentive Stock Plan, Amended and Restated Effective as of January 1, 2016 (incorporated by</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reference to Exhibit 10.1 to Form 10-Q for the quarter ended September 30, 2015, filed October 28, 2015)</w:t>
        </w:r>
      </w:hyperlink>
    </w:p>
    <w:p>
      <w:pPr>
        <w:spacing w:after="0" w:line="335" w:lineRule="exact"/>
        <w:rPr>
          <w:rFonts w:ascii="Arial" w:cs="Arial" w:eastAsia="Arial" w:hAnsi="Arial"/>
          <w:sz w:val="16"/>
          <w:szCs w:val="16"/>
          <w:u w:val="single" w:color="auto"/>
          <w:color w:val="0000FF"/>
        </w:rPr>
      </w:pPr>
    </w:p>
    <w:p>
      <w:pPr>
        <w:ind w:left="2340" w:right="40" w:hanging="657"/>
        <w:spacing w:after="0" w:line="264" w:lineRule="auto"/>
        <w:tabs>
          <w:tab w:leader="none" w:pos="2340" w:val="left"/>
        </w:tabs>
        <w:numPr>
          <w:ilvl w:val="0"/>
          <w:numId w:val="46"/>
        </w:numPr>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Grant Certificate Specifying the Terms and Conditions Applicable to 2016 Restricted Stock Rights Granted Under the</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2011 Long-Term Incentive Stock Plan (incorporated by reference to Exhibit 10.1 to Form 10-Q for the quarter ended</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March 31, 2016 filed April 27, 2016)</w:t>
        </w:r>
      </w:hyperlink>
    </w:p>
    <w:p>
      <w:pPr>
        <w:spacing w:after="0" w:line="154" w:lineRule="exact"/>
        <w:rPr>
          <w:rFonts w:ascii="Arial" w:cs="Arial" w:eastAsia="Arial" w:hAnsi="Arial"/>
          <w:sz w:val="18"/>
          <w:szCs w:val="18"/>
          <w:u w:val="single" w:color="auto"/>
          <w:color w:val="0000FF"/>
        </w:rPr>
      </w:pPr>
    </w:p>
    <w:p>
      <w:pPr>
        <w:ind w:left="2340" w:right="40" w:hanging="657"/>
        <w:spacing w:after="0" w:line="264" w:lineRule="auto"/>
        <w:tabs>
          <w:tab w:leader="none" w:pos="2340" w:val="left"/>
        </w:tabs>
        <w:numPr>
          <w:ilvl w:val="0"/>
          <w:numId w:val="46"/>
        </w:numPr>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Grant Certificate Specifying the Terms and Conditions Applicable to 2016 Restricted Performance Stock Rights</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Granted Under the 2011 Long-Term Incentive Stock Plan (incorporated by reference to Exhibit 10.2 to Form 10-Q for</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the quarter ended March 31, 2016 filed April 27, 2016)</w:t>
        </w:r>
      </w:hyperlink>
    </w:p>
    <w:p>
      <w:pPr>
        <w:spacing w:after="0" w:line="137" w:lineRule="exact"/>
        <w:rPr>
          <w:rFonts w:ascii="Arial" w:cs="Arial" w:eastAsia="Arial" w:hAnsi="Arial"/>
          <w:sz w:val="18"/>
          <w:szCs w:val="18"/>
          <w:u w:val="single" w:color="auto"/>
          <w:color w:val="0000FF"/>
        </w:rPr>
      </w:pPr>
    </w:p>
    <w:tbl>
      <w:tblPr>
        <w:tblLayout w:type="fixed"/>
        <w:tblInd w:w="168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*(iv)</w:t>
            </w:r>
          </w:p>
        </w:tc>
        <w:tc>
          <w:tcPr>
            <w:tcW w:w="8480" w:type="dxa"/>
            <w:vAlign w:val="bottom"/>
            <w:gridSpan w:val="6"/>
          </w:tcPr>
          <w:p>
            <w:pPr>
              <w:spacing w:after="0"/>
              <w:rPr>
                <w:rFonts w:ascii="Arial" w:cs="Arial" w:eastAsia="Arial" w:hAnsi="Arial"/>
                <w:sz w:val="18"/>
                <w:szCs w:val="18"/>
                <w:color w:val="0000FF"/>
                <w:w w:val="95"/>
              </w:rPr>
            </w:pPr>
            <w:hyperlink w:anchor="page95">
              <w:r>
                <w:rPr>
                  <w:rFonts w:ascii="Arial" w:cs="Arial" w:eastAsia="Arial" w:hAnsi="Arial"/>
                  <w:sz w:val="18"/>
                  <w:szCs w:val="18"/>
                  <w:color w:val="0000FF"/>
                  <w:w w:val="95"/>
                </w:rPr>
                <w:t>Grant Certificate Specifying the Terms and Conditions Applicable to 2016 Restricted Performance Stock Rights</w:t>
              </w:r>
            </w:hyperlink>
          </w:p>
        </w:tc>
      </w:tr>
      <w:tr>
        <w:trPr>
          <w:trHeight w:val="196"/>
        </w:trPr>
        <w:tc>
          <w:tcPr>
            <w:tcW w:w="660" w:type="dxa"/>
            <w:vAlign w:val="bottom"/>
          </w:tcPr>
          <w:p>
            <w:pPr>
              <w:spacing w:after="0"/>
              <w:rPr>
                <w:sz w:val="17"/>
                <w:szCs w:val="17"/>
                <w:color w:val="auto"/>
              </w:rPr>
            </w:pPr>
          </w:p>
        </w:tc>
        <w:tc>
          <w:tcPr>
            <w:tcW w:w="57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95">
              <w:r>
                <w:rPr>
                  <w:rFonts w:ascii="Arial" w:cs="Arial" w:eastAsia="Arial" w:hAnsi="Arial"/>
                  <w:sz w:val="18"/>
                  <w:szCs w:val="18"/>
                  <w:color w:val="0000FF"/>
                  <w:w w:val="90"/>
                </w:rPr>
                <w:t>Granted to Janis G. Pamiljans Under the 2011 Long-Term Incentive Stock Plan</w:t>
              </w:r>
            </w:hyperlink>
          </w:p>
        </w:tc>
        <w:tc>
          <w:tcPr>
            <w:tcW w:w="2360" w:type="dxa"/>
            <w:vAlign w:val="bottom"/>
            <w:tcBorders>
              <w:top w:val="single" w:sz="8" w:color="0000FF"/>
            </w:tcBorders>
          </w:tcPr>
          <w:p>
            <w:pPr>
              <w:spacing w:after="0"/>
              <w:rPr>
                <w:sz w:val="17"/>
                <w:szCs w:val="17"/>
                <w:color w:val="auto"/>
              </w:rPr>
            </w:pPr>
          </w:p>
        </w:tc>
        <w:tc>
          <w:tcPr>
            <w:tcW w:w="420" w:type="dxa"/>
            <w:vAlign w:val="bottom"/>
            <w:gridSpan w:val="2"/>
          </w:tcPr>
          <w:p>
            <w:pPr>
              <w:spacing w:after="0"/>
              <w:rPr>
                <w:sz w:val="17"/>
                <w:szCs w:val="17"/>
                <w:color w:val="auto"/>
              </w:rPr>
            </w:pPr>
          </w:p>
        </w:tc>
      </w:tr>
      <w:tr>
        <w:trPr>
          <w:trHeight w:val="385"/>
        </w:trPr>
        <w:tc>
          <w:tcPr>
            <w:tcW w:w="660" w:type="dxa"/>
            <w:vAlign w:val="bottom"/>
          </w:tcPr>
          <w:p>
            <w:pPr>
              <w:spacing w:after="0"/>
              <w:rPr>
                <w:sz w:val="20"/>
                <w:szCs w:val="20"/>
                <w:color w:val="auto"/>
              </w:rPr>
            </w:pPr>
            <w:r>
              <w:rPr>
                <w:rFonts w:ascii="Arial" w:cs="Arial" w:eastAsia="Arial" w:hAnsi="Arial"/>
                <w:sz w:val="18"/>
                <w:szCs w:val="18"/>
                <w:color w:val="auto"/>
              </w:rPr>
              <w:t>*(v)</w:t>
            </w:r>
          </w:p>
        </w:tc>
        <w:tc>
          <w:tcPr>
            <w:tcW w:w="832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04">
              <w:r>
                <w:rPr>
                  <w:rFonts w:ascii="Arial" w:cs="Arial" w:eastAsia="Arial" w:hAnsi="Arial"/>
                  <w:sz w:val="18"/>
                  <w:szCs w:val="18"/>
                  <w:color w:val="0000FF"/>
                  <w:w w:val="90"/>
                </w:rPr>
                <w:t>Grant Certificate Specifying the Terms and Conditions Applicable to 2016 Restricted Stock Rights Granted to Janis</w:t>
              </w:r>
            </w:hyperlink>
          </w:p>
        </w:tc>
        <w:tc>
          <w:tcPr>
            <w:tcW w:w="1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48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104">
              <w:r>
                <w:rPr>
                  <w:rFonts w:ascii="Arial" w:cs="Arial" w:eastAsia="Arial" w:hAnsi="Arial"/>
                  <w:sz w:val="18"/>
                  <w:szCs w:val="18"/>
                  <w:color w:val="0000FF"/>
                  <w:w w:val="90"/>
                </w:rPr>
                <w:t>G. Pamiljans Under the 2011 Long-Term Incentive Stock Plan</w:t>
              </w:r>
            </w:hyperlink>
          </w:p>
        </w:tc>
        <w:tc>
          <w:tcPr>
            <w:tcW w:w="4000" w:type="dxa"/>
            <w:vAlign w:val="bottom"/>
            <w:gridSpan w:val="5"/>
          </w:tcPr>
          <w:p>
            <w:pPr>
              <w:spacing w:after="0"/>
              <w:rPr>
                <w:sz w:val="17"/>
                <w:szCs w:val="17"/>
                <w:color w:val="auto"/>
              </w:rPr>
            </w:pPr>
          </w:p>
        </w:tc>
      </w:tr>
      <w:tr>
        <w:trPr>
          <w:trHeight w:val="385"/>
        </w:trPr>
        <w:tc>
          <w:tcPr>
            <w:tcW w:w="660" w:type="dxa"/>
            <w:vAlign w:val="bottom"/>
          </w:tcPr>
          <w:p>
            <w:pPr>
              <w:spacing w:after="0"/>
              <w:rPr>
                <w:sz w:val="20"/>
                <w:szCs w:val="20"/>
                <w:color w:val="auto"/>
              </w:rPr>
            </w:pPr>
            <w:r>
              <w:rPr>
                <w:rFonts w:ascii="Arial" w:cs="Arial" w:eastAsia="Arial" w:hAnsi="Arial"/>
                <w:sz w:val="18"/>
                <w:szCs w:val="18"/>
                <w:color w:val="auto"/>
              </w:rPr>
              <w:t>*(vi)</w:t>
            </w:r>
          </w:p>
        </w:tc>
        <w:tc>
          <w:tcPr>
            <w:tcW w:w="84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12">
              <w:r>
                <w:rPr>
                  <w:rFonts w:ascii="Arial" w:cs="Arial" w:eastAsia="Arial" w:hAnsi="Arial"/>
                  <w:sz w:val="18"/>
                  <w:szCs w:val="18"/>
                  <w:color w:val="0000FF"/>
                  <w:w w:val="91"/>
                </w:rPr>
                <w:t>Grant Certificate Specifying the Terms and Conditions Applicable to Special 2016 Restricted Stock Rights Granted to</w:t>
              </w:r>
            </w:hyperlink>
          </w:p>
        </w:tc>
      </w:tr>
      <w:tr>
        <w:trPr>
          <w:trHeight w:val="196"/>
        </w:trPr>
        <w:tc>
          <w:tcPr>
            <w:tcW w:w="660" w:type="dxa"/>
            <w:vAlign w:val="bottom"/>
          </w:tcPr>
          <w:p>
            <w:pPr>
              <w:spacing w:after="0"/>
              <w:rPr>
                <w:sz w:val="17"/>
                <w:szCs w:val="17"/>
                <w:color w:val="auto"/>
              </w:rPr>
            </w:pPr>
          </w:p>
        </w:tc>
        <w:tc>
          <w:tcPr>
            <w:tcW w:w="8480" w:type="dxa"/>
            <w:vAlign w:val="bottom"/>
            <w:gridSpan w:val="6"/>
          </w:tcPr>
          <w:p>
            <w:pPr>
              <w:spacing w:after="0" w:line="196" w:lineRule="exact"/>
              <w:rPr>
                <w:rFonts w:ascii="Arial" w:cs="Arial" w:eastAsia="Arial" w:hAnsi="Arial"/>
                <w:sz w:val="18"/>
                <w:szCs w:val="18"/>
                <w:color w:val="0000FF"/>
              </w:rPr>
            </w:pPr>
            <w:hyperlink w:anchor="page112">
              <w:r>
                <w:rPr>
                  <w:rFonts w:ascii="Arial" w:cs="Arial" w:eastAsia="Arial" w:hAnsi="Arial"/>
                  <w:sz w:val="18"/>
                  <w:szCs w:val="18"/>
                  <w:color w:val="0000FF"/>
                </w:rPr>
                <w:t>Janis G. Pamiljans Under the 2011 Long-Term Incentive Stock Plan</w:t>
              </w:r>
            </w:hyperlink>
          </w:p>
        </w:tc>
      </w:tr>
      <w:tr>
        <w:trPr>
          <w:trHeight w:val="507"/>
        </w:trPr>
        <w:tc>
          <w:tcPr>
            <w:tcW w:w="660" w:type="dxa"/>
            <w:vAlign w:val="bottom"/>
          </w:tcPr>
          <w:p>
            <w:pPr>
              <w:spacing w:after="0"/>
              <w:rPr>
                <w:sz w:val="24"/>
                <w:szCs w:val="24"/>
                <w:color w:val="auto"/>
              </w:rPr>
            </w:pPr>
          </w:p>
        </w:tc>
        <w:tc>
          <w:tcPr>
            <w:tcW w:w="4480" w:type="dxa"/>
            <w:vAlign w:val="bottom"/>
            <w:tcBorders>
              <w:top w:val="single" w:sz="8" w:color="0000FF"/>
            </w:tcBorders>
          </w:tcPr>
          <w:p>
            <w:pPr>
              <w:ind w:left="3220"/>
              <w:spacing w:after="0"/>
              <w:rPr>
                <w:sz w:val="20"/>
                <w:szCs w:val="20"/>
                <w:color w:val="auto"/>
              </w:rPr>
            </w:pPr>
            <w:r>
              <w:rPr>
                <w:rFonts w:ascii="Arial" w:cs="Arial" w:eastAsia="Arial" w:hAnsi="Arial"/>
                <w:sz w:val="18"/>
                <w:szCs w:val="18"/>
                <w:color w:val="auto"/>
              </w:rPr>
              <w:t>-86-</w:t>
            </w:r>
          </w:p>
        </w:tc>
        <w:tc>
          <w:tcPr>
            <w:tcW w:w="40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860"/>
          </w:cols>
          <w:pgMar w:left="240" w:top="337" w:right="79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340" w:right="40" w:hanging="657"/>
        <w:spacing w:after="0" w:line="264" w:lineRule="auto"/>
        <w:tabs>
          <w:tab w:leader="none" w:pos="2340" w:val="left"/>
        </w:tabs>
        <w:numPr>
          <w:ilvl w:val="0"/>
          <w:numId w:val="47"/>
        </w:numPr>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Grant Certificate Specifying the Terms and Conditions Applicable to 2017 Restricted Stock Rights Granted Under the</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2011 Long-Term Incentive Stock Plan (incorporated by reference to Exhibit 10.1 to Form 10-Q for the quarter ended</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March 31, 2017, filed April 26, 2017)</w:t>
        </w:r>
      </w:hyperlink>
    </w:p>
    <w:p>
      <w:pPr>
        <w:spacing w:after="0" w:line="154" w:lineRule="exact"/>
        <w:rPr>
          <w:rFonts w:ascii="Arial" w:cs="Arial" w:eastAsia="Arial" w:hAnsi="Arial"/>
          <w:sz w:val="18"/>
          <w:szCs w:val="18"/>
          <w:u w:val="single" w:color="auto"/>
          <w:color w:val="0000FF"/>
        </w:rPr>
      </w:pPr>
    </w:p>
    <w:p>
      <w:pPr>
        <w:ind w:left="2340" w:right="40" w:hanging="657"/>
        <w:spacing w:after="0" w:line="264" w:lineRule="auto"/>
        <w:tabs>
          <w:tab w:leader="none" w:pos="2340" w:val="left"/>
        </w:tabs>
        <w:numPr>
          <w:ilvl w:val="0"/>
          <w:numId w:val="47"/>
        </w:numPr>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Grant Certificate Specifying the Terms and Conditions Applicable to 2017 Restricted Performance Stock Rights</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Granted Under the 2011 Long-Term Incentive Stock Plan (incorporated by reference to Exhibit 10.2 to Form 10-Q for</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the quarter ended March 31, 2017, filed April 26, 2017)</w:t>
        </w:r>
      </w:hyperlink>
    </w:p>
    <w:p>
      <w:pPr>
        <w:spacing w:after="0" w:line="154" w:lineRule="exact"/>
        <w:rPr>
          <w:rFonts w:ascii="Arial" w:cs="Arial" w:eastAsia="Arial" w:hAnsi="Arial"/>
          <w:sz w:val="18"/>
          <w:szCs w:val="18"/>
          <w:u w:val="single" w:color="auto"/>
          <w:color w:val="0000FF"/>
        </w:rPr>
      </w:pPr>
    </w:p>
    <w:p>
      <w:pPr>
        <w:ind w:left="2340" w:right="60" w:hanging="657"/>
        <w:spacing w:after="0" w:line="264" w:lineRule="auto"/>
        <w:tabs>
          <w:tab w:leader="none" w:pos="2340" w:val="left"/>
        </w:tabs>
        <w:numPr>
          <w:ilvl w:val="0"/>
          <w:numId w:val="47"/>
        </w:numPr>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Grant Certificate Specifying the Terms and Conditions Applicable to 2017 Restricted Stock Rights Granted to Janis</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G. Pamiljans Under the 2011 Long-Term Incentive Stock Plan (incorporated by reference to Exhibit 10.2 to Form 10-</w:t>
        </w:r>
      </w:hyperlink>
      <w:hyperlink r:id="rId56">
        <w:r>
          <w:rPr>
            <w:rFonts w:ascii="Arial" w:cs="Arial" w:eastAsia="Arial" w:hAnsi="Arial"/>
            <w:sz w:val="18"/>
            <w:szCs w:val="18"/>
            <w:u w:val="single" w:color="auto"/>
            <w:color w:val="0000FF"/>
          </w:rPr>
          <w:t>Q for the quarter ended June 30, 2017, filed July 26, 2017)</w:t>
        </w:r>
      </w:hyperlink>
    </w:p>
    <w:p>
      <w:pPr>
        <w:spacing w:after="0" w:line="235" w:lineRule="exact"/>
        <w:rPr>
          <w:rFonts w:ascii="Arial" w:cs="Arial" w:eastAsia="Arial" w:hAnsi="Arial"/>
          <w:sz w:val="18"/>
          <w:szCs w:val="18"/>
          <w:u w:val="single" w:color="auto"/>
          <w:color w:val="0000FF"/>
        </w:rPr>
      </w:pPr>
    </w:p>
    <w:p>
      <w:pPr>
        <w:ind w:left="1780" w:right="460" w:hanging="979"/>
        <w:spacing w:after="0" w:line="342" w:lineRule="auto"/>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+10(i)</w:t>
      </w:r>
      <w:r>
        <w:rPr>
          <w:sz w:val="20"/>
          <w:szCs w:val="20"/>
          <w:color w:val="auto"/>
        </w:rPr>
        <w:tab/>
      </w:r>
      <w:hyperlink r:id="rId57">
        <w:r>
          <w:rPr>
            <w:rFonts w:ascii="Arial" w:cs="Arial" w:eastAsia="Arial" w:hAnsi="Arial"/>
            <w:sz w:val="16"/>
            <w:szCs w:val="16"/>
            <w:u w:val="single" w:color="auto"/>
            <w:color w:val="0000FF"/>
          </w:rPr>
          <w:t>Northrop Grumman 2011 Long-Term Incentive Stock Plan (As Amended Through December 4, 2014) (incorporated by</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reference to Exhibit 10(h) to Form 10-K for the year ended December 31, 2014, filed February 2, 2015)</w:t>
        </w:r>
      </w:hyperlink>
    </w:p>
    <w:p>
      <w:pPr>
        <w:spacing w:after="0" w:line="178" w:lineRule="exact"/>
        <w:rPr>
          <w:sz w:val="20"/>
          <w:szCs w:val="20"/>
          <w:color w:val="auto"/>
        </w:rPr>
      </w:pPr>
    </w:p>
    <w:p>
      <w:pPr>
        <w:ind w:left="2340" w:right="360" w:hanging="657"/>
        <w:spacing w:after="0" w:line="192" w:lineRule="auto"/>
        <w:tabs>
          <w:tab w:leader="none" w:pos="2340" w:val="left"/>
        </w:tabs>
        <w:numPr>
          <w:ilvl w:val="0"/>
          <w:numId w:val="48"/>
        </w:numPr>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Summary of Non-Employee Director Award Terms Under the 2011 Long-Term Incentive Stock Plan effective</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December 21, 2011 (incorporated by reference to Exhibit 10(j)(ii) to Form 10-K for the year ended December 31,</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2011, filed February 8, 2012, File No. 001-16411)</w:t>
        </w:r>
      </w:hyperlink>
    </w:p>
    <w:p>
      <w:pPr>
        <w:spacing w:after="0" w:line="174" w:lineRule="exact"/>
        <w:rPr>
          <w:rFonts w:ascii="Arial" w:cs="Arial" w:eastAsia="Arial" w:hAnsi="Arial"/>
          <w:sz w:val="18"/>
          <w:szCs w:val="18"/>
          <w:u w:val="single" w:color="auto"/>
          <w:color w:val="0000FF"/>
        </w:rPr>
      </w:pPr>
    </w:p>
    <w:p>
      <w:pPr>
        <w:jc w:val="both"/>
        <w:ind w:left="2340" w:right="180" w:hanging="657"/>
        <w:spacing w:after="0" w:line="312" w:lineRule="auto"/>
        <w:tabs>
          <w:tab w:leader="none" w:pos="2340" w:val="left"/>
        </w:tabs>
        <w:numPr>
          <w:ilvl w:val="0"/>
          <w:numId w:val="48"/>
        </w:numPr>
        <w:rPr>
          <w:rFonts w:ascii="Arial" w:cs="Arial" w:eastAsia="Arial" w:hAnsi="Arial"/>
          <w:sz w:val="16"/>
          <w:szCs w:val="16"/>
          <w:u w:val="single" w:color="auto"/>
          <w:color w:val="0000FF"/>
        </w:rPr>
      </w:pPr>
      <w:hyperlink r:id="rId59">
        <w:r>
          <w:rPr>
            <w:rFonts w:ascii="Arial" w:cs="Arial" w:eastAsia="Arial" w:hAnsi="Arial"/>
            <w:sz w:val="16"/>
            <w:szCs w:val="16"/>
            <w:u w:val="single" w:color="auto"/>
            <w:color w:val="0000FF"/>
          </w:rPr>
          <w:t>Northrop Grumman Corporation Equity Grant Program for Non-Employee Directors under the Northrop Grumman</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2011 Long-Term Incentive Stock Plan, Amended and Restated Effective January 1, 2015 (incorporated by reference</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to Exhibit 10(h)(ii) to Form 10-K for the year ended December 31, 2014, filed February 2, 2015)</w:t>
        </w:r>
      </w:hyperlink>
    </w:p>
    <w:p>
      <w:pPr>
        <w:spacing w:after="0" w:line="119" w:lineRule="exact"/>
        <w:rPr>
          <w:rFonts w:ascii="Arial" w:cs="Arial" w:eastAsia="Arial" w:hAnsi="Arial"/>
          <w:sz w:val="16"/>
          <w:szCs w:val="16"/>
          <w:u w:val="single" w:color="auto"/>
          <w:color w:val="0000FF"/>
        </w:rPr>
      </w:pPr>
    </w:p>
    <w:p>
      <w:pPr>
        <w:ind w:left="2340" w:right="40" w:hanging="657"/>
        <w:spacing w:after="0" w:line="264" w:lineRule="auto"/>
        <w:tabs>
          <w:tab w:leader="none" w:pos="2340" w:val="left"/>
        </w:tabs>
        <w:numPr>
          <w:ilvl w:val="0"/>
          <w:numId w:val="48"/>
        </w:numPr>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Grant Certificate Specifying the Terms and Conditions Applicable to 2014 Restricted Stock Rights Granted Under the</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2011 Long-Term Incentive Stock Plan (incorporated by reference to Exhibit 10.1 to Form 8-K filed February 24,</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2014)</w:t>
        </w:r>
      </w:hyperlink>
    </w:p>
    <w:p>
      <w:pPr>
        <w:spacing w:after="0" w:line="154" w:lineRule="exact"/>
        <w:rPr>
          <w:rFonts w:ascii="Arial" w:cs="Arial" w:eastAsia="Arial" w:hAnsi="Arial"/>
          <w:sz w:val="18"/>
          <w:szCs w:val="18"/>
          <w:u w:val="single" w:color="auto"/>
          <w:color w:val="0000FF"/>
        </w:rPr>
      </w:pPr>
    </w:p>
    <w:p>
      <w:pPr>
        <w:ind w:left="2340" w:hanging="657"/>
        <w:spacing w:after="0" w:line="264" w:lineRule="auto"/>
        <w:tabs>
          <w:tab w:leader="none" w:pos="2340" w:val="left"/>
        </w:tabs>
        <w:numPr>
          <w:ilvl w:val="0"/>
          <w:numId w:val="48"/>
        </w:numPr>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Grant Certificate Specifying the Terms and Conditions Applicable to 2014 Restricted Performance Stock Rights</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Granted Under the 2011 Long-Term Incentive Stock Plan (incorporated by reference to Exhibit 10.2 to Form 8-K filed</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February 24, 2014)</w:t>
        </w:r>
      </w:hyperlink>
    </w:p>
    <w:p>
      <w:pPr>
        <w:spacing w:after="0" w:line="154" w:lineRule="exact"/>
        <w:rPr>
          <w:rFonts w:ascii="Arial" w:cs="Arial" w:eastAsia="Arial" w:hAnsi="Arial"/>
          <w:sz w:val="18"/>
          <w:szCs w:val="18"/>
          <w:u w:val="single" w:color="auto"/>
          <w:color w:val="0000FF"/>
        </w:rPr>
      </w:pPr>
    </w:p>
    <w:p>
      <w:pPr>
        <w:jc w:val="both"/>
        <w:ind w:left="2340" w:right="180" w:hanging="657"/>
        <w:spacing w:after="0" w:line="264" w:lineRule="auto"/>
        <w:tabs>
          <w:tab w:leader="none" w:pos="2340" w:val="left"/>
        </w:tabs>
        <w:numPr>
          <w:ilvl w:val="0"/>
          <w:numId w:val="48"/>
        </w:numPr>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Amended and Restated Grant Certificate Specifying the Terms and Conditions Applicable to 2014 Restricted Stock</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Rights Granted Under the 2011 Long-Term Incentive Stock Plan (incorporated by reference to Exhibit 10.2 to Form</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10-Q for the quarter ended June 30, 2014, filed July 23, 2014)</w:t>
        </w:r>
      </w:hyperlink>
    </w:p>
    <w:p>
      <w:pPr>
        <w:spacing w:after="0" w:line="154" w:lineRule="exact"/>
        <w:rPr>
          <w:rFonts w:ascii="Arial" w:cs="Arial" w:eastAsia="Arial" w:hAnsi="Arial"/>
          <w:sz w:val="18"/>
          <w:szCs w:val="18"/>
          <w:u w:val="single" w:color="auto"/>
          <w:color w:val="0000FF"/>
        </w:rPr>
      </w:pPr>
    </w:p>
    <w:p>
      <w:pPr>
        <w:ind w:left="2340" w:right="320" w:hanging="657"/>
        <w:spacing w:after="0" w:line="286" w:lineRule="auto"/>
        <w:tabs>
          <w:tab w:leader="none" w:pos="2340" w:val="left"/>
        </w:tabs>
        <w:numPr>
          <w:ilvl w:val="0"/>
          <w:numId w:val="48"/>
        </w:numPr>
        <w:rPr>
          <w:rFonts w:ascii="Arial" w:cs="Arial" w:eastAsia="Arial" w:hAnsi="Arial"/>
          <w:sz w:val="17"/>
          <w:szCs w:val="17"/>
          <w:u w:val="single" w:color="auto"/>
          <w:color w:val="0000FF"/>
        </w:rPr>
      </w:pPr>
      <w:hyperlink r:id="rId63">
        <w:r>
          <w:rPr>
            <w:rFonts w:ascii="Arial" w:cs="Arial" w:eastAsia="Arial" w:hAnsi="Arial"/>
            <w:sz w:val="17"/>
            <w:szCs w:val="17"/>
            <w:u w:val="single" w:color="auto"/>
            <w:color w:val="0000FF"/>
          </w:rPr>
          <w:t>Amended and Restated Grant Certificate Specifying the Terms and Conditions Applicable to 2014 Restricted</w:t>
        </w:r>
      </w:hyperlink>
      <w:r>
        <w:rPr>
          <w:rFonts w:ascii="Arial" w:cs="Arial" w:eastAsia="Arial" w:hAnsi="Arial"/>
          <w:sz w:val="17"/>
          <w:szCs w:val="17"/>
          <w:u w:val="single" w:color="auto"/>
          <w:color w:val="0000FF"/>
        </w:rPr>
        <w:t xml:space="preserve"> </w:t>
      </w:r>
      <w:hyperlink r:id="rId63">
        <w:r>
          <w:rPr>
            <w:rFonts w:ascii="Arial" w:cs="Arial" w:eastAsia="Arial" w:hAnsi="Arial"/>
            <w:sz w:val="17"/>
            <w:szCs w:val="17"/>
            <w:u w:val="single" w:color="auto"/>
            <w:color w:val="0000FF"/>
          </w:rPr>
          <w:t>Performance Stock Rights Granted Under the 2011 Long-Term Incentive Stock Plan (incorporated by reference to</w:t>
        </w:r>
      </w:hyperlink>
      <w:r>
        <w:rPr>
          <w:rFonts w:ascii="Arial" w:cs="Arial" w:eastAsia="Arial" w:hAnsi="Arial"/>
          <w:sz w:val="17"/>
          <w:szCs w:val="17"/>
          <w:u w:val="single" w:color="auto"/>
          <w:color w:val="0000FF"/>
        </w:rPr>
        <w:t xml:space="preserve"> </w:t>
      </w:r>
      <w:hyperlink r:id="rId63">
        <w:r>
          <w:rPr>
            <w:rFonts w:ascii="Arial" w:cs="Arial" w:eastAsia="Arial" w:hAnsi="Arial"/>
            <w:sz w:val="17"/>
            <w:szCs w:val="17"/>
            <w:u w:val="single" w:color="auto"/>
            <w:color w:val="0000FF"/>
          </w:rPr>
          <w:t>Exhibit 10.3 to Form 10-Q for the quarter ended June 30, 2014, filed July 23, 2014)</w:t>
        </w:r>
      </w:hyperlink>
    </w:p>
    <w:p>
      <w:pPr>
        <w:spacing w:after="0" w:line="138" w:lineRule="exact"/>
        <w:rPr>
          <w:rFonts w:ascii="Arial" w:cs="Arial" w:eastAsia="Arial" w:hAnsi="Arial"/>
          <w:sz w:val="17"/>
          <w:szCs w:val="17"/>
          <w:u w:val="single" w:color="auto"/>
          <w:color w:val="0000FF"/>
        </w:rPr>
      </w:pPr>
    </w:p>
    <w:p>
      <w:pPr>
        <w:ind w:left="2340" w:right="40" w:hanging="657"/>
        <w:spacing w:after="0" w:line="264" w:lineRule="auto"/>
        <w:tabs>
          <w:tab w:leader="none" w:pos="2340" w:val="left"/>
        </w:tabs>
        <w:numPr>
          <w:ilvl w:val="0"/>
          <w:numId w:val="48"/>
        </w:numPr>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Grant Certificate Specifying the Terms and Conditions Applicable to 2015 Restricted Stock Rights Granted Under the</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2011 Long-Term Incentive Stock Plan (incorporated by reference to Exhibit 10.1 to Form 8-K filed February 20,</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2015)</w:t>
        </w:r>
      </w:hyperlink>
    </w:p>
    <w:p>
      <w:pPr>
        <w:spacing w:after="0" w:line="154" w:lineRule="exact"/>
        <w:rPr>
          <w:rFonts w:ascii="Arial" w:cs="Arial" w:eastAsia="Arial" w:hAnsi="Arial"/>
          <w:sz w:val="18"/>
          <w:szCs w:val="18"/>
          <w:u w:val="single" w:color="auto"/>
          <w:color w:val="0000FF"/>
        </w:rPr>
      </w:pPr>
    </w:p>
    <w:p>
      <w:pPr>
        <w:ind w:left="2340" w:hanging="657"/>
        <w:spacing w:after="0" w:line="264" w:lineRule="auto"/>
        <w:tabs>
          <w:tab w:leader="none" w:pos="2340" w:val="left"/>
        </w:tabs>
        <w:numPr>
          <w:ilvl w:val="0"/>
          <w:numId w:val="48"/>
        </w:numPr>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Grant Certificate Specifying the Terms and Conditions Applicable to 2015 Restricted Performance Stock Rights</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Granted Under the 2011 Long-Term Incentive Stock Plan (incorporated by reference to Exhibit 10.2 to Form 8-K filed</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February 20, 2015)</w:t>
        </w:r>
      </w:hyperlink>
    </w:p>
    <w:p>
      <w:pPr>
        <w:spacing w:after="0" w:line="235" w:lineRule="exact"/>
        <w:rPr>
          <w:rFonts w:ascii="Arial" w:cs="Arial" w:eastAsia="Arial" w:hAnsi="Arial"/>
          <w:sz w:val="18"/>
          <w:szCs w:val="18"/>
          <w:u w:val="single" w:color="auto"/>
          <w:color w:val="0000FF"/>
        </w:rPr>
      </w:pPr>
    </w:p>
    <w:p>
      <w:pPr>
        <w:ind w:left="1780" w:right="4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+10(j)</w:t>
      </w:r>
      <w:r>
        <w:rPr>
          <w:sz w:val="20"/>
          <w:szCs w:val="20"/>
          <w:color w:val="auto"/>
        </w:rPr>
        <w:tab/>
      </w:r>
      <w:hyperlink r:id="rId66">
        <w:r>
          <w:rPr>
            <w:rFonts w:ascii="Arial" w:cs="Arial" w:eastAsia="Arial" w:hAnsi="Arial"/>
            <w:sz w:val="18"/>
            <w:szCs w:val="18"/>
            <w:u w:val="single" w:color="auto"/>
            <w:color w:val="0000FF"/>
          </w:rPr>
          <w:t>Northrop Grumman Supplemental Plan 2 (Amended and Restated Effective as of January 1, 2014) (incorporated by reference</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to Exhibit 10(l) to Form 10-K for the year ended December 31, 2013, Filed February 3, 2014)</w:t>
        </w:r>
      </w:hyperlink>
    </w:p>
    <w:p>
      <w:pPr>
        <w:spacing w:after="0" w:line="143" w:lineRule="exact"/>
        <w:rPr>
          <w:sz w:val="20"/>
          <w:szCs w:val="20"/>
          <w:color w:val="auto"/>
        </w:rPr>
      </w:pPr>
    </w:p>
    <w:p>
      <w:pPr>
        <w:ind w:left="2340" w:right="380" w:hanging="657"/>
        <w:spacing w:after="0" w:line="264" w:lineRule="auto"/>
        <w:tabs>
          <w:tab w:leader="none" w:pos="2340" w:val="left"/>
        </w:tabs>
        <w:numPr>
          <w:ilvl w:val="0"/>
          <w:numId w:val="49"/>
        </w:numPr>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Appendix B to the Northrop Grumman Supplemental Plan 2: ERISA Supplemental Program 2 (Amended and</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Restated Effective as of January 1, 2014) (incorporated by reference to Exhibit 10(l)(i) to Form 10-K for the year</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ended December 31, 2013, filed February 3, 2014)</w:t>
        </w:r>
      </w:hyperlink>
    </w:p>
    <w:p>
      <w:pPr>
        <w:spacing w:after="0" w:line="235" w:lineRule="exact"/>
        <w:rPr>
          <w:rFonts w:ascii="Arial" w:cs="Arial" w:eastAsia="Arial" w:hAnsi="Arial"/>
          <w:sz w:val="18"/>
          <w:szCs w:val="18"/>
          <w:u w:val="single" w:color="auto"/>
          <w:color w:val="0000FF"/>
        </w:rPr>
      </w:pPr>
    </w:p>
    <w:p>
      <w:pPr>
        <w:ind w:left="556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860"/>
          </w:cols>
          <w:pgMar w:left="240" w:top="337" w:right="79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340" w:hanging="657"/>
        <w:spacing w:after="0" w:line="264" w:lineRule="auto"/>
        <w:tabs>
          <w:tab w:leader="none" w:pos="2340" w:val="left"/>
        </w:tabs>
        <w:numPr>
          <w:ilvl w:val="0"/>
          <w:numId w:val="50"/>
        </w:numPr>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Appendix F to the Northrop Grumman Supplemental Plan 2: CPC Supplemental Executive Retirement Program</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(Amended and Restated Effective as of January 1, 2012) (incorporated by reference to Exhibit 10(k)(iii) to Form 10-K</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for the year ended December 31, 2011, filed February 8, 2012, File No. 001-16411)</w:t>
        </w:r>
      </w:hyperlink>
    </w:p>
    <w:p>
      <w:pPr>
        <w:spacing w:after="0" w:line="154" w:lineRule="exact"/>
        <w:rPr>
          <w:rFonts w:ascii="Arial" w:cs="Arial" w:eastAsia="Arial" w:hAnsi="Arial"/>
          <w:sz w:val="18"/>
          <w:szCs w:val="18"/>
          <w:u w:val="single" w:color="auto"/>
          <w:color w:val="0000FF"/>
        </w:rPr>
      </w:pPr>
    </w:p>
    <w:p>
      <w:pPr>
        <w:ind w:left="2340" w:right="20" w:hanging="657"/>
        <w:spacing w:after="0" w:line="264" w:lineRule="auto"/>
        <w:tabs>
          <w:tab w:leader="none" w:pos="2340" w:val="left"/>
        </w:tabs>
        <w:numPr>
          <w:ilvl w:val="0"/>
          <w:numId w:val="50"/>
        </w:numPr>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Appendix G to the Northrop Grumman Supplemental Plan 2: Officers Supplemental Executive Retirement Program</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(Amended and Restated Effective as of January 1, 2012) (incorporated by reference to Exhibit 10(k)(iv) to Form 10-K</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for the year ended December 31, 2011, filed February 8, 2012, File No. 001-16411)</w:t>
        </w:r>
      </w:hyperlink>
    </w:p>
    <w:p>
      <w:pPr>
        <w:spacing w:after="0" w:line="154" w:lineRule="exact"/>
        <w:rPr>
          <w:rFonts w:ascii="Arial" w:cs="Arial" w:eastAsia="Arial" w:hAnsi="Arial"/>
          <w:sz w:val="18"/>
          <w:szCs w:val="18"/>
          <w:u w:val="single" w:color="auto"/>
          <w:color w:val="0000FF"/>
        </w:rPr>
      </w:pPr>
    </w:p>
    <w:p>
      <w:pPr>
        <w:ind w:left="2340" w:right="100" w:hanging="657"/>
        <w:spacing w:after="0" w:line="264" w:lineRule="auto"/>
        <w:tabs>
          <w:tab w:leader="none" w:pos="2340" w:val="left"/>
        </w:tabs>
        <w:numPr>
          <w:ilvl w:val="0"/>
          <w:numId w:val="50"/>
        </w:numPr>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Appendix I to the Northrop Grumman Supplemental Plan 2: Officers Supplemental Executive Retirement Program II</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(Amended and Restated January 1, 2014) (incorporated by reference to Exhibit 10(k)(iv) to Form 10-K for the year</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ended December 31, 2015, filed February 1, 2016)</w:t>
        </w:r>
      </w:hyperlink>
    </w:p>
    <w:p>
      <w:pPr>
        <w:spacing w:after="0" w:line="137" w:lineRule="exact"/>
        <w:rPr>
          <w:rFonts w:ascii="Arial" w:cs="Arial" w:eastAsia="Arial" w:hAnsi="Arial"/>
          <w:sz w:val="18"/>
          <w:szCs w:val="18"/>
          <w:u w:val="single" w:color="auto"/>
          <w:color w:val="0000FF"/>
        </w:rPr>
      </w:pPr>
    </w:p>
    <w:tbl>
      <w:tblPr>
        <w:tblLayout w:type="fixed"/>
        <w:tblInd w:w="168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*(v)</w:t>
            </w:r>
          </w:p>
        </w:tc>
        <w:tc>
          <w:tcPr>
            <w:tcW w:w="782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20">
              <w:r>
                <w:rPr>
                  <w:rFonts w:ascii="Arial" w:cs="Arial" w:eastAsia="Arial" w:hAnsi="Arial"/>
                  <w:sz w:val="18"/>
                  <w:szCs w:val="18"/>
                  <w:color w:val="0000FF"/>
                  <w:w w:val="90"/>
                </w:rPr>
                <w:t>First Amendment to the Northrop Grumman Supplemental Plan 2, dated December 20, 2017 (Effective as of</w:t>
              </w:r>
            </w:hyperlink>
          </w:p>
        </w:tc>
      </w:tr>
      <w:tr>
        <w:trPr>
          <w:trHeight w:val="196"/>
        </w:trPr>
        <w:tc>
          <w:tcPr>
            <w:tcW w:w="660" w:type="dxa"/>
            <w:vAlign w:val="bottom"/>
          </w:tcPr>
          <w:p>
            <w:pPr>
              <w:spacing w:after="0"/>
              <w:rPr>
                <w:sz w:val="17"/>
                <w:szCs w:val="17"/>
                <w:color w:val="auto"/>
              </w:rPr>
            </w:pPr>
          </w:p>
        </w:tc>
        <w:tc>
          <w:tcPr>
            <w:tcW w:w="7820" w:type="dxa"/>
            <w:vAlign w:val="bottom"/>
            <w:gridSpan w:val="2"/>
          </w:tcPr>
          <w:p>
            <w:pPr>
              <w:spacing w:after="0" w:line="196" w:lineRule="exact"/>
              <w:rPr>
                <w:rFonts w:ascii="Arial" w:cs="Arial" w:eastAsia="Arial" w:hAnsi="Arial"/>
                <w:sz w:val="18"/>
                <w:szCs w:val="18"/>
                <w:color w:val="0000FF"/>
              </w:rPr>
            </w:pPr>
            <w:hyperlink w:anchor="page120">
              <w:r>
                <w:rPr>
                  <w:rFonts w:ascii="Arial" w:cs="Arial" w:eastAsia="Arial" w:hAnsi="Arial"/>
                  <w:sz w:val="18"/>
                  <w:szCs w:val="18"/>
                  <w:color w:val="0000FF"/>
                </w:rPr>
                <w:t>December 31, 2017)</w:t>
              </w:r>
            </w:hyperlink>
          </w:p>
        </w:tc>
      </w:tr>
      <w:tr>
        <w:trPr>
          <w:trHeight w:val="20"/>
        </w:trPr>
        <w:tc>
          <w:tcPr>
            <w:tcW w:w="6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bl>
    <w:p>
      <w:pPr>
        <w:spacing w:after="0" w:line="283" w:lineRule="exact"/>
        <w:rPr>
          <w:sz w:val="20"/>
          <w:szCs w:val="20"/>
          <w:color w:val="auto"/>
        </w:rPr>
      </w:pPr>
    </w:p>
    <w:p>
      <w:pPr>
        <w:ind w:left="1780" w:right="30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+10(k)</w:t>
      </w:r>
      <w:r>
        <w:rPr>
          <w:sz w:val="20"/>
          <w:szCs w:val="20"/>
          <w:color w:val="auto"/>
        </w:rPr>
        <w:tab/>
      </w:r>
      <w:hyperlink r:id="rId71">
        <w:r>
          <w:rPr>
            <w:rFonts w:ascii="Arial" w:cs="Arial" w:eastAsia="Arial" w:hAnsi="Arial"/>
            <w:sz w:val="18"/>
            <w:szCs w:val="18"/>
            <w:u w:val="single" w:color="auto"/>
            <w:color w:val="0000FF"/>
          </w:rPr>
          <w:t>Northrop Grumman Supplementary Retirement Income Plan (formerly TRW Supplementary Retirement Income Plan)</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(Amended and Restated Effective January 1, 2014) (incorporated by reference to Exhibit 10(m) to Form 10-K for the year</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ended December 31, 2013, filed February 3, 2014)</w:t>
        </w:r>
      </w:hyperlink>
    </w:p>
    <w:p>
      <w:pPr>
        <w:spacing w:after="0" w:line="154" w:lineRule="exact"/>
        <w:rPr>
          <w:rFonts w:ascii="Arial" w:cs="Arial" w:eastAsia="Arial" w:hAnsi="Arial"/>
          <w:sz w:val="18"/>
          <w:szCs w:val="18"/>
          <w:u w:val="single" w:color="auto"/>
          <w:color w:val="0000FF"/>
        </w:rPr>
      </w:pPr>
    </w:p>
    <w:p>
      <w:pPr>
        <w:jc w:val="both"/>
        <w:ind w:left="800"/>
        <w:spacing w:after="0"/>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+10(l)</w:t>
      </w:r>
      <w:r>
        <w:rPr>
          <w:sz w:val="20"/>
          <w:szCs w:val="20"/>
          <w:color w:val="auto"/>
        </w:rPr>
        <w:tab/>
      </w:r>
      <w:hyperlink r:id="rId72">
        <w:r>
          <w:rPr>
            <w:rFonts w:ascii="Arial" w:cs="Arial" w:eastAsia="Arial" w:hAnsi="Arial"/>
            <w:sz w:val="18"/>
            <w:szCs w:val="18"/>
            <w:u w:val="single" w:color="auto"/>
            <w:color w:val="0000FF"/>
          </w:rPr>
          <w:t>Northrop Grumman Electronic Systems Executive Pension Plan (Amended and Restated Effective as of January 1, 2016)</w:t>
        </w:r>
      </w:hyperlink>
    </w:p>
    <w:p>
      <w:pPr>
        <w:spacing w:after="0" w:line="23" w:lineRule="exact"/>
        <w:rPr>
          <w:rFonts w:ascii="Arial" w:cs="Arial" w:eastAsia="Arial" w:hAnsi="Arial"/>
          <w:sz w:val="18"/>
          <w:szCs w:val="18"/>
          <w:u w:val="single" w:color="auto"/>
          <w:color w:val="0000FF"/>
        </w:rPr>
      </w:pPr>
    </w:p>
    <w:p>
      <w:pPr>
        <w:jc w:val="right"/>
        <w:ind w:right="320"/>
        <w:spacing w:after="0"/>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(incorporated by reference to Exhibit 10(m) to Form 10-K for the year ended December 31, 2015, filed February 1, 2016)</w:t>
        </w:r>
      </w:hyperlink>
    </w:p>
    <w:p>
      <w:pPr>
        <w:spacing w:after="0" w:line="184" w:lineRule="exact"/>
        <w:rPr>
          <w:rFonts w:ascii="Arial" w:cs="Arial" w:eastAsia="Arial" w:hAnsi="Arial"/>
          <w:sz w:val="18"/>
          <w:szCs w:val="18"/>
          <w:u w:val="single" w:color="auto"/>
          <w:color w:val="0000FF"/>
        </w:rPr>
      </w:pPr>
    </w:p>
    <w:p>
      <w:pPr>
        <w:ind w:left="1780" w:right="34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+*10(m)</w:t>
      </w:r>
      <w:r>
        <w:rPr>
          <w:sz w:val="20"/>
          <w:szCs w:val="20"/>
          <w:color w:val="auto"/>
        </w:rPr>
        <w:tab/>
      </w:r>
      <w:hyperlink w:anchor="page121">
        <w:r>
          <w:rPr>
            <w:rFonts w:ascii="Arial" w:cs="Arial" w:eastAsia="Arial" w:hAnsi="Arial"/>
            <w:sz w:val="18"/>
            <w:szCs w:val="18"/>
            <w:u w:val="single" w:color="auto"/>
            <w:color w:val="0000FF"/>
          </w:rPr>
          <w:t>Severance Plan for Elected and Appointed Officers of Northrop Grumman Corporation (Amended and Restated Effective</w:t>
        </w:r>
      </w:hyperlink>
      <w:r>
        <w:rPr>
          <w:rFonts w:ascii="Arial" w:cs="Arial" w:eastAsia="Arial" w:hAnsi="Arial"/>
          <w:sz w:val="18"/>
          <w:szCs w:val="18"/>
          <w:u w:val="single" w:color="auto"/>
          <w:color w:val="0000FF"/>
        </w:rPr>
        <w:t xml:space="preserve"> </w:t>
      </w:r>
      <w:hyperlink w:anchor="page121">
        <w:r>
          <w:rPr>
            <w:rFonts w:ascii="Arial" w:cs="Arial" w:eastAsia="Arial" w:hAnsi="Arial"/>
            <w:sz w:val="18"/>
            <w:szCs w:val="18"/>
            <w:u w:val="single" w:color="auto"/>
            <w:color w:val="0000FF"/>
          </w:rPr>
          <w:t>January 1, 2018)</w:t>
        </w:r>
      </w:hyperlink>
    </w:p>
    <w:p>
      <w:pPr>
        <w:spacing w:after="0" w:line="143" w:lineRule="exact"/>
        <w:rPr>
          <w:sz w:val="20"/>
          <w:szCs w:val="20"/>
          <w:color w:val="auto"/>
        </w:rPr>
      </w:pPr>
    </w:p>
    <w:p>
      <w:pPr>
        <w:ind w:left="1780" w:right="36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+10(n)</w:t>
      </w:r>
      <w:r>
        <w:rPr>
          <w:sz w:val="20"/>
          <w:szCs w:val="20"/>
          <w:color w:val="auto"/>
        </w:rPr>
        <w:tab/>
      </w:r>
      <w:hyperlink r:id="rId73">
        <w:r>
          <w:rPr>
            <w:rFonts w:ascii="Arial" w:cs="Arial" w:eastAsia="Arial" w:hAnsi="Arial"/>
            <w:sz w:val="18"/>
            <w:szCs w:val="18"/>
            <w:u w:val="single" w:color="auto"/>
            <w:color w:val="0000FF"/>
          </w:rPr>
          <w:t>Non-Employee Director Compensation Term Sheet, effective May 18, 2016 (incorporated by reference to Exhibit 10.1 to</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Form 10-Q for the quarter ended June 30, 2016, filed July 27, 2016)</w:t>
        </w:r>
      </w:hyperlink>
    </w:p>
    <w:p>
      <w:pPr>
        <w:spacing w:after="0" w:line="143" w:lineRule="exact"/>
        <w:rPr>
          <w:sz w:val="20"/>
          <w:szCs w:val="20"/>
          <w:color w:val="auto"/>
        </w:rPr>
      </w:pPr>
    </w:p>
    <w:p>
      <w:pPr>
        <w:ind w:left="1780" w:right="36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+10(o)</w:t>
      </w:r>
      <w:r>
        <w:rPr>
          <w:sz w:val="20"/>
          <w:szCs w:val="20"/>
          <w:color w:val="auto"/>
        </w:rPr>
        <w:tab/>
      </w:r>
      <w:hyperlink r:id="rId74">
        <w:r>
          <w:rPr>
            <w:rFonts w:ascii="Arial" w:cs="Arial" w:eastAsia="Arial" w:hAnsi="Arial"/>
            <w:sz w:val="18"/>
            <w:szCs w:val="18"/>
            <w:u w:val="single" w:color="auto"/>
            <w:color w:val="0000FF"/>
          </w:rPr>
          <w:t>Non-Employee Director Compensation Term Sheet, effective May 17, 2017 (incorporated by reference to Exhibit 10.1 to</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Form 10-Q for the quarter ended June 30, 2017, filed July 26, 2017)</w:t>
        </w:r>
      </w:hyperlink>
    </w:p>
    <w:p>
      <w:pPr>
        <w:spacing w:after="0" w:line="279" w:lineRule="exact"/>
        <w:rPr>
          <w:sz w:val="20"/>
          <w:szCs w:val="20"/>
          <w:color w:val="auto"/>
        </w:rPr>
      </w:pPr>
    </w:p>
    <w:p>
      <w:pPr>
        <w:ind w:left="1780" w:right="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+10(p)</w:t>
      </w:r>
      <w:r>
        <w:rPr>
          <w:sz w:val="20"/>
          <w:szCs w:val="20"/>
          <w:color w:val="auto"/>
        </w:rPr>
        <w:tab/>
      </w:r>
      <w:hyperlink r:id="rId75">
        <w:r>
          <w:rPr>
            <w:rFonts w:ascii="Arial" w:cs="Arial" w:eastAsia="Arial" w:hAnsi="Arial"/>
            <w:sz w:val="18"/>
            <w:szCs w:val="18"/>
            <w:u w:val="single" w:color="auto"/>
            <w:color w:val="0000FF"/>
          </w:rPr>
          <w:t>Form of Indemnification Agreement between Northrop Grumman Corporation and its directors and executive officers</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(incorporated by reference to Exhibit 10.3 to Form 10-Q for the quarter ended March 31, 2012, filed April 25, 2012, File No.</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001-16411)</w:t>
        </w:r>
      </w:hyperlink>
    </w:p>
    <w:p>
      <w:pPr>
        <w:spacing w:after="0" w:line="154" w:lineRule="exact"/>
        <w:rPr>
          <w:rFonts w:ascii="Arial" w:cs="Arial" w:eastAsia="Arial" w:hAnsi="Arial"/>
          <w:sz w:val="18"/>
          <w:szCs w:val="18"/>
          <w:u w:val="single" w:color="auto"/>
          <w:color w:val="0000FF"/>
        </w:rPr>
      </w:pPr>
    </w:p>
    <w:p>
      <w:pPr>
        <w:ind w:left="1780" w:right="340" w:hanging="979"/>
        <w:spacing w:after="0" w:line="308" w:lineRule="auto"/>
        <w:tabs>
          <w:tab w:leader="none" w:pos="1760" w:val="left"/>
        </w:tabs>
        <w:rPr>
          <w:rFonts w:ascii="Arial" w:cs="Arial" w:eastAsia="Arial" w:hAnsi="Arial"/>
          <w:sz w:val="17"/>
          <w:szCs w:val="17"/>
          <w:u w:val="single" w:color="auto"/>
          <w:color w:val="0000FF"/>
        </w:rPr>
      </w:pPr>
      <w:r>
        <w:rPr>
          <w:rFonts w:ascii="Arial" w:cs="Arial" w:eastAsia="Arial" w:hAnsi="Arial"/>
          <w:sz w:val="17"/>
          <w:szCs w:val="17"/>
          <w:color w:val="auto"/>
        </w:rPr>
        <w:t>+10(q)</w:t>
      </w:r>
      <w:r>
        <w:rPr>
          <w:sz w:val="20"/>
          <w:szCs w:val="20"/>
          <w:color w:val="auto"/>
        </w:rPr>
        <w:tab/>
      </w:r>
      <w:hyperlink r:id="rId76">
        <w:r>
          <w:rPr>
            <w:rFonts w:ascii="Arial" w:cs="Arial" w:eastAsia="Arial" w:hAnsi="Arial"/>
            <w:sz w:val="17"/>
            <w:szCs w:val="17"/>
            <w:u w:val="single" w:color="auto"/>
            <w:color w:val="0000FF"/>
          </w:rPr>
          <w:t>Northrop Grumman Deferred Compensation Plan (Amended and Restated Effective as of April 1, 2016) (incorporated by</w:t>
        </w:r>
      </w:hyperlink>
      <w:r>
        <w:rPr>
          <w:rFonts w:ascii="Arial" w:cs="Arial" w:eastAsia="Arial" w:hAnsi="Arial"/>
          <w:sz w:val="17"/>
          <w:szCs w:val="17"/>
          <w:u w:val="single" w:color="auto"/>
          <w:color w:val="0000FF"/>
        </w:rPr>
        <w:t xml:space="preserve"> </w:t>
      </w:r>
      <w:hyperlink r:id="rId76">
        <w:r>
          <w:rPr>
            <w:rFonts w:ascii="Arial" w:cs="Arial" w:eastAsia="Arial" w:hAnsi="Arial"/>
            <w:sz w:val="17"/>
            <w:szCs w:val="17"/>
            <w:u w:val="single" w:color="auto"/>
            <w:color w:val="0000FF"/>
          </w:rPr>
          <w:t>reference to Exhibit 10.3 to Form 10-Q for the quarter ended March 31, 2016, filed April 27, 2016)</w:t>
        </w:r>
      </w:hyperlink>
    </w:p>
    <w:p>
      <w:pPr>
        <w:spacing w:after="0" w:line="120" w:lineRule="exact"/>
        <w:rPr>
          <w:sz w:val="20"/>
          <w:szCs w:val="20"/>
          <w:color w:val="auto"/>
        </w:rPr>
      </w:pPr>
    </w:p>
    <w:p>
      <w:pPr>
        <w:ind w:left="1780" w:right="1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+10(r)</w:t>
      </w:r>
      <w:r>
        <w:rPr>
          <w:sz w:val="20"/>
          <w:szCs w:val="20"/>
          <w:color w:val="auto"/>
        </w:rPr>
        <w:tab/>
      </w:r>
      <w:hyperlink r:id="rId77">
        <w:r>
          <w:rPr>
            <w:rFonts w:ascii="Arial" w:cs="Arial" w:eastAsia="Arial" w:hAnsi="Arial"/>
            <w:sz w:val="18"/>
            <w:szCs w:val="18"/>
            <w:u w:val="single" w:color="auto"/>
            <w:color w:val="0000FF"/>
          </w:rPr>
          <w:t>The 2002 Incentive Compensation Plan of Northrop Grumman Corporation, As Amended and Restated effective January 1,</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2009 (incorporated by reference to Exhibit 10.6 to Form 10-Q for the quarter ended March 31, 2009, filed April 22, 2009,</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File No. 001-16411)</w:t>
        </w:r>
      </w:hyperlink>
    </w:p>
    <w:p>
      <w:pPr>
        <w:spacing w:after="0" w:line="154" w:lineRule="exact"/>
        <w:rPr>
          <w:rFonts w:ascii="Arial" w:cs="Arial" w:eastAsia="Arial" w:hAnsi="Arial"/>
          <w:sz w:val="18"/>
          <w:szCs w:val="18"/>
          <w:u w:val="single" w:color="auto"/>
          <w:color w:val="0000FF"/>
        </w:rPr>
      </w:pPr>
    </w:p>
    <w:p>
      <w:pPr>
        <w:ind w:left="17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+10(s)</w:t>
      </w:r>
      <w:r>
        <w:rPr>
          <w:sz w:val="20"/>
          <w:szCs w:val="20"/>
          <w:color w:val="auto"/>
        </w:rPr>
        <w:tab/>
      </w:r>
      <w:hyperlink r:id="rId78">
        <w:r>
          <w:rPr>
            <w:rFonts w:ascii="Arial" w:cs="Arial" w:eastAsia="Arial" w:hAnsi="Arial"/>
            <w:sz w:val="18"/>
            <w:szCs w:val="18"/>
            <w:u w:val="single" w:color="auto"/>
            <w:color w:val="0000FF"/>
          </w:rPr>
          <w:t>Northrop Grumman 2006 Annual Incentive Plan and Incentive Compensation Plan (for Non-Section 162(m) Officers), as</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amended and restated effective January 1, 2009 (incorporated by reference to Exhibit 10.7 to Form 10-Q for the quarter ended</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March 31, 2009, filed April 22, 2009, File No. 001-16411)</w:t>
        </w:r>
      </w:hyperlink>
    </w:p>
    <w:p>
      <w:pPr>
        <w:spacing w:after="0" w:line="154" w:lineRule="exact"/>
        <w:rPr>
          <w:rFonts w:ascii="Arial" w:cs="Arial" w:eastAsia="Arial" w:hAnsi="Arial"/>
          <w:sz w:val="18"/>
          <w:szCs w:val="18"/>
          <w:u w:val="single" w:color="auto"/>
          <w:color w:val="0000FF"/>
        </w:rPr>
      </w:pPr>
    </w:p>
    <w:p>
      <w:pPr>
        <w:ind w:left="1780" w:right="4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+10(t)</w:t>
      </w:r>
      <w:r>
        <w:rPr>
          <w:sz w:val="20"/>
          <w:szCs w:val="20"/>
          <w:color w:val="auto"/>
        </w:rPr>
        <w:tab/>
      </w:r>
      <w:hyperlink r:id="rId79">
        <w:r>
          <w:rPr>
            <w:rFonts w:ascii="Arial" w:cs="Arial" w:eastAsia="Arial" w:hAnsi="Arial"/>
            <w:sz w:val="18"/>
            <w:szCs w:val="18"/>
            <w:u w:val="single" w:color="auto"/>
            <w:color w:val="0000FF"/>
          </w:rPr>
          <w:t>Northrop Grumman Savings Excess Plan (Amended and Restated Effective as of April 1, 2016) (incorporated by reference to</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Exhibit 10.5 to Form 10-Q for the quarter ended March 31, 2016, filed April 27, 2016)</w:t>
        </w:r>
      </w:hyperlink>
    </w:p>
    <w:p>
      <w:pPr>
        <w:spacing w:after="0" w:line="143" w:lineRule="exact"/>
        <w:rPr>
          <w:sz w:val="20"/>
          <w:szCs w:val="20"/>
          <w:color w:val="auto"/>
        </w:rPr>
      </w:pPr>
    </w:p>
    <w:p>
      <w:pPr>
        <w:ind w:left="800"/>
        <w:spacing w:after="0"/>
        <w:tabs>
          <w:tab w:leader="none" w:pos="1760" w:val="left"/>
        </w:tabs>
        <w:rPr>
          <w:rFonts w:ascii="Arial" w:cs="Arial" w:eastAsia="Arial" w:hAnsi="Arial"/>
          <w:sz w:val="17"/>
          <w:szCs w:val="17"/>
          <w:u w:val="single" w:color="auto"/>
          <w:color w:val="0000FF"/>
        </w:rPr>
      </w:pPr>
      <w:r>
        <w:rPr>
          <w:rFonts w:ascii="Arial" w:cs="Arial" w:eastAsia="Arial" w:hAnsi="Arial"/>
          <w:sz w:val="17"/>
          <w:szCs w:val="17"/>
          <w:color w:val="auto"/>
        </w:rPr>
        <w:t>+10(u)</w:t>
      </w:r>
      <w:r>
        <w:rPr>
          <w:sz w:val="20"/>
          <w:szCs w:val="20"/>
          <w:color w:val="auto"/>
        </w:rPr>
        <w:tab/>
      </w:r>
      <w:hyperlink r:id="rId80">
        <w:r>
          <w:rPr>
            <w:rFonts w:ascii="Arial" w:cs="Arial" w:eastAsia="Arial" w:hAnsi="Arial"/>
            <w:sz w:val="17"/>
            <w:szCs w:val="17"/>
            <w:u w:val="single" w:color="auto"/>
            <w:color w:val="0000FF"/>
          </w:rPr>
          <w:t>Northrop Grumman Officers Retirement Account Contribution Plan (Amended and Restated Effective as of April 1, 2016)</w:t>
        </w:r>
      </w:hyperlink>
    </w:p>
    <w:p>
      <w:pPr>
        <w:spacing w:after="0" w:line="35" w:lineRule="exact"/>
        <w:rPr>
          <w:sz w:val="20"/>
          <w:szCs w:val="20"/>
          <w:color w:val="auto"/>
        </w:rPr>
      </w:pPr>
    </w:p>
    <w:p>
      <w:pPr>
        <w:ind w:left="1780"/>
        <w:spacing w:after="0"/>
        <w:rPr>
          <w:rFonts w:ascii="Arial" w:cs="Arial" w:eastAsia="Arial" w:hAnsi="Arial"/>
          <w:sz w:val="17"/>
          <w:szCs w:val="17"/>
          <w:u w:val="single" w:color="auto"/>
          <w:color w:val="0000FF"/>
        </w:rPr>
      </w:pPr>
      <w:hyperlink r:id="rId80">
        <w:r>
          <w:rPr>
            <w:rFonts w:ascii="Arial" w:cs="Arial" w:eastAsia="Arial" w:hAnsi="Arial"/>
            <w:sz w:val="17"/>
            <w:szCs w:val="17"/>
            <w:u w:val="single" w:color="auto"/>
            <w:color w:val="0000FF"/>
          </w:rPr>
          <w:t>(incorporated by reference to Exhibit 10.4 to Form 10-Q for the quarter ended March 31, 2016, filed April 27, 2016)</w:t>
        </w:r>
      </w:hyperlink>
    </w:p>
    <w:p>
      <w:pPr>
        <w:spacing w:after="0" w:line="2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860"/>
          </w:cols>
          <w:pgMar w:left="240" w:top="337" w:right="79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+10(v)</w:t>
            </w:r>
          </w:p>
        </w:tc>
        <w:tc>
          <w:tcPr>
            <w:tcW w:w="200" w:type="dxa"/>
            <w:vAlign w:val="bottom"/>
          </w:tcPr>
          <w:p>
            <w:pPr>
              <w:spacing w:after="0"/>
              <w:rPr>
                <w:sz w:val="17"/>
                <w:szCs w:val="17"/>
                <w:color w:val="auto"/>
              </w:rPr>
            </w:pPr>
          </w:p>
        </w:tc>
        <w:tc>
          <w:tcPr>
            <w:tcW w:w="8780" w:type="dxa"/>
            <w:vAlign w:val="bottom"/>
            <w:tcBorders>
              <w:bottom w:val="single" w:sz="8" w:color="0000FF"/>
            </w:tcBorders>
            <w:gridSpan w:val="22"/>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Northrop Grumman Corporation Special Officer Retiree Medical Plan (Amended and Restated Effective January 1, 2015)</w:t>
              </w:r>
            </w:hyperlink>
          </w:p>
        </w:tc>
        <w:tc>
          <w:tcPr>
            <w:tcW w:w="300" w:type="dxa"/>
            <w:vAlign w:val="bottom"/>
            <w:gridSpan w:val="5"/>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7"/>
          </w:tcPr>
          <w:p>
            <w:pPr>
              <w:spacing w:after="0" w:line="196" w:lineRule="exact"/>
              <w:rPr>
                <w:rFonts w:ascii="Arial" w:cs="Arial" w:eastAsia="Arial" w:hAnsi="Arial"/>
                <w:sz w:val="18"/>
                <w:szCs w:val="18"/>
                <w:color w:val="0000FF"/>
                <w:w w:val="95"/>
              </w:rPr>
            </w:pPr>
            <w:hyperlink r:id="rId81">
              <w:r>
                <w:rPr>
                  <w:rFonts w:ascii="Arial" w:cs="Arial" w:eastAsia="Arial" w:hAnsi="Arial"/>
                  <w:sz w:val="18"/>
                  <w:szCs w:val="18"/>
                  <w:color w:val="0000FF"/>
                  <w:w w:val="95"/>
                </w:rPr>
                <w:t>(incorporated by reference to Exhibit 10(y) to Form 10-K for the year ended December 31, 2016, filed January 30, 2017)</w:t>
              </w:r>
            </w:hyperlink>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+*10(w)</w:t>
            </w:r>
          </w:p>
        </w:tc>
        <w:tc>
          <w:tcPr>
            <w:tcW w:w="200" w:type="dxa"/>
            <w:vAlign w:val="bottom"/>
          </w:tcPr>
          <w:p>
            <w:pPr>
              <w:spacing w:after="0"/>
              <w:rPr>
                <w:sz w:val="24"/>
                <w:szCs w:val="24"/>
                <w:color w:val="auto"/>
              </w:rPr>
            </w:pPr>
          </w:p>
        </w:tc>
        <w:tc>
          <w:tcPr>
            <w:tcW w:w="8700" w:type="dxa"/>
            <w:vAlign w:val="bottom"/>
            <w:tcBorders>
              <w:top w:val="single" w:sz="8" w:color="0000FF"/>
            </w:tcBorders>
            <w:gridSpan w:val="20"/>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Executive Basic Life Insurance Policy (Certificate No. 46) dated July 1, 2013</w:t>
              </w:r>
            </w:hyperlink>
          </w:p>
        </w:tc>
        <w:tc>
          <w:tcPr>
            <w:tcW w:w="380" w:type="dxa"/>
            <w:vAlign w:val="bottom"/>
            <w:gridSpan w:val="7"/>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780" w:type="dxa"/>
            <w:vAlign w:val="bottom"/>
          </w:tcPr>
          <w:p>
            <w:pPr>
              <w:spacing w:after="0"/>
              <w:rPr>
                <w:sz w:val="24"/>
                <w:szCs w:val="24"/>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*(i)</w:t>
            </w:r>
          </w:p>
        </w:tc>
        <w:tc>
          <w:tcPr>
            <w:tcW w:w="8520" w:type="dxa"/>
            <w:vAlign w:val="bottom"/>
            <w:gridSpan w:val="26"/>
          </w:tcPr>
          <w:p>
            <w:pPr>
              <w:spacing w:after="0"/>
              <w:rPr>
                <w:rFonts w:ascii="Arial" w:cs="Arial" w:eastAsia="Arial" w:hAnsi="Arial"/>
                <w:sz w:val="18"/>
                <w:szCs w:val="18"/>
                <w:color w:val="0000FF"/>
              </w:rPr>
            </w:pPr>
            <w:hyperlink w:anchor="page171">
              <w:r>
                <w:rPr>
                  <w:rFonts w:ascii="Arial" w:cs="Arial" w:eastAsia="Arial" w:hAnsi="Arial"/>
                  <w:sz w:val="18"/>
                  <w:szCs w:val="18"/>
                  <w:color w:val="0000FF"/>
                </w:rPr>
                <w:t>Amendment to Executive Life Insurance Policy effective July 1, 2016</w:t>
              </w:r>
            </w:hyperlink>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+10(x)</w:t>
            </w:r>
          </w:p>
        </w:tc>
        <w:tc>
          <w:tcPr>
            <w:tcW w:w="200" w:type="dxa"/>
            <w:vAlign w:val="bottom"/>
          </w:tcPr>
          <w:p>
            <w:pPr>
              <w:spacing w:after="0"/>
              <w:rPr>
                <w:sz w:val="24"/>
                <w:szCs w:val="24"/>
                <w:color w:val="auto"/>
              </w:rPr>
            </w:pPr>
          </w:p>
        </w:tc>
        <w:tc>
          <w:tcPr>
            <w:tcW w:w="9080" w:type="dxa"/>
            <w:vAlign w:val="bottom"/>
            <w:gridSpan w:val="27"/>
          </w:tcPr>
          <w:p>
            <w:pPr>
              <w:spacing w:after="0"/>
              <w:rPr>
                <w:rFonts w:ascii="Arial" w:cs="Arial" w:eastAsia="Arial" w:hAnsi="Arial"/>
                <w:sz w:val="18"/>
                <w:szCs w:val="18"/>
                <w:color w:val="0000FF"/>
                <w:w w:val="95"/>
              </w:rPr>
            </w:pPr>
            <w:hyperlink r:id="rId82">
              <w:r>
                <w:rPr>
                  <w:rFonts w:ascii="Arial" w:cs="Arial" w:eastAsia="Arial" w:hAnsi="Arial"/>
                  <w:sz w:val="18"/>
                  <w:szCs w:val="18"/>
                  <w:color w:val="0000FF"/>
                  <w:w w:val="95"/>
                </w:rPr>
                <w:t>Executive Accidental Death, Dismemberment and Plegia Insurance Policy Terms applicable to Executive Officers dated</w:t>
              </w:r>
            </w:hyperlink>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January 1, 2009 (incorporated by reference to Exhibit 10.3 to Form 10-Q for the quarter ended March 31, 2009, filed April</w:t>
              </w:r>
            </w:hyperlink>
          </w:p>
        </w:tc>
        <w:tc>
          <w:tcPr>
            <w:tcW w:w="240" w:type="dxa"/>
            <w:vAlign w:val="bottom"/>
            <w:gridSpan w:val="4"/>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7"/>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22, 2009, File No. 001-16411)</w:t>
              </w:r>
            </w:hyperlink>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780" w:type="dxa"/>
            <w:vAlign w:val="bottom"/>
          </w:tcPr>
          <w:p>
            <w:pPr>
              <w:spacing w:after="0"/>
              <w:rPr>
                <w:sz w:val="24"/>
                <w:szCs w:val="24"/>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*(i)</w:t>
            </w:r>
          </w:p>
        </w:tc>
        <w:tc>
          <w:tcPr>
            <w:tcW w:w="8420" w:type="dxa"/>
            <w:vAlign w:val="bottom"/>
            <w:tcBorders>
              <w:bottom w:val="single" w:sz="8" w:color="0000FF"/>
            </w:tcBorders>
            <w:gridSpan w:val="25"/>
          </w:tcPr>
          <w:p>
            <w:pPr>
              <w:spacing w:after="0"/>
              <w:rPr>
                <w:rFonts w:ascii="Arial" w:cs="Arial" w:eastAsia="Arial" w:hAnsi="Arial"/>
                <w:sz w:val="18"/>
                <w:szCs w:val="18"/>
                <w:color w:val="0000FF"/>
                <w:w w:val="91"/>
              </w:rPr>
            </w:pPr>
            <w:hyperlink w:anchor="page172">
              <w:r>
                <w:rPr>
                  <w:rFonts w:ascii="Arial" w:cs="Arial" w:eastAsia="Arial" w:hAnsi="Arial"/>
                  <w:sz w:val="18"/>
                  <w:szCs w:val="18"/>
                  <w:color w:val="0000FF"/>
                  <w:w w:val="91"/>
                </w:rPr>
                <w:t>Amendment to Executive Accidental Death, Dismemberment and Plegia Insurance Policy Terms dated April 9, 2009</w:t>
              </w:r>
            </w:hyperlink>
          </w:p>
        </w:tc>
        <w:tc>
          <w:tcPr>
            <w:tcW w:w="100" w:type="dxa"/>
            <w:vAlign w:val="bottom"/>
          </w:tcPr>
          <w:p>
            <w:pPr>
              <w:spacing w:after="0"/>
              <w:rPr>
                <w:sz w:val="24"/>
                <w:szCs w:val="24"/>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+*10(y)</w:t>
            </w:r>
          </w:p>
        </w:tc>
        <w:tc>
          <w:tcPr>
            <w:tcW w:w="200" w:type="dxa"/>
            <w:vAlign w:val="bottom"/>
          </w:tcPr>
          <w:p>
            <w:pPr>
              <w:spacing w:after="0"/>
              <w:rPr>
                <w:sz w:val="24"/>
                <w:szCs w:val="24"/>
                <w:color w:val="auto"/>
              </w:rPr>
            </w:pPr>
          </w:p>
        </w:tc>
        <w:tc>
          <w:tcPr>
            <w:tcW w:w="9080" w:type="dxa"/>
            <w:vAlign w:val="bottom"/>
            <w:gridSpan w:val="27"/>
          </w:tcPr>
          <w:p>
            <w:pPr>
              <w:spacing w:after="0"/>
              <w:rPr>
                <w:rFonts w:ascii="Arial" w:cs="Arial" w:eastAsia="Arial" w:hAnsi="Arial"/>
                <w:sz w:val="18"/>
                <w:szCs w:val="18"/>
                <w:color w:val="0000FF"/>
                <w:w w:val="92"/>
              </w:rPr>
            </w:pPr>
            <w:hyperlink w:anchor="page175">
              <w:r>
                <w:rPr>
                  <w:rFonts w:ascii="Arial" w:cs="Arial" w:eastAsia="Arial" w:hAnsi="Arial"/>
                  <w:sz w:val="18"/>
                  <w:szCs w:val="18"/>
                  <w:color w:val="0000FF"/>
                  <w:w w:val="92"/>
                </w:rPr>
                <w:t>Executive Long-Term Disability Insurance Policy as amended by Amendment No. 7 dated December 29, 2016 and effective</w:t>
              </w:r>
            </w:hyperlink>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7"/>
              </w:rPr>
            </w:pPr>
            <w:hyperlink w:anchor="page175">
              <w:r>
                <w:rPr>
                  <w:rFonts w:ascii="Arial" w:cs="Arial" w:eastAsia="Arial" w:hAnsi="Arial"/>
                  <w:sz w:val="18"/>
                  <w:szCs w:val="18"/>
                  <w:color w:val="0000FF"/>
                  <w:w w:val="87"/>
                </w:rPr>
                <w:t>as of January 1, 2017</w:t>
              </w:r>
            </w:hyperlink>
          </w:p>
        </w:tc>
        <w:tc>
          <w:tcPr>
            <w:tcW w:w="7400" w:type="dxa"/>
            <w:vAlign w:val="bottom"/>
            <w:tcBorders>
              <w:top w:val="single" w:sz="8" w:color="0000FF"/>
            </w:tcBorders>
            <w:gridSpan w:val="20"/>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+*10(z)</w:t>
            </w:r>
          </w:p>
        </w:tc>
        <w:tc>
          <w:tcPr>
            <w:tcW w:w="200" w:type="dxa"/>
            <w:vAlign w:val="bottom"/>
          </w:tcPr>
          <w:p>
            <w:pPr>
              <w:spacing w:after="0"/>
              <w:rPr>
                <w:sz w:val="24"/>
                <w:szCs w:val="24"/>
                <w:color w:val="auto"/>
              </w:rPr>
            </w:pPr>
          </w:p>
        </w:tc>
        <w:tc>
          <w:tcPr>
            <w:tcW w:w="9080" w:type="dxa"/>
            <w:vAlign w:val="bottom"/>
            <w:gridSpan w:val="27"/>
          </w:tcPr>
          <w:p>
            <w:pPr>
              <w:spacing w:after="0"/>
              <w:rPr>
                <w:rFonts w:ascii="Arial" w:cs="Arial" w:eastAsia="Arial" w:hAnsi="Arial"/>
                <w:sz w:val="18"/>
                <w:szCs w:val="18"/>
                <w:color w:val="0000FF"/>
              </w:rPr>
            </w:pPr>
            <w:hyperlink w:anchor="page219">
              <w:r>
                <w:rPr>
                  <w:rFonts w:ascii="Arial" w:cs="Arial" w:eastAsia="Arial" w:hAnsi="Arial"/>
                  <w:sz w:val="18"/>
                  <w:szCs w:val="18"/>
                  <w:color w:val="0000FF"/>
                </w:rPr>
                <w:t>Executive Supplemental Individual Disability Insurance Plan dated June 30, 2014</w:t>
              </w:r>
            </w:hyperlink>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+10(aa)</w:t>
            </w:r>
          </w:p>
        </w:tc>
        <w:tc>
          <w:tcPr>
            <w:tcW w:w="200" w:type="dxa"/>
            <w:vAlign w:val="bottom"/>
          </w:tcPr>
          <w:p>
            <w:pPr>
              <w:spacing w:after="0"/>
              <w:rPr>
                <w:sz w:val="24"/>
                <w:szCs w:val="24"/>
                <w:color w:val="auto"/>
              </w:rPr>
            </w:pPr>
          </w:p>
        </w:tc>
        <w:tc>
          <w:tcPr>
            <w:tcW w:w="9080" w:type="dxa"/>
            <w:vAlign w:val="bottom"/>
            <w:tcBorders>
              <w:bottom w:val="single" w:sz="8" w:color="0000FF"/>
            </w:tcBorders>
            <w:gridSpan w:val="27"/>
          </w:tcPr>
          <w:p>
            <w:pPr>
              <w:spacing w:after="0"/>
              <w:rPr>
                <w:rFonts w:ascii="Arial" w:cs="Arial" w:eastAsia="Arial" w:hAnsi="Arial"/>
                <w:sz w:val="18"/>
                <w:szCs w:val="18"/>
                <w:color w:val="0000FF"/>
                <w:w w:val="90"/>
              </w:rPr>
            </w:pPr>
            <w:hyperlink r:id="rId83">
              <w:r>
                <w:rPr>
                  <w:rFonts w:ascii="Arial" w:cs="Arial" w:eastAsia="Arial" w:hAnsi="Arial"/>
                  <w:sz w:val="18"/>
                  <w:szCs w:val="18"/>
                  <w:color w:val="0000FF"/>
                  <w:w w:val="90"/>
                </w:rPr>
                <w:t>Group Personal Excess Liability Policy dated October 20, 2016 and effective as of January 1, 2017 (incorporated by reference</w:t>
              </w:r>
            </w:hyperlink>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7"/>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to Exhibit 10(dd) to Form 10-K for the year ended December 31, 2016, filed January 30, 2017)</w:t>
              </w:r>
            </w:hyperlink>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+10(bb)</w:t>
            </w:r>
          </w:p>
        </w:tc>
        <w:tc>
          <w:tcPr>
            <w:tcW w:w="200" w:type="dxa"/>
            <w:vAlign w:val="bottom"/>
          </w:tcPr>
          <w:p>
            <w:pPr>
              <w:spacing w:after="0"/>
              <w:rPr>
                <w:sz w:val="24"/>
                <w:szCs w:val="24"/>
                <w:color w:val="auto"/>
              </w:rPr>
            </w:pPr>
          </w:p>
        </w:tc>
        <w:tc>
          <w:tcPr>
            <w:tcW w:w="8960" w:type="dxa"/>
            <w:vAlign w:val="bottom"/>
            <w:tcBorders>
              <w:bottom w:val="single" w:sz="8" w:color="0000FF"/>
            </w:tcBorders>
            <w:gridSpan w:val="25"/>
          </w:tcPr>
          <w:p>
            <w:pPr>
              <w:spacing w:after="0"/>
              <w:rPr>
                <w:rFonts w:ascii="Arial" w:cs="Arial" w:eastAsia="Arial" w:hAnsi="Arial"/>
                <w:sz w:val="18"/>
                <w:szCs w:val="18"/>
                <w:color w:val="0000FF"/>
                <w:w w:val="90"/>
              </w:rPr>
            </w:pPr>
            <w:hyperlink r:id="rId84">
              <w:r>
                <w:rPr>
                  <w:rFonts w:ascii="Arial" w:cs="Arial" w:eastAsia="Arial" w:hAnsi="Arial"/>
                  <w:sz w:val="18"/>
                  <w:szCs w:val="18"/>
                  <w:color w:val="0000FF"/>
                  <w:w w:val="90"/>
                </w:rPr>
                <w:t>Letter dated December 16, 2009 from Northrop Grumman Corporation to Wesley G. Bush regarding compensation effective</w:t>
              </w:r>
            </w:hyperlink>
          </w:p>
        </w:tc>
        <w:tc>
          <w:tcPr>
            <w:tcW w:w="120" w:type="dxa"/>
            <w:vAlign w:val="bottom"/>
            <w:gridSpan w:val="2"/>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January 1, 2010 (incorporated by reference to Exhibit 10.2 to Form 8-K filed December 21, 2009, File No. 001-16411)</w:t>
              </w:r>
            </w:hyperlink>
          </w:p>
        </w:tc>
        <w:tc>
          <w:tcPr>
            <w:tcW w:w="520" w:type="dxa"/>
            <w:vAlign w:val="bottom"/>
            <w:gridSpan w:val="10"/>
          </w:tcPr>
          <w:p>
            <w:pPr>
              <w:spacing w:after="0"/>
              <w:rPr>
                <w:sz w:val="17"/>
                <w:szCs w:val="17"/>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+10(cc)</w:t>
            </w:r>
          </w:p>
        </w:tc>
        <w:tc>
          <w:tcPr>
            <w:tcW w:w="200" w:type="dxa"/>
            <w:vAlign w:val="bottom"/>
          </w:tcPr>
          <w:p>
            <w:pPr>
              <w:spacing w:after="0"/>
              <w:rPr>
                <w:sz w:val="24"/>
                <w:szCs w:val="24"/>
                <w:color w:val="auto"/>
              </w:rPr>
            </w:pPr>
          </w:p>
        </w:tc>
        <w:tc>
          <w:tcPr>
            <w:tcW w:w="9080" w:type="dxa"/>
            <w:vAlign w:val="bottom"/>
            <w:gridSpan w:val="27"/>
          </w:tcPr>
          <w:p>
            <w:pPr>
              <w:spacing w:after="0"/>
              <w:rPr>
                <w:rFonts w:ascii="Arial" w:cs="Arial" w:eastAsia="Arial" w:hAnsi="Arial"/>
                <w:sz w:val="18"/>
                <w:szCs w:val="18"/>
                <w:color w:val="0000FF"/>
                <w:w w:val="95"/>
              </w:rPr>
            </w:pPr>
            <w:hyperlink r:id="rId85">
              <w:r>
                <w:rPr>
                  <w:rFonts w:ascii="Arial" w:cs="Arial" w:eastAsia="Arial" w:hAnsi="Arial"/>
                  <w:sz w:val="18"/>
                  <w:szCs w:val="18"/>
                  <w:color w:val="0000FF"/>
                  <w:w w:val="95"/>
                </w:rPr>
                <w:t>Relocation Agreement between Northrop Grumman Systems Corporation and Gloria A. Flach dated December 1, 2015</w:t>
              </w:r>
            </w:hyperlink>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(incorporated by reference to Exhibit 10(ii) to Form 10-K for the year ended December 31, 2015, filed February 1, 2016)</w:t>
              </w:r>
            </w:hyperlink>
          </w:p>
        </w:tc>
        <w:tc>
          <w:tcPr>
            <w:tcW w:w="360" w:type="dxa"/>
            <w:vAlign w:val="bottom"/>
            <w:gridSpan w:val="6"/>
          </w:tcPr>
          <w:p>
            <w:pPr>
              <w:spacing w:after="0"/>
              <w:rPr>
                <w:sz w:val="17"/>
                <w:szCs w:val="17"/>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+10(dd)</w:t>
            </w:r>
          </w:p>
        </w:tc>
        <w:tc>
          <w:tcPr>
            <w:tcW w:w="200" w:type="dxa"/>
            <w:vAlign w:val="bottom"/>
          </w:tcPr>
          <w:p>
            <w:pPr>
              <w:spacing w:after="0"/>
              <w:rPr>
                <w:sz w:val="24"/>
                <w:szCs w:val="24"/>
                <w:color w:val="auto"/>
              </w:rPr>
            </w:pPr>
          </w:p>
        </w:tc>
        <w:tc>
          <w:tcPr>
            <w:tcW w:w="9080" w:type="dxa"/>
            <w:vAlign w:val="bottom"/>
            <w:gridSpan w:val="27"/>
          </w:tcPr>
          <w:p>
            <w:pPr>
              <w:spacing w:after="0"/>
              <w:rPr>
                <w:rFonts w:ascii="Arial" w:cs="Arial" w:eastAsia="Arial" w:hAnsi="Arial"/>
                <w:sz w:val="18"/>
                <w:szCs w:val="18"/>
                <w:color w:val="0000FF"/>
                <w:w w:val="94"/>
              </w:rPr>
            </w:pPr>
            <w:hyperlink r:id="rId86">
              <w:r>
                <w:rPr>
                  <w:rFonts w:ascii="Arial" w:cs="Arial" w:eastAsia="Arial" w:hAnsi="Arial"/>
                  <w:sz w:val="18"/>
                  <w:szCs w:val="18"/>
                  <w:color w:val="0000FF"/>
                  <w:w w:val="94"/>
                </w:rPr>
                <w:t>Relocation Agreement between Northrop Grumman Systems Corporation and Kathy J. Warden dated December 1, 2015</w:t>
              </w:r>
            </w:hyperlink>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(incorporated by reference to Exhibit 10(jj) to Form 10-K for the year ended December 31, 2015, filed February 1, 2016)</w:t>
              </w:r>
            </w:hyperlink>
          </w:p>
        </w:tc>
        <w:tc>
          <w:tcPr>
            <w:tcW w:w="360" w:type="dxa"/>
            <w:vAlign w:val="bottom"/>
            <w:gridSpan w:val="6"/>
          </w:tcPr>
          <w:p>
            <w:pPr>
              <w:spacing w:after="0"/>
              <w:rPr>
                <w:sz w:val="17"/>
                <w:szCs w:val="17"/>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+*10(ee)</w:t>
            </w:r>
          </w:p>
        </w:tc>
        <w:tc>
          <w:tcPr>
            <w:tcW w:w="200" w:type="dxa"/>
            <w:vAlign w:val="bottom"/>
          </w:tcPr>
          <w:p>
            <w:pPr>
              <w:spacing w:after="0"/>
              <w:rPr>
                <w:sz w:val="24"/>
                <w:szCs w:val="24"/>
                <w:color w:val="auto"/>
              </w:rPr>
            </w:pPr>
          </w:p>
        </w:tc>
        <w:tc>
          <w:tcPr>
            <w:tcW w:w="832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236">
              <w:r>
                <w:rPr>
                  <w:rFonts w:ascii="Arial" w:cs="Arial" w:eastAsia="Arial" w:hAnsi="Arial"/>
                  <w:sz w:val="18"/>
                  <w:szCs w:val="18"/>
                  <w:color w:val="0000FF"/>
                  <w:w w:val="90"/>
                </w:rPr>
                <w:t>Retention Incentive between Northrop Grumman Systems Corporation and Janis G. Pamiljans dated March 1, 2016</w:t>
              </w:r>
            </w:hyperlink>
          </w:p>
        </w:tc>
        <w:tc>
          <w:tcPr>
            <w:tcW w:w="760" w:type="dxa"/>
            <w:vAlign w:val="bottom"/>
            <w:gridSpan w:val="13"/>
          </w:tcPr>
          <w:p>
            <w:pPr>
              <w:spacing w:after="0"/>
              <w:rPr>
                <w:sz w:val="24"/>
                <w:szCs w:val="24"/>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+10(ff)</w:t>
            </w:r>
          </w:p>
        </w:tc>
        <w:tc>
          <w:tcPr>
            <w:tcW w:w="200" w:type="dxa"/>
            <w:vAlign w:val="bottom"/>
          </w:tcPr>
          <w:p>
            <w:pPr>
              <w:spacing w:after="0"/>
              <w:rPr>
                <w:sz w:val="24"/>
                <w:szCs w:val="24"/>
                <w:color w:val="auto"/>
              </w:rPr>
            </w:pPr>
          </w:p>
        </w:tc>
        <w:tc>
          <w:tcPr>
            <w:tcW w:w="8400" w:type="dxa"/>
            <w:vAlign w:val="bottom"/>
            <w:tcBorders>
              <w:bottom w:val="single" w:sz="8" w:color="0000FF"/>
            </w:tcBorders>
            <w:gridSpan w:val="15"/>
          </w:tcPr>
          <w:p>
            <w:pPr>
              <w:spacing w:after="0"/>
              <w:rPr>
                <w:rFonts w:ascii="Arial" w:cs="Arial" w:eastAsia="Arial" w:hAnsi="Arial"/>
                <w:sz w:val="18"/>
                <w:szCs w:val="18"/>
                <w:color w:val="0000FF"/>
                <w:w w:val="90"/>
              </w:rPr>
            </w:pPr>
            <w:hyperlink r:id="rId87">
              <w:r>
                <w:rPr>
                  <w:rFonts w:ascii="Arial" w:cs="Arial" w:eastAsia="Arial" w:hAnsi="Arial"/>
                  <w:sz w:val="18"/>
                  <w:szCs w:val="18"/>
                  <w:color w:val="0000FF"/>
                  <w:w w:val="90"/>
                </w:rPr>
                <w:t>Transition and Retirement Agreement between Northrop Grumman Systems Corporation and Thomas E. Vice, dated</w:t>
              </w:r>
            </w:hyperlink>
          </w:p>
        </w:tc>
        <w:tc>
          <w:tcPr>
            <w:tcW w:w="680" w:type="dxa"/>
            <w:vAlign w:val="bottom"/>
            <w:gridSpan w:val="12"/>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27"/>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February 27, 2017 (incorporated by reference to Exhibit 10.1 to Form 8-K filed February 28, 2017)</w:t>
              </w:r>
            </w:hyperlink>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+*10(gg)</w:t>
            </w:r>
          </w:p>
        </w:tc>
        <w:tc>
          <w:tcPr>
            <w:tcW w:w="200" w:type="dxa"/>
            <w:vAlign w:val="bottom"/>
          </w:tcPr>
          <w:p>
            <w:pPr>
              <w:spacing w:after="0"/>
              <w:rPr>
                <w:sz w:val="24"/>
                <w:szCs w:val="24"/>
                <w:color w:val="auto"/>
              </w:rPr>
            </w:pPr>
          </w:p>
        </w:tc>
        <w:tc>
          <w:tcPr>
            <w:tcW w:w="9080" w:type="dxa"/>
            <w:vAlign w:val="bottom"/>
            <w:gridSpan w:val="27"/>
          </w:tcPr>
          <w:p>
            <w:pPr>
              <w:spacing w:after="0"/>
              <w:rPr>
                <w:rFonts w:ascii="Arial" w:cs="Arial" w:eastAsia="Arial" w:hAnsi="Arial"/>
                <w:sz w:val="18"/>
                <w:szCs w:val="18"/>
                <w:color w:val="0000FF"/>
                <w:w w:val="96"/>
              </w:rPr>
            </w:pPr>
            <w:hyperlink w:anchor="page240">
              <w:r>
                <w:rPr>
                  <w:rFonts w:ascii="Arial" w:cs="Arial" w:eastAsia="Arial" w:hAnsi="Arial"/>
                  <w:sz w:val="18"/>
                  <w:szCs w:val="18"/>
                  <w:color w:val="0000FF"/>
                  <w:w w:val="96"/>
                </w:rPr>
                <w:t>Relocation Agreement between Northrop Grumman Systems Corporation and Janis G. Pamiljans dated March 8, 2017</w:t>
              </w:r>
            </w:hyperlink>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*12(a)</w:t>
            </w:r>
          </w:p>
        </w:tc>
        <w:tc>
          <w:tcPr>
            <w:tcW w:w="200" w:type="dxa"/>
            <w:vAlign w:val="bottom"/>
          </w:tcPr>
          <w:p>
            <w:pPr>
              <w:spacing w:after="0"/>
              <w:rPr>
                <w:sz w:val="24"/>
                <w:szCs w:val="24"/>
                <w:color w:val="auto"/>
              </w:rPr>
            </w:pPr>
          </w:p>
        </w:tc>
        <w:tc>
          <w:tcPr>
            <w:tcW w:w="37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0"/>
              </w:rPr>
            </w:pPr>
            <w:hyperlink w:anchor="page242">
              <w:r>
                <w:rPr>
                  <w:rFonts w:ascii="Arial" w:cs="Arial" w:eastAsia="Arial" w:hAnsi="Arial"/>
                  <w:sz w:val="18"/>
                  <w:szCs w:val="18"/>
                  <w:color w:val="0000FF"/>
                  <w:w w:val="90"/>
                </w:rPr>
                <w:t>Computation of Ratio of Earnings to Fixed Charges</w:t>
              </w:r>
            </w:hyperlink>
          </w:p>
        </w:tc>
        <w:tc>
          <w:tcPr>
            <w:tcW w:w="4800" w:type="dxa"/>
            <w:vAlign w:val="bottom"/>
            <w:tcBorders>
              <w:top w:val="single" w:sz="8" w:color="0000FF"/>
            </w:tcBorders>
            <w:gridSpan w:val="10"/>
          </w:tcPr>
          <w:p>
            <w:pPr>
              <w:spacing w:after="0"/>
              <w:rPr>
                <w:sz w:val="24"/>
                <w:szCs w:val="24"/>
                <w:color w:val="auto"/>
              </w:rPr>
            </w:pPr>
          </w:p>
        </w:tc>
        <w:tc>
          <w:tcPr>
            <w:tcW w:w="560" w:type="dxa"/>
            <w:vAlign w:val="bottom"/>
            <w:gridSpan w:val="11"/>
          </w:tcPr>
          <w:p>
            <w:pPr>
              <w:spacing w:after="0"/>
              <w:rPr>
                <w:sz w:val="24"/>
                <w:szCs w:val="24"/>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88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243">
              <w:r>
                <w:rPr>
                  <w:rFonts w:ascii="Arial" w:cs="Arial" w:eastAsia="Arial" w:hAnsi="Arial"/>
                  <w:sz w:val="18"/>
                  <w:szCs w:val="18"/>
                  <w:color w:val="0000FF"/>
                  <w:w w:val="87"/>
                </w:rPr>
                <w:t>Subsidiaries</w:t>
              </w:r>
            </w:hyperlink>
          </w:p>
        </w:tc>
        <w:tc>
          <w:tcPr>
            <w:tcW w:w="8200" w:type="dxa"/>
            <w:vAlign w:val="bottom"/>
            <w:gridSpan w:val="25"/>
          </w:tcPr>
          <w:p>
            <w:pPr>
              <w:spacing w:after="0"/>
              <w:rPr>
                <w:sz w:val="24"/>
                <w:szCs w:val="24"/>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432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244">
              <w:r>
                <w:rPr>
                  <w:rFonts w:ascii="Arial" w:cs="Arial" w:eastAsia="Arial" w:hAnsi="Arial"/>
                  <w:sz w:val="18"/>
                  <w:szCs w:val="18"/>
                  <w:color w:val="0000FF"/>
                  <w:w w:val="90"/>
                </w:rPr>
                <w:t>Consent of Independent Registered Public Accounting Firm</w:t>
              </w:r>
            </w:hyperlink>
          </w:p>
        </w:tc>
        <w:tc>
          <w:tcPr>
            <w:tcW w:w="4760" w:type="dxa"/>
            <w:vAlign w:val="bottom"/>
            <w:gridSpan w:val="20"/>
          </w:tcPr>
          <w:p>
            <w:pPr>
              <w:spacing w:after="0"/>
              <w:rPr>
                <w:sz w:val="24"/>
                <w:szCs w:val="24"/>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13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245">
              <w:r>
                <w:rPr>
                  <w:rFonts w:ascii="Arial" w:cs="Arial" w:eastAsia="Arial" w:hAnsi="Arial"/>
                  <w:sz w:val="18"/>
                  <w:szCs w:val="18"/>
                  <w:color w:val="0000FF"/>
                  <w:w w:val="92"/>
                </w:rPr>
                <w:t>Power of Attorney</w:t>
              </w:r>
            </w:hyperlink>
          </w:p>
        </w:tc>
        <w:tc>
          <w:tcPr>
            <w:tcW w:w="7740" w:type="dxa"/>
            <w:vAlign w:val="bottom"/>
            <w:gridSpan w:val="24"/>
          </w:tcPr>
          <w:p>
            <w:pPr>
              <w:spacing w:after="0"/>
              <w:rPr>
                <w:sz w:val="24"/>
                <w:szCs w:val="24"/>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662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246">
              <w:r>
                <w:rPr>
                  <w:rFonts w:ascii="Arial" w:cs="Arial" w:eastAsia="Arial" w:hAnsi="Arial"/>
                  <w:sz w:val="18"/>
                  <w:szCs w:val="18"/>
                  <w:color w:val="0000FF"/>
                  <w:w w:val="91"/>
                </w:rPr>
                <w:t>Certification of Wesley G. Bush pursuant to Section 302 of the Sarbanes-Oxley Act of 2002</w:t>
              </w:r>
            </w:hyperlink>
          </w:p>
        </w:tc>
        <w:tc>
          <w:tcPr>
            <w:tcW w:w="2460" w:type="dxa"/>
            <w:vAlign w:val="bottom"/>
            <w:gridSpan w:val="17"/>
          </w:tcPr>
          <w:p>
            <w:pPr>
              <w:spacing w:after="0"/>
              <w:rPr>
                <w:sz w:val="24"/>
                <w:szCs w:val="24"/>
                <w:color w:val="auto"/>
              </w:rPr>
            </w:pPr>
          </w:p>
        </w:tc>
      </w:tr>
      <w:tr>
        <w:trPr>
          <w:trHeight w:val="385"/>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9080" w:type="dxa"/>
            <w:vAlign w:val="bottom"/>
            <w:gridSpan w:val="27"/>
          </w:tcPr>
          <w:p>
            <w:pPr>
              <w:spacing w:after="0"/>
              <w:rPr>
                <w:rFonts w:ascii="Arial" w:cs="Arial" w:eastAsia="Arial" w:hAnsi="Arial"/>
                <w:sz w:val="18"/>
                <w:szCs w:val="18"/>
                <w:color w:val="0000FF"/>
              </w:rPr>
            </w:pPr>
            <w:hyperlink w:anchor="page247">
              <w:r>
                <w:rPr>
                  <w:rFonts w:ascii="Arial" w:cs="Arial" w:eastAsia="Arial" w:hAnsi="Arial"/>
                  <w:sz w:val="18"/>
                  <w:szCs w:val="18"/>
                  <w:color w:val="0000FF"/>
                </w:rPr>
                <w:t>Certification of Kenneth L. Bedingfield pursuant to Section 302 of the Sarbanes-Oxley Act of 2002</w:t>
              </w:r>
            </w:hyperlink>
          </w:p>
        </w:tc>
      </w:tr>
      <w:tr>
        <w:trPr>
          <w:trHeight w:val="507"/>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760" w:type="dxa"/>
            <w:vAlign w:val="bottom"/>
            <w:tcBorders>
              <w:top w:val="single" w:sz="8" w:color="0000FF"/>
            </w:tcBorders>
            <w:gridSpan w:val="6"/>
          </w:tcPr>
          <w:p>
            <w:pPr>
              <w:jc w:val="right"/>
              <w:ind w:right="240"/>
              <w:spacing w:after="0"/>
              <w:rPr>
                <w:sz w:val="20"/>
                <w:szCs w:val="20"/>
                <w:color w:val="auto"/>
              </w:rPr>
            </w:pPr>
            <w:r>
              <w:rPr>
                <w:rFonts w:ascii="Arial" w:cs="Arial" w:eastAsia="Arial" w:hAnsi="Arial"/>
                <w:sz w:val="18"/>
                <w:szCs w:val="18"/>
                <w:color w:val="auto"/>
              </w:rPr>
              <w:t>-89-</w:t>
            </w:r>
          </w:p>
        </w:tc>
        <w:tc>
          <w:tcPr>
            <w:tcW w:w="12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60"/>
          </w:cols>
          <w:pgMar w:left="240" w:top="337" w:right="79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00"/>
        <w:spacing w:after="0"/>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248">
        <w:r>
          <w:rPr>
            <w:rFonts w:ascii="Arial" w:cs="Arial" w:eastAsia="Arial" w:hAnsi="Arial"/>
            <w:sz w:val="18"/>
            <w:szCs w:val="18"/>
            <w:u w:val="single" w:color="auto"/>
            <w:color w:val="0000FF"/>
          </w:rPr>
          <w:t>Certification of Wesley G. Bush pursuant to Section 906 of the Sarbanes-Oxley Act of 2002</w:t>
        </w:r>
      </w:hyperlink>
    </w:p>
    <w:p>
      <w:pPr>
        <w:spacing w:after="0" w:line="198" w:lineRule="exact"/>
        <w:rPr>
          <w:sz w:val="20"/>
          <w:szCs w:val="20"/>
          <w:color w:val="auto"/>
        </w:rPr>
      </w:pPr>
    </w:p>
    <w:p>
      <w:pPr>
        <w:ind w:left="800"/>
        <w:spacing w:after="0"/>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249">
        <w:r>
          <w:rPr>
            <w:rFonts w:ascii="Arial" w:cs="Arial" w:eastAsia="Arial" w:hAnsi="Arial"/>
            <w:sz w:val="18"/>
            <w:szCs w:val="18"/>
            <w:u w:val="single" w:color="auto"/>
            <w:color w:val="0000FF"/>
          </w:rPr>
          <w:t>Certification of Kenneth L. Bedingfield pursuant to Section 906 of the Sarbanes-Oxley Act of 2002</w:t>
        </w:r>
      </w:hyperlink>
    </w:p>
    <w:p>
      <w:pPr>
        <w:spacing w:after="0" w:line="198" w:lineRule="exact"/>
        <w:rPr>
          <w:sz w:val="20"/>
          <w:szCs w:val="20"/>
          <w:color w:val="auto"/>
        </w:rPr>
      </w:pPr>
    </w:p>
    <w:p>
      <w:pPr>
        <w:ind w:left="1780" w:right="80" w:hanging="979"/>
        <w:spacing w:after="0" w:line="291" w:lineRule="auto"/>
        <w:tabs>
          <w:tab w:leader="none" w:pos="17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Northrop Grumman Corporation Annual Report on Form 10-K for the fiscal year ended December 31, 2017, formatted in XBRL (Extensible Business Reporting Language); (i) the Consolidated Statements of Earnings and Comprehensive Income,</w:t>
      </w:r>
    </w:p>
    <w:p>
      <w:pPr>
        <w:ind w:left="1780"/>
        <w:spacing w:after="0" w:line="261" w:lineRule="auto"/>
        <w:rPr>
          <w:sz w:val="20"/>
          <w:szCs w:val="20"/>
          <w:color w:val="auto"/>
        </w:rPr>
      </w:pPr>
      <w:r>
        <w:rPr>
          <w:rFonts w:ascii="Arial" w:cs="Arial" w:eastAsia="Arial" w:hAnsi="Arial"/>
          <w:sz w:val="18"/>
          <w:szCs w:val="18"/>
          <w:color w:val="auto"/>
        </w:rPr>
        <w:t>(ii) Consolidated Statements of Financial Position, (iii) Consolidated Statements of Cash Flows, (iv) Consolidated Statements of Changes in Shareholders’ Equity, and (v) Notes to Consolidated Financial Statements</w:t>
      </w:r>
    </w:p>
    <w:p>
      <w:pPr>
        <w:spacing w:after="0" w:line="156" w:lineRule="exact"/>
        <w:rPr>
          <w:sz w:val="20"/>
          <w:szCs w:val="20"/>
          <w:color w:val="auto"/>
        </w:rPr>
      </w:pPr>
    </w:p>
    <w:p>
      <w:pPr>
        <w:ind w:left="1780" w:hanging="975"/>
        <w:spacing w:after="0"/>
        <w:tabs>
          <w:tab w:leader="none" w:pos="1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98" w:lineRule="exact"/>
        <w:rPr>
          <w:sz w:val="20"/>
          <w:szCs w:val="20"/>
          <w:color w:val="auto"/>
        </w:rPr>
      </w:pPr>
    </w:p>
    <w:p>
      <w:pPr>
        <w:ind w:left="1780" w:hanging="975"/>
        <w:spacing w:after="0"/>
        <w:tabs>
          <w:tab w:leader="none" w:pos="1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198" w:lineRule="exact"/>
        <w:rPr>
          <w:sz w:val="20"/>
          <w:szCs w:val="20"/>
          <w:color w:val="auto"/>
        </w:rPr>
      </w:pPr>
    </w:p>
    <w:p>
      <w:pPr>
        <w:ind w:left="1780" w:hanging="975"/>
        <w:spacing w:after="0"/>
        <w:tabs>
          <w:tab w:leader="none" w:pos="1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Furnished with this Report</w:t>
      </w:r>
    </w:p>
    <w:p>
      <w:pPr>
        <w:spacing w:after="0" w:line="32" w:lineRule="exact"/>
        <w:rPr>
          <w:rFonts w:ascii="Arial" w:cs="Arial" w:eastAsia="Arial" w:hAnsi="Arial"/>
          <w:sz w:val="18"/>
          <w:szCs w:val="18"/>
          <w:color w:val="auto"/>
        </w:rPr>
      </w:pPr>
    </w:p>
    <w:p>
      <w:pPr>
        <w:ind w:right="8480"/>
        <w:spacing w:after="0" w:line="376" w:lineRule="auto"/>
        <w:rPr>
          <w:rFonts w:ascii="Arial" w:cs="Arial" w:eastAsia="Arial" w:hAnsi="Arial"/>
          <w:sz w:val="18"/>
          <w:szCs w:val="18"/>
          <w:color w:val="auto"/>
        </w:rPr>
      </w:pPr>
      <w:r>
        <w:rPr>
          <w:rFonts w:ascii="Arial" w:cs="Arial" w:eastAsia="Arial" w:hAnsi="Arial"/>
          <w:sz w:val="18"/>
          <w:szCs w:val="18"/>
          <w:b w:val="1"/>
          <w:bCs w:val="1"/>
          <w:color w:val="auto"/>
        </w:rPr>
        <w:t xml:space="preserve">Item 16. Form 10-K Summary </w:t>
      </w:r>
      <w:r>
        <w:rPr>
          <w:rFonts w:ascii="Arial" w:cs="Arial" w:eastAsia="Arial" w:hAnsi="Arial"/>
          <w:sz w:val="18"/>
          <w:szCs w:val="18"/>
          <w:color w:val="auto"/>
        </w:rPr>
        <w:t>None.</w:t>
      </w: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820"/>
          </w:cols>
          <w:pgMar w:left="240" w:top="337" w:right="8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29th day of January 2018.</w:t>
      </w:r>
    </w:p>
    <w:p>
      <w:pPr>
        <w:spacing w:after="0" w:line="200" w:lineRule="exact"/>
        <w:rPr>
          <w:sz w:val="20"/>
          <w:szCs w:val="20"/>
          <w:color w:val="auto"/>
        </w:rPr>
      </w:pPr>
    </w:p>
    <w:p>
      <w:pPr>
        <w:spacing w:after="0" w:line="3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NORTHROP GRUMMAN CORPORATION</w:t>
      </w:r>
    </w:p>
    <w:p>
      <w:pPr>
        <w:spacing w:after="0" w:line="383" w:lineRule="exact"/>
        <w:rPr>
          <w:sz w:val="20"/>
          <w:szCs w:val="20"/>
          <w:color w:val="auto"/>
        </w:rPr>
      </w:pPr>
    </w:p>
    <w:p>
      <w:pPr>
        <w:ind w:left="586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61"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Michael A. Hardesty</w:t>
      </w:r>
    </w:p>
    <w:p>
      <w:pPr>
        <w:spacing w:after="0" w:line="63" w:lineRule="exact"/>
        <w:rPr>
          <w:sz w:val="20"/>
          <w:szCs w:val="20"/>
          <w:color w:val="auto"/>
        </w:rPr>
      </w:pPr>
    </w:p>
    <w:p>
      <w:pPr>
        <w:jc w:val="center"/>
        <w:ind w:left="6420"/>
        <w:spacing w:after="0"/>
        <w:rPr>
          <w:sz w:val="20"/>
          <w:szCs w:val="20"/>
          <w:color w:val="auto"/>
        </w:rPr>
      </w:pPr>
      <w:r>
        <w:rPr>
          <w:rFonts w:ascii="Arial" w:cs="Arial" w:eastAsia="Arial" w:hAnsi="Arial"/>
          <w:sz w:val="16"/>
          <w:szCs w:val="16"/>
          <w:color w:val="auto"/>
        </w:rPr>
        <w:t>Corporate Vice President, Controller, and Chief Accounting Officer</w:t>
      </w:r>
    </w:p>
    <w:p>
      <w:pPr>
        <w:spacing w:after="0" w:line="86"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(Principal Accounting Officer)</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on behalf of the registrant this the 29th day of January 2018, by the following persons and in the capacities indicated.</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98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93"/>
        </w:trPr>
        <w:tc>
          <w:tcPr>
            <w:tcW w:w="1680" w:type="dxa"/>
            <w:vAlign w:val="bottom"/>
            <w:gridSpan w:val="4"/>
          </w:tcPr>
          <w:p>
            <w:pPr>
              <w:spacing w:after="0"/>
              <w:rPr>
                <w:sz w:val="20"/>
                <w:szCs w:val="20"/>
                <w:color w:val="auto"/>
              </w:rPr>
            </w:pPr>
            <w:r>
              <w:rPr>
                <w:rFonts w:ascii="Arial" w:cs="Arial" w:eastAsia="Arial" w:hAnsi="Arial"/>
                <w:sz w:val="18"/>
                <w:szCs w:val="18"/>
                <w:color w:val="auto"/>
              </w:rPr>
              <w:t>Wesley G. Bush*</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w w:val="92"/>
              </w:rPr>
              <w:t>Chairman and Chief Executive Officer (Principal Executive Officer), and Director</w:t>
            </w:r>
          </w:p>
        </w:tc>
      </w:tr>
      <w:tr>
        <w:trPr>
          <w:trHeight w:val="405"/>
        </w:trPr>
        <w:tc>
          <w:tcPr>
            <w:tcW w:w="4600" w:type="dxa"/>
            <w:vAlign w:val="bottom"/>
            <w:gridSpan w:val="5"/>
          </w:tcPr>
          <w:p>
            <w:pPr>
              <w:spacing w:after="0"/>
              <w:rPr>
                <w:sz w:val="20"/>
                <w:szCs w:val="20"/>
                <w:color w:val="auto"/>
              </w:rPr>
            </w:pPr>
            <w:r>
              <w:rPr>
                <w:rFonts w:ascii="Arial" w:cs="Arial" w:eastAsia="Arial" w:hAnsi="Arial"/>
                <w:sz w:val="18"/>
                <w:szCs w:val="18"/>
                <w:color w:val="auto"/>
              </w:rPr>
              <w:t>Kenneth L. Bedingfield*</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w w:val="92"/>
              </w:rPr>
              <w:t>Corporate Vice President and Chief Financial Officer (Principal Financial Officer)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Michael A. Hardesty</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Corporate Vice President, Controller and Chief Accounting Officer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Marianne C. Brown*</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Victor H. Fazio*</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Donald E. Felsinger*</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Ann M. Fudge*</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Bruce S. Gordon*</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4600" w:type="dxa"/>
            <w:vAlign w:val="bottom"/>
            <w:gridSpan w:val="5"/>
          </w:tcPr>
          <w:p>
            <w:pPr>
              <w:spacing w:after="0"/>
              <w:rPr>
                <w:sz w:val="20"/>
                <w:szCs w:val="20"/>
                <w:color w:val="auto"/>
              </w:rPr>
            </w:pPr>
            <w:r>
              <w:rPr>
                <w:rFonts w:ascii="Arial" w:cs="Arial" w:eastAsia="Arial" w:hAnsi="Arial"/>
                <w:sz w:val="18"/>
                <w:szCs w:val="18"/>
                <w:color w:val="auto"/>
              </w:rPr>
              <w:t>William H. Hernandez*</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w w:val="95"/>
              </w:rPr>
              <w:t>Madeleine A. Kleiner*</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Karl J. Krapek*</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Gary Roughead*</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w w:val="94"/>
              </w:rPr>
              <w:t>Thomas M. Schoewe*</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James S. Turley*</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Mark A. Welsh III*</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*By:</w:t>
            </w:r>
          </w:p>
        </w:tc>
        <w:tc>
          <w:tcPr>
            <w:tcW w:w="2920" w:type="dxa"/>
            <w:vAlign w:val="bottom"/>
          </w:tcPr>
          <w:p>
            <w:pPr>
              <w:jc w:val="center"/>
              <w:ind w:right="950"/>
              <w:spacing w:after="0"/>
              <w:rPr>
                <w:sz w:val="20"/>
                <w:szCs w:val="20"/>
                <w:color w:val="auto"/>
              </w:rPr>
            </w:pPr>
            <w:r>
              <w:rPr>
                <w:rFonts w:ascii="Arial" w:cs="Arial" w:eastAsia="Arial" w:hAnsi="Arial"/>
                <w:sz w:val="18"/>
                <w:szCs w:val="18"/>
                <w:b w:val="1"/>
                <w:bCs w:val="1"/>
                <w:color w:val="auto"/>
                <w:w w:val="92"/>
              </w:rPr>
              <w:t>/s/ Jennifer C. McGarey</w:t>
            </w: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7"/>
        </w:trPr>
        <w:tc>
          <w:tcPr>
            <w:tcW w:w="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jc w:val="center"/>
              <w:ind w:right="950"/>
              <w:spacing w:after="0"/>
              <w:rPr>
                <w:sz w:val="20"/>
                <w:szCs w:val="20"/>
                <w:color w:val="auto"/>
              </w:rPr>
            </w:pPr>
            <w:r>
              <w:rPr>
                <w:rFonts w:ascii="Arial" w:cs="Arial" w:eastAsia="Arial" w:hAnsi="Arial"/>
                <w:sz w:val="18"/>
                <w:szCs w:val="18"/>
                <w:color w:val="auto"/>
                <w:w w:val="92"/>
              </w:rPr>
              <w:t>Jennifer C. McGarey</w:t>
            </w: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40" w:lineRule="exact"/>
        <w:rPr>
          <w:sz w:val="20"/>
          <w:szCs w:val="20"/>
          <w:color w:val="auto"/>
        </w:rPr>
      </w:pPr>
    </w:p>
    <w:p>
      <w:pPr>
        <w:jc w:val="center"/>
        <w:ind w:right="6060"/>
        <w:spacing w:after="0"/>
        <w:rPr>
          <w:sz w:val="20"/>
          <w:szCs w:val="20"/>
          <w:color w:val="auto"/>
        </w:rPr>
      </w:pPr>
      <w:r>
        <w:rPr>
          <w:rFonts w:ascii="Arial" w:cs="Arial" w:eastAsia="Arial" w:hAnsi="Arial"/>
          <w:sz w:val="18"/>
          <w:szCs w:val="18"/>
          <w:color w:val="auto"/>
        </w:rPr>
        <w:t>Corporate Vice President and Secretary</w:t>
      </w:r>
    </w:p>
    <w:p>
      <w:pPr>
        <w:spacing w:after="0" w:line="63" w:lineRule="exact"/>
        <w:rPr>
          <w:sz w:val="20"/>
          <w:szCs w:val="20"/>
          <w:color w:val="auto"/>
        </w:rPr>
      </w:pPr>
    </w:p>
    <w:p>
      <w:pPr>
        <w:jc w:val="center"/>
        <w:ind w:right="6060"/>
        <w:spacing w:after="0"/>
        <w:rPr>
          <w:sz w:val="20"/>
          <w:szCs w:val="20"/>
          <w:color w:val="auto"/>
        </w:rPr>
      </w:pPr>
      <w:r>
        <w:rPr>
          <w:rFonts w:ascii="Arial" w:cs="Arial" w:eastAsia="Arial" w:hAnsi="Arial"/>
          <w:sz w:val="18"/>
          <w:szCs w:val="18"/>
          <w:color w:val="auto"/>
        </w:rPr>
        <w:t>Attorney-in-Fact</w:t>
      </w:r>
    </w:p>
    <w:p>
      <w:pPr>
        <w:spacing w:after="0" w:line="63" w:lineRule="exact"/>
        <w:rPr>
          <w:sz w:val="20"/>
          <w:szCs w:val="20"/>
          <w:color w:val="auto"/>
        </w:rPr>
      </w:pPr>
    </w:p>
    <w:p>
      <w:pPr>
        <w:jc w:val="center"/>
        <w:ind w:right="6060"/>
        <w:spacing w:after="0"/>
        <w:rPr>
          <w:sz w:val="20"/>
          <w:szCs w:val="20"/>
          <w:color w:val="auto"/>
        </w:rPr>
      </w:pPr>
      <w:r>
        <w:rPr>
          <w:rFonts w:ascii="Arial" w:cs="Arial" w:eastAsia="Arial" w:hAnsi="Arial"/>
          <w:sz w:val="18"/>
          <w:szCs w:val="18"/>
          <w:color w:val="auto"/>
        </w:rPr>
        <w:t>pursuant to a power of attorney</w:t>
      </w:r>
    </w:p>
    <w:p>
      <w:pPr>
        <w:sectPr>
          <w:pgSz w:w="11900" w:h="16838" w:orient="portrait"/>
          <w:cols w:equalWidth="0" w:num="1">
            <w:col w:w="11360"/>
          </w:cols>
          <w:pgMar w:left="240" w:top="337" w:right="2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60"/>
          </w:cols>
          <w:pgMar w:left="240" w:top="337" w:right="29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10(h)(iv)</w:t>
      </w:r>
    </w:p>
    <w:p>
      <w:pPr>
        <w:spacing w:after="0" w:line="310" w:lineRule="exact"/>
        <w:rPr>
          <w:sz w:val="20"/>
          <w:szCs w:val="20"/>
          <w:color w:val="auto"/>
        </w:rPr>
      </w:pPr>
    </w:p>
    <w:p>
      <w:pPr>
        <w:jc w:val="center"/>
        <w:ind w:right="96"/>
        <w:spacing w:after="0"/>
        <w:rPr>
          <w:sz w:val="20"/>
          <w:szCs w:val="20"/>
          <w:color w:val="auto"/>
        </w:rPr>
      </w:pPr>
      <w:r>
        <w:rPr>
          <w:rFonts w:ascii="Arial" w:cs="Arial" w:eastAsia="Arial" w:hAnsi="Arial"/>
          <w:sz w:val="32"/>
          <w:szCs w:val="32"/>
          <w:b w:val="1"/>
          <w:bCs w:val="1"/>
          <w:color w:val="auto"/>
        </w:rPr>
        <w:t>NORTHROP GRUMMAN CORPORATION</w:t>
      </w:r>
    </w:p>
    <w:p>
      <w:pPr>
        <w:spacing w:after="0" w:line="48" w:lineRule="exact"/>
        <w:rPr>
          <w:sz w:val="20"/>
          <w:szCs w:val="20"/>
          <w:color w:val="auto"/>
        </w:rPr>
      </w:pPr>
    </w:p>
    <w:p>
      <w:pPr>
        <w:jc w:val="center"/>
        <w:ind w:left="4" w:right="120"/>
        <w:spacing w:after="0" w:line="245" w:lineRule="auto"/>
        <w:rPr>
          <w:sz w:val="20"/>
          <w:szCs w:val="20"/>
          <w:color w:val="auto"/>
        </w:rPr>
      </w:pPr>
      <w:r>
        <w:rPr>
          <w:rFonts w:ascii="Arial" w:cs="Arial" w:eastAsia="Arial" w:hAnsi="Arial"/>
          <w:sz w:val="22"/>
          <w:szCs w:val="22"/>
          <w:b w:val="1"/>
          <w:bCs w:val="1"/>
          <w:color w:val="auto"/>
        </w:rPr>
        <w:t>TERMS AND CONDITIONS APPLICABLE TO 2016 RESTRICTED PERFORMANCE STOCK RIGHTS GRANTED UNDER THE 2011 LONG-TERM INCENTIVE STOCK PLAN</w:t>
      </w:r>
    </w:p>
    <w:p>
      <w:pPr>
        <w:spacing w:after="0" w:line="187" w:lineRule="exact"/>
        <w:rPr>
          <w:sz w:val="20"/>
          <w:szCs w:val="20"/>
          <w:color w:val="auto"/>
        </w:rPr>
      </w:pPr>
    </w:p>
    <w:p>
      <w:pPr>
        <w:ind w:left="4" w:right="120" w:firstLine="648"/>
        <w:spacing w:after="0" w:line="293" w:lineRule="auto"/>
        <w:rPr>
          <w:sz w:val="20"/>
          <w:szCs w:val="20"/>
          <w:color w:val="auto"/>
        </w:rPr>
      </w:pPr>
      <w:r>
        <w:rPr>
          <w:rFonts w:ascii="Arial" w:cs="Arial" w:eastAsia="Arial" w:hAnsi="Arial"/>
          <w:sz w:val="16"/>
          <w:szCs w:val="16"/>
          <w:color w:val="auto"/>
        </w:rPr>
        <w:t>These Terms and Conditions (“Terms”) apply to certain “Restricted Performance Stock Rights” (“RPSRs”) granted by Northrop Grumman Corporation (the “Company”) in 2016 under its 2011 Long-Term Incentive Stock Plan. If you were granted an RPSR award by the Company in 2016, the date of grant of your RPSR award and the target number of RPSRs applicable to your award are set forth in the letter from the Company announcing your RPSR award (your “Grant Letter”) and are also reflected in the electronic stock plan award recordkeeping system (“Stock Plan System”) maintained by the Company or its designee. These Terms apply only with respect to the 2016 RPSR award. If you were granted an RPSR award, you are referred to as the “Grantee” with respect to your award. Capitalized terms are generally defined in Section 12 below if not otherwise defined herein.</w:t>
      </w:r>
    </w:p>
    <w:p>
      <w:pPr>
        <w:spacing w:after="0" w:line="165" w:lineRule="exact"/>
        <w:rPr>
          <w:sz w:val="20"/>
          <w:szCs w:val="20"/>
          <w:color w:val="auto"/>
        </w:rPr>
      </w:pPr>
    </w:p>
    <w:p>
      <w:pPr>
        <w:ind w:left="4" w:right="80" w:firstLine="648"/>
        <w:spacing w:after="0" w:line="293" w:lineRule="auto"/>
        <w:rPr>
          <w:sz w:val="20"/>
          <w:szCs w:val="20"/>
          <w:color w:val="auto"/>
        </w:rPr>
      </w:pPr>
      <w:r>
        <w:rPr>
          <w:rFonts w:ascii="Arial" w:cs="Arial" w:eastAsia="Arial" w:hAnsi="Arial"/>
          <w:sz w:val="16"/>
          <w:szCs w:val="16"/>
          <w:color w:val="auto"/>
        </w:rPr>
        <w:t xml:space="preserve">Each RPSR represents a right to receive one share of the Company’s Common Stock, or cash of equivalent value as provided herein subject to vesting as provided herein. The performance period applicable to your award is </w:t>
      </w:r>
      <w:r>
        <w:rPr>
          <w:rFonts w:ascii="Arial" w:cs="Arial" w:eastAsia="Arial" w:hAnsi="Arial"/>
          <w:sz w:val="16"/>
          <w:szCs w:val="16"/>
          <w:b w:val="1"/>
          <w:bCs w:val="1"/>
          <w:color w:val="auto"/>
        </w:rPr>
        <w:t>January 1, 2015 to December 31, 2017</w:t>
      </w:r>
      <w:r>
        <w:rPr>
          <w:rFonts w:ascii="Arial" w:cs="Arial" w:eastAsia="Arial" w:hAnsi="Arial"/>
          <w:sz w:val="16"/>
          <w:szCs w:val="16"/>
          <w:color w:val="auto"/>
        </w:rPr>
        <w:t xml:space="preserve"> (the “Performance Period”). The target number of RPSRs subject to your award is subject to adjustment as provided herein. The RPSR award is subject to all of the terms and conditions set forth in these Terms, and is further subject to all of the terms and conditions of the Plan, as it may be amended from time to time, and any rules adopted by the Committee, as such rules are in effect from time to time. If you do not formally accept your RPSR award, including these Terms, in accordance with the instructions and time limit set forth in your Grant Letter, you will be deemed to have forfeited your RPSR award.</w:t>
      </w:r>
    </w:p>
    <w:p>
      <w:pPr>
        <w:sectPr>
          <w:pgSz w:w="11900" w:h="16838" w:orient="portrait"/>
          <w:cols w:equalWidth="0" w:num="1">
            <w:col w:w="11304"/>
          </w:cols>
          <w:pgMar w:left="356" w:top="121" w:right="239" w:bottom="1440" w:gutter="0" w:footer="0" w:header="0"/>
        </w:sectPr>
      </w:pPr>
    </w:p>
    <w:p>
      <w:pPr>
        <w:spacing w:after="0" w:line="269" w:lineRule="exact"/>
        <w:rPr>
          <w:sz w:val="20"/>
          <w:szCs w:val="20"/>
          <w:color w:val="auto"/>
        </w:rPr>
      </w:pPr>
    </w:p>
    <w:p>
      <w:pPr>
        <w:ind w:left="324" w:hanging="324"/>
        <w:spacing w:after="0"/>
        <w:tabs>
          <w:tab w:leader="none" w:pos="324"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Payment of RPSRs</w:t>
      </w:r>
      <w:r>
        <w:rPr>
          <w:rFonts w:ascii="Arial" w:cs="Arial" w:eastAsia="Arial" w:hAnsi="Arial"/>
          <w:sz w:val="18"/>
          <w:szCs w:val="18"/>
          <w:color w:val="auto"/>
        </w:rPr>
        <w:t>.</w:t>
      </w:r>
    </w:p>
    <w:p>
      <w:pPr>
        <w:spacing w:after="0" w:line="189" w:lineRule="exact"/>
        <w:rPr>
          <w:sz w:val="20"/>
          <w:szCs w:val="20"/>
          <w:color w:val="auto"/>
        </w:rPr>
      </w:pPr>
    </w:p>
    <w:p>
      <w:pPr>
        <w:ind w:left="4" w:right="20" w:firstLine="405"/>
        <w:spacing w:after="0" w:line="279" w:lineRule="auto"/>
        <w:rPr>
          <w:sz w:val="20"/>
          <w:szCs w:val="20"/>
          <w:color w:val="auto"/>
        </w:rPr>
      </w:pPr>
      <w:r>
        <w:rPr>
          <w:rFonts w:ascii="Arial" w:cs="Arial" w:eastAsia="Arial" w:hAnsi="Arial"/>
          <w:sz w:val="17"/>
          <w:szCs w:val="17"/>
          <w:color w:val="auto"/>
        </w:rPr>
        <w:t>The RPSRs are subject to the vesting and payment provisions established by the Committee with respect to the Performance Period. RPSRs (and any Dividend Equivalents (as defined below)) that vest based on such provisions will be paid as provided below.</w:t>
      </w:r>
    </w:p>
    <w:p>
      <w:pPr>
        <w:spacing w:after="0" w:line="181" w:lineRule="exact"/>
        <w:rPr>
          <w:sz w:val="20"/>
          <w:szCs w:val="20"/>
          <w:color w:val="auto"/>
        </w:rPr>
      </w:pPr>
    </w:p>
    <w:p>
      <w:pPr>
        <w:ind w:left="4" w:right="160" w:firstLine="324"/>
        <w:spacing w:after="0" w:line="286"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i w:val="1"/>
          <w:iCs w:val="1"/>
          <w:color w:val="auto"/>
        </w:rPr>
        <w:t>Performance-Based Vesting of RPSRs</w:t>
      </w:r>
      <w:r>
        <w:rPr>
          <w:rFonts w:ascii="Arial" w:cs="Arial" w:eastAsia="Arial" w:hAnsi="Arial"/>
          <w:sz w:val="16"/>
          <w:szCs w:val="16"/>
          <w:color w:val="auto"/>
        </w:rPr>
        <w:t>. Subject to Sections 2</w:t>
      </w:r>
      <w:r>
        <w:rPr>
          <w:rFonts w:ascii="Arial" w:cs="Arial" w:eastAsia="Arial" w:hAnsi="Arial"/>
          <w:sz w:val="16"/>
          <w:szCs w:val="16"/>
          <w:b w:val="1"/>
          <w:bCs w:val="1"/>
          <w:color w:val="auto"/>
        </w:rPr>
        <w:t xml:space="preserve"> </w:t>
      </w:r>
      <w:r>
        <w:rPr>
          <w:rFonts w:ascii="Arial" w:cs="Arial" w:eastAsia="Arial" w:hAnsi="Arial"/>
          <w:sz w:val="16"/>
          <w:szCs w:val="16"/>
          <w:color w:val="auto"/>
        </w:rPr>
        <w:t>and 6 below, the RPSRs subject to the award shall vest and become nonforfeitable based on the performance methodology and goals established by the Committee for the Performance Period. At the conclusion of the Performance Period, the Committee shall determine whether and the extent to which the performance goals have been achieved. The percentage of target RPSRs subject to the award (if any) that have vested for the Performance Period (the “Earnout Percentage”) shall be determined by the Committee based on the methodology and goals as established by the Committee, and its determination of the Earnout Percentage shall be conclusive and binding. Any RPSRs (and related Dividend Equivalents) subject to the award that are not vested as of the conclusion of the Performance Period after giving effect to the Committee’s determinations under this Section 1.1 shall terminate and become null and void as of the last day of the Performance Period.</w:t>
      </w:r>
    </w:p>
    <w:p>
      <w:pPr>
        <w:spacing w:after="0" w:line="128" w:lineRule="exact"/>
        <w:rPr>
          <w:sz w:val="20"/>
          <w:szCs w:val="20"/>
          <w:color w:val="auto"/>
        </w:rPr>
      </w:pPr>
    </w:p>
    <w:p>
      <w:pPr>
        <w:ind w:left="4" w:firstLine="324"/>
        <w:spacing w:after="0" w:line="281"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i w:val="1"/>
          <w:iCs w:val="1"/>
          <w:color w:val="auto"/>
        </w:rPr>
        <w:t>Payment of RPSRs</w:t>
      </w:r>
      <w:r>
        <w:rPr>
          <w:rFonts w:ascii="Arial" w:cs="Arial" w:eastAsia="Arial" w:hAnsi="Arial"/>
          <w:sz w:val="17"/>
          <w:szCs w:val="17"/>
          <w:color w:val="auto"/>
        </w:rPr>
        <w:t>. The number of RPSRs payable 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conclusion of the Performance Period (“Vested RPSRs”) shall be determined by multiplying the Earnout Percentage by the target number of RPSRs subject to the award. The Vested RPSRs and any</w:t>
      </w:r>
    </w:p>
    <w:p>
      <w:pPr>
        <w:spacing w:after="0" w:line="34" w:lineRule="exact"/>
        <w:rPr>
          <w:sz w:val="20"/>
          <w:szCs w:val="20"/>
          <w:color w:val="auto"/>
        </w:rPr>
      </w:pPr>
    </w:p>
    <w:p>
      <w:pPr>
        <w:ind w:left="4"/>
        <w:spacing w:after="0"/>
        <w:tabs>
          <w:tab w:leader="none" w:pos="2204" w:val="left"/>
        </w:tabs>
        <w:rPr>
          <w:sz w:val="20"/>
          <w:szCs w:val="20"/>
          <w:color w:val="auto"/>
        </w:rPr>
      </w:pPr>
      <w:r>
        <w:rPr>
          <w:rFonts w:ascii="Arial" w:cs="Arial" w:eastAsia="Arial" w:hAnsi="Arial"/>
          <w:sz w:val="16"/>
          <w:szCs w:val="16"/>
          <w:color w:val="auto"/>
        </w:rPr>
        <w:t>VP_Pamiljans_Special_Annual</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RPSRs that vest and become payable pursuant to Section 2 or 6 may be paid out in either an equivalent number of shares of Common Stock, or, in the discretion of the Committee, in cash or in a combination of shares of Common Stock and cash. In the event of a cash payment, the amount of payment for each Vested RPSR to be paid in cash will equal the Fair Market Value (as defined below) of a share of Common Stock as of the date the Committee determines the extent to which the applicable RPSR performance criteria have been achieved. Vested RPSRs will be paid within 60 days of the vesting date, but in no event later than March 15 of the year following the last day of the Performance Period.</w:t>
      </w:r>
    </w:p>
    <w:p>
      <w:pPr>
        <w:spacing w:after="0" w:line="1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The Grantee shall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for Dividend Equivalents (if any) with respect to any Vested RPSRs and any RPSRs that vest and become payable pursuant to Section 2 or 6. For purposes of these Terms, “Dividend Equivalents” means the aggregate amount of dividends paid by the Company on a number of shares of Common Stock equivalent to the number of Vested RPSRs (or the number of RPSRs that vest and become payable pursuant to Section 2 or 6) during the period from the beginning of the Performance Period until the date the Vested RPSRs (or the RPSRs that vest and become payable pursuant to Section 2 or 6) are paid, without interest or other adjustments to reflect the time value of money. For these purposes, any Vested RPSRs or RPSRs that vest and become payable pursuant to Section 2 or 6 in excess of the target number of RPSRs subject to the award shall be considered to have</w:t>
      </w:r>
    </w:p>
    <w:p>
      <w:pPr>
        <w:sectPr>
          <w:pgSz w:w="11900" w:h="16838" w:orient="portrait"/>
          <w:cols w:equalWidth="0" w:num="2">
            <w:col w:w="5364" w:space="580"/>
            <w:col w:w="5360"/>
          </w:cols>
          <w:pgMar w:left="356" w:top="121" w:right="239" w:bottom="1440" w:gutter="0" w:footer="0" w:header="0"/>
          <w:type w:val="continuous"/>
        </w:sectPr>
      </w:pPr>
    </w:p>
    <w:bookmarkStart w:id="95" w:name="page96"/>
    <w:bookmarkEnd w:id="95"/>
    <w:p>
      <w:pPr>
        <w:ind w:left="4" w:right="20"/>
        <w:spacing w:after="0" w:line="302" w:lineRule="auto"/>
        <w:rPr>
          <w:sz w:val="20"/>
          <w:szCs w:val="20"/>
          <w:color w:val="auto"/>
        </w:rPr>
      </w:pPr>
      <w:r>
        <w:rPr>
          <w:rFonts w:ascii="Arial" w:cs="Arial" w:eastAsia="Arial" w:hAnsi="Arial"/>
          <w:sz w:val="16"/>
          <w:szCs w:val="16"/>
          <w:color w:val="auto"/>
        </w:rPr>
        <w:t>been granted at the beginning of the Performance Period. Dividend Equivalents (if any) will be paid at the same time as the Vested RPSRs (or the RPSRs that vest and become payable pursuant to Section 2 or 6) to which they relate are paid. Dividend Equivalents will be paid in cash.</w:t>
      </w:r>
    </w:p>
    <w:p>
      <w:pPr>
        <w:spacing w:after="0" w:line="123" w:lineRule="exact"/>
        <w:rPr>
          <w:sz w:val="20"/>
          <w:szCs w:val="20"/>
          <w:color w:val="auto"/>
        </w:rPr>
      </w:pPr>
    </w:p>
    <w:p>
      <w:pPr>
        <w:ind w:left="304" w:hanging="304"/>
        <w:spacing w:after="0"/>
        <w:tabs>
          <w:tab w:leader="none" w:pos="304"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Early Termination of Award; Termination of Employment</w:t>
      </w:r>
      <w:r>
        <w:rPr>
          <w:rFonts w:ascii="Arial" w:cs="Arial" w:eastAsia="Arial" w:hAnsi="Arial"/>
          <w:sz w:val="18"/>
          <w:szCs w:val="18"/>
          <w:color w:val="auto"/>
        </w:rPr>
        <w:t>.</w:t>
      </w:r>
    </w:p>
    <w:p>
      <w:pPr>
        <w:spacing w:after="0" w:line="171" w:lineRule="exact"/>
        <w:rPr>
          <w:sz w:val="20"/>
          <w:szCs w:val="20"/>
          <w:color w:val="auto"/>
        </w:rPr>
      </w:pPr>
    </w:p>
    <w:p>
      <w:pPr>
        <w:ind w:left="4" w:right="60" w:firstLine="324"/>
        <w:spacing w:after="0" w:line="25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i w:val="1"/>
          <w:iCs w:val="1"/>
          <w:color w:val="auto"/>
        </w:rPr>
        <w:t>General</w:t>
      </w:r>
      <w:r>
        <w:rPr>
          <w:rFonts w:ascii="Arial" w:cs="Arial" w:eastAsia="Arial" w:hAnsi="Arial"/>
          <w:sz w:val="18"/>
          <w:szCs w:val="18"/>
          <w:color w:val="auto"/>
        </w:rPr>
        <w:t>. The RPSRs (and related 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award shall terminate and become null and void prior to the conclusion of the Performance Period if and when (a) the award terminates in connection with a Change in Control pursuant to Section 6 below, or (b) except as provided below in this Section 2 and in Section 6, the Grantee ceases for any reason to be an employee of the Company or one of its subsidiaries.</w:t>
      </w:r>
    </w:p>
    <w:p>
      <w:pPr>
        <w:spacing w:after="0" w:line="149" w:lineRule="exact"/>
        <w:rPr>
          <w:sz w:val="20"/>
          <w:szCs w:val="20"/>
          <w:color w:val="auto"/>
        </w:rPr>
      </w:pPr>
    </w:p>
    <w:p>
      <w:pPr>
        <w:ind w:left="4" w:firstLine="324"/>
        <w:spacing w:after="0" w:line="285"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i w:val="1"/>
          <w:iCs w:val="1"/>
          <w:color w:val="auto"/>
        </w:rPr>
        <w:t>Termination of Employment Due to Death or Disability</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number of RPSRs (and related Dividend Equivalents) subject to the award shall vest on a prorated basis as provided herein if the Grantee’s employment by the Company and its subsidiaries terminates due to the Grantee’s death or Disability </w:t>
      </w:r>
      <w:r>
        <w:rPr>
          <w:rFonts w:ascii="Arial" w:cs="Arial" w:eastAsia="Arial" w:hAnsi="Arial"/>
          <w:sz w:val="16"/>
          <w:szCs w:val="16"/>
          <w:u w:val="single" w:color="auto"/>
          <w:color w:val="auto"/>
        </w:rPr>
        <w:t>and</w:t>
      </w:r>
      <w:r>
        <w:rPr>
          <w:rFonts w:ascii="Arial" w:cs="Arial" w:eastAsia="Arial" w:hAnsi="Arial"/>
          <w:sz w:val="16"/>
          <w:szCs w:val="16"/>
          <w:color w:val="auto"/>
        </w:rPr>
        <w:t>, in each case, only if the Grantee has remained continuously employed by the Company or a subsidiary through June 30, 2016. Such prorating of RPSRs (and related Dividend Equivalents) shall be based on the number of calendar days the Grantee was actually employed from January 1, 2016 until his death or Disability over 731 (the number of prorated RPSRs, the “Prorated RPSRs”). Any RPSRs (and related Dividend Equivalents) subject to the award that do not vest in accordance with this Section 2.2 upon a termination of the Grantee’s employment due to death or Disability shall terminate immediately upon such termination of employment. In the case of death or Disability (a) the Earnout Percentage of the Grantee’s Prorated RPSRs (and related Dividend Equivalents) will be deemed to be 100% (target), regardless of actual performance, and (b) payment of the Prorated RPSRs (and related Dividend Equivalents) that vest pursuant to this Section 2.2 will be made within 60 days of the Grantee’s death or Disability, but in no event later than March 15 of the year following the date of the death or Disability.</w:t>
      </w:r>
    </w:p>
    <w:p>
      <w:pPr>
        <w:spacing w:after="0" w:line="348" w:lineRule="exact"/>
        <w:rPr>
          <w:sz w:val="20"/>
          <w:szCs w:val="20"/>
          <w:color w:val="auto"/>
        </w:rPr>
      </w:pPr>
    </w:p>
    <w:p>
      <w:pPr>
        <w:ind w:left="4" w:right="140" w:firstLine="405"/>
        <w:spacing w:after="0" w:line="288" w:lineRule="auto"/>
        <w:rPr>
          <w:sz w:val="20"/>
          <w:szCs w:val="20"/>
          <w:color w:val="auto"/>
        </w:rPr>
      </w:pPr>
      <w:r>
        <w:rPr>
          <w:rFonts w:ascii="Arial" w:cs="Arial" w:eastAsia="Arial" w:hAnsi="Arial"/>
          <w:sz w:val="16"/>
          <w:szCs w:val="16"/>
          <w:b w:val="1"/>
          <w:bCs w:val="1"/>
          <w:i w:val="1"/>
          <w:iCs w:val="1"/>
          <w:color w:val="auto"/>
        </w:rPr>
        <w:t>Other Terminations of Employment</w:t>
      </w:r>
      <w:r>
        <w:rPr>
          <w:rFonts w:ascii="Arial" w:cs="Arial" w:eastAsia="Arial" w:hAnsi="Arial"/>
          <w:sz w:val="16"/>
          <w:szCs w:val="16"/>
          <w:color w:val="auto"/>
        </w:rPr>
        <w:t>. Subject to Section 6.2,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RPSRs (and related Dividend Equivalents) subject to the award shall terminate immediately upon a termination of the Grantee’s employment:</w:t>
      </w:r>
    </w:p>
    <w:p>
      <w:pPr>
        <w:ind w:left="244" w:hanging="244"/>
        <w:spacing w:after="0"/>
        <w:tabs>
          <w:tab w:leader="none" w:pos="244"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any reason other than due to the Grantee’s death or Disability; or</w:t>
      </w:r>
    </w:p>
    <w:p>
      <w:pPr>
        <w:spacing w:after="0" w:line="32" w:lineRule="exact"/>
        <w:rPr>
          <w:rFonts w:ascii="Arial" w:cs="Arial" w:eastAsia="Arial" w:hAnsi="Arial"/>
          <w:sz w:val="16"/>
          <w:szCs w:val="16"/>
          <w:color w:val="auto"/>
        </w:rPr>
      </w:pPr>
    </w:p>
    <w:p>
      <w:pPr>
        <w:ind w:left="4" w:right="160" w:hanging="4"/>
        <w:spacing w:after="0" w:line="261" w:lineRule="auto"/>
        <w:tabs>
          <w:tab w:leader="none" w:pos="2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death or Disability, if employment requirement under Section 2.2 above is not satisfied.</w:t>
      </w:r>
    </w:p>
    <w:p>
      <w:pPr>
        <w:spacing w:after="0" w:line="180" w:lineRule="exact"/>
        <w:rPr>
          <w:sz w:val="20"/>
          <w:szCs w:val="20"/>
          <w:color w:val="auto"/>
        </w:rPr>
      </w:pPr>
    </w:p>
    <w:p>
      <w:pPr>
        <w:ind w:left="4" w:right="160" w:firstLine="405"/>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i w:val="1"/>
          <w:iCs w:val="1"/>
          <w:color w:val="auto"/>
        </w:rPr>
        <w:t>Leave of Absence</w:t>
      </w:r>
      <w:r>
        <w:rPr>
          <w:rFonts w:ascii="Arial" w:cs="Arial" w:eastAsia="Arial" w:hAnsi="Arial"/>
          <w:sz w:val="18"/>
          <w:szCs w:val="18"/>
          <w:color w:val="auto"/>
        </w:rPr>
        <w:t>. Unless the Committee otherwise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time of the leave or</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Arial" w:cs="Arial" w:eastAsia="Arial" w:hAnsi="Arial"/>
          <w:sz w:val="17"/>
          <w:szCs w:val="17"/>
          <w:color w:val="auto"/>
        </w:rPr>
        <w:t>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37" w:lineRule="exact"/>
        <w:rPr>
          <w:sz w:val="20"/>
          <w:szCs w:val="20"/>
          <w:color w:val="auto"/>
        </w:rPr>
      </w:pPr>
    </w:p>
    <w:p>
      <w:pPr>
        <w:ind w:right="80" w:firstLine="392"/>
        <w:spacing w:after="0" w:line="289"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i w:val="1"/>
          <w:iCs w:val="1"/>
          <w:color w:val="auto"/>
        </w:rPr>
        <w:t>Salary Continuation</w:t>
      </w:r>
      <w:r>
        <w:rPr>
          <w:rFonts w:ascii="Arial" w:cs="Arial" w:eastAsia="Arial" w:hAnsi="Arial"/>
          <w:sz w:val="16"/>
          <w:szCs w:val="16"/>
          <w:color w:val="auto"/>
        </w:rPr>
        <w:t>. Subject to Section 2.4 above,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as used herein means active employment by the Company and salary continuation without active employment (other than a leave of absence approved by the Company that is covered by Section 2.4) will not, in and of itself, constitute “employment” for purposes hereof (in the case of salary continuation without active employment, the Grantee’s cessation of active employee status shall, subject to Section 2.4, be deemed to be a termination of “employment” for purposes hereof). Furthermore, salary continuation will not, in and of itself, constitute a leave of absence approved by the Company for purposes of the award.</w:t>
      </w:r>
    </w:p>
    <w:p>
      <w:pPr>
        <w:spacing w:after="0" w:line="121" w:lineRule="exact"/>
        <w:rPr>
          <w:sz w:val="20"/>
          <w:szCs w:val="20"/>
          <w:color w:val="auto"/>
        </w:rPr>
      </w:pPr>
    </w:p>
    <w:p>
      <w:pPr>
        <w:ind w:firstLine="392"/>
        <w:spacing w:after="0" w:line="290"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i w:val="1"/>
          <w:iCs w:val="1"/>
          <w:color w:val="auto"/>
        </w:rPr>
        <w:t>Sale or Spinoff of Subsidiary or Business Unit</w:t>
      </w:r>
      <w:r>
        <w:rPr>
          <w:rFonts w:ascii="Arial" w:cs="Arial" w:eastAsia="Arial" w:hAnsi="Arial"/>
          <w:sz w:val="16"/>
          <w:szCs w:val="16"/>
          <w:color w:val="auto"/>
        </w:rPr>
        <w:t>. For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RPSRs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w:t>
      </w:r>
    </w:p>
    <w:p>
      <w:pPr>
        <w:spacing w:after="0" w:line="119" w:lineRule="exact"/>
        <w:rPr>
          <w:sz w:val="20"/>
          <w:szCs w:val="20"/>
          <w:color w:val="auto"/>
        </w:rPr>
      </w:pPr>
    </w:p>
    <w:p>
      <w:pPr>
        <w:ind w:right="20" w:firstLine="392"/>
        <w:spacing w:after="0" w:line="287"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 expressly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Section 2.2, Section 2.4 and in Section 6, the vesting of the RPSRs (and related Dividend Equivalents) subject to the award requires continued employment through the last day of the Performance Period as a condition to the vesting of any portion of the award. Employment for only a portion of the Performance Period, even if a substantial portion, will not entitle the Grantee to any proportionate vesting or avoid or mitigate a termination of rights and benefits upon or following a termination of employment. Nothing contained in these Terms, the Grant Letter, the Stock Plan System, or the Plan constitutes an employment commitment by the Company or any subsidiary, affects the Grantee’s status (if the Grantee is otherwise an at-will employee) as an employee at will who is subject to termination without cause, confers upon the Grantee</w:t>
      </w:r>
    </w:p>
    <w:p>
      <w:pPr>
        <w:sectPr>
          <w:pgSz w:w="11900" w:h="16838" w:orient="portrait"/>
          <w:cols w:equalWidth="0" w:num="2">
            <w:col w:w="5364" w:space="580"/>
            <w:col w:w="5360"/>
          </w:cols>
          <w:pgMar w:left="356" w:top="638" w:right="239" w:bottom="1440" w:gutter="0" w:footer="0" w:header="0"/>
        </w:sectPr>
      </w:pPr>
    </w:p>
    <w:bookmarkStart w:id="96" w:name="page97"/>
    <w:bookmarkEnd w:id="96"/>
    <w:p>
      <w:pPr>
        <w:ind w:left="31" w:right="120"/>
        <w:spacing w:after="0" w:line="277" w:lineRule="auto"/>
        <w:rPr>
          <w:sz w:val="20"/>
          <w:szCs w:val="20"/>
          <w:color w:val="auto"/>
        </w:rPr>
      </w:pPr>
      <w:r>
        <w:rPr>
          <w:rFonts w:ascii="Arial" w:cs="Arial" w:eastAsia="Arial" w:hAnsi="Arial"/>
          <w:sz w:val="18"/>
          <w:szCs w:val="18"/>
          <w:color w:val="auto"/>
        </w:rPr>
        <w:t>any right to continue in the employ of the Company or any subsidiary, or interferes in any way</w:t>
      </w:r>
    </w:p>
    <w:p>
      <w:pPr>
        <w:spacing w:after="0" w:line="224" w:lineRule="exact"/>
        <w:rPr>
          <w:sz w:val="20"/>
          <w:szCs w:val="20"/>
          <w:color w:val="auto"/>
        </w:rPr>
      </w:pPr>
    </w:p>
    <w:p>
      <w:pPr>
        <w:ind w:left="31" w:right="420"/>
        <w:spacing w:after="0" w:line="277" w:lineRule="auto"/>
        <w:rPr>
          <w:sz w:val="20"/>
          <w:szCs w:val="20"/>
          <w:color w:val="auto"/>
        </w:rPr>
      </w:pPr>
      <w:r>
        <w:rPr>
          <w:rFonts w:ascii="Arial" w:cs="Arial" w:eastAsia="Arial" w:hAnsi="Arial"/>
          <w:sz w:val="18"/>
          <w:szCs w:val="18"/>
          <w:color w:val="auto"/>
        </w:rPr>
        <w:t>with the right of the Company or of any subsidiary to terminate such employment at any time.</w:t>
      </w:r>
    </w:p>
    <w:p>
      <w:pPr>
        <w:spacing w:after="0" w:line="126" w:lineRule="exact"/>
        <w:rPr>
          <w:sz w:val="20"/>
          <w:szCs w:val="20"/>
          <w:color w:val="auto"/>
        </w:rPr>
      </w:pPr>
    </w:p>
    <w:p>
      <w:pPr>
        <w:ind w:left="31" w:firstLine="405"/>
        <w:spacing w:after="0" w:line="298"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i w:val="1"/>
          <w:iCs w:val="1"/>
          <w:color w:val="auto"/>
        </w:rPr>
        <w:t>Death</w:t>
      </w:r>
      <w:r>
        <w:rPr>
          <w:rFonts w:ascii="Arial" w:cs="Arial" w:eastAsia="Arial" w:hAnsi="Arial"/>
          <w:sz w:val="16"/>
          <w:szCs w:val="16"/>
          <w:color w:val="auto"/>
        </w:rPr>
        <w:t>. In the event of the Grantee’s death subsequent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of RPSRs but prior to the delivery of shares or other payment with respect to such RPSRs (and related Dividend Equivalents), the Grantee’s Successor shall be entitled to any payments to which the Grantee would have been entitled under these Terms with respect to such RPSRs.</w:t>
      </w:r>
    </w:p>
    <w:p>
      <w:pPr>
        <w:spacing w:after="0" w:line="114" w:lineRule="exact"/>
        <w:rPr>
          <w:sz w:val="20"/>
          <w:szCs w:val="20"/>
          <w:color w:val="auto"/>
        </w:rPr>
      </w:pPr>
    </w:p>
    <w:p>
      <w:pPr>
        <w:ind w:left="411" w:hanging="411"/>
        <w:spacing w:after="0"/>
        <w:tabs>
          <w:tab w:leader="none" w:pos="411"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185" w:lineRule="exact"/>
        <w:rPr>
          <w:sz w:val="20"/>
          <w:szCs w:val="20"/>
          <w:color w:val="auto"/>
        </w:rPr>
      </w:pPr>
    </w:p>
    <w:p>
      <w:pPr>
        <w:ind w:left="31" w:right="40" w:firstLine="405"/>
        <w:spacing w:after="0" w:line="26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i w:val="1"/>
          <w:iCs w:val="1"/>
          <w:color w:val="auto"/>
        </w:rPr>
        <w:t>Non-Transferability</w:t>
      </w:r>
      <w:r>
        <w:rPr>
          <w:rFonts w:ascii="Arial" w:cs="Arial" w:eastAsia="Arial" w:hAnsi="Arial"/>
          <w:sz w:val="17"/>
          <w:szCs w:val="17"/>
          <w:color w:val="auto"/>
        </w:rPr>
        <w:t>. The award, as well as the RPSRs (and</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80" w:lineRule="exact"/>
        <w:rPr>
          <w:sz w:val="20"/>
          <w:szCs w:val="20"/>
          <w:color w:val="auto"/>
        </w:rPr>
      </w:pPr>
    </w:p>
    <w:p>
      <w:pPr>
        <w:ind w:left="31" w:right="100" w:firstLine="405"/>
        <w:spacing w:after="0" w:line="287"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i w:val="1"/>
          <w:iCs w:val="1"/>
          <w:color w:val="auto"/>
        </w:rPr>
        <w:t>Recoupment of Awards</w:t>
      </w:r>
      <w:r>
        <w:rPr>
          <w:rFonts w:ascii="Arial" w:cs="Arial" w:eastAsia="Arial" w:hAnsi="Arial"/>
          <w:sz w:val="16"/>
          <w:szCs w:val="16"/>
          <w:color w:val="auto"/>
        </w:rPr>
        <w:t>. Any payments or issuances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the award are subject to recoupment pursuant to the 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Further,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169" w:lineRule="exact"/>
        <w:rPr>
          <w:sz w:val="20"/>
          <w:szCs w:val="20"/>
          <w:color w:val="auto"/>
        </w:rPr>
      </w:pPr>
    </w:p>
    <w:p>
      <w:pPr>
        <w:ind w:left="431" w:hanging="404"/>
        <w:spacing w:after="0"/>
        <w:tabs>
          <w:tab w:leader="none" w:pos="431"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Post-Employment Conduct</w:t>
      </w:r>
      <w:r>
        <w:rPr>
          <w:rFonts w:ascii="Arial" w:cs="Arial" w:eastAsia="Arial" w:hAnsi="Arial"/>
          <w:sz w:val="18"/>
          <w:szCs w:val="18"/>
          <w:color w:val="auto"/>
        </w:rPr>
        <w:t>.</w:t>
      </w:r>
    </w:p>
    <w:p>
      <w:pPr>
        <w:spacing w:after="0" w:line="293" w:lineRule="exact"/>
        <w:rPr>
          <w:sz w:val="20"/>
          <w:szCs w:val="20"/>
          <w:color w:val="auto"/>
        </w:rPr>
      </w:pPr>
    </w:p>
    <w:p>
      <w:pPr>
        <w:ind w:left="31" w:right="60" w:firstLine="405"/>
        <w:spacing w:after="0" w:line="295"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i w:val="1"/>
          <w:iCs w:val="1"/>
          <w:color w:val="auto"/>
        </w:rPr>
        <w:t>Vice President Contribution.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You acknowledge and agree that</w:t>
      </w:r>
      <w:r>
        <w:rPr>
          <w:rFonts w:ascii="Arial" w:cs="Arial" w:eastAsia="Arial" w:hAnsi="Arial"/>
          <w:sz w:val="16"/>
          <w:szCs w:val="16"/>
          <w:b w:val="1"/>
          <w:bCs w:val="1"/>
          <w:color w:val="auto"/>
        </w:rPr>
        <w:t xml:space="preserve"> </w:t>
      </w:r>
      <w:r>
        <w:rPr>
          <w:rFonts w:ascii="Arial" w:cs="Arial" w:eastAsia="Arial" w:hAnsi="Arial"/>
          <w:sz w:val="16"/>
          <w:szCs w:val="16"/>
          <w:color w:val="auto"/>
        </w:rPr>
        <w:t>as a Vice President of the Company, you are involved in managing specific operations of the Company, incorporated in Delaware and headquartered in Virginia. You are involved in the most sensitive and proprietary matters affecting the Company, its subsidiaries, predecessors, and/or affiliates (collectively, “Northrop Grumman”), including from a</w:t>
      </w:r>
    </w:p>
    <w:p>
      <w:pPr>
        <w:spacing w:after="0" w:line="20" w:lineRule="exact"/>
        <w:rPr>
          <w:sz w:val="20"/>
          <w:szCs w:val="20"/>
          <w:color w:val="auto"/>
        </w:rPr>
      </w:pPr>
      <w:r>
        <w:rPr>
          <w:sz w:val="20"/>
          <w:szCs w:val="20"/>
          <w:color w:val="auto"/>
        </w:rPr>
        <w:br w:type="column"/>
      </w:r>
    </w:p>
    <w:p>
      <w:pPr>
        <w:ind w:left="10" w:right="180"/>
        <w:spacing w:after="0" w:line="277" w:lineRule="auto"/>
        <w:rPr>
          <w:sz w:val="20"/>
          <w:szCs w:val="20"/>
          <w:color w:val="auto"/>
        </w:rPr>
      </w:pPr>
      <w:r>
        <w:rPr>
          <w:rFonts w:ascii="Arial" w:cs="Arial" w:eastAsia="Arial" w:hAnsi="Arial"/>
          <w:sz w:val="18"/>
          <w:szCs w:val="18"/>
          <w:color w:val="auto"/>
        </w:rPr>
        <w:t>technical, strategic and financial perspective, and are widely exposed to confidential, sensitive and proprietary</w:t>
      </w:r>
    </w:p>
    <w:p>
      <w:pPr>
        <w:spacing w:after="0" w:line="224" w:lineRule="exact"/>
        <w:rPr>
          <w:sz w:val="20"/>
          <w:szCs w:val="20"/>
          <w:color w:val="auto"/>
        </w:rPr>
      </w:pPr>
    </w:p>
    <w:p>
      <w:pPr>
        <w:ind w:left="10"/>
        <w:spacing w:after="0" w:line="297" w:lineRule="auto"/>
        <w:rPr>
          <w:sz w:val="20"/>
          <w:szCs w:val="20"/>
          <w:color w:val="auto"/>
        </w:rPr>
      </w:pPr>
      <w:r>
        <w:rPr>
          <w:rFonts w:ascii="Arial" w:cs="Arial" w:eastAsia="Arial" w:hAnsi="Arial"/>
          <w:sz w:val="16"/>
          <w:szCs w:val="16"/>
          <w:color w:val="auto"/>
        </w:rPr>
        <w:t>information concerning Northrop Grumman’s operations.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w:t>
      </w:r>
    </w:p>
    <w:p>
      <w:pPr>
        <w:spacing w:after="0" w:line="154" w:lineRule="exact"/>
        <w:rPr>
          <w:sz w:val="20"/>
          <w:szCs w:val="20"/>
          <w:color w:val="auto"/>
        </w:rPr>
      </w:pPr>
    </w:p>
    <w:p>
      <w:pPr>
        <w:ind w:left="10" w:right="160" w:firstLine="405"/>
        <w:spacing w:after="0" w:line="286"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color w:val="auto"/>
        </w:rPr>
        <w:t>The Company has a legitimate business interest in restricting</w:t>
      </w:r>
      <w:r>
        <w:rPr>
          <w:rFonts w:ascii="Arial" w:cs="Arial" w:eastAsia="Arial" w:hAnsi="Arial"/>
          <w:sz w:val="16"/>
          <w:szCs w:val="16"/>
          <w:b w:val="1"/>
          <w:bCs w:val="1"/>
          <w:color w:val="auto"/>
        </w:rPr>
        <w:t xml:space="preserve"> </w:t>
      </w:r>
      <w:r>
        <w:rPr>
          <w:rFonts w:ascii="Arial" w:cs="Arial" w:eastAsia="Arial" w:hAnsi="Arial"/>
          <w:sz w:val="16"/>
          <w:szCs w:val="16"/>
          <w:color w:val="auto"/>
        </w:rPr>
        <w:t>your ability to compete in the specific manner set forth below, and the Company has provided you this grant, subject to these Terms and as consideration for the restrictive covenants set forth in this Section 4; provided that the provisions of this Section 4 shall not apply where both</w:t>
      </w:r>
    </w:p>
    <w:p>
      <w:pPr>
        <w:spacing w:after="0" w:line="2" w:lineRule="exact"/>
        <w:rPr>
          <w:sz w:val="20"/>
          <w:szCs w:val="20"/>
          <w:color w:val="auto"/>
        </w:rPr>
      </w:pPr>
    </w:p>
    <w:p>
      <w:pPr>
        <w:ind w:left="10" w:right="160" w:hanging="10"/>
        <w:spacing w:after="0" w:line="261" w:lineRule="auto"/>
        <w:tabs>
          <w:tab w:leader="none" w:pos="2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provisions are not permitted and (ii) the Delaware choice of law provision is not applied.</w:t>
      </w:r>
    </w:p>
    <w:p>
      <w:pPr>
        <w:spacing w:after="0" w:line="180" w:lineRule="exact"/>
        <w:rPr>
          <w:sz w:val="20"/>
          <w:szCs w:val="20"/>
          <w:color w:val="auto"/>
        </w:rPr>
      </w:pPr>
    </w:p>
    <w:p>
      <w:pPr>
        <w:ind w:left="10" w:firstLine="405"/>
        <w:spacing w:after="0" w:line="287"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i w:val="1"/>
          <w:iCs w:val="1"/>
          <w:color w:val="auto"/>
        </w:rPr>
        <w:t>Non-Competition</w:t>
      </w:r>
      <w:r>
        <w:rPr>
          <w:rFonts w:ascii="Arial" w:cs="Arial" w:eastAsia="Arial" w:hAnsi="Arial"/>
          <w:sz w:val="16"/>
          <w:szCs w:val="16"/>
          <w:color w:val="auto"/>
        </w:rPr>
        <w:t>. For a period of six (6) months from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termination of Grantee’s employment for any reason other than a Reduction-in- Force as determined at the Company’s sole discretion (“Termination”), you will not, directly or indirectly, oversee, control, or participate in the design, operation, research, manufacture, marketing, sale, or distribution of “Competitive Products and Services”. For the purpose of this section, “Competitive Products and Services” shall mean products or services that compete with, or are an alternative or potential alternative to, the products sold or services provided by Northrop Grumman, but only to the extent you had responsibility for, worked with, or had access to confidential, sensitive or proprietary information about such products and services while employed by the Company.</w:t>
      </w:r>
    </w:p>
    <w:p>
      <w:pPr>
        <w:spacing w:after="0" w:line="196" w:lineRule="exact"/>
        <w:rPr>
          <w:sz w:val="20"/>
          <w:szCs w:val="20"/>
          <w:color w:val="auto"/>
        </w:rPr>
      </w:pPr>
    </w:p>
    <w:p>
      <w:pPr>
        <w:ind w:left="10" w:firstLine="405"/>
        <w:spacing w:after="0" w:line="270"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b w:val="1"/>
          <w:bCs w:val="1"/>
          <w:i w:val="1"/>
          <w:iCs w:val="1"/>
          <w:color w:val="auto"/>
        </w:rPr>
        <w:t>Non-Solicitation of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eighteen (18)</w:t>
      </w:r>
      <w:r>
        <w:rPr>
          <w:rFonts w:ascii="Arial" w:cs="Arial" w:eastAsia="Arial" w:hAnsi="Arial"/>
          <w:sz w:val="17"/>
          <w:szCs w:val="17"/>
          <w:b w:val="1"/>
          <w:bCs w:val="1"/>
          <w:color w:val="auto"/>
        </w:rPr>
        <w:t xml:space="preserve"> </w:t>
      </w:r>
      <w:r>
        <w:rPr>
          <w:rFonts w:ascii="Arial" w:cs="Arial" w:eastAsia="Arial" w:hAnsi="Arial"/>
          <w:sz w:val="17"/>
          <w:szCs w:val="17"/>
          <w:color w:val="auto"/>
        </w:rPr>
        <w:t>months from your Termination, you shall not, directly or indirectly, solicit any customer, supplier, or teammate of Northrop Grumman with whom you came into contact, or about whom you received confidential information, while employed by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205" w:lineRule="exact"/>
        <w:rPr>
          <w:sz w:val="20"/>
          <w:szCs w:val="20"/>
          <w:color w:val="auto"/>
        </w:rPr>
      </w:pPr>
    </w:p>
    <w:p>
      <w:pPr>
        <w:ind w:left="10" w:right="20" w:firstLine="392"/>
        <w:spacing w:after="0" w:line="258"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i w:val="1"/>
          <w:iCs w:val="1"/>
          <w:color w:val="auto"/>
        </w:rPr>
        <w:t>Non-Solicitation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For a period of eighteen (18)</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from your Termination, you shall not, directly or indirectly, solicit or offer to hire, any person who was, within a period of six months prior to your Termination, employed by Northrop Grumman, with whom you worked or about whom you</w:t>
      </w:r>
    </w:p>
    <w:p>
      <w:pPr>
        <w:sectPr>
          <w:pgSz w:w="11900" w:h="16838" w:orient="portrait"/>
          <w:cols w:equalWidth="0" w:num="2">
            <w:col w:w="5391" w:space="570"/>
            <w:col w:w="5350"/>
          </w:cols>
          <w:pgMar w:left="329" w:top="368" w:right="259" w:bottom="1440" w:gutter="0" w:footer="0" w:header="0"/>
        </w:sectPr>
      </w:pPr>
    </w:p>
    <w:bookmarkStart w:id="97" w:name="page98"/>
    <w:bookmarkEnd w:id="97"/>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received confidential information while employed by Northrop Grumman.</w:t>
      </w:r>
    </w:p>
    <w:p>
      <w:pPr>
        <w:spacing w:after="0" w:line="298" w:lineRule="exact"/>
        <w:rPr>
          <w:sz w:val="20"/>
          <w:szCs w:val="20"/>
          <w:color w:val="auto"/>
        </w:rPr>
      </w:pPr>
    </w:p>
    <w:p>
      <w:pPr>
        <w:ind w:right="120" w:firstLine="405"/>
        <w:spacing w:after="0" w:line="274"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b w:val="1"/>
          <w:bCs w:val="1"/>
          <w:i w:val="1"/>
          <w:iCs w:val="1"/>
          <w:color w:val="auto"/>
        </w:rPr>
        <w:t>Non-Disparagement.</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not issue or communicate any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formal legal process or government investigation.</w:t>
      </w:r>
    </w:p>
    <w:p>
      <w:pPr>
        <w:spacing w:after="0" w:line="201" w:lineRule="exact"/>
        <w:rPr>
          <w:sz w:val="20"/>
          <w:szCs w:val="20"/>
          <w:color w:val="auto"/>
        </w:rPr>
      </w:pPr>
    </w:p>
    <w:p>
      <w:pPr>
        <w:ind w:right="80" w:firstLine="405"/>
        <w:spacing w:after="0" w:line="303" w:lineRule="auto"/>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b w:val="1"/>
          <w:bCs w:val="1"/>
          <w:i w:val="1"/>
          <w:iCs w:val="1"/>
          <w:color w:val="auto"/>
        </w:rPr>
        <w:t>Exceptions.</w:t>
      </w:r>
      <w:r>
        <w:rPr>
          <w:rFonts w:ascii="Arial" w:cs="Arial" w:eastAsia="Arial" w:hAnsi="Arial"/>
          <w:sz w:val="16"/>
          <w:szCs w:val="16"/>
          <w:b w:val="1"/>
          <w:bCs w:val="1"/>
          <w:color w:val="auto"/>
        </w:rPr>
        <w:t xml:space="preserve"> </w:t>
      </w:r>
      <w:r>
        <w:rPr>
          <w:rFonts w:ascii="Arial" w:cs="Arial" w:eastAsia="Arial" w:hAnsi="Arial"/>
          <w:sz w:val="16"/>
          <w:szCs w:val="16"/>
          <w:color w:val="auto"/>
        </w:rPr>
        <w:t>You may request an exception to the covenants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section by making a written request to the Company’s Chief Human Resources Officer, with such exceptions being considered at the sole discretion of the Company and communicated in writing to you.</w:t>
      </w:r>
    </w:p>
    <w:p>
      <w:pPr>
        <w:spacing w:after="0" w:line="178"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i w:val="1"/>
          <w:iCs w:val="1"/>
          <w:color w:val="auto"/>
        </w:rPr>
        <w:t>Reasonableness.</w:t>
      </w:r>
      <w:r>
        <w:rPr>
          <w:rFonts w:ascii="Arial" w:cs="Arial" w:eastAsia="Arial" w:hAnsi="Arial"/>
          <w:sz w:val="16"/>
          <w:szCs w:val="16"/>
          <w:b w:val="1"/>
          <w:bCs w:val="1"/>
          <w:color w:val="auto"/>
        </w:rPr>
        <w:t xml:space="preserve"> </w:t>
      </w:r>
      <w:r>
        <w:rPr>
          <w:rFonts w:ascii="Arial" w:cs="Arial" w:eastAsia="Arial" w:hAnsi="Arial"/>
          <w:sz w:val="16"/>
          <w:szCs w:val="16"/>
          <w:color w:val="auto"/>
        </w:rPr>
        <w:t>You agree that the restrictions set forth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 (iii) that you will be able to earn a livelihood without violating the restrictions in this section. It is the intent of the parties that the provisions of this section shall be enforced to the fullest extent permissible under applicable law. However, if any portion of this covenant is deemed unenforceable, the parties agree that a court or arbitrator may revise the portion deemed unenforceable to the maximum extent possible to achieve the objective of the parties, and the remainder of the covenant shall remain in full force and affect.</w:t>
      </w:r>
    </w:p>
    <w:p>
      <w:pPr>
        <w:spacing w:after="0" w:line="192"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b w:val="1"/>
          <w:bCs w:val="1"/>
          <w:color w:val="auto"/>
        </w:rPr>
        <w:t xml:space="preserve">4.9 </w:t>
      </w:r>
      <w:r>
        <w:rPr>
          <w:rFonts w:ascii="Arial" w:cs="Arial" w:eastAsia="Arial" w:hAnsi="Arial"/>
          <w:sz w:val="16"/>
          <w:szCs w:val="16"/>
          <w:b w:val="1"/>
          <w:bCs w:val="1"/>
          <w:i w:val="1"/>
          <w:iCs w:val="1"/>
          <w:color w:val="auto"/>
        </w:rPr>
        <w:t>Remedies</w:t>
      </w:r>
      <w:r>
        <w:rPr>
          <w:rFonts w:ascii="Arial" w:cs="Arial" w:eastAsia="Arial" w:hAnsi="Arial"/>
          <w:sz w:val="16"/>
          <w:szCs w:val="16"/>
          <w:color w:val="auto"/>
        </w:rPr>
        <w:t>. If you violate any provision in Section 4.3, 4.4, 4.5,</w:t>
      </w:r>
      <w:r>
        <w:rPr>
          <w:rFonts w:ascii="Arial" w:cs="Arial" w:eastAsia="Arial" w:hAnsi="Arial"/>
          <w:sz w:val="16"/>
          <w:szCs w:val="16"/>
          <w:b w:val="1"/>
          <w:bCs w:val="1"/>
          <w:color w:val="auto"/>
        </w:rPr>
        <w:t xml:space="preserve"> </w:t>
      </w:r>
      <w:r>
        <w:rPr>
          <w:rFonts w:ascii="Arial" w:cs="Arial" w:eastAsia="Arial" w:hAnsi="Arial"/>
          <w:sz w:val="16"/>
          <w:szCs w:val="16"/>
          <w:color w:val="auto"/>
        </w:rPr>
        <w:t>and/or 4.6 of this section, the Company shall have the right to terminate without payment to you any unvested and/or unpaid RPSRs (and associated Dividend Equivalents) and require that you immediately deliver to the Company an amount in cash equal to the aggregate Fair Market Value, determined as of the vesting and/or payment date of all RPSRs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20" w:lineRule="exact"/>
        <w:rPr>
          <w:sz w:val="20"/>
          <w:szCs w:val="20"/>
          <w:color w:val="auto"/>
        </w:rPr>
      </w:pPr>
      <w:r>
        <w:rPr>
          <w:sz w:val="20"/>
          <w:szCs w:val="20"/>
          <w:color w:val="auto"/>
        </w:rPr>
        <w:br w:type="column"/>
      </w:r>
    </w:p>
    <w:p>
      <w:pPr>
        <w:ind w:left="317" w:hanging="290"/>
        <w:spacing w:after="0"/>
        <w:tabs>
          <w:tab w:leader="none" w:pos="317" w:val="left"/>
        </w:tabs>
        <w:numPr>
          <w:ilvl w:val="0"/>
          <w:numId w:val="60"/>
        </w:numPr>
        <w:rPr>
          <w:rFonts w:ascii="Arial" w:cs="Arial" w:eastAsia="Arial" w:hAnsi="Arial"/>
          <w:sz w:val="16"/>
          <w:szCs w:val="16"/>
          <w:color w:val="auto"/>
        </w:rPr>
      </w:pPr>
      <w:r>
        <w:rPr>
          <w:rFonts w:ascii="Arial" w:cs="Arial" w:eastAsia="Arial" w:hAnsi="Arial"/>
          <w:sz w:val="16"/>
          <w:szCs w:val="16"/>
          <w:b w:val="1"/>
          <w:bCs w:val="1"/>
          <w:u w:val="single" w:color="auto"/>
          <w:color w:val="auto"/>
        </w:rPr>
        <w:t>Compliance with Laws; No Stockholder Rights Prior to Issuance</w:t>
      </w:r>
      <w:r>
        <w:rPr>
          <w:rFonts w:ascii="Arial" w:cs="Arial" w:eastAsia="Arial" w:hAnsi="Arial"/>
          <w:sz w:val="16"/>
          <w:szCs w:val="16"/>
          <w:color w:val="auto"/>
        </w:rPr>
        <w:t>.</w:t>
      </w:r>
    </w:p>
    <w:p>
      <w:pPr>
        <w:spacing w:after="0" w:line="198" w:lineRule="exact"/>
        <w:rPr>
          <w:sz w:val="20"/>
          <w:szCs w:val="20"/>
          <w:color w:val="auto"/>
        </w:rPr>
      </w:pPr>
    </w:p>
    <w:p>
      <w:pPr>
        <w:ind w:left="37" w:right="480" w:firstLine="405"/>
        <w:spacing w:after="0" w:line="258" w:lineRule="auto"/>
        <w:rPr>
          <w:sz w:val="20"/>
          <w:szCs w:val="20"/>
          <w:color w:val="auto"/>
        </w:rPr>
      </w:pPr>
      <w:r>
        <w:rPr>
          <w:rFonts w:ascii="Arial" w:cs="Arial" w:eastAsia="Arial" w:hAnsi="Arial"/>
          <w:sz w:val="18"/>
          <w:szCs w:val="18"/>
          <w:color w:val="auto"/>
        </w:rPr>
        <w:t>The Company’s obligation to make any payments or issue any shares with respect to the award is subject to</w:t>
      </w:r>
    </w:p>
    <w:p>
      <w:pPr>
        <w:spacing w:after="0" w:line="1" w:lineRule="exact"/>
        <w:rPr>
          <w:sz w:val="20"/>
          <w:szCs w:val="20"/>
          <w:color w:val="auto"/>
        </w:rPr>
      </w:pPr>
    </w:p>
    <w:p>
      <w:pPr>
        <w:ind w:left="37"/>
        <w:spacing w:after="0" w:line="286" w:lineRule="auto"/>
        <w:rPr>
          <w:sz w:val="20"/>
          <w:szCs w:val="20"/>
          <w:color w:val="auto"/>
        </w:rPr>
      </w:pPr>
      <w:r>
        <w:rPr>
          <w:rFonts w:ascii="Arial" w:cs="Arial" w:eastAsia="Arial" w:hAnsi="Arial"/>
          <w:sz w:val="16"/>
          <w:szCs w:val="16"/>
          <w:color w:val="auto"/>
        </w:rPr>
        <w:t>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these Terms with respect to Dividend Equivalents), with respect to any shares which may be issued in respect of the RPSRs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76" w:lineRule="exact"/>
        <w:rPr>
          <w:sz w:val="20"/>
          <w:szCs w:val="20"/>
          <w:color w:val="auto"/>
        </w:rPr>
      </w:pPr>
    </w:p>
    <w:p>
      <w:pPr>
        <w:ind w:left="417" w:hanging="417"/>
        <w:spacing w:after="0"/>
        <w:tabs>
          <w:tab w:leader="none" w:pos="417"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185" w:lineRule="exact"/>
        <w:rPr>
          <w:sz w:val="20"/>
          <w:szCs w:val="20"/>
          <w:color w:val="auto"/>
        </w:rPr>
      </w:pPr>
    </w:p>
    <w:p>
      <w:pPr>
        <w:ind w:left="37" w:right="160" w:firstLine="405"/>
        <w:spacing w:after="0" w:line="271"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RPSRs and the shares subject to the award</w:t>
      </w:r>
      <w:r>
        <w:rPr>
          <w:rFonts w:ascii="Arial" w:cs="Arial" w:eastAsia="Arial" w:hAnsi="Arial"/>
          <w:sz w:val="17"/>
          <w:szCs w:val="17"/>
          <w:b w:val="1"/>
          <w:bCs w:val="1"/>
          <w:color w:val="auto"/>
        </w:rPr>
        <w:t xml:space="preserve"> </w:t>
      </w:r>
      <w:r>
        <w:rPr>
          <w:rFonts w:ascii="Arial" w:cs="Arial" w:eastAsia="Arial" w:hAnsi="Arial"/>
          <w:sz w:val="17"/>
          <w:szCs w:val="17"/>
          <w:color w:val="auto"/>
        </w:rPr>
        <w:t>are subject to adjustment upon the occurrence of events such as stock splits, stock dividends and other changes in capitalization in accordance with Section 6(a) of the Plan. In addition, for RPSRs that do not use a relative total shareholder return metric as the applicable performance criterion, the applicable performance criteria and goals are subject to adjustment pursuant to Section 8 of the Plan. Any such adjustment or determination not to make any adjustment shall be conclusive and binding.</w:t>
      </w:r>
    </w:p>
    <w:p>
      <w:pPr>
        <w:spacing w:after="0" w:line="134" w:lineRule="exact"/>
        <w:rPr>
          <w:sz w:val="20"/>
          <w:szCs w:val="20"/>
          <w:color w:val="auto"/>
        </w:rPr>
      </w:pPr>
    </w:p>
    <w:p>
      <w:pPr>
        <w:ind w:left="37" w:firstLine="405"/>
        <w:spacing w:after="0" w:line="269"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b w:val="1"/>
          <w:bCs w:val="1"/>
          <w:i w:val="1"/>
          <w:iCs w:val="1"/>
          <w:color w:val="auto"/>
        </w:rPr>
        <w:t>Possible Acceleration on Change in Control</w:t>
      </w:r>
      <w:r>
        <w:rPr>
          <w:rFonts w:ascii="Arial" w:cs="Arial" w:eastAsia="Arial" w:hAnsi="Arial"/>
          <w:sz w:val="17"/>
          <w:szCs w:val="17"/>
          <w:color w:val="auto"/>
        </w:rPr>
        <w:t>. Notwithstanding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Section 2 hereof, and further subject to the Company’s ability to terminate the award as provided in Section 6.3 below, the Grantee shall be entitled to vesting of the award as provided below in the event of the Grantee’s termination of employment if at the time of the termination, the termination occurs either within the Protected Period corresponding to a Change in Control of the Company or within twenty-four (24) calendar months following the date of a Change in Control of the Company, and the Grantee’s employment by the Company and its subsidiaries is involuntarily terminated by the Company and its subsidiaries for reasons other than Cause or by the Grantee for Good Reason.</w:t>
      </w:r>
    </w:p>
    <w:p>
      <w:pPr>
        <w:spacing w:after="0" w:line="143" w:lineRule="exact"/>
        <w:rPr>
          <w:sz w:val="20"/>
          <w:szCs w:val="20"/>
          <w:color w:val="auto"/>
        </w:rPr>
      </w:pPr>
    </w:p>
    <w:p>
      <w:pPr>
        <w:ind w:left="37" w:right="140" w:firstLine="405"/>
        <w:spacing w:after="0" w:line="286" w:lineRule="auto"/>
        <w:rPr>
          <w:sz w:val="20"/>
          <w:szCs w:val="20"/>
          <w:color w:val="auto"/>
        </w:rPr>
      </w:pPr>
      <w:r>
        <w:rPr>
          <w:rFonts w:ascii="Arial" w:cs="Arial" w:eastAsia="Arial" w:hAnsi="Arial"/>
          <w:sz w:val="17"/>
          <w:szCs w:val="17"/>
          <w:color w:val="auto"/>
        </w:rPr>
        <w:t>Notwithstanding anything else contained herein to the contrary, the termination of the Grantee’s employment (or other events giving rise to Good Reason) shall not entitle the Grantee to any accelerated</w:t>
      </w:r>
    </w:p>
    <w:p>
      <w:pPr>
        <w:sectPr>
          <w:pgSz w:w="11900" w:h="16838" w:orient="portrait"/>
          <w:cols w:equalWidth="0" w:num="2">
            <w:col w:w="5360" w:space="543"/>
            <w:col w:w="5397"/>
          </w:cols>
          <w:pgMar w:left="360" w:top="364" w:right="239" w:bottom="1440" w:gutter="0" w:footer="0" w:header="0"/>
        </w:sectPr>
      </w:pPr>
    </w:p>
    <w:bookmarkStart w:id="98" w:name="page99"/>
    <w:bookmarkEnd w:id="98"/>
    <w:p>
      <w:pPr>
        <w:ind w:left="4"/>
        <w:spacing w:after="0" w:line="255" w:lineRule="auto"/>
        <w:rPr>
          <w:sz w:val="20"/>
          <w:szCs w:val="20"/>
          <w:color w:val="auto"/>
        </w:rPr>
      </w:pPr>
      <w:r>
        <w:rPr>
          <w:rFonts w:ascii="Arial" w:cs="Arial" w:eastAsia="Arial" w:hAnsi="Arial"/>
          <w:sz w:val="18"/>
          <w:szCs w:val="18"/>
          <w:color w:val="auto"/>
        </w:rPr>
        <w:t>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257" w:lineRule="exact"/>
        <w:rPr>
          <w:sz w:val="20"/>
          <w:szCs w:val="20"/>
          <w:color w:val="auto"/>
        </w:rPr>
      </w:pPr>
    </w:p>
    <w:p>
      <w:pPr>
        <w:ind w:left="4" w:right="200" w:firstLine="405"/>
        <w:spacing w:after="0" w:line="286" w:lineRule="auto"/>
        <w:rPr>
          <w:sz w:val="20"/>
          <w:szCs w:val="20"/>
          <w:color w:val="auto"/>
        </w:rPr>
      </w:pPr>
      <w:r>
        <w:rPr>
          <w:rFonts w:ascii="Arial" w:cs="Arial" w:eastAsia="Arial" w:hAnsi="Arial"/>
          <w:sz w:val="16"/>
          <w:szCs w:val="16"/>
          <w:color w:val="auto"/>
        </w:rPr>
        <w:t>In the event the Grantee is entitled to payment in accordance with the foregoing provisions of this Section 6.2, then the Grantee will be eligible for payment of a number of RPSRs (and related Dividend Equivalents) determined in accordance with the following formula:</w:t>
      </w:r>
    </w:p>
    <w:p>
      <w:pPr>
        <w:spacing w:after="0" w:line="2" w:lineRule="exact"/>
        <w:rPr>
          <w:sz w:val="20"/>
          <w:szCs w:val="20"/>
          <w:color w:val="auto"/>
        </w:rPr>
      </w:pPr>
    </w:p>
    <w:p>
      <w:pPr>
        <w:ind w:left="4" w:right="60" w:hanging="4"/>
        <w:spacing w:after="0" w:line="256" w:lineRule="auto"/>
        <w:tabs>
          <w:tab w:leader="none" w:pos="249"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Earnout Percentage determined in accordance with Section 1 but calculated based on performance for the portion of the three-year Performance Period ending on the last day of the month coinciding with or immediately preceding the date of the termination of the Grantee’s employment, multiplied by (b) the target number of RPSRs subject to the award. Payment of any amount due under this Section 6.2 will be made within 60 days of the date of the termination of Grantee’s employment, but in no event later than March 15</w:t>
      </w:r>
      <w:r>
        <w:rPr>
          <w:rFonts w:ascii="Arial" w:cs="Arial" w:eastAsia="Arial" w:hAnsi="Arial"/>
          <w:sz w:val="11"/>
          <w:szCs w:val="11"/>
          <w:color w:val="auto"/>
        </w:rPr>
        <w:t>th</w:t>
      </w:r>
      <w:r>
        <w:rPr>
          <w:rFonts w:ascii="Arial" w:cs="Arial" w:eastAsia="Arial" w:hAnsi="Arial"/>
          <w:sz w:val="17"/>
          <w:szCs w:val="17"/>
          <w:color w:val="auto"/>
        </w:rPr>
        <w:t xml:space="preserve"> of the year following the Grantee’s termination of employment.</w:t>
      </w:r>
    </w:p>
    <w:p>
      <w:pPr>
        <w:spacing w:after="0" w:line="131" w:lineRule="exact"/>
        <w:rPr>
          <w:sz w:val="20"/>
          <w:szCs w:val="20"/>
          <w:color w:val="auto"/>
        </w:rPr>
      </w:pPr>
    </w:p>
    <w:p>
      <w:pPr>
        <w:ind w:left="4" w:right="60" w:firstLine="405"/>
        <w:spacing w:after="0" w:line="283"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b w:val="1"/>
          <w:bCs w:val="1"/>
          <w:i w:val="1"/>
          <w:iCs w:val="1"/>
          <w:color w:val="auto"/>
        </w:rPr>
        <w:t>Automatic Acceleration; Early Termination</w:t>
      </w:r>
      <w:r>
        <w:rPr>
          <w:rFonts w:ascii="Arial" w:cs="Arial" w:eastAsia="Arial" w:hAnsi="Arial"/>
          <w:sz w:val="16"/>
          <w:szCs w:val="16"/>
          <w:color w:val="auto"/>
        </w:rPr>
        <w:t>. If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Grantee shall be entitled to a payment of the RPSRs (and related Dividend Equivalents) as provided below and the award shall terminate. Unless the Committee expressly provides otherwise in the circumstances, no acceleration of vesting of the award shall occur pursuant to this Section</w:t>
      </w:r>
    </w:p>
    <w:p>
      <w:pPr>
        <w:spacing w:after="0" w:line="8"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6.3 in connection with a Change in Control if either (a) 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award; provided, however, that, the Committee may reinstate the original terms of the award if the related event does not actually occur.</w:t>
      </w:r>
    </w:p>
    <w:p>
      <w:pPr>
        <w:spacing w:after="0" w:line="130" w:lineRule="exact"/>
        <w:rPr>
          <w:sz w:val="20"/>
          <w:szCs w:val="20"/>
          <w:color w:val="auto"/>
        </w:rPr>
      </w:pPr>
    </w:p>
    <w:p>
      <w:pPr>
        <w:ind w:left="4" w:right="80" w:firstLine="405"/>
        <w:spacing w:after="0" w:line="277" w:lineRule="auto"/>
        <w:rPr>
          <w:sz w:val="20"/>
          <w:szCs w:val="20"/>
          <w:color w:val="auto"/>
        </w:rPr>
      </w:pPr>
      <w:r>
        <w:rPr>
          <w:rFonts w:ascii="Arial" w:cs="Arial" w:eastAsia="Arial" w:hAnsi="Arial"/>
          <w:sz w:val="18"/>
          <w:szCs w:val="18"/>
          <w:color w:val="auto"/>
        </w:rPr>
        <w:t>In the event the Grantee is entitled to a payment in accordance with the foregoing provisions of this Section</w:t>
      </w:r>
    </w:p>
    <w:p>
      <w:pPr>
        <w:spacing w:after="0" w:line="20" w:lineRule="exact"/>
        <w:rPr>
          <w:sz w:val="20"/>
          <w:szCs w:val="20"/>
          <w:color w:val="auto"/>
        </w:rPr>
      </w:pPr>
      <w:r>
        <w:rPr>
          <w:sz w:val="20"/>
          <w:szCs w:val="20"/>
          <w:color w:val="auto"/>
        </w:rPr>
        <w:br w:type="column"/>
      </w:r>
    </w:p>
    <w:p>
      <w:pPr>
        <w:ind w:left="37" w:right="160"/>
        <w:spacing w:after="0" w:line="256" w:lineRule="auto"/>
        <w:rPr>
          <w:sz w:val="20"/>
          <w:szCs w:val="20"/>
          <w:color w:val="auto"/>
        </w:rPr>
      </w:pPr>
      <w:r>
        <w:rPr>
          <w:rFonts w:ascii="Arial" w:cs="Arial" w:eastAsia="Arial" w:hAnsi="Arial"/>
          <w:sz w:val="18"/>
          <w:szCs w:val="18"/>
          <w:color w:val="auto"/>
        </w:rPr>
        <w:t>6.3, then the Grantee will be eligible for payment of a number of RPSRs (and related Dividend Equivalents) determined in accordance with the following formula:</w:t>
      </w:r>
    </w:p>
    <w:p>
      <w:pPr>
        <w:ind w:left="37" w:right="60" w:hanging="10"/>
        <w:spacing w:after="0" w:line="250" w:lineRule="auto"/>
        <w:tabs>
          <w:tab w:leader="none" w:pos="281"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Earnout Percentage determined in accordance with Section 1 but calculated based on performance for the portion of the three-year Performance Period ending on the date of the Change in Control of the Company, multiplied by (b) the target number of RPSRs subject to the award. Payment of any amount due under this Section 6.3 will be made within 60 days of the Change of Control, but in no event later than March 15 of the year</w:t>
      </w:r>
    </w:p>
    <w:p>
      <w:pPr>
        <w:spacing w:after="0" w:line="3" w:lineRule="exact"/>
        <w:rPr>
          <w:rFonts w:ascii="Arial" w:cs="Arial" w:eastAsia="Arial" w:hAnsi="Arial"/>
          <w:sz w:val="18"/>
          <w:szCs w:val="18"/>
          <w:color w:val="auto"/>
        </w:rPr>
      </w:pPr>
    </w:p>
    <w:p>
      <w:pPr>
        <w:ind w:left="37" w:right="60"/>
        <w:spacing w:after="0" w:line="270" w:lineRule="auto"/>
        <w:rPr>
          <w:rFonts w:ascii="Arial" w:cs="Arial" w:eastAsia="Arial" w:hAnsi="Arial"/>
          <w:sz w:val="18"/>
          <w:szCs w:val="18"/>
          <w:color w:val="auto"/>
        </w:rPr>
      </w:pPr>
      <w:r>
        <w:rPr>
          <w:rFonts w:ascii="Arial" w:cs="Arial" w:eastAsia="Arial" w:hAnsi="Arial"/>
          <w:sz w:val="17"/>
          <w:szCs w:val="17"/>
          <w:color w:val="auto"/>
        </w:rPr>
        <w:t>following the Change in Control. In the event the Grantee is employed by the Company or a subsidiary immediately prior to the Change in Control and is entitled to payment in accordance with the foregoing provisions of this Section 6.3, then this Section 6.3 shall control as to the amount and timing of the payment of the award notwithstanding anything in Section 2.2 or 6.2 to the contrary.</w:t>
      </w:r>
    </w:p>
    <w:p>
      <w:pPr>
        <w:spacing w:after="0" w:line="134" w:lineRule="exact"/>
        <w:rPr>
          <w:rFonts w:ascii="Arial" w:cs="Arial" w:eastAsia="Arial" w:hAnsi="Arial"/>
          <w:sz w:val="18"/>
          <w:szCs w:val="18"/>
          <w:color w:val="auto"/>
        </w:rPr>
      </w:pPr>
    </w:p>
    <w:p>
      <w:pPr>
        <w:ind w:left="417" w:hanging="417"/>
        <w:spacing w:after="0"/>
        <w:tabs>
          <w:tab w:leader="none" w:pos="417"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85" w:lineRule="exact"/>
        <w:rPr>
          <w:sz w:val="20"/>
          <w:szCs w:val="20"/>
          <w:color w:val="auto"/>
        </w:rPr>
      </w:pPr>
    </w:p>
    <w:p>
      <w:pPr>
        <w:ind w:left="37" w:firstLine="405"/>
        <w:spacing w:after="0" w:line="287"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i w:val="1"/>
          <w:iCs w:val="1"/>
          <w:color w:val="auto"/>
        </w:rPr>
        <w:t>Tax Withholding</w:t>
      </w:r>
      <w:r>
        <w:rPr>
          <w:rFonts w:ascii="Arial" w:cs="Arial" w:eastAsia="Arial" w:hAnsi="Arial"/>
          <w:sz w:val="16"/>
          <w:szCs w:val="16"/>
          <w:color w:val="auto"/>
        </w:rPr>
        <w:t>. The Company or the subsidiary which</w:t>
      </w:r>
      <w:r>
        <w:rPr>
          <w:rFonts w:ascii="Arial" w:cs="Arial" w:eastAsia="Arial" w:hAnsi="Arial"/>
          <w:sz w:val="16"/>
          <w:szCs w:val="16"/>
          <w:b w:val="1"/>
          <w:bCs w:val="1"/>
          <w:color w:val="auto"/>
        </w:rPr>
        <w:t xml:space="preserve"> </w:t>
      </w:r>
      <w:r>
        <w:rPr>
          <w:rFonts w:ascii="Arial" w:cs="Arial" w:eastAsia="Arial" w:hAnsi="Arial"/>
          <w:sz w:val="16"/>
          <w:szCs w:val="16"/>
          <w:color w:val="auto"/>
        </w:rPr>
        <w:t>employs the Grantee shall be entitled to require, as a condition of making any payments or issuing any shares upon vesting of the RPSRs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24" w:lineRule="exact"/>
        <w:rPr>
          <w:sz w:val="20"/>
          <w:szCs w:val="20"/>
          <w:color w:val="auto"/>
        </w:rPr>
      </w:pPr>
    </w:p>
    <w:p>
      <w:pPr>
        <w:jc w:val="both"/>
        <w:ind w:left="37" w:right="160" w:firstLine="405"/>
        <w:spacing w:after="0" w:line="314"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i w:val="1"/>
          <w:iCs w:val="1"/>
          <w:color w:val="auto"/>
        </w:rPr>
        <w:t>Transfer Taxes</w:t>
      </w:r>
      <w:r>
        <w:rPr>
          <w:rFonts w:ascii="Arial" w:cs="Arial" w:eastAsia="Arial" w:hAnsi="Arial"/>
          <w:sz w:val="16"/>
          <w:szCs w:val="16"/>
          <w:color w:val="auto"/>
        </w:rPr>
        <w:t>. The Company will pay all federal and state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taxes, if any, and other fees and expenses in connection with the issuance of shares in connection with the vesting of the RPSRs.</w:t>
      </w:r>
    </w:p>
    <w:p>
      <w:pPr>
        <w:spacing w:after="0" w:line="102" w:lineRule="exact"/>
        <w:rPr>
          <w:sz w:val="20"/>
          <w:szCs w:val="20"/>
          <w:color w:val="auto"/>
        </w:rPr>
      </w:pPr>
    </w:p>
    <w:p>
      <w:pPr>
        <w:ind w:left="37" w:right="80" w:firstLine="405"/>
        <w:spacing w:after="0" w:line="258"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i w:val="1"/>
          <w:iCs w:val="1"/>
          <w:color w:val="auto"/>
        </w:rPr>
        <w:t>Compliance</w:t>
      </w:r>
      <w:r>
        <w:rPr>
          <w:rFonts w:ascii="Arial" w:cs="Arial" w:eastAsia="Arial" w:hAnsi="Arial"/>
          <w:sz w:val="18"/>
          <w:szCs w:val="18"/>
          <w:color w:val="auto"/>
        </w:rPr>
        <w:t>. These Terms are designed to be exempt from</w:t>
      </w:r>
      <w:r>
        <w:rPr>
          <w:rFonts w:ascii="Arial" w:cs="Arial" w:eastAsia="Arial" w:hAnsi="Arial"/>
          <w:sz w:val="18"/>
          <w:szCs w:val="18"/>
          <w:b w:val="1"/>
          <w:bCs w:val="1"/>
          <w:color w:val="auto"/>
        </w:rPr>
        <w:t xml:space="preserve"> </w:t>
      </w:r>
      <w:r>
        <w:rPr>
          <w:rFonts w:ascii="Arial" w:cs="Arial" w:eastAsia="Arial" w:hAnsi="Arial"/>
          <w:sz w:val="18"/>
          <w:szCs w:val="18"/>
          <w:color w:val="auto"/>
        </w:rPr>
        <w:t>Code Section 409A, and the Committee shall administer and construe the award, and may amend the Terms of the award, in such a way as to be exempt from and to avoid adverse tax consequences under Code Section 409A.</w:t>
      </w:r>
    </w:p>
    <w:p>
      <w:pPr>
        <w:spacing w:after="0" w:line="143" w:lineRule="exact"/>
        <w:rPr>
          <w:sz w:val="20"/>
          <w:szCs w:val="20"/>
          <w:color w:val="auto"/>
        </w:rPr>
      </w:pPr>
    </w:p>
    <w:p>
      <w:pPr>
        <w:jc w:val="both"/>
        <w:ind w:left="37" w:right="120" w:firstLine="405"/>
        <w:spacing w:after="0" w:line="277"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b w:val="1"/>
          <w:bCs w:val="1"/>
          <w:i w:val="1"/>
          <w:iCs w:val="1"/>
          <w:color w:val="auto"/>
        </w:rPr>
        <w:t>Unfunded Arrangement</w:t>
      </w:r>
      <w:r>
        <w:rPr>
          <w:rFonts w:ascii="Arial" w:cs="Arial" w:eastAsia="Arial" w:hAnsi="Arial"/>
          <w:sz w:val="17"/>
          <w:szCs w:val="17"/>
          <w:color w:val="auto"/>
        </w:rPr>
        <w:t>. The right of the Grantee to receive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under the award shall be an unsecured contractual claim against the Company. As such, neither the Grantee nor any Successor shall have any rights in or against any specific assets of the Company based on the award. Awards shall at all</w:t>
      </w:r>
    </w:p>
    <w:p>
      <w:pPr>
        <w:sectPr>
          <w:pgSz w:w="11900" w:h="16838" w:orient="portrait"/>
          <w:cols w:equalWidth="0" w:num="2">
            <w:col w:w="5344" w:space="563"/>
            <w:col w:w="5397"/>
          </w:cols>
          <w:pgMar w:left="356" w:top="368" w:right="239" w:bottom="1440" w:gutter="0" w:footer="0" w:header="0"/>
        </w:sectPr>
      </w:pPr>
    </w:p>
    <w:bookmarkStart w:id="99" w:name="page100"/>
    <w:bookmarkEnd w:id="99"/>
    <w:p>
      <w:pPr>
        <w:ind w:left="31"/>
        <w:spacing w:after="0"/>
        <w:rPr>
          <w:sz w:val="20"/>
          <w:szCs w:val="20"/>
          <w:color w:val="auto"/>
        </w:rPr>
      </w:pPr>
      <w:r>
        <w:rPr>
          <w:rFonts w:ascii="Arial" w:cs="Arial" w:eastAsia="Arial" w:hAnsi="Arial"/>
          <w:sz w:val="18"/>
          <w:szCs w:val="18"/>
          <w:color w:val="auto"/>
        </w:rPr>
        <w:t>times be considered entirely unfunded for tax purposes.</w:t>
      </w:r>
    </w:p>
    <w:p>
      <w:pPr>
        <w:spacing w:after="0" w:line="181" w:lineRule="exact"/>
        <w:rPr>
          <w:sz w:val="20"/>
          <w:szCs w:val="20"/>
          <w:color w:val="auto"/>
        </w:rPr>
      </w:pPr>
    </w:p>
    <w:p>
      <w:pPr>
        <w:ind w:left="31" w:right="140" w:firstLine="405"/>
        <w:spacing w:after="0" w:line="291" w:lineRule="auto"/>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b w:val="1"/>
          <w:bCs w:val="1"/>
          <w:i w:val="1"/>
          <w:iCs w:val="1"/>
          <w:color w:val="auto"/>
        </w:rPr>
        <w:t>Code Section 280G</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 the contrary, in the event that any amounts payable to you as a result of Section 6.2 or 6.3 hereof,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w:t>
      </w:r>
    </w:p>
    <w:p>
      <w:pPr>
        <w:spacing w:after="0" w:line="218" w:lineRule="exact"/>
        <w:rPr>
          <w:sz w:val="20"/>
          <w:szCs w:val="20"/>
          <w:color w:val="auto"/>
        </w:rPr>
      </w:pPr>
    </w:p>
    <w:p>
      <w:pPr>
        <w:ind w:left="31"/>
        <w:spacing w:after="0"/>
        <w:rPr>
          <w:sz w:val="20"/>
          <w:szCs w:val="20"/>
          <w:color w:val="auto"/>
        </w:rPr>
      </w:pPr>
      <w:r>
        <w:rPr>
          <w:rFonts w:ascii="Arial" w:cs="Arial" w:eastAsia="Arial" w:hAnsi="Arial"/>
          <w:sz w:val="16"/>
          <w:szCs w:val="16"/>
          <w:color w:val="auto"/>
        </w:rPr>
        <w:t>acceleration provided in Section 6.2 or 6.3, as applicable, shall be either</w:t>
      </w:r>
    </w:p>
    <w:p>
      <w:pPr>
        <w:spacing w:after="0" w:line="46" w:lineRule="exact"/>
        <w:rPr>
          <w:sz w:val="20"/>
          <w:szCs w:val="20"/>
          <w:color w:val="auto"/>
        </w:rPr>
      </w:pPr>
    </w:p>
    <w:p>
      <w:pPr>
        <w:ind w:left="31" w:hanging="4"/>
        <w:spacing w:after="0" w:line="265" w:lineRule="auto"/>
        <w:tabs>
          <w:tab w:leader="none" w:pos="276" w:val="left"/>
        </w:tabs>
        <w:numPr>
          <w:ilvl w:val="1"/>
          <w:numId w:val="65"/>
        </w:numPr>
        <w:rPr>
          <w:rFonts w:ascii="Arial" w:cs="Arial" w:eastAsia="Arial" w:hAnsi="Arial"/>
          <w:sz w:val="17"/>
          <w:szCs w:val="17"/>
          <w:color w:val="auto"/>
        </w:rPr>
      </w:pPr>
      <w:r>
        <w:rPr>
          <w:rFonts w:ascii="Arial" w:cs="Arial" w:eastAsia="Arial" w:hAnsi="Arial"/>
          <w:sz w:val="17"/>
          <w:szCs w:val="17"/>
          <w:color w:val="auto"/>
        </w:rPr>
        <w:t>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w:t>
      </w:r>
    </w:p>
    <w:p>
      <w:pPr>
        <w:spacing w:after="0" w:line="2" w:lineRule="exact"/>
        <w:rPr>
          <w:rFonts w:ascii="Arial" w:cs="Arial" w:eastAsia="Arial" w:hAnsi="Arial"/>
          <w:sz w:val="17"/>
          <w:szCs w:val="17"/>
          <w:color w:val="auto"/>
        </w:rPr>
      </w:pPr>
    </w:p>
    <w:p>
      <w:pPr>
        <w:ind w:left="31" w:right="120"/>
        <w:spacing w:after="0" w:line="281" w:lineRule="auto"/>
        <w:rPr>
          <w:rFonts w:ascii="Arial" w:cs="Arial" w:eastAsia="Arial" w:hAnsi="Arial"/>
          <w:sz w:val="17"/>
          <w:szCs w:val="17"/>
          <w:color w:val="auto"/>
        </w:rPr>
      </w:pPr>
      <w:r>
        <w:rPr>
          <w:rFonts w:ascii="Arial" w:cs="Arial" w:eastAsia="Arial" w:hAnsi="Arial"/>
          <w:sz w:val="16"/>
          <w:szCs w:val="16"/>
          <w:color w:val="auto"/>
        </w:rPr>
        <w:t>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w:t>
      </w:r>
    </w:p>
    <w:p>
      <w:pPr>
        <w:spacing w:after="0" w:line="4" w:lineRule="exact"/>
        <w:rPr>
          <w:rFonts w:ascii="Arial" w:cs="Arial" w:eastAsia="Arial" w:hAnsi="Arial"/>
          <w:sz w:val="17"/>
          <w:szCs w:val="17"/>
          <w:color w:val="auto"/>
        </w:rPr>
      </w:pPr>
    </w:p>
    <w:p>
      <w:pPr>
        <w:ind w:left="31"/>
        <w:spacing w:after="0" w:line="253" w:lineRule="auto"/>
        <w:rPr>
          <w:rFonts w:ascii="Arial" w:cs="Arial" w:eastAsia="Arial" w:hAnsi="Arial"/>
          <w:sz w:val="17"/>
          <w:szCs w:val="17"/>
          <w:color w:val="auto"/>
        </w:rPr>
      </w:pPr>
      <w:r>
        <w:rPr>
          <w:rFonts w:ascii="Arial" w:cs="Arial" w:eastAsia="Arial" w:hAnsi="Arial"/>
          <w:sz w:val="18"/>
          <w:szCs w:val="18"/>
          <w:color w:val="auto"/>
        </w:rPr>
        <w:t>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46" w:lineRule="exact"/>
        <w:rPr>
          <w:rFonts w:ascii="Arial" w:cs="Arial" w:eastAsia="Arial" w:hAnsi="Arial"/>
          <w:sz w:val="17"/>
          <w:szCs w:val="17"/>
          <w:color w:val="auto"/>
        </w:rPr>
      </w:pPr>
    </w:p>
    <w:p>
      <w:pPr>
        <w:ind w:left="411" w:hanging="411"/>
        <w:spacing w:after="0"/>
        <w:tabs>
          <w:tab w:leader="none" w:pos="411"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Arbitration</w:t>
      </w:r>
      <w:r>
        <w:rPr>
          <w:rFonts w:ascii="Arial" w:cs="Arial" w:eastAsia="Arial" w:hAnsi="Arial"/>
          <w:sz w:val="18"/>
          <w:szCs w:val="18"/>
          <w:b w:val="1"/>
          <w:bCs w:val="1"/>
          <w:color w:val="auto"/>
        </w:rPr>
        <w:t>.</w:t>
      </w:r>
    </w:p>
    <w:p>
      <w:pPr>
        <w:spacing w:after="0" w:line="189" w:lineRule="exact"/>
        <w:rPr>
          <w:sz w:val="20"/>
          <w:szCs w:val="20"/>
          <w:color w:val="auto"/>
        </w:rPr>
      </w:pPr>
    </w:p>
    <w:p>
      <w:pPr>
        <w:ind w:left="31" w:right="180" w:firstLine="405"/>
        <w:spacing w:after="0" w:line="269" w:lineRule="auto"/>
        <w:rPr>
          <w:sz w:val="20"/>
          <w:szCs w:val="20"/>
          <w:color w:val="auto"/>
        </w:rPr>
      </w:pPr>
      <w:r>
        <w:rPr>
          <w:rFonts w:ascii="Arial" w:cs="Arial" w:eastAsia="Arial" w:hAnsi="Arial"/>
          <w:sz w:val="17"/>
          <w:szCs w:val="17"/>
          <w:color w:val="auto"/>
        </w:rPr>
        <w:t>This agreement shall be governed by the laws of the State of Delaware. Any cause of action or claim arising out of or related to the terms and conditions applicable to this grant will be determined through final and binding arbitration, in accordance with Northrop Grumman Corporate Procedure H103A,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these terms, before arbitration is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37"/>
        <w:spacing w:after="0" w:line="254" w:lineRule="auto"/>
        <w:rPr>
          <w:sz w:val="20"/>
          <w:szCs w:val="20"/>
          <w:color w:val="auto"/>
        </w:rPr>
      </w:pPr>
      <w:r>
        <w:rPr>
          <w:rFonts w:ascii="Arial" w:cs="Arial" w:eastAsia="Arial" w:hAnsi="Arial"/>
          <w:sz w:val="18"/>
          <w:szCs w:val="18"/>
          <w:color w:val="auto"/>
        </w:rPr>
        <w:t>commenced or concluded, either party may seek injunctive or other provisional equitable relief from a state or federal court in the Commonwealth of Virginia. All court actions or proceedings arising under these terms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48" w:lineRule="exact"/>
        <w:rPr>
          <w:sz w:val="20"/>
          <w:szCs w:val="20"/>
          <w:color w:val="auto"/>
        </w:rPr>
      </w:pPr>
    </w:p>
    <w:p>
      <w:pPr>
        <w:ind w:left="417" w:hanging="417"/>
        <w:spacing w:after="0"/>
        <w:tabs>
          <w:tab w:leader="none" w:pos="417"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189" w:lineRule="exact"/>
        <w:rPr>
          <w:sz w:val="20"/>
          <w:szCs w:val="20"/>
          <w:color w:val="auto"/>
        </w:rPr>
      </w:pPr>
    </w:p>
    <w:p>
      <w:pPr>
        <w:ind w:left="37" w:right="20" w:firstLine="405"/>
        <w:spacing w:after="0" w:line="253" w:lineRule="auto"/>
        <w:rPr>
          <w:sz w:val="20"/>
          <w:szCs w:val="20"/>
          <w:color w:val="auto"/>
        </w:rPr>
      </w:pPr>
      <w:r>
        <w:rPr>
          <w:rFonts w:ascii="Arial" w:cs="Arial" w:eastAsia="Arial" w:hAnsi="Arial"/>
          <w:sz w:val="18"/>
          <w:szCs w:val="18"/>
          <w:color w:val="auto"/>
        </w:rPr>
        <w:t>The Committee has the discretionary authority to determine any questions as to the date when the Grantee’s employment terminated and the cause of such termination and to interpret any provision of these Terms, the Grant Letter, the Stock Plan System, the Plan, and any other applicable rules. Any action taken by, or inaction of, the Committee relating to or pursuant to these Terms, the Grant Letter, the Stock Plan System, the Plan, or any other applicable rules shall be within the absolute discretion of the Committee and shall be conclusive and binding on all persons.</w:t>
      </w:r>
    </w:p>
    <w:p>
      <w:pPr>
        <w:spacing w:after="0" w:line="153" w:lineRule="exact"/>
        <w:rPr>
          <w:sz w:val="20"/>
          <w:szCs w:val="20"/>
          <w:color w:val="auto"/>
        </w:rPr>
      </w:pPr>
    </w:p>
    <w:p>
      <w:pPr>
        <w:ind w:left="417" w:hanging="417"/>
        <w:spacing w:after="0"/>
        <w:tabs>
          <w:tab w:leader="none" w:pos="417"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189" w:lineRule="exact"/>
        <w:rPr>
          <w:sz w:val="20"/>
          <w:szCs w:val="20"/>
          <w:color w:val="auto"/>
        </w:rPr>
      </w:pPr>
    </w:p>
    <w:p>
      <w:pPr>
        <w:ind w:left="37" w:right="80" w:firstLine="405"/>
        <w:spacing w:after="0" w:line="269" w:lineRule="auto"/>
        <w:rPr>
          <w:sz w:val="20"/>
          <w:szCs w:val="20"/>
          <w:color w:val="auto"/>
        </w:rPr>
      </w:pPr>
      <w:r>
        <w:rPr>
          <w:rFonts w:ascii="Arial" w:cs="Arial" w:eastAsia="Arial" w:hAnsi="Arial"/>
          <w:sz w:val="17"/>
          <w:szCs w:val="17"/>
          <w:color w:val="auto"/>
        </w:rPr>
        <w:t>The RPSRs (and related Dividend Equivalents) subject to the award are governed by, and the Grantee’s rights are subject to, all of the terms and conditions of the Plan and any other rules adopted by the Committee, as the foregoing may be amended from time to time.</w:t>
      </w:r>
    </w:p>
    <w:p>
      <w:pPr>
        <w:spacing w:after="0" w:line="2" w:lineRule="exact"/>
        <w:rPr>
          <w:sz w:val="20"/>
          <w:szCs w:val="20"/>
          <w:color w:val="auto"/>
        </w:rPr>
      </w:pPr>
    </w:p>
    <w:p>
      <w:pPr>
        <w:ind w:left="37" w:right="40"/>
        <w:spacing w:after="0" w:line="270" w:lineRule="auto"/>
        <w:rPr>
          <w:sz w:val="20"/>
          <w:szCs w:val="20"/>
          <w:color w:val="auto"/>
        </w:rPr>
      </w:pPr>
      <w:r>
        <w:rPr>
          <w:rFonts w:ascii="Arial" w:cs="Arial" w:eastAsia="Arial" w:hAnsi="Arial"/>
          <w:sz w:val="17"/>
          <w:szCs w:val="17"/>
          <w:color w:val="auto"/>
        </w:rPr>
        <w:t>The Grantee shall have no rights with respect to any amendment of these Terms or the Plan unless such amendment is in writing and signed by a duly authorized officer of the Company. In the event of a conflict between the provisions of the Grant Letter and/or the Stock Plan System and the provisions of these Terms and/or the Plan, the provisions of these Terms and/or the Plan, as applicable, shall control.</w:t>
      </w:r>
    </w:p>
    <w:p>
      <w:pPr>
        <w:spacing w:after="0" w:line="134" w:lineRule="exact"/>
        <w:rPr>
          <w:sz w:val="20"/>
          <w:szCs w:val="20"/>
          <w:color w:val="auto"/>
        </w:rPr>
      </w:pPr>
    </w:p>
    <w:p>
      <w:pPr>
        <w:ind w:left="417" w:hanging="417"/>
        <w:spacing w:after="0"/>
        <w:tabs>
          <w:tab w:leader="none" w:pos="417"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Holding Period</w:t>
      </w:r>
      <w:r>
        <w:rPr>
          <w:rFonts w:ascii="Arial" w:cs="Arial" w:eastAsia="Arial" w:hAnsi="Arial"/>
          <w:sz w:val="18"/>
          <w:szCs w:val="18"/>
          <w:b w:val="1"/>
          <w:bCs w:val="1"/>
          <w:color w:val="auto"/>
        </w:rPr>
        <w:t>.</w:t>
      </w:r>
    </w:p>
    <w:p>
      <w:pPr>
        <w:spacing w:after="0" w:line="189" w:lineRule="exact"/>
        <w:rPr>
          <w:sz w:val="20"/>
          <w:szCs w:val="20"/>
          <w:color w:val="auto"/>
        </w:rPr>
      </w:pPr>
    </w:p>
    <w:p>
      <w:pPr>
        <w:ind w:left="37" w:right="40" w:firstLine="405"/>
        <w:spacing w:after="0" w:line="287" w:lineRule="auto"/>
        <w:rPr>
          <w:sz w:val="20"/>
          <w:szCs w:val="20"/>
          <w:color w:val="auto"/>
        </w:rPr>
      </w:pPr>
      <w:r>
        <w:rPr>
          <w:rFonts w:ascii="Arial" w:cs="Arial" w:eastAsia="Arial" w:hAnsi="Arial"/>
          <w:sz w:val="16"/>
          <w:szCs w:val="16"/>
          <w:color w:val="auto"/>
        </w:rPr>
        <w:t>The holding requirements of this Section 11 shall apply to any Grantee who is an elected or appointed officer of the Company or a Country Chief Executive on the date any RPSRs are paid (or, if earlier, on the date the Grantee’s employment by the Company and its subsidiaries terminates for any reason). Any Grantee subject to this Section 11 shall not be permitted to sell, transfer, anticipate, alienate, assign, pledge, encumber or charge 50% of the total number (if any) of shares of Common Stock the Grantee receives as payment for the RPSRs until the earlier of (A) the third anniversary of the date such shares of Common Stock are paid to the Grantee, (B) the date the Grantee’s employment by the Company and its subsidiaries terminates due to the</w:t>
      </w:r>
    </w:p>
    <w:p>
      <w:pPr>
        <w:sectPr>
          <w:pgSz w:w="11900" w:h="16838" w:orient="portrait"/>
          <w:cols w:equalWidth="0" w:num="2">
            <w:col w:w="5391" w:space="543"/>
            <w:col w:w="5397"/>
          </w:cols>
          <w:pgMar w:left="329" w:top="368" w:right="239" w:bottom="1440" w:gutter="0" w:footer="0" w:header="0"/>
        </w:sectPr>
      </w:pPr>
    </w:p>
    <w:bookmarkStart w:id="100" w:name="page101"/>
    <w:bookmarkEnd w:id="100"/>
    <w:p>
      <w:pPr>
        <w:spacing w:after="0" w:line="149" w:lineRule="exact"/>
        <w:rPr>
          <w:sz w:val="20"/>
          <w:szCs w:val="20"/>
          <w:color w:val="auto"/>
        </w:rPr>
      </w:pPr>
    </w:p>
    <w:p>
      <w:pPr>
        <w:ind w:left="31" w:right="40"/>
        <w:spacing w:after="0" w:line="268" w:lineRule="auto"/>
        <w:rPr>
          <w:sz w:val="20"/>
          <w:szCs w:val="20"/>
          <w:color w:val="auto"/>
        </w:rPr>
      </w:pPr>
      <w:r>
        <w:rPr>
          <w:rFonts w:ascii="Arial" w:cs="Arial" w:eastAsia="Arial" w:hAnsi="Arial"/>
          <w:sz w:val="17"/>
          <w:szCs w:val="17"/>
          <w:color w:val="auto"/>
        </w:rPr>
        <w:t>Grantee’s death or Disability, or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Should the Grantee’s employment by the Company and its subsidiaries terminate (regardless of the reason for such termination, but other than due to the Grantee’s death or Disability or a Change in Control related termination under Section 6.2 or entering a U.S. federal government position), such holding period requirement shall not apply as to any shares acquired upon payment of RPSRs to the extent such payment is made more than one year after such termination of employment (For purposes of clarity, in such</w:t>
      </w:r>
    </w:p>
    <w:p>
      <w:pPr>
        <w:spacing w:after="0" w:line="251" w:lineRule="exact"/>
        <w:rPr>
          <w:sz w:val="20"/>
          <w:szCs w:val="20"/>
          <w:color w:val="auto"/>
        </w:rPr>
      </w:pPr>
    </w:p>
    <w:p>
      <w:pPr>
        <w:ind w:left="31"/>
        <w:spacing w:after="0" w:line="286" w:lineRule="auto"/>
        <w:rPr>
          <w:sz w:val="20"/>
          <w:szCs w:val="20"/>
          <w:color w:val="auto"/>
        </w:rPr>
      </w:pPr>
      <w:r>
        <w:rPr>
          <w:rFonts w:ascii="Arial" w:cs="Arial" w:eastAsia="Arial" w:hAnsi="Arial"/>
          <w:sz w:val="16"/>
          <w:szCs w:val="16"/>
          <w:color w:val="auto"/>
        </w:rPr>
        <w:t>circumstances the holding period requirement will apply as to any shares acquired upon payment of RPSRs within one year after such termination of employment), except that, if Grantee is an appointed officer or a Country Chief Executive, the holding period requirement shall end on the one-year anniversary date of the Grantee’s termination of employment. For purposes of this Section 11, the total number of shares of Common Stock the Grantee receives as payment for RPSRs shall be determined on a net basis after taking into account any shares otherwise deliverable with respect to the award that the Company withholds to satisfy tax obligations pursuant to Section 7.1.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127" w:lineRule="exact"/>
        <w:rPr>
          <w:sz w:val="20"/>
          <w:szCs w:val="20"/>
          <w:color w:val="auto"/>
        </w:rPr>
      </w:pPr>
    </w:p>
    <w:p>
      <w:pPr>
        <w:ind w:left="411" w:hanging="411"/>
        <w:spacing w:after="0"/>
        <w:tabs>
          <w:tab w:leader="none" w:pos="411"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89" w:lineRule="exact"/>
        <w:rPr>
          <w:sz w:val="20"/>
          <w:szCs w:val="20"/>
          <w:color w:val="auto"/>
        </w:rPr>
      </w:pPr>
    </w:p>
    <w:p>
      <w:pPr>
        <w:jc w:val="both"/>
        <w:ind w:left="31" w:right="200" w:firstLine="405"/>
        <w:spacing w:after="0" w:line="264" w:lineRule="auto"/>
        <w:rPr>
          <w:sz w:val="20"/>
          <w:szCs w:val="20"/>
          <w:color w:val="auto"/>
        </w:rPr>
      </w:pPr>
      <w:r>
        <w:rPr>
          <w:rFonts w:ascii="Arial" w:cs="Arial" w:eastAsia="Arial" w:hAnsi="Arial"/>
          <w:sz w:val="18"/>
          <w:szCs w:val="18"/>
          <w:color w:val="auto"/>
        </w:rPr>
        <w:t>Whenever used in these Terms, the following terms shall have the meanings set forth below and, when the meaning is intended, the initial letter of the word is capitalized:</w:t>
      </w:r>
    </w:p>
    <w:p>
      <w:pPr>
        <w:spacing w:after="0" w:line="137" w:lineRule="exact"/>
        <w:rPr>
          <w:sz w:val="20"/>
          <w:szCs w:val="20"/>
          <w:color w:val="auto"/>
        </w:rPr>
      </w:pPr>
    </w:p>
    <w:p>
      <w:pPr>
        <w:ind w:left="43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85" w:lineRule="exact"/>
        <w:rPr>
          <w:sz w:val="20"/>
          <w:szCs w:val="20"/>
          <w:color w:val="auto"/>
        </w:rPr>
      </w:pPr>
    </w:p>
    <w:p>
      <w:pPr>
        <w:ind w:left="4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the occurrence of either or both of the following:</w:t>
      </w:r>
    </w:p>
    <w:p>
      <w:pPr>
        <w:spacing w:after="0" w:line="200" w:lineRule="exact"/>
        <w:rPr>
          <w:sz w:val="20"/>
          <w:szCs w:val="20"/>
          <w:color w:val="auto"/>
        </w:rPr>
      </w:pPr>
    </w:p>
    <w:p>
      <w:pPr>
        <w:ind w:left="571" w:right="60" w:hanging="314"/>
        <w:spacing w:after="0" w:line="312" w:lineRule="auto"/>
        <w:tabs>
          <w:tab w:leader="none" w:pos="571"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Grantee’s conviction for committing an act of fraud, embezzlement, theft, or other act constituting a felony (other than traffic related offenses, as a result of vicarious liability, or as a</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Arial" w:cs="Arial" w:eastAsia="Arial" w:hAnsi="Arial"/>
          <w:sz w:val="18"/>
          <w:szCs w:val="18"/>
          <w:color w:val="auto"/>
        </w:rPr>
        <w:t>result of good faith actions as an officer of the Company); or</w:t>
      </w:r>
    </w:p>
    <w:p>
      <w:pPr>
        <w:spacing w:after="0" w:line="198" w:lineRule="exact"/>
        <w:rPr>
          <w:sz w:val="20"/>
          <w:szCs w:val="20"/>
          <w:color w:val="auto"/>
        </w:rPr>
      </w:pPr>
    </w:p>
    <w:p>
      <w:pPr>
        <w:ind w:left="540" w:hanging="320"/>
        <w:spacing w:after="0" w:line="273" w:lineRule="auto"/>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willful engaging by the Grantee in misconduct that is significantly injurious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66" w:lineRule="exact"/>
        <w:rPr>
          <w:sz w:val="20"/>
          <w:szCs w:val="20"/>
          <w:color w:val="auto"/>
        </w:rPr>
      </w:pPr>
    </w:p>
    <w:p>
      <w:pPr>
        <w:ind w:right="6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21" w:lineRule="exact"/>
        <w:rPr>
          <w:sz w:val="20"/>
          <w:szCs w:val="20"/>
          <w:color w:val="auto"/>
        </w:rPr>
      </w:pPr>
    </w:p>
    <w:p>
      <w:pPr>
        <w:jc w:val="both"/>
        <w:ind w:right="16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Company’s Compensation Committee or any successor committee appointed by the Board to administer the Plan.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27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w:t>
      </w:r>
    </w:p>
    <w:p>
      <w:pPr>
        <w:spacing w:after="0" w:line="121"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40" w:lineRule="exact"/>
        <w:rPr>
          <w:sz w:val="20"/>
          <w:szCs w:val="20"/>
          <w:color w:val="auto"/>
        </w:rPr>
      </w:pPr>
    </w:p>
    <w:p>
      <w:pPr>
        <w:ind w:right="48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Grantee’s express written consent, the occurrence of any one or more of the following:</w:t>
      </w:r>
    </w:p>
    <w:p>
      <w:pPr>
        <w:spacing w:after="0" w:line="80" w:lineRule="exact"/>
        <w:rPr>
          <w:sz w:val="20"/>
          <w:szCs w:val="20"/>
          <w:color w:val="auto"/>
        </w:rPr>
      </w:pPr>
    </w:p>
    <w:p>
      <w:pPr>
        <w:ind w:left="540" w:right="140" w:hanging="320"/>
        <w:spacing w:after="0" w:line="293"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w:t>
      </w:r>
    </w:p>
    <w:p>
      <w:pPr>
        <w:sectPr>
          <w:pgSz w:w="11900" w:h="16838" w:orient="portrait"/>
          <w:cols w:equalWidth="0" w:num="2">
            <w:col w:w="5371" w:space="600"/>
            <w:col w:w="5340"/>
          </w:cols>
          <w:pgMar w:left="329" w:top="395" w:right="259" w:bottom="1440" w:gutter="0" w:footer="0" w:header="0"/>
        </w:sectPr>
      </w:pPr>
    </w:p>
    <w:bookmarkStart w:id="101" w:name="page102"/>
    <w:bookmarkEnd w:id="101"/>
    <w:p>
      <w:pPr>
        <w:ind w:left="571"/>
        <w:spacing w:after="0" w:line="318" w:lineRule="auto"/>
        <w:rPr>
          <w:sz w:val="20"/>
          <w:szCs w:val="20"/>
          <w:color w:val="auto"/>
        </w:rPr>
      </w:pPr>
      <w:r>
        <w:rPr>
          <w:rFonts w:ascii="Arial" w:cs="Arial" w:eastAsia="Arial" w:hAnsi="Arial"/>
          <w:sz w:val="17"/>
          <w:szCs w:val="17"/>
          <w:color w:val="auto"/>
        </w:rPr>
        <w:t>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 recognized executive placement firm for purposes of making the determination required by the preceding sentence and the written opinion of the firm thus selected shall be conclusive as to this issue.</w:t>
      </w:r>
    </w:p>
    <w:p>
      <w:pPr>
        <w:spacing w:after="0" w:line="117" w:lineRule="exact"/>
        <w:rPr>
          <w:sz w:val="20"/>
          <w:szCs w:val="20"/>
          <w:color w:val="auto"/>
        </w:rPr>
      </w:pPr>
    </w:p>
    <w:p>
      <w:pPr>
        <w:ind w:left="571" w:right="40"/>
        <w:spacing w:after="0" w:line="255" w:lineRule="auto"/>
        <w:rPr>
          <w:sz w:val="20"/>
          <w:szCs w:val="20"/>
          <w:color w:val="auto"/>
        </w:rPr>
      </w:pPr>
      <w:r>
        <w:rPr>
          <w:rFonts w:ascii="Arial" w:cs="Arial" w:eastAsia="Arial" w:hAnsi="Arial"/>
          <w:sz w:val="18"/>
          <w:szCs w:val="18"/>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w:t>
      </w:r>
    </w:p>
    <w:p>
      <w:pPr>
        <w:spacing w:after="0" w:line="257" w:lineRule="exact"/>
        <w:rPr>
          <w:sz w:val="20"/>
          <w:szCs w:val="20"/>
          <w:color w:val="auto"/>
        </w:rPr>
      </w:pPr>
    </w:p>
    <w:p>
      <w:pPr>
        <w:ind w:left="331" w:right="80"/>
        <w:spacing w:after="0" w:line="255" w:lineRule="auto"/>
        <w:rPr>
          <w:sz w:val="20"/>
          <w:szCs w:val="20"/>
          <w:color w:val="auto"/>
        </w:rPr>
      </w:pPr>
      <w:r>
        <w:rPr>
          <w:rFonts w:ascii="Arial" w:cs="Arial" w:eastAsia="Arial" w:hAnsi="Arial"/>
          <w:sz w:val="18"/>
          <w:szCs w:val="18"/>
          <w:color w:val="auto"/>
        </w:rPr>
        <w:t>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149" w:lineRule="exact"/>
        <w:rPr>
          <w:sz w:val="20"/>
          <w:szCs w:val="20"/>
          <w:color w:val="auto"/>
        </w:rPr>
      </w:pPr>
    </w:p>
    <w:p>
      <w:pPr>
        <w:ind w:left="331" w:hanging="331"/>
        <w:spacing w:after="0" w:line="279" w:lineRule="auto"/>
        <w:tabs>
          <w:tab w:leader="none" w:pos="331"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material reduction by the Company in the Grantee’s annualized rate of base salary as in effect on the first to occur of the start of the Performance Period or the start of the Protected Period, or as the same shall be increased from time to time.</w:t>
      </w:r>
    </w:p>
    <w:p>
      <w:pPr>
        <w:spacing w:after="0" w:line="130" w:lineRule="exact"/>
        <w:rPr>
          <w:rFonts w:ascii="Arial" w:cs="Arial" w:eastAsia="Arial" w:hAnsi="Arial"/>
          <w:sz w:val="17"/>
          <w:szCs w:val="17"/>
          <w:color w:val="auto"/>
        </w:rPr>
      </w:pPr>
    </w:p>
    <w:p>
      <w:pPr>
        <w:ind w:left="331" w:right="100" w:hanging="331"/>
        <w:spacing w:after="0" w:line="272" w:lineRule="auto"/>
        <w:tabs>
          <w:tab w:leader="none" w:pos="331"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w:t>
      </w:r>
    </w:p>
    <w:p>
      <w:pPr>
        <w:spacing w:after="0" w:line="20" w:lineRule="exact"/>
        <w:rPr>
          <w:sz w:val="20"/>
          <w:szCs w:val="20"/>
          <w:color w:val="auto"/>
        </w:rPr>
      </w:pPr>
      <w:r>
        <w:rPr>
          <w:sz w:val="20"/>
          <w:szCs w:val="20"/>
          <w:color w:val="auto"/>
        </w:rPr>
        <w:br w:type="column"/>
      </w:r>
    </w:p>
    <w:p>
      <w:pPr>
        <w:ind w:left="320" w:right="100"/>
        <w:spacing w:after="0" w:line="304" w:lineRule="auto"/>
        <w:rPr>
          <w:sz w:val="20"/>
          <w:szCs w:val="20"/>
          <w:color w:val="auto"/>
        </w:rPr>
      </w:pPr>
      <w:r>
        <w:rPr>
          <w:rFonts w:ascii="Arial" w:cs="Arial" w:eastAsia="Arial" w:hAnsi="Arial"/>
          <w:sz w:val="18"/>
          <w:szCs w:val="18"/>
          <w:color w:val="auto"/>
        </w:rPr>
        <w:t>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21" w:lineRule="exact"/>
        <w:rPr>
          <w:sz w:val="20"/>
          <w:szCs w:val="20"/>
          <w:color w:val="auto"/>
        </w:rPr>
      </w:pPr>
    </w:p>
    <w:p>
      <w:pPr>
        <w:ind w:left="320" w:right="20" w:hanging="317"/>
        <w:spacing w:after="0" w:line="289" w:lineRule="auto"/>
        <w:tabs>
          <w:tab w:leader="none" w:pos="3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material reduction in the Grantee’s aggregate level of participation in the Company’s stock- 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26" w:lineRule="exact"/>
        <w:rPr>
          <w:rFonts w:ascii="Arial" w:cs="Arial" w:eastAsia="Arial" w:hAnsi="Arial"/>
          <w:sz w:val="16"/>
          <w:szCs w:val="16"/>
          <w:color w:val="auto"/>
        </w:rPr>
      </w:pPr>
    </w:p>
    <w:p>
      <w:pPr>
        <w:ind w:left="320" w:right="100" w:hanging="317"/>
        <w:spacing w:after="0" w:line="272" w:lineRule="auto"/>
        <w:tabs>
          <w:tab w:leader="none" w:pos="3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w:t>
      </w:r>
    </w:p>
    <w:p>
      <w:pPr>
        <w:spacing w:after="0" w:line="232" w:lineRule="exact"/>
        <w:rPr>
          <w:sz w:val="20"/>
          <w:szCs w:val="20"/>
          <w:color w:val="auto"/>
        </w:rPr>
      </w:pPr>
    </w:p>
    <w:p>
      <w:pPr>
        <w:ind w:left="580" w:right="100"/>
        <w:spacing w:after="0" w:line="277" w:lineRule="auto"/>
        <w:rPr>
          <w:sz w:val="20"/>
          <w:szCs w:val="20"/>
          <w:color w:val="auto"/>
        </w:rPr>
      </w:pPr>
      <w:r>
        <w:rPr>
          <w:rFonts w:ascii="Arial" w:cs="Arial" w:eastAsia="Arial" w:hAnsi="Arial"/>
          <w:sz w:val="18"/>
          <w:szCs w:val="18"/>
          <w:color w:val="auto"/>
        </w:rPr>
        <w:t>pursuant to this clause (v) more than ninety (90) days before such intended effective date.</w:t>
      </w:r>
    </w:p>
    <w:p>
      <w:pPr>
        <w:spacing w:after="0" w:line="13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22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2011 Long- Term Incentive Stock Plan, as it may be amended form time to time.</w:t>
      </w:r>
    </w:p>
    <w:p>
      <w:pPr>
        <w:spacing w:after="0" w:line="121" w:lineRule="exact"/>
        <w:rPr>
          <w:sz w:val="20"/>
          <w:szCs w:val="20"/>
          <w:color w:val="auto"/>
        </w:rPr>
      </w:pPr>
    </w:p>
    <w:p>
      <w:pPr>
        <w:ind w:right="120" w:firstLine="405"/>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Protected Period</w:t>
      </w:r>
      <w:r>
        <w:rPr>
          <w:rFonts w:ascii="Arial" w:cs="Arial" w:eastAsia="Arial" w:hAnsi="Arial"/>
          <w:sz w:val="18"/>
          <w:szCs w:val="18"/>
          <w:color w:val="auto"/>
        </w:rPr>
        <w:t>” corresponding to a Change in Control of the Company shall be a period of time determined in accordance with the following:</w:t>
      </w:r>
    </w:p>
    <w:p>
      <w:pPr>
        <w:spacing w:after="0" w:line="140" w:lineRule="exact"/>
        <w:rPr>
          <w:sz w:val="20"/>
          <w:szCs w:val="20"/>
          <w:color w:val="auto"/>
        </w:rPr>
      </w:pPr>
    </w:p>
    <w:p>
      <w:pPr>
        <w:ind w:left="580" w:right="20" w:hanging="320"/>
        <w:spacing w:after="0" w:line="308" w:lineRule="auto"/>
        <w:tabs>
          <w:tab w:leader="none" w:pos="562"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the Change in Control is triggered by a tender offer for shares of the Company’s stock or by the offeror’s acquisition of shares</w:t>
      </w:r>
    </w:p>
    <w:p>
      <w:pPr>
        <w:sectPr>
          <w:pgSz w:w="11900" w:h="16838" w:orient="portrait"/>
          <w:cols w:equalWidth="0" w:num="2">
            <w:col w:w="5391" w:space="540"/>
            <w:col w:w="5400"/>
          </w:cols>
          <w:pgMar w:left="329" w:top="395" w:right="239" w:bottom="1440" w:gutter="0" w:footer="0" w:header="0"/>
        </w:sectPr>
      </w:pPr>
    </w:p>
    <w:bookmarkStart w:id="102" w:name="page103"/>
    <w:bookmarkEnd w:id="102"/>
    <w:p>
      <w:pPr>
        <w:ind w:left="580"/>
        <w:spacing w:after="0"/>
        <w:rPr>
          <w:sz w:val="20"/>
          <w:szCs w:val="20"/>
          <w:color w:val="auto"/>
        </w:rPr>
      </w:pPr>
      <w:r>
        <w:rPr>
          <w:rFonts w:ascii="Arial" w:cs="Arial" w:eastAsia="Arial" w:hAnsi="Arial"/>
          <w:sz w:val="18"/>
          <w:szCs w:val="18"/>
          <w:color w:val="auto"/>
        </w:rPr>
        <w:t>pursuant to such a tender offer, the Protected Period shall</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commence on the date of the initial tender offer and shall continue</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through and including the date of the Change in Control; provided</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that in no case will the Protected Period commence earlier than the</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date that is six (6) months prior to the Change in Control.</w:t>
      </w:r>
    </w:p>
    <w:p>
      <w:pPr>
        <w:spacing w:after="0" w:line="198" w:lineRule="exact"/>
        <w:rPr>
          <w:sz w:val="20"/>
          <w:szCs w:val="20"/>
          <w:color w:val="auto"/>
        </w:rPr>
      </w:pPr>
    </w:p>
    <w:p>
      <w:pPr>
        <w:ind w:left="600" w:right="4759" w:hanging="334"/>
        <w:spacing w:after="0" w:line="290" w:lineRule="auto"/>
        <w:tabs>
          <w:tab w:leader="none" w:pos="582"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25" w:lineRule="exact"/>
        <w:rPr>
          <w:rFonts w:ascii="Arial" w:cs="Arial" w:eastAsia="Arial" w:hAnsi="Arial"/>
          <w:sz w:val="16"/>
          <w:szCs w:val="16"/>
          <w:color w:val="auto"/>
        </w:rPr>
      </w:pPr>
    </w:p>
    <w:p>
      <w:pPr>
        <w:ind w:left="580" w:hanging="314"/>
        <w:spacing w:after="0"/>
        <w:tabs>
          <w:tab w:leader="none" w:pos="5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 (i) or</w:t>
      </w:r>
    </w:p>
    <w:p>
      <w:pPr>
        <w:spacing w:after="0" w:line="46" w:lineRule="exact"/>
        <w:rPr>
          <w:rFonts w:ascii="Arial" w:cs="Arial" w:eastAsia="Arial" w:hAnsi="Arial"/>
          <w:sz w:val="16"/>
          <w:szCs w:val="16"/>
          <w:color w:val="auto"/>
        </w:rPr>
      </w:pPr>
    </w:p>
    <w:p>
      <w:pPr>
        <w:ind w:left="600" w:right="4779" w:hanging="6"/>
        <w:spacing w:after="0" w:line="302" w:lineRule="auto"/>
        <w:tabs>
          <w:tab w:leader="none" w:pos="865" w:val="left"/>
        </w:tabs>
        <w:numPr>
          <w:ilvl w:val="1"/>
          <w:numId w:val="77"/>
        </w:numPr>
        <w:rPr>
          <w:rFonts w:ascii="Arial" w:cs="Arial" w:eastAsia="Arial" w:hAnsi="Arial"/>
          <w:sz w:val="16"/>
          <w:szCs w:val="16"/>
          <w:color w:val="auto"/>
        </w:rPr>
      </w:pPr>
      <w:r>
        <w:rPr>
          <w:rFonts w:ascii="Arial" w:cs="Arial" w:eastAsia="Arial" w:hAnsi="Arial"/>
          <w:sz w:val="16"/>
          <w:szCs w:val="16"/>
          <w:color w:val="auto"/>
        </w:rPr>
        <w:t>above, the Protected Period shall commence on the date that is six (6) months prior to the Change in Control and shall continue through and include the date of the Change in Control.</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w:t>
      </w:r>
      <w:r>
        <w:rPr>
          <w:rFonts w:ascii="Arial" w:cs="Arial" w:eastAsia="Arial" w:hAnsi="Arial"/>
          <w:sz w:val="17"/>
          <w:szCs w:val="17"/>
          <w:color w:val="auto"/>
        </w:rPr>
        <w:t>” means the person acquiring a Grantee’s rights to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grant under the Plan by will or by the laws of descent or distribution.</w:t>
      </w:r>
    </w:p>
    <w:p>
      <w:pPr>
        <w:sectPr>
          <w:pgSz w:w="11900" w:h="16838" w:orient="portrait"/>
          <w:cols w:equalWidth="0" w:num="1">
            <w:col w:w="10139"/>
          </w:cols>
          <w:pgMar w:left="320" w:top="395"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10(h)(v)</w:t>
      </w:r>
    </w:p>
    <w:p>
      <w:pPr>
        <w:spacing w:after="0" w:line="310" w:lineRule="exact"/>
        <w:rPr>
          <w:sz w:val="20"/>
          <w:szCs w:val="20"/>
          <w:color w:val="auto"/>
        </w:rPr>
      </w:pPr>
    </w:p>
    <w:p>
      <w:pPr>
        <w:jc w:val="center"/>
        <w:ind w:right="96"/>
        <w:spacing w:after="0"/>
        <w:rPr>
          <w:sz w:val="20"/>
          <w:szCs w:val="20"/>
          <w:color w:val="auto"/>
        </w:rPr>
      </w:pPr>
      <w:r>
        <w:rPr>
          <w:rFonts w:ascii="Arial" w:cs="Arial" w:eastAsia="Arial" w:hAnsi="Arial"/>
          <w:sz w:val="32"/>
          <w:szCs w:val="32"/>
          <w:b w:val="1"/>
          <w:bCs w:val="1"/>
          <w:color w:val="auto"/>
        </w:rPr>
        <w:t>NORTHROP GRUMMAN CORPORATION</w:t>
      </w:r>
    </w:p>
    <w:p>
      <w:pPr>
        <w:spacing w:after="0" w:line="48" w:lineRule="exact"/>
        <w:rPr>
          <w:sz w:val="20"/>
          <w:szCs w:val="20"/>
          <w:color w:val="auto"/>
        </w:rPr>
      </w:pPr>
    </w:p>
    <w:p>
      <w:pPr>
        <w:jc w:val="center"/>
        <w:ind w:left="4" w:right="120"/>
        <w:spacing w:after="0" w:line="245" w:lineRule="auto"/>
        <w:rPr>
          <w:sz w:val="20"/>
          <w:szCs w:val="20"/>
          <w:color w:val="auto"/>
        </w:rPr>
      </w:pPr>
      <w:r>
        <w:rPr>
          <w:rFonts w:ascii="Arial" w:cs="Arial" w:eastAsia="Arial" w:hAnsi="Arial"/>
          <w:sz w:val="22"/>
          <w:szCs w:val="22"/>
          <w:b w:val="1"/>
          <w:bCs w:val="1"/>
          <w:color w:val="auto"/>
        </w:rPr>
        <w:t>TERMS AND CONDITIONS APPLICABLE TO 2016 RESTRICTED STOCK RIGHTS GRANTED UNDER THE 2011 LONG-TERM INCENTIVE STOCK PLAN</w:t>
      </w:r>
    </w:p>
    <w:p>
      <w:pPr>
        <w:spacing w:after="0" w:line="214" w:lineRule="exact"/>
        <w:rPr>
          <w:sz w:val="20"/>
          <w:szCs w:val="20"/>
          <w:color w:val="auto"/>
        </w:rPr>
      </w:pPr>
    </w:p>
    <w:p>
      <w:pPr>
        <w:ind w:left="4" w:right="120" w:firstLine="405"/>
        <w:spacing w:after="0" w:line="255" w:lineRule="auto"/>
        <w:rPr>
          <w:sz w:val="20"/>
          <w:szCs w:val="20"/>
          <w:color w:val="auto"/>
        </w:rPr>
      </w:pPr>
      <w:r>
        <w:rPr>
          <w:rFonts w:ascii="Arial" w:cs="Arial" w:eastAsia="Arial" w:hAnsi="Arial"/>
          <w:sz w:val="18"/>
          <w:szCs w:val="18"/>
          <w:color w:val="auto"/>
        </w:rPr>
        <w:t xml:space="preserve">These Terms and Conditions (“Terms”) apply to certain “Restricted Stock Rights” (“RSRs”) granted by Northrop Grumman Corporation (the “Company”) in 2016 under its 2011 Long-Term Incentive Stock Plan. The date of grant of the RSR award (the “Grant Date”) and the number of RSRs applicable to your award are set forth in the letter from the Company announcing your RSR award (your “Grant Letter”) and are also reflected in the electronic stock plan award recordkeeping system (“Stock Plan System”) maintained by the Company or its designee. These Terms apply only with respect to this </w:t>
      </w:r>
      <w:r>
        <w:rPr>
          <w:rFonts w:ascii="Arial" w:cs="Arial" w:eastAsia="Arial" w:hAnsi="Arial"/>
          <w:sz w:val="18"/>
          <w:szCs w:val="18"/>
          <w:b w:val="1"/>
          <w:bCs w:val="1"/>
          <w:color w:val="auto"/>
        </w:rPr>
        <w:t>annual 2016 RSR award</w:t>
      </w:r>
      <w:r>
        <w:rPr>
          <w:rFonts w:ascii="Arial" w:cs="Arial" w:eastAsia="Arial" w:hAnsi="Arial"/>
          <w:sz w:val="18"/>
          <w:szCs w:val="18"/>
          <w:color w:val="auto"/>
        </w:rPr>
        <w:t xml:space="preserve"> identified in your Grant Letter. You are referred to as the “Grantee” with respect to your award. Capitalized terms are generally defined in Section 12 below if not otherwise defined herein.</w:t>
      </w:r>
    </w:p>
    <w:p>
      <w:pPr>
        <w:spacing w:after="0" w:line="153" w:lineRule="exact"/>
        <w:rPr>
          <w:sz w:val="20"/>
          <w:szCs w:val="20"/>
          <w:color w:val="auto"/>
        </w:rPr>
      </w:pPr>
    </w:p>
    <w:p>
      <w:pPr>
        <w:ind w:left="4" w:right="20" w:firstLine="648"/>
        <w:spacing w:after="0" w:line="297" w:lineRule="auto"/>
        <w:rPr>
          <w:sz w:val="20"/>
          <w:szCs w:val="20"/>
          <w:color w:val="auto"/>
        </w:rPr>
      </w:pPr>
      <w:r>
        <w:rPr>
          <w:rFonts w:ascii="Arial" w:cs="Arial" w:eastAsia="Arial" w:hAnsi="Arial"/>
          <w:sz w:val="16"/>
          <w:szCs w:val="16"/>
          <w:color w:val="auto"/>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 conditions set forth in these Terms, and is further subject to all of the terms and conditions of the Plan, as it may be amended from time to time, and any rules adopted by the Committee, as such rules are in effect from time to time. If you do not formally accept your RSR award, including these Terms, in accordance with the instructions and time limit set forth in your Grant Letter, you will be deemed to have forfeited your RSR award.</w:t>
      </w:r>
    </w:p>
    <w:p>
      <w:pPr>
        <w:sectPr>
          <w:pgSz w:w="11900" w:h="16838" w:orient="portrait"/>
          <w:cols w:equalWidth="0" w:num="1">
            <w:col w:w="11304"/>
          </w:cols>
          <w:pgMar w:left="356" w:top="121" w:right="239" w:bottom="1440" w:gutter="0" w:footer="0" w:header="0"/>
        </w:sectPr>
      </w:pPr>
    </w:p>
    <w:p>
      <w:pPr>
        <w:spacing w:after="0" w:line="276" w:lineRule="exact"/>
        <w:rPr>
          <w:sz w:val="20"/>
          <w:szCs w:val="20"/>
          <w:color w:val="auto"/>
        </w:rPr>
      </w:pPr>
    </w:p>
    <w:p>
      <w:pPr>
        <w:ind w:left="384" w:hanging="384"/>
        <w:spacing w:after="0"/>
        <w:tabs>
          <w:tab w:leader="none" w:pos="384"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Issuance of Shares</w:t>
      </w:r>
      <w:r>
        <w:rPr>
          <w:rFonts w:ascii="Arial" w:cs="Arial" w:eastAsia="Arial" w:hAnsi="Arial"/>
          <w:sz w:val="18"/>
          <w:szCs w:val="18"/>
          <w:color w:val="auto"/>
        </w:rPr>
        <w:t>.</w:t>
      </w:r>
    </w:p>
    <w:p>
      <w:pPr>
        <w:spacing w:after="0" w:line="189" w:lineRule="exact"/>
        <w:rPr>
          <w:sz w:val="20"/>
          <w:szCs w:val="20"/>
          <w:color w:val="auto"/>
        </w:rPr>
      </w:pPr>
    </w:p>
    <w:p>
      <w:pPr>
        <w:ind w:left="4" w:right="100" w:firstLine="405"/>
        <w:spacing w:after="0" w:line="293" w:lineRule="auto"/>
        <w:rPr>
          <w:sz w:val="20"/>
          <w:szCs w:val="20"/>
          <w:color w:val="auto"/>
        </w:rPr>
      </w:pPr>
      <w:r>
        <w:rPr>
          <w:rFonts w:ascii="Arial" w:cs="Arial" w:eastAsia="Arial" w:hAnsi="Arial"/>
          <w:sz w:val="16"/>
          <w:szCs w:val="16"/>
          <w:color w:val="auto"/>
        </w:rPr>
        <w:t>Subject to Sections 2 and 6 below, one hundred percent (100%) of the number of RSRs (and any Dividend Equivalents (as defined below)) subject to your award (subject to adjustment as provided in Section 6.1) shall vest upon the second anniversary of the Grant Date, provided that if the second anniversary of the Grant Date falls on a weekend or holiday, then the award shall vest on the next business day.</w:t>
      </w:r>
    </w:p>
    <w:p>
      <w:pPr>
        <w:spacing w:after="0" w:line="120" w:lineRule="exact"/>
        <w:rPr>
          <w:sz w:val="20"/>
          <w:szCs w:val="20"/>
          <w:color w:val="auto"/>
        </w:rPr>
      </w:pPr>
    </w:p>
    <w:p>
      <w:pPr>
        <w:ind w:left="4" w:firstLine="405"/>
        <w:spacing w:after="0" w:line="289"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i w:val="1"/>
          <w:iCs w:val="1"/>
          <w:color w:val="auto"/>
        </w:rPr>
        <w:t>Payment of RSRs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below,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pay an RSR subject to the award that vests (“Vested RSR”) (and related Dividend Equivalents) within 60 days following the vesting of the RSR on the second anniversary of the Grant Date. The Company shall pay such Vested RSRs in either an equivalent number of shares of Common Stock, or, in the discretion of the Committee, in cash or in a combination of shares of Common Stock and cash. In the event of a cash payment, the amount of the payment for each Vested RSR to be paid in cash will equal the Fair Market Value (as defined below) of a share of Common Stock as of the date that such RSR became vested.</w:t>
      </w:r>
    </w:p>
    <w:p>
      <w:pPr>
        <w:spacing w:after="0" w:line="121" w:lineRule="exact"/>
        <w:rPr>
          <w:sz w:val="20"/>
          <w:szCs w:val="20"/>
          <w:color w:val="auto"/>
        </w:rPr>
      </w:pPr>
    </w:p>
    <w:p>
      <w:pPr>
        <w:ind w:left="4" w:right="20" w:firstLine="405"/>
        <w:spacing w:after="0" w:line="272"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Grantee shall be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for Dividend Equivalents (if any) with respect to any Vested RSRs. For purposes of these Terms, “Dividend Equivalents” means the aggregate amount of dividends paid by the Company on a number of shares of Common Stock equivalent to the number of Vested RSRs during the period from the Grant date until the date the Vested RSRs are paid without interest or other adjustments to reflect the time value of money). Dividend Equivalents (if any) will be paid at the same</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10" w:right="760"/>
        <w:spacing w:after="0" w:line="277" w:lineRule="auto"/>
        <w:rPr>
          <w:sz w:val="20"/>
          <w:szCs w:val="20"/>
          <w:color w:val="auto"/>
        </w:rPr>
      </w:pPr>
      <w:r>
        <w:rPr>
          <w:rFonts w:ascii="Arial" w:cs="Arial" w:eastAsia="Arial" w:hAnsi="Arial"/>
          <w:sz w:val="18"/>
          <w:szCs w:val="18"/>
          <w:color w:val="auto"/>
        </w:rPr>
        <w:t>time as the Vested RSRs to which they relate are paid. Dividend Equivalents will be paid in cash.</w:t>
      </w:r>
    </w:p>
    <w:p>
      <w:pPr>
        <w:spacing w:after="0" w:line="139" w:lineRule="exact"/>
        <w:rPr>
          <w:sz w:val="20"/>
          <w:szCs w:val="20"/>
          <w:color w:val="auto"/>
        </w:rPr>
      </w:pPr>
    </w:p>
    <w:p>
      <w:pPr>
        <w:ind w:left="390" w:hanging="390"/>
        <w:spacing w:after="0"/>
        <w:tabs>
          <w:tab w:leader="none" w:pos="39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Early Termination of Award; Termination of Employment</w:t>
      </w:r>
      <w:r>
        <w:rPr>
          <w:rFonts w:ascii="Arial" w:cs="Arial" w:eastAsia="Arial" w:hAnsi="Arial"/>
          <w:sz w:val="18"/>
          <w:szCs w:val="18"/>
          <w:color w:val="auto"/>
        </w:rPr>
        <w:t>.</w:t>
      </w:r>
    </w:p>
    <w:p>
      <w:pPr>
        <w:spacing w:after="0" w:line="171" w:lineRule="exact"/>
        <w:rPr>
          <w:sz w:val="20"/>
          <w:szCs w:val="20"/>
          <w:color w:val="auto"/>
        </w:rPr>
      </w:pPr>
    </w:p>
    <w:p>
      <w:pPr>
        <w:ind w:left="10" w:right="20" w:firstLine="405"/>
        <w:spacing w:after="0" w:line="287"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RSRs (and related Dividend Equivalents)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award, to the extent not previously vested, shall terminate and become null and void if and when (a) the award terminates in connection with a Change in Control pursuant to Section 6 below, or</w:t>
      </w:r>
    </w:p>
    <w:p>
      <w:pPr>
        <w:spacing w:after="0" w:line="3" w:lineRule="exact"/>
        <w:rPr>
          <w:sz w:val="20"/>
          <w:szCs w:val="20"/>
          <w:color w:val="auto"/>
        </w:rPr>
      </w:pPr>
    </w:p>
    <w:p>
      <w:pPr>
        <w:ind w:left="10" w:right="80" w:hanging="10"/>
        <w:spacing w:after="0" w:line="255" w:lineRule="auto"/>
        <w:tabs>
          <w:tab w:leader="none" w:pos="2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as provided in Section 2.6 and in Section 6, the Grantee ceases for any reason to be an employee of the Company or one of its subsidiaries.</w:t>
      </w:r>
    </w:p>
    <w:p>
      <w:pPr>
        <w:spacing w:after="0" w:line="146" w:lineRule="exact"/>
        <w:rPr>
          <w:sz w:val="20"/>
          <w:szCs w:val="20"/>
          <w:color w:val="auto"/>
        </w:rPr>
      </w:pPr>
    </w:p>
    <w:p>
      <w:pPr>
        <w:ind w:left="10" w:right="40" w:firstLine="405"/>
        <w:spacing w:after="0" w:line="289"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i w:val="1"/>
          <w:iCs w:val="1"/>
          <w:color w:val="auto"/>
        </w:rPr>
        <w:t>Leave of Absence</w:t>
      </w:r>
      <w:r>
        <w:rPr>
          <w:rFonts w:ascii="Arial" w:cs="Arial" w:eastAsia="Arial" w:hAnsi="Arial"/>
          <w:sz w:val="16"/>
          <w:szCs w:val="16"/>
          <w:color w:val="auto"/>
        </w:rPr>
        <w:t>. Unless the Committee otherwise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21" w:lineRule="exact"/>
        <w:rPr>
          <w:sz w:val="20"/>
          <w:szCs w:val="20"/>
          <w:color w:val="auto"/>
        </w:rPr>
      </w:pPr>
    </w:p>
    <w:p>
      <w:pPr>
        <w:ind w:left="10" w:right="80" w:firstLine="405"/>
        <w:spacing w:after="0" w:line="258"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i w:val="1"/>
          <w:iCs w:val="1"/>
          <w:color w:val="auto"/>
        </w:rPr>
        <w:t>Salary Continuation</w:t>
      </w:r>
      <w:r>
        <w:rPr>
          <w:rFonts w:ascii="Arial" w:cs="Arial" w:eastAsia="Arial" w:hAnsi="Arial"/>
          <w:sz w:val="18"/>
          <w:szCs w:val="18"/>
          <w:color w:val="auto"/>
        </w:rPr>
        <w:t>. Subject to Section 2.2 above,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as used herein means active employment by the Company and salary continuation without active employment (other than a leave of absence approved by the Company that is covered by Section 2.2) will not, in and of itself,</w:t>
      </w:r>
    </w:p>
    <w:p>
      <w:pPr>
        <w:sectPr>
          <w:pgSz w:w="11900" w:h="16838" w:orient="portrait"/>
          <w:cols w:equalWidth="0" w:num="2">
            <w:col w:w="5364" w:space="570"/>
            <w:col w:w="5370"/>
          </w:cols>
          <w:pgMar w:left="356" w:top="121" w:right="2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color w:val="auto"/>
        </w:rPr>
        <w:t>constitute “employment” for purposes hereof (in the case</w:t>
      </w:r>
    </w:p>
    <w:p>
      <w:pPr>
        <w:spacing w:after="0" w:line="36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of salary continuation without active employment, the Grantee’s cessation of active employee status shall, subject to Section 2.2, be deemed to be a termination of “employment” for purposes hereof). Furthermore, salary continuation will not, in and of itself, constitute a leave of absence approved by the Company for purposes of the award.</w:t>
      </w:r>
    </w:p>
    <w:p>
      <w:pPr>
        <w:spacing w:after="0" w:line="11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i w:val="1"/>
          <w:iCs w:val="1"/>
          <w:color w:val="auto"/>
        </w:rPr>
        <w:t>Sale or Spinoff of Subsidiary or Business Unit</w:t>
      </w:r>
      <w:r>
        <w:rPr>
          <w:rFonts w:ascii="Arial" w:cs="Arial" w:eastAsia="Arial" w:hAnsi="Arial"/>
          <w:sz w:val="16"/>
          <w:szCs w:val="16"/>
          <w:color w:val="auto"/>
        </w:rPr>
        <w:t>. For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RSRs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w:t>
      </w:r>
    </w:p>
    <w:p>
      <w:pPr>
        <w:spacing w:after="0" w:line="119"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b w:val="1"/>
          <w:bCs w:val="1"/>
          <w:i w:val="1"/>
          <w:iCs w:val="1"/>
          <w:color w:val="auto"/>
        </w:rPr>
        <w:t>Continuance of Employment Required</w:t>
      </w:r>
      <w:r>
        <w:rPr>
          <w:rFonts w:ascii="Arial" w:cs="Arial" w:eastAsia="Arial" w:hAnsi="Arial"/>
          <w:sz w:val="17"/>
          <w:szCs w:val="17"/>
          <w:color w:val="auto"/>
        </w:rPr>
        <w:t>. Except as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Section 2.6 and in Section 6, the vesting of the RSRs (and related Dividend Equivalents) subject to the award requires continued employment through the second anniversary of the Grant Date as a condition to the vesting of any portion of the award. Employment for only a portion of the vesting period, even if a substantial portion, will not entitle the Grantee to any proportionate vesting or avoid or mitigate a termination of rights and benefits upon or following a termination of employment. Nothing contained in these Terms,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40"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i w:val="1"/>
          <w:iCs w:val="1"/>
          <w:color w:val="auto"/>
        </w:rPr>
        <w:t>Death or Disability</w:t>
      </w:r>
      <w:r>
        <w:rPr>
          <w:rFonts w:ascii="Arial" w:cs="Arial" w:eastAsia="Arial" w:hAnsi="Arial"/>
          <w:sz w:val="16"/>
          <w:szCs w:val="16"/>
          <w:color w:val="auto"/>
        </w:rPr>
        <w:t>. If the Grantee dies or incurs a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while employed by the Company or a subsidiary and such death or Disability occurs more than six months after the Grant Date, the outstanding and previously unvested RSRs (and related Dividend Equivalents) subject to the award shall vest as of the date of the Grantee’s death or Disability, as applicable. RSRs (and related Dividend Equivalents) vesting under this Section shall be paid within 60 days following the earlier of (a) Grantee’s death or (b) Grantee’s Disability, but in no event later than March 15 of the year following the date of the death or Disability . In the event of the Grantee’s death prior to the delivery of shares or other payment with respect to any vested RSRs (and related Dividend Equivalents), the Grantee’s Successor shall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40" w:right="160"/>
        <w:spacing w:after="0" w:line="258" w:lineRule="auto"/>
        <w:rPr>
          <w:sz w:val="20"/>
          <w:szCs w:val="20"/>
          <w:color w:val="auto"/>
        </w:rPr>
      </w:pPr>
      <w:r>
        <w:rPr>
          <w:rFonts w:ascii="Arial" w:cs="Arial" w:eastAsia="Arial" w:hAnsi="Arial"/>
          <w:sz w:val="18"/>
          <w:szCs w:val="18"/>
          <w:color w:val="auto"/>
        </w:rPr>
        <w:t>entitled to any payments to which the Grantee would have been entitled under these Terms with respect to</w:t>
      </w:r>
    </w:p>
    <w:p>
      <w:pPr>
        <w:spacing w:after="0" w:line="1"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such vested and unpaid RSRs (and related Dividend Equivalents).</w:t>
      </w:r>
    </w:p>
    <w:p>
      <w:pPr>
        <w:spacing w:after="0" w:line="189" w:lineRule="exact"/>
        <w:rPr>
          <w:sz w:val="20"/>
          <w:szCs w:val="20"/>
          <w:color w:val="auto"/>
        </w:rPr>
      </w:pPr>
    </w:p>
    <w:p>
      <w:pPr>
        <w:ind w:left="420" w:hanging="417"/>
        <w:spacing w:after="0"/>
        <w:tabs>
          <w:tab w:leader="none" w:pos="42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185" w:lineRule="exact"/>
        <w:rPr>
          <w:sz w:val="20"/>
          <w:szCs w:val="20"/>
          <w:color w:val="auto"/>
        </w:rPr>
      </w:pPr>
    </w:p>
    <w:p>
      <w:pPr>
        <w:ind w:left="40" w:firstLine="405"/>
        <w:spacing w:after="0" w:line="26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i w:val="1"/>
          <w:iCs w:val="1"/>
          <w:color w:val="auto"/>
        </w:rPr>
        <w:t>Non-Transferability</w:t>
      </w:r>
      <w:r>
        <w:rPr>
          <w:rFonts w:ascii="Arial" w:cs="Arial" w:eastAsia="Arial" w:hAnsi="Arial"/>
          <w:sz w:val="17"/>
          <w:szCs w:val="17"/>
          <w:color w:val="auto"/>
        </w:rPr>
        <w:t>. The award, as well as the RSRs (and</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39" w:lineRule="exact"/>
        <w:rPr>
          <w:sz w:val="20"/>
          <w:szCs w:val="20"/>
          <w:color w:val="auto"/>
        </w:rPr>
      </w:pPr>
    </w:p>
    <w:p>
      <w:pPr>
        <w:ind w:left="40" w:right="60" w:firstLine="405"/>
        <w:spacing w:after="0" w:line="287"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i w:val="1"/>
          <w:iCs w:val="1"/>
          <w:color w:val="auto"/>
        </w:rPr>
        <w:t>Recoupment of Awards</w:t>
      </w:r>
      <w:r>
        <w:rPr>
          <w:rFonts w:ascii="Arial" w:cs="Arial" w:eastAsia="Arial" w:hAnsi="Arial"/>
          <w:sz w:val="16"/>
          <w:szCs w:val="16"/>
          <w:color w:val="auto"/>
        </w:rPr>
        <w:t>. Any payments or issuances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the award are subject to recoupment pursuant to the 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Further,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128" w:lineRule="exact"/>
        <w:rPr>
          <w:sz w:val="20"/>
          <w:szCs w:val="20"/>
          <w:color w:val="auto"/>
        </w:rPr>
      </w:pPr>
    </w:p>
    <w:p>
      <w:pPr>
        <w:ind w:left="320" w:hanging="290"/>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Post-Employment Conduct</w:t>
      </w:r>
      <w:r>
        <w:rPr>
          <w:rFonts w:ascii="Arial" w:cs="Arial" w:eastAsia="Arial" w:hAnsi="Arial"/>
          <w:sz w:val="18"/>
          <w:szCs w:val="18"/>
          <w:color w:val="auto"/>
        </w:rPr>
        <w:t>.</w:t>
      </w:r>
    </w:p>
    <w:p>
      <w:pPr>
        <w:spacing w:after="0" w:line="293" w:lineRule="exact"/>
        <w:rPr>
          <w:sz w:val="20"/>
          <w:szCs w:val="20"/>
          <w:color w:val="auto"/>
        </w:rPr>
      </w:pPr>
    </w:p>
    <w:p>
      <w:pPr>
        <w:ind w:left="40" w:right="20" w:firstLine="405"/>
        <w:spacing w:after="0" w:line="289"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i w:val="1"/>
          <w:iCs w:val="1"/>
          <w:color w:val="auto"/>
        </w:rPr>
        <w:t>Vice President Contribution.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You acknowledge and agree that</w:t>
      </w:r>
      <w:r>
        <w:rPr>
          <w:rFonts w:ascii="Arial" w:cs="Arial" w:eastAsia="Arial" w:hAnsi="Arial"/>
          <w:sz w:val="16"/>
          <w:szCs w:val="16"/>
          <w:b w:val="1"/>
          <w:bCs w:val="1"/>
          <w:color w:val="auto"/>
        </w:rPr>
        <w:t xml:space="preserve"> </w:t>
      </w:r>
      <w:r>
        <w:rPr>
          <w:rFonts w:ascii="Arial" w:cs="Arial" w:eastAsia="Arial" w:hAnsi="Arial"/>
          <w:sz w:val="16"/>
          <w:szCs w:val="16"/>
          <w:color w:val="auto"/>
        </w:rPr>
        <w:t>as a Vice President of the Company, you are involved in managing specific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operations. You occupy one of the most senior executive positions in the Company and</w:t>
      </w:r>
    </w:p>
    <w:p>
      <w:pPr>
        <w:sectPr>
          <w:pgSz w:w="11900" w:h="16838" w:orient="portrait"/>
          <w:cols w:equalWidth="0" w:num="2">
            <w:col w:w="5360" w:space="540"/>
            <w:col w:w="5360"/>
          </w:cols>
          <w:pgMar w:left="360" w:top="368" w:right="279" w:bottom="1440" w:gutter="0" w:footer="0" w:header="0"/>
        </w:sectPr>
      </w:pPr>
    </w:p>
    <w:bookmarkStart w:id="105" w:name="page106"/>
    <w:bookmarkEnd w:id="105"/>
    <w:p>
      <w:pPr>
        <w:ind w:left="4" w:right="80"/>
        <w:spacing w:after="0" w:line="312" w:lineRule="auto"/>
        <w:rPr>
          <w:sz w:val="20"/>
          <w:szCs w:val="20"/>
          <w:color w:val="auto"/>
        </w:rPr>
      </w:pPr>
      <w:r>
        <w:rPr>
          <w:rFonts w:ascii="Arial" w:cs="Arial" w:eastAsia="Arial" w:hAnsi="Arial"/>
          <w:sz w:val="16"/>
          <w:szCs w:val="16"/>
          <w:color w:val="auto"/>
        </w:rPr>
        <w:t>have far-reaching access to highly confidential, valuable and sensitive information, customer, vendor and employee relationships, intellectual property, strategic and tactical plans, and financial information and plans.</w:t>
      </w:r>
    </w:p>
    <w:p>
      <w:pPr>
        <w:spacing w:after="0" w:line="197" w:lineRule="exact"/>
        <w:rPr>
          <w:sz w:val="20"/>
          <w:szCs w:val="20"/>
          <w:color w:val="auto"/>
        </w:rPr>
      </w:pPr>
    </w:p>
    <w:p>
      <w:pPr>
        <w:ind w:left="4" w:right="160" w:firstLine="405"/>
        <w:spacing w:after="0" w:line="286"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color w:val="auto"/>
        </w:rPr>
        <w:t>The Company has a legitimate business interest in restricting</w:t>
      </w:r>
      <w:r>
        <w:rPr>
          <w:rFonts w:ascii="Arial" w:cs="Arial" w:eastAsia="Arial" w:hAnsi="Arial"/>
          <w:sz w:val="16"/>
          <w:szCs w:val="16"/>
          <w:b w:val="1"/>
          <w:bCs w:val="1"/>
          <w:color w:val="auto"/>
        </w:rPr>
        <w:t xml:space="preserve"> </w:t>
      </w:r>
      <w:r>
        <w:rPr>
          <w:rFonts w:ascii="Arial" w:cs="Arial" w:eastAsia="Arial" w:hAnsi="Arial"/>
          <w:sz w:val="16"/>
          <w:szCs w:val="16"/>
          <w:color w:val="auto"/>
        </w:rPr>
        <w:t>your ability to compete in the specific manner set forth below, and the Company has provided you this grant, subject to these Terms and as consideration for the restrictive covenants set forth in this Section 4; provided that the provisions of this Section 4 shall not apply where both</w:t>
      </w:r>
    </w:p>
    <w:p>
      <w:pPr>
        <w:spacing w:after="0" w:line="2" w:lineRule="exact"/>
        <w:rPr>
          <w:sz w:val="20"/>
          <w:szCs w:val="20"/>
          <w:color w:val="auto"/>
        </w:rPr>
      </w:pPr>
    </w:p>
    <w:p>
      <w:pPr>
        <w:ind w:left="4" w:right="160" w:hanging="4"/>
        <w:spacing w:after="0" w:line="261" w:lineRule="auto"/>
        <w:tabs>
          <w:tab w:leader="none" w:pos="219"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provisions are not permitted and (ii) the Delaware choice of law provision is not applied.</w:t>
      </w:r>
    </w:p>
    <w:p>
      <w:pPr>
        <w:spacing w:after="0" w:line="180" w:lineRule="exact"/>
        <w:rPr>
          <w:sz w:val="20"/>
          <w:szCs w:val="20"/>
          <w:color w:val="auto"/>
        </w:rPr>
      </w:pPr>
    </w:p>
    <w:p>
      <w:pPr>
        <w:ind w:left="4" w:firstLine="405"/>
        <w:spacing w:after="0" w:line="287"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i w:val="1"/>
          <w:iCs w:val="1"/>
          <w:color w:val="auto"/>
        </w:rPr>
        <w:t>Non-Competition</w:t>
      </w:r>
      <w:r>
        <w:rPr>
          <w:rFonts w:ascii="Arial" w:cs="Arial" w:eastAsia="Arial" w:hAnsi="Arial"/>
          <w:sz w:val="16"/>
          <w:szCs w:val="16"/>
          <w:color w:val="auto"/>
        </w:rPr>
        <w:t>. For a period of six (6) months from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termination of Grantee’s employment for any reason other than a Reduction-in- Force as determined at the Company’s sole discretion (“Termination”), you will not, directly or indirectly, oversee, control, or participate in the design, operation, research, manufacture, marketing, sale, or distribution of “Competitive Products and Services”. For the purpose of this section, “Competitive Products and Services” shall mean products or services that compete with, or are an alternative or potential alternative to, the products sold or services provided by Northrop Grumman, but only to the extent you had responsibility for, worked with, or had access to confidential, sensitive or proprietary information about such products and services while employed by the Company.</w:t>
      </w:r>
    </w:p>
    <w:p>
      <w:pPr>
        <w:spacing w:after="0" w:line="196" w:lineRule="exact"/>
        <w:rPr>
          <w:sz w:val="20"/>
          <w:szCs w:val="20"/>
          <w:color w:val="auto"/>
        </w:rPr>
      </w:pPr>
    </w:p>
    <w:p>
      <w:pPr>
        <w:ind w:left="4" w:firstLine="405"/>
        <w:spacing w:after="0" w:line="270"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b w:val="1"/>
          <w:bCs w:val="1"/>
          <w:i w:val="1"/>
          <w:iCs w:val="1"/>
          <w:color w:val="auto"/>
        </w:rPr>
        <w:t>Non-Solicitation of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eighteen (18)</w:t>
      </w:r>
      <w:r>
        <w:rPr>
          <w:rFonts w:ascii="Arial" w:cs="Arial" w:eastAsia="Arial" w:hAnsi="Arial"/>
          <w:sz w:val="17"/>
          <w:szCs w:val="17"/>
          <w:b w:val="1"/>
          <w:bCs w:val="1"/>
          <w:color w:val="auto"/>
        </w:rPr>
        <w:t xml:space="preserve"> </w:t>
      </w:r>
      <w:r>
        <w:rPr>
          <w:rFonts w:ascii="Arial" w:cs="Arial" w:eastAsia="Arial" w:hAnsi="Arial"/>
          <w:sz w:val="17"/>
          <w:szCs w:val="17"/>
          <w:color w:val="auto"/>
        </w:rPr>
        <w:t>months from your Termination, you shall not, directly or indirectly, solicit any customer, supplier, or teammate of Northrop Grumman with whom you came into contact, or about whom you received confidential information, while employed by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205" w:lineRule="exact"/>
        <w:rPr>
          <w:sz w:val="20"/>
          <w:szCs w:val="20"/>
          <w:color w:val="auto"/>
        </w:rPr>
      </w:pPr>
    </w:p>
    <w:p>
      <w:pPr>
        <w:ind w:left="4" w:right="40" w:firstLine="405"/>
        <w:spacing w:after="0" w:line="274"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i w:val="1"/>
          <w:iCs w:val="1"/>
          <w:color w:val="auto"/>
        </w:rPr>
        <w:t>Non-Solicitation of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eighteen (18)</w:t>
      </w:r>
      <w:r>
        <w:rPr>
          <w:rFonts w:ascii="Arial" w:cs="Arial" w:eastAsia="Arial" w:hAnsi="Arial"/>
          <w:sz w:val="17"/>
          <w:szCs w:val="17"/>
          <w:b w:val="1"/>
          <w:bCs w:val="1"/>
          <w:color w:val="auto"/>
        </w:rPr>
        <w:t xml:space="preserve"> </w:t>
      </w:r>
      <w:r>
        <w:rPr>
          <w:rFonts w:ascii="Arial" w:cs="Arial" w:eastAsia="Arial" w:hAnsi="Arial"/>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confidential information while employed by Northrop Grumman.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37" w:right="140" w:firstLine="405"/>
        <w:spacing w:after="0" w:line="274"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b w:val="1"/>
          <w:bCs w:val="1"/>
          <w:i w:val="1"/>
          <w:iCs w:val="1"/>
          <w:color w:val="auto"/>
        </w:rPr>
        <w:t>Non-Disparagement.</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not issue or communicate any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formal legal process or government investigation.</w:t>
      </w:r>
    </w:p>
    <w:p>
      <w:pPr>
        <w:spacing w:after="0" w:line="187" w:lineRule="exact"/>
        <w:rPr>
          <w:sz w:val="20"/>
          <w:szCs w:val="20"/>
          <w:color w:val="auto"/>
        </w:rPr>
      </w:pPr>
    </w:p>
    <w:p>
      <w:pPr>
        <w:ind w:left="37" w:right="80" w:firstLine="405"/>
        <w:spacing w:after="0" w:line="303" w:lineRule="auto"/>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b w:val="1"/>
          <w:bCs w:val="1"/>
          <w:i w:val="1"/>
          <w:iCs w:val="1"/>
          <w:color w:val="auto"/>
        </w:rPr>
        <w:t>Exceptions.</w:t>
      </w:r>
      <w:r>
        <w:rPr>
          <w:rFonts w:ascii="Arial" w:cs="Arial" w:eastAsia="Arial" w:hAnsi="Arial"/>
          <w:sz w:val="16"/>
          <w:szCs w:val="16"/>
          <w:b w:val="1"/>
          <w:bCs w:val="1"/>
          <w:color w:val="auto"/>
        </w:rPr>
        <w:t xml:space="preserve"> </w:t>
      </w:r>
      <w:r>
        <w:rPr>
          <w:rFonts w:ascii="Arial" w:cs="Arial" w:eastAsia="Arial" w:hAnsi="Arial"/>
          <w:sz w:val="16"/>
          <w:szCs w:val="16"/>
          <w:color w:val="auto"/>
        </w:rPr>
        <w:t>You may request an exception to the covenants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section by making a written request to the Company’s Chief Human Resources Officer, with such exceptions being considered at the sole discretion of the Company and communicated in writing to you.</w:t>
      </w:r>
    </w:p>
    <w:p>
      <w:pPr>
        <w:spacing w:after="0" w:line="178" w:lineRule="exact"/>
        <w:rPr>
          <w:sz w:val="20"/>
          <w:szCs w:val="20"/>
          <w:color w:val="auto"/>
        </w:rPr>
      </w:pPr>
    </w:p>
    <w:p>
      <w:pPr>
        <w:ind w:left="37" w:firstLine="405"/>
        <w:spacing w:after="0" w:line="287" w:lineRule="auto"/>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i w:val="1"/>
          <w:iCs w:val="1"/>
          <w:color w:val="auto"/>
        </w:rPr>
        <w:t>Reasonableness.</w:t>
      </w:r>
      <w:r>
        <w:rPr>
          <w:rFonts w:ascii="Arial" w:cs="Arial" w:eastAsia="Arial" w:hAnsi="Arial"/>
          <w:sz w:val="16"/>
          <w:szCs w:val="16"/>
          <w:b w:val="1"/>
          <w:bCs w:val="1"/>
          <w:color w:val="auto"/>
        </w:rPr>
        <w:t xml:space="preserve"> </w:t>
      </w:r>
      <w:r>
        <w:rPr>
          <w:rFonts w:ascii="Arial" w:cs="Arial" w:eastAsia="Arial" w:hAnsi="Arial"/>
          <w:sz w:val="16"/>
          <w:szCs w:val="16"/>
          <w:color w:val="auto"/>
        </w:rPr>
        <w:t>You agree that the restrictions set forth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 (iii) that you will be able to earn a livelihood without violating the restrictions in this section. It is the intent of the parties that the provisions of this section shall be enforced to the fullest extent permissible under applicable law. However, if any portion of this covenant is deemed unenforceable, the parties agree that a court or arbitrator may revise the portion deemed unenforceable to the maximum extent possible to achieve the objective of the parties, and the remainder of the covenant shall remain in full force and affect.</w:t>
      </w:r>
    </w:p>
    <w:p>
      <w:pPr>
        <w:spacing w:after="0" w:line="192" w:lineRule="exact"/>
        <w:rPr>
          <w:sz w:val="20"/>
          <w:szCs w:val="20"/>
          <w:color w:val="auto"/>
        </w:rPr>
      </w:pPr>
    </w:p>
    <w:p>
      <w:pPr>
        <w:ind w:left="37" w:right="20" w:firstLine="405"/>
        <w:spacing w:after="0" w:line="287" w:lineRule="auto"/>
        <w:rPr>
          <w:sz w:val="20"/>
          <w:szCs w:val="20"/>
          <w:color w:val="auto"/>
        </w:rPr>
      </w:pPr>
      <w:r>
        <w:rPr>
          <w:rFonts w:ascii="Arial" w:cs="Arial" w:eastAsia="Arial" w:hAnsi="Arial"/>
          <w:sz w:val="16"/>
          <w:szCs w:val="16"/>
          <w:b w:val="1"/>
          <w:bCs w:val="1"/>
          <w:color w:val="auto"/>
        </w:rPr>
        <w:t xml:space="preserve">4.9 </w:t>
      </w:r>
      <w:r>
        <w:rPr>
          <w:rFonts w:ascii="Arial" w:cs="Arial" w:eastAsia="Arial" w:hAnsi="Arial"/>
          <w:sz w:val="16"/>
          <w:szCs w:val="16"/>
          <w:b w:val="1"/>
          <w:bCs w:val="1"/>
          <w:i w:val="1"/>
          <w:iCs w:val="1"/>
          <w:color w:val="auto"/>
        </w:rPr>
        <w:t>Remedies</w:t>
      </w:r>
      <w:r>
        <w:rPr>
          <w:rFonts w:ascii="Arial" w:cs="Arial" w:eastAsia="Arial" w:hAnsi="Arial"/>
          <w:sz w:val="16"/>
          <w:szCs w:val="16"/>
          <w:color w:val="auto"/>
        </w:rPr>
        <w:t>. If you violate any provision in Section 4.3, 4.4, 4.5,</w:t>
      </w:r>
      <w:r>
        <w:rPr>
          <w:rFonts w:ascii="Arial" w:cs="Arial" w:eastAsia="Arial" w:hAnsi="Arial"/>
          <w:sz w:val="16"/>
          <w:szCs w:val="16"/>
          <w:b w:val="1"/>
          <w:bCs w:val="1"/>
          <w:color w:val="auto"/>
        </w:rPr>
        <w:t xml:space="preserve"> </w:t>
      </w:r>
      <w:r>
        <w:rPr>
          <w:rFonts w:ascii="Arial" w:cs="Arial" w:eastAsia="Arial" w:hAnsi="Arial"/>
          <w:sz w:val="16"/>
          <w:szCs w:val="16"/>
          <w:color w:val="auto"/>
        </w:rPr>
        <w:t>and/or 4.6 of this section, the Company shall have the right to terminate without payment to you any unvested and/or unpaid RSRs (and associated Dividend Equivalents) and require that you immediately deliver to the Company an amount in cash equal to the aggregate Fair Market Value, determined as of the vesting and/or payment date of all RSRs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165" w:lineRule="exact"/>
        <w:rPr>
          <w:sz w:val="20"/>
          <w:szCs w:val="20"/>
          <w:color w:val="auto"/>
        </w:rPr>
      </w:pPr>
    </w:p>
    <w:p>
      <w:pPr>
        <w:ind w:left="417" w:right="720" w:hanging="417"/>
        <w:spacing w:after="0" w:line="266" w:lineRule="auto"/>
        <w:tabs>
          <w:tab w:leader="none" w:pos="417"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Laws; No Stockholder Rights Prior to Issuance</w:t>
      </w:r>
      <w:r>
        <w:rPr>
          <w:rFonts w:ascii="Arial" w:cs="Arial" w:eastAsia="Arial" w:hAnsi="Arial"/>
          <w:sz w:val="18"/>
          <w:szCs w:val="18"/>
          <w:color w:val="auto"/>
        </w:rPr>
        <w:t>.</w:t>
      </w:r>
    </w:p>
    <w:p>
      <w:pPr>
        <w:sectPr>
          <w:pgSz w:w="11900" w:h="16838" w:orient="portrait"/>
          <w:cols w:equalWidth="0" w:num="2">
            <w:col w:w="5364" w:space="543"/>
            <w:col w:w="5397"/>
          </w:cols>
          <w:pgMar w:left="356" w:top="368" w:right="239" w:bottom="1440" w:gutter="0" w:footer="0" w:header="0"/>
        </w:sectPr>
      </w:pPr>
    </w:p>
    <w:bookmarkStart w:id="106" w:name="page107"/>
    <w:bookmarkEnd w:id="106"/>
    <w:p>
      <w:pPr>
        <w:spacing w:after="0" w:line="176" w:lineRule="exact"/>
        <w:rPr>
          <w:sz w:val="20"/>
          <w:szCs w:val="20"/>
          <w:color w:val="auto"/>
        </w:rPr>
      </w:pPr>
    </w:p>
    <w:p>
      <w:pPr>
        <w:ind w:left="31" w:firstLine="405"/>
        <w:spacing w:after="0" w:line="271" w:lineRule="auto"/>
        <w:rPr>
          <w:sz w:val="20"/>
          <w:szCs w:val="20"/>
          <w:color w:val="auto"/>
        </w:rPr>
      </w:pPr>
      <w:r>
        <w:rPr>
          <w:rFonts w:ascii="Arial" w:cs="Arial" w:eastAsia="Arial" w:hAnsi="Arial"/>
          <w:sz w:val="17"/>
          <w:szCs w:val="17"/>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these Terms</w:t>
      </w:r>
    </w:p>
    <w:p>
      <w:pPr>
        <w:spacing w:after="0" w:line="247" w:lineRule="exact"/>
        <w:rPr>
          <w:sz w:val="20"/>
          <w:szCs w:val="20"/>
          <w:color w:val="auto"/>
        </w:rPr>
      </w:pPr>
    </w:p>
    <w:p>
      <w:pPr>
        <w:ind w:left="31" w:right="80"/>
        <w:spacing w:after="0" w:line="297" w:lineRule="auto"/>
        <w:rPr>
          <w:sz w:val="20"/>
          <w:szCs w:val="20"/>
          <w:color w:val="auto"/>
        </w:rPr>
      </w:pPr>
      <w:r>
        <w:rPr>
          <w:rFonts w:ascii="Arial" w:cs="Arial" w:eastAsia="Arial" w:hAnsi="Arial"/>
          <w:sz w:val="16"/>
          <w:szCs w:val="16"/>
          <w:color w:val="auto"/>
        </w:rPr>
        <w:t>with respect to Dividend Equivalents), with respect to any shares which may be issued in respect of the RSRs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14" w:lineRule="exact"/>
        <w:rPr>
          <w:sz w:val="20"/>
          <w:szCs w:val="20"/>
          <w:color w:val="auto"/>
        </w:rPr>
      </w:pPr>
    </w:p>
    <w:p>
      <w:pPr>
        <w:ind w:left="411" w:hanging="411"/>
        <w:spacing w:after="0"/>
        <w:tabs>
          <w:tab w:leader="none" w:pos="411"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189" w:lineRule="exact"/>
        <w:rPr>
          <w:sz w:val="20"/>
          <w:szCs w:val="20"/>
          <w:color w:val="auto"/>
        </w:rPr>
      </w:pPr>
    </w:p>
    <w:p>
      <w:pPr>
        <w:ind w:left="31" w:right="160" w:firstLine="405"/>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RSRs and the shares subject to the award are subject to adjustment upon the occurrence of events such as stock splits, stock dividends and other changes in capitalization in accordance with Section 6(a) of the Plan.</w:t>
      </w:r>
    </w:p>
    <w:p>
      <w:pPr>
        <w:spacing w:after="0" w:line="146" w:lineRule="exact"/>
        <w:rPr>
          <w:sz w:val="20"/>
          <w:szCs w:val="20"/>
          <w:color w:val="auto"/>
        </w:rPr>
      </w:pPr>
    </w:p>
    <w:p>
      <w:pPr>
        <w:ind w:left="31" w:right="40" w:firstLine="405"/>
        <w:spacing w:after="0" w:line="28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i w:val="1"/>
          <w:iCs w:val="1"/>
          <w:color w:val="auto"/>
        </w:rPr>
        <w:t>Possible Acceleration on Change in Control</w:t>
      </w:r>
      <w:r>
        <w:rPr>
          <w:rFonts w:ascii="Arial" w:cs="Arial" w:eastAsia="Arial" w:hAnsi="Arial"/>
          <w:sz w:val="16"/>
          <w:szCs w:val="16"/>
          <w:color w:val="auto"/>
        </w:rPr>
        <w:t>. Notwithstanding the provisions of Section 2 hereof, and further subject to the Company’s ability to terminate the award as provided in Section 6.3 below, the outstanding and previously unvested RSRs (and related Dividend Equivalents) subject to the award shall become fully vested as of the date of the Grantee’s termination of employment if the termination occurs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 and its subsidiaries for reasons other than Cause or by the Grantee for Good Reason.</w:t>
      </w:r>
    </w:p>
    <w:p>
      <w:pPr>
        <w:spacing w:after="0" w:line="128" w:lineRule="exact"/>
        <w:rPr>
          <w:sz w:val="20"/>
          <w:szCs w:val="20"/>
          <w:color w:val="auto"/>
        </w:rPr>
      </w:pPr>
    </w:p>
    <w:p>
      <w:pPr>
        <w:ind w:left="31" w:firstLine="405"/>
        <w:spacing w:after="0" w:line="289" w:lineRule="auto"/>
        <w:rPr>
          <w:sz w:val="20"/>
          <w:szCs w:val="20"/>
          <w:color w:val="auto"/>
        </w:rPr>
      </w:pPr>
      <w:r>
        <w:rPr>
          <w:rFonts w:ascii="Arial" w:cs="Arial" w:eastAsia="Arial" w:hAnsi="Arial"/>
          <w:sz w:val="16"/>
          <w:szCs w:val="16"/>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20" w:lineRule="exact"/>
        <w:rPr>
          <w:sz w:val="20"/>
          <w:szCs w:val="20"/>
          <w:color w:val="auto"/>
        </w:rPr>
      </w:pPr>
      <w:r>
        <w:rPr>
          <w:sz w:val="20"/>
          <w:szCs w:val="20"/>
          <w:color w:val="auto"/>
        </w:rPr>
        <w:br w:type="column"/>
      </w:r>
    </w:p>
    <w:p>
      <w:pPr>
        <w:ind w:left="10" w:right="140" w:firstLine="405"/>
        <w:spacing w:after="0" w:line="279" w:lineRule="auto"/>
        <w:rPr>
          <w:sz w:val="20"/>
          <w:szCs w:val="20"/>
          <w:color w:val="auto"/>
        </w:rPr>
      </w:pPr>
      <w:r>
        <w:rPr>
          <w:rFonts w:ascii="Arial" w:cs="Arial" w:eastAsia="Arial" w:hAnsi="Arial"/>
          <w:sz w:val="17"/>
          <w:szCs w:val="17"/>
          <w:color w:val="auto"/>
        </w:rPr>
        <w:t>Payment of any RSRs (and related Dividend Equivalents) that vest under this Section will be made within 60 days of the Grantee’s termination of employment, but in no event later than March 15 of the year following the Grantee’s date of termination of employment.</w:t>
      </w:r>
    </w:p>
    <w:p>
      <w:pPr>
        <w:spacing w:after="0" w:line="131" w:lineRule="exact"/>
        <w:rPr>
          <w:sz w:val="20"/>
          <w:szCs w:val="20"/>
          <w:color w:val="auto"/>
        </w:rPr>
      </w:pPr>
    </w:p>
    <w:p>
      <w:pPr>
        <w:ind w:left="10" w:right="40" w:firstLine="405"/>
        <w:spacing w:after="0" w:line="26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b w:val="1"/>
          <w:bCs w:val="1"/>
          <w:i w:val="1"/>
          <w:iCs w:val="1"/>
          <w:color w:val="auto"/>
        </w:rPr>
        <w:t>Automatic Acceleration; Early Termination</w:t>
      </w:r>
      <w:r>
        <w:rPr>
          <w:rFonts w:ascii="Arial" w:cs="Arial" w:eastAsia="Arial" w:hAnsi="Arial"/>
          <w:sz w:val="17"/>
          <w:szCs w:val="17"/>
          <w:color w:val="auto"/>
        </w:rPr>
        <w:t>. If the Company 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w:t>
      </w:r>
    </w:p>
    <w:p>
      <w:pPr>
        <w:spacing w:after="0" w:line="1" w:lineRule="exact"/>
        <w:rPr>
          <w:sz w:val="20"/>
          <w:szCs w:val="20"/>
          <w:color w:val="auto"/>
        </w:rPr>
      </w:pPr>
    </w:p>
    <w:p>
      <w:pPr>
        <w:ind w:left="10"/>
        <w:spacing w:after="0" w:line="283" w:lineRule="auto"/>
        <w:rPr>
          <w:sz w:val="20"/>
          <w:szCs w:val="20"/>
          <w:color w:val="auto"/>
        </w:rPr>
      </w:pPr>
      <w:r>
        <w:rPr>
          <w:rFonts w:ascii="Arial" w:cs="Arial" w:eastAsia="Arial" w:hAnsi="Arial"/>
          <w:sz w:val="16"/>
          <w:szCs w:val="16"/>
          <w:color w:val="auto"/>
        </w:rPr>
        <w:t>Change in Control, or if for any other reason the award would not continue after the Change in Control, then upon the Change in Control the outstanding and previously unvested RSRs (and related Dividend Equivalents) subject to the award shall vest fully and completely. Unless the Committee expressly provides otherwise in the circumstances, no acceleration of vesting of the award shall occur pursuant to this Section 6.3 in connection with a Change in Control if either (a) the Company is the surviving entity, or (b) the successor to the Company (if any) (or a Parent thereof) agrees in writing prior to the Change in Control to assume the award. The award shall terminate, subject to such acceleration provisions, upon a Change in Control triggered by clause (iii) or (iv) of the definition thereof in which the Company is not the surviving entity and the successor to the Company (if any) (or a Parent thereof) does not agree in writing prior to the occurrence of the Change in Control to continue and assume the award following the Change in Control.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w:t>
      </w:r>
    </w:p>
    <w:p>
      <w:pPr>
        <w:spacing w:after="0" w:line="358" w:lineRule="exact"/>
        <w:rPr>
          <w:sz w:val="20"/>
          <w:szCs w:val="20"/>
          <w:color w:val="auto"/>
        </w:rPr>
      </w:pPr>
    </w:p>
    <w:p>
      <w:pPr>
        <w:ind w:left="10" w:right="140" w:firstLine="405"/>
        <w:spacing w:after="0" w:line="259" w:lineRule="auto"/>
        <w:rPr>
          <w:sz w:val="20"/>
          <w:szCs w:val="20"/>
          <w:color w:val="auto"/>
        </w:rPr>
      </w:pPr>
      <w:r>
        <w:rPr>
          <w:rFonts w:ascii="Arial" w:cs="Arial" w:eastAsia="Arial" w:hAnsi="Arial"/>
          <w:sz w:val="18"/>
          <w:szCs w:val="18"/>
          <w:color w:val="auto"/>
        </w:rPr>
        <w:t>Payment of any RSRs (and related Dividend Equivalents) that vest under this Section 6.3 will be made within 60 days of the Change of Control, but in no event later than March 15 of the year following the Change in Control.</w:t>
      </w:r>
    </w:p>
    <w:p>
      <w:pPr>
        <w:spacing w:after="0" w:line="142" w:lineRule="exact"/>
        <w:rPr>
          <w:sz w:val="20"/>
          <w:szCs w:val="20"/>
          <w:color w:val="auto"/>
        </w:rPr>
      </w:pPr>
    </w:p>
    <w:p>
      <w:pPr>
        <w:ind w:left="390" w:hanging="390"/>
        <w:spacing w:after="0"/>
        <w:tabs>
          <w:tab w:leader="none" w:pos="39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80" w:lineRule="exact"/>
        <w:rPr>
          <w:sz w:val="20"/>
          <w:szCs w:val="20"/>
          <w:color w:val="auto"/>
        </w:rPr>
      </w:pPr>
    </w:p>
    <w:p>
      <w:pPr>
        <w:ind w:left="10" w:right="20" w:firstLine="405"/>
        <w:spacing w:after="0" w:line="264" w:lineRule="auto"/>
        <w:rPr>
          <w:sz w:val="20"/>
          <w:szCs w:val="20"/>
          <w:color w:val="auto"/>
        </w:rPr>
      </w:pPr>
      <w:r>
        <w:rPr>
          <w:rFonts w:ascii="Arial" w:cs="Arial" w:eastAsia="Arial" w:hAnsi="Arial"/>
          <w:sz w:val="20"/>
          <w:szCs w:val="20"/>
          <w:b w:val="1"/>
          <w:bCs w:val="1"/>
          <w:color w:val="auto"/>
        </w:rPr>
        <w:t xml:space="preserve">7.1. </w:t>
      </w:r>
      <w:r>
        <w:rPr>
          <w:rFonts w:ascii="Arial" w:cs="Arial" w:eastAsia="Arial" w:hAnsi="Arial"/>
          <w:sz w:val="18"/>
          <w:szCs w:val="18"/>
          <w:b w:val="1"/>
          <w:bCs w:val="1"/>
          <w:i w:val="1"/>
          <w:iCs w:val="1"/>
          <w:color w:val="auto"/>
        </w:rPr>
        <w:t>Tax Withholding</w:t>
      </w:r>
      <w:r>
        <w:rPr>
          <w:rFonts w:ascii="Arial" w:cs="Arial" w:eastAsia="Arial" w:hAnsi="Arial"/>
          <w:sz w:val="18"/>
          <w:szCs w:val="18"/>
          <w:color w:val="auto"/>
        </w:rPr>
        <w:t>. The Company or the subsidiary which</w:t>
      </w:r>
      <w:r>
        <w:rPr>
          <w:rFonts w:ascii="Arial" w:cs="Arial" w:eastAsia="Arial" w:hAnsi="Arial"/>
          <w:sz w:val="20"/>
          <w:szCs w:val="20"/>
          <w:b w:val="1"/>
          <w:bCs w:val="1"/>
          <w:color w:val="auto"/>
        </w:rPr>
        <w:t xml:space="preserve"> </w:t>
      </w:r>
      <w:r>
        <w:rPr>
          <w:rFonts w:ascii="Arial" w:cs="Arial" w:eastAsia="Arial" w:hAnsi="Arial"/>
          <w:sz w:val="18"/>
          <w:szCs w:val="18"/>
          <w:color w:val="auto"/>
        </w:rPr>
        <w:t>employs the Grantee shall be entitled to require, as a condition of making any payments or issuing any shares upon vesting of the RSRs (and related Dividend Equivalents), that the Grantee or other person entitled to such shares or other payment pay the</w:t>
      </w:r>
    </w:p>
    <w:p>
      <w:pPr>
        <w:sectPr>
          <w:pgSz w:w="11900" w:h="16838" w:orient="portrait"/>
          <w:cols w:equalWidth="0" w:num="2">
            <w:col w:w="5371" w:space="590"/>
            <w:col w:w="5350"/>
          </w:cols>
          <w:pgMar w:left="329" w:top="368" w:right="259" w:bottom="1440" w:gutter="0" w:footer="0" w:header="0"/>
        </w:sectPr>
      </w:pPr>
    </w:p>
    <w:bookmarkStart w:id="107" w:name="page108"/>
    <w:bookmarkEnd w:id="107"/>
    <w:p>
      <w:pPr>
        <w:ind w:right="20"/>
        <w:spacing w:after="0" w:line="270" w:lineRule="auto"/>
        <w:rPr>
          <w:sz w:val="20"/>
          <w:szCs w:val="20"/>
          <w:color w:val="auto"/>
        </w:rPr>
      </w:pPr>
      <w:r>
        <w:rPr>
          <w:rFonts w:ascii="Arial" w:cs="Arial" w:eastAsia="Arial" w:hAnsi="Arial"/>
          <w:sz w:val="17"/>
          <w:szCs w:val="17"/>
          <w:color w:val="auto"/>
        </w:rPr>
        <w:t>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33" w:lineRule="exact"/>
        <w:rPr>
          <w:sz w:val="20"/>
          <w:szCs w:val="20"/>
          <w:color w:val="auto"/>
        </w:rPr>
      </w:pPr>
    </w:p>
    <w:p>
      <w:pPr>
        <w:ind w:right="180" w:firstLine="405"/>
        <w:spacing w:after="0" w:line="262" w:lineRule="auto"/>
        <w:rPr>
          <w:sz w:val="20"/>
          <w:szCs w:val="20"/>
          <w:color w:val="auto"/>
        </w:rPr>
      </w:pPr>
      <w:r>
        <w:rPr>
          <w:rFonts w:ascii="Arial" w:cs="Arial" w:eastAsia="Arial" w:hAnsi="Arial"/>
          <w:sz w:val="20"/>
          <w:szCs w:val="20"/>
          <w:b w:val="1"/>
          <w:bCs w:val="1"/>
          <w:color w:val="auto"/>
        </w:rPr>
        <w:t xml:space="preserve">7.2. </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The Company will pay all federal and state</w:t>
      </w:r>
      <w:r>
        <w:rPr>
          <w:rFonts w:ascii="Arial" w:cs="Arial" w:eastAsia="Arial" w:hAnsi="Arial"/>
          <w:sz w:val="20"/>
          <w:szCs w:val="20"/>
          <w:b w:val="1"/>
          <w:bCs w:val="1"/>
          <w:color w:val="auto"/>
        </w:rPr>
        <w:t xml:space="preserve"> </w:t>
      </w:r>
      <w:r>
        <w:rPr>
          <w:rFonts w:ascii="Arial" w:cs="Arial" w:eastAsia="Arial" w:hAnsi="Arial"/>
          <w:sz w:val="18"/>
          <w:szCs w:val="18"/>
          <w:color w:val="auto"/>
        </w:rPr>
        <w:t>transfer taxes, if any, and other fees and</w:t>
      </w:r>
    </w:p>
    <w:p>
      <w:pPr>
        <w:spacing w:after="0" w:line="23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expenses in connection with the issuance of shares in connection with the vesting of the RSRs.</w:t>
      </w:r>
    </w:p>
    <w:p>
      <w:pPr>
        <w:spacing w:after="0" w:line="121" w:lineRule="exact"/>
        <w:rPr>
          <w:sz w:val="20"/>
          <w:szCs w:val="20"/>
          <w:color w:val="auto"/>
        </w:rPr>
      </w:pPr>
    </w:p>
    <w:p>
      <w:pPr>
        <w:ind w:firstLine="405"/>
        <w:spacing w:after="0" w:line="264" w:lineRule="auto"/>
        <w:rPr>
          <w:sz w:val="20"/>
          <w:szCs w:val="20"/>
          <w:color w:val="auto"/>
        </w:rPr>
      </w:pPr>
      <w:r>
        <w:rPr>
          <w:rFonts w:ascii="Arial" w:cs="Arial" w:eastAsia="Arial" w:hAnsi="Arial"/>
          <w:sz w:val="20"/>
          <w:szCs w:val="20"/>
          <w:b w:val="1"/>
          <w:bCs w:val="1"/>
          <w:color w:val="auto"/>
        </w:rPr>
        <w:t xml:space="preserve">7.3. </w:t>
      </w:r>
      <w:r>
        <w:rPr>
          <w:rFonts w:ascii="Arial" w:cs="Arial" w:eastAsia="Arial" w:hAnsi="Arial"/>
          <w:sz w:val="18"/>
          <w:szCs w:val="18"/>
          <w:b w:val="1"/>
          <w:bCs w:val="1"/>
          <w:i w:val="1"/>
          <w:iCs w:val="1"/>
          <w:color w:val="auto"/>
        </w:rPr>
        <w:t>Compliance with Code</w:t>
      </w:r>
      <w:r>
        <w:rPr>
          <w:rFonts w:ascii="Arial" w:cs="Arial" w:eastAsia="Arial" w:hAnsi="Arial"/>
          <w:sz w:val="18"/>
          <w:szCs w:val="18"/>
          <w:color w:val="auto"/>
        </w:rPr>
        <w:t>. These Terms are designed to be</w:t>
      </w:r>
      <w:r>
        <w:rPr>
          <w:rFonts w:ascii="Arial" w:cs="Arial" w:eastAsia="Arial" w:hAnsi="Arial"/>
          <w:sz w:val="20"/>
          <w:szCs w:val="20"/>
          <w:b w:val="1"/>
          <w:bCs w:val="1"/>
          <w:color w:val="auto"/>
        </w:rPr>
        <w:t xml:space="preserve"> </w:t>
      </w:r>
      <w:r>
        <w:rPr>
          <w:rFonts w:ascii="Arial" w:cs="Arial" w:eastAsia="Arial" w:hAnsi="Arial"/>
          <w:sz w:val="18"/>
          <w:szCs w:val="18"/>
          <w:color w:val="auto"/>
        </w:rPr>
        <w:t>exempt from Code Section 409A, and the Committee shall administer and construe the award, and may amend the Terms of the award, in such a way as to be exempt from and to avoid adverse tax consequences under Code Section 409A.</w:t>
      </w:r>
    </w:p>
    <w:p>
      <w:pPr>
        <w:spacing w:after="0" w:line="135"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20"/>
          <w:szCs w:val="20"/>
          <w:b w:val="1"/>
          <w:bCs w:val="1"/>
          <w:color w:val="auto"/>
        </w:rPr>
        <w:t xml:space="preserve">7.4. </w:t>
      </w:r>
      <w:r>
        <w:rPr>
          <w:rFonts w:ascii="Arial" w:cs="Arial" w:eastAsia="Arial" w:hAnsi="Arial"/>
          <w:sz w:val="18"/>
          <w:szCs w:val="18"/>
          <w:b w:val="1"/>
          <w:bCs w:val="1"/>
          <w:i w:val="1"/>
          <w:iCs w:val="1"/>
          <w:color w:val="auto"/>
        </w:rPr>
        <w:t>Unfunded Arrangement</w:t>
      </w:r>
      <w:r>
        <w:rPr>
          <w:rFonts w:ascii="Arial" w:cs="Arial" w:eastAsia="Arial" w:hAnsi="Arial"/>
          <w:sz w:val="18"/>
          <w:szCs w:val="18"/>
          <w:color w:val="auto"/>
        </w:rPr>
        <w:t>. The right of the Grantee to receive</w:t>
      </w:r>
      <w:r>
        <w:rPr>
          <w:rFonts w:ascii="Arial" w:cs="Arial" w:eastAsia="Arial" w:hAnsi="Arial"/>
          <w:sz w:val="20"/>
          <w:szCs w:val="20"/>
          <w:b w:val="1"/>
          <w:bCs w:val="1"/>
          <w:color w:val="auto"/>
        </w:rPr>
        <w:t xml:space="preserve"> </w:t>
      </w:r>
      <w:r>
        <w:rPr>
          <w:rFonts w:ascii="Arial" w:cs="Arial" w:eastAsia="Arial" w:hAnsi="Arial"/>
          <w:sz w:val="18"/>
          <w:szCs w:val="18"/>
          <w:color w:val="auto"/>
        </w:rPr>
        <w:t>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36" w:lineRule="exact"/>
        <w:rPr>
          <w:sz w:val="20"/>
          <w:szCs w:val="20"/>
          <w:color w:val="auto"/>
        </w:rPr>
      </w:pPr>
    </w:p>
    <w:p>
      <w:pPr>
        <w:ind w:right="20" w:firstLine="405"/>
        <w:spacing w:after="0" w:line="302"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6"/>
          <w:szCs w:val="16"/>
          <w:b w:val="1"/>
          <w:bCs w:val="1"/>
          <w:i w:val="1"/>
          <w:iCs w:val="1"/>
          <w:color w:val="auto"/>
        </w:rPr>
        <w:t>Code Section 280G</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Notwithstanding any other provision of</w:t>
      </w:r>
      <w:r>
        <w:rPr>
          <w:rFonts w:ascii="Arial" w:cs="Arial" w:eastAsia="Arial" w:hAnsi="Arial"/>
          <w:sz w:val="18"/>
          <w:szCs w:val="18"/>
          <w:b w:val="1"/>
          <w:bCs w:val="1"/>
          <w:color w:val="auto"/>
        </w:rPr>
        <w:t xml:space="preserve"> </w:t>
      </w:r>
      <w:r>
        <w:rPr>
          <w:rFonts w:ascii="Arial" w:cs="Arial" w:eastAsia="Arial" w:hAnsi="Arial"/>
          <w:sz w:val="16"/>
          <w:szCs w:val="16"/>
          <w:color w:val="auto"/>
        </w:rPr>
        <w:t>this Agreement to the contrary, in the event that any amounts payable to you as a result of Section 6.2 or 6.3 hereof,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w:t>
      </w:r>
    </w:p>
    <w:p>
      <w:pPr>
        <w:spacing w:after="0" w:line="20" w:lineRule="exact"/>
        <w:rPr>
          <w:sz w:val="20"/>
          <w:szCs w:val="20"/>
          <w:color w:val="auto"/>
        </w:rPr>
      </w:pPr>
      <w:r>
        <w:rPr>
          <w:sz w:val="20"/>
          <w:szCs w:val="20"/>
          <w:color w:val="auto"/>
        </w:rPr>
        <w:br w:type="column"/>
      </w:r>
    </w:p>
    <w:p>
      <w:pPr>
        <w:ind w:left="37" w:right="120"/>
        <w:spacing w:after="0" w:line="284" w:lineRule="auto"/>
        <w:rPr>
          <w:sz w:val="20"/>
          <w:szCs w:val="20"/>
          <w:color w:val="auto"/>
        </w:rPr>
      </w:pPr>
      <w:r>
        <w:rPr>
          <w:rFonts w:ascii="Arial" w:cs="Arial" w:eastAsia="Arial" w:hAnsi="Arial"/>
          <w:sz w:val="16"/>
          <w:szCs w:val="16"/>
          <w:color w:val="auto"/>
        </w:rPr>
        <w:t>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w:t>
      </w:r>
    </w:p>
    <w:p>
      <w:pPr>
        <w:spacing w:after="0" w:line="5" w:lineRule="exact"/>
        <w:rPr>
          <w:sz w:val="20"/>
          <w:szCs w:val="20"/>
          <w:color w:val="auto"/>
        </w:rPr>
      </w:pPr>
    </w:p>
    <w:p>
      <w:pPr>
        <w:ind w:left="37"/>
        <w:spacing w:after="0" w:line="253" w:lineRule="auto"/>
        <w:rPr>
          <w:sz w:val="20"/>
          <w:szCs w:val="20"/>
          <w:color w:val="auto"/>
        </w:rPr>
      </w:pPr>
      <w:r>
        <w:rPr>
          <w:rFonts w:ascii="Arial" w:cs="Arial" w:eastAsia="Arial" w:hAnsi="Arial"/>
          <w:sz w:val="18"/>
          <w:szCs w:val="18"/>
          <w:color w:val="auto"/>
        </w:rPr>
        <w:t>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39" w:lineRule="exact"/>
        <w:rPr>
          <w:sz w:val="20"/>
          <w:szCs w:val="20"/>
          <w:color w:val="auto"/>
        </w:rPr>
      </w:pPr>
    </w:p>
    <w:p>
      <w:pPr>
        <w:ind w:left="417" w:hanging="417"/>
        <w:spacing w:after="0"/>
        <w:tabs>
          <w:tab w:leader="none" w:pos="417"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Arbitration</w:t>
      </w:r>
    </w:p>
    <w:p>
      <w:pPr>
        <w:spacing w:after="0" w:line="189" w:lineRule="exact"/>
        <w:rPr>
          <w:sz w:val="20"/>
          <w:szCs w:val="20"/>
          <w:color w:val="auto"/>
        </w:rPr>
      </w:pPr>
    </w:p>
    <w:p>
      <w:pPr>
        <w:ind w:left="37" w:firstLine="392"/>
        <w:spacing w:after="0" w:line="267" w:lineRule="auto"/>
        <w:rPr>
          <w:sz w:val="20"/>
          <w:szCs w:val="20"/>
          <w:color w:val="auto"/>
        </w:rPr>
      </w:pPr>
      <w:r>
        <w:rPr>
          <w:rFonts w:ascii="Arial" w:cs="Arial" w:eastAsia="Arial" w:hAnsi="Arial"/>
          <w:sz w:val="17"/>
          <w:szCs w:val="17"/>
          <w:color w:val="auto"/>
        </w:rPr>
        <w:t>This agreement shall be governed by the laws of the State of Delaware. Any cause of action or claim arising out of or related to the terms and conditions applicable to this grant will be determined through final and binding arbitration, in accordance with Northrop Grumman Corporate Procedure H103A,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these terms, before arbitration is commenced or concluded, either party may seek injunctive or other provisional equitable relief from a state or federal court in the Commonwealth of Virginia. All court actions or proceedings arising under these terms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47" w:lineRule="exact"/>
        <w:rPr>
          <w:sz w:val="20"/>
          <w:szCs w:val="20"/>
          <w:color w:val="auto"/>
        </w:rPr>
      </w:pPr>
    </w:p>
    <w:p>
      <w:pPr>
        <w:ind w:left="417" w:hanging="417"/>
        <w:spacing w:after="0"/>
        <w:tabs>
          <w:tab w:leader="none" w:pos="417"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189" w:lineRule="exact"/>
        <w:rPr>
          <w:sz w:val="20"/>
          <w:szCs w:val="20"/>
          <w:color w:val="auto"/>
        </w:rPr>
      </w:pPr>
    </w:p>
    <w:p>
      <w:pPr>
        <w:ind w:left="37" w:right="40" w:firstLine="405"/>
        <w:spacing w:after="0" w:line="290" w:lineRule="auto"/>
        <w:rPr>
          <w:sz w:val="20"/>
          <w:szCs w:val="20"/>
          <w:color w:val="auto"/>
        </w:rPr>
      </w:pPr>
      <w:r>
        <w:rPr>
          <w:rFonts w:ascii="Arial" w:cs="Arial" w:eastAsia="Arial" w:hAnsi="Arial"/>
          <w:sz w:val="16"/>
          <w:szCs w:val="16"/>
          <w:color w:val="auto"/>
        </w:rPr>
        <w:t>The Committee has the discretionary authority to determine any questions as to the date when the Grantee’s employment terminated and the cause of such termination and to interpret any provision of these Terms, the Stock Plan System, the Plan, and any other applicable rules. Any action taken by, or inaction of, the Committee relating to or pursuant to these Terms, the Stock Plan System, the Plan, or any other applicable rules shall be within the absolute discretion of the Committee and shall be conclusive and binding on all persons.</w:t>
      </w:r>
    </w:p>
    <w:p>
      <w:pPr>
        <w:spacing w:after="0" w:line="122" w:lineRule="exact"/>
        <w:rPr>
          <w:sz w:val="20"/>
          <w:szCs w:val="20"/>
          <w:color w:val="auto"/>
        </w:rPr>
      </w:pPr>
    </w:p>
    <w:p>
      <w:pPr>
        <w:ind w:left="417" w:hanging="417"/>
        <w:spacing w:after="0"/>
        <w:tabs>
          <w:tab w:leader="none" w:pos="417"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189" w:lineRule="exact"/>
        <w:rPr>
          <w:sz w:val="20"/>
          <w:szCs w:val="20"/>
          <w:color w:val="auto"/>
        </w:rPr>
      </w:pPr>
    </w:p>
    <w:p>
      <w:pPr>
        <w:ind w:left="37" w:right="180" w:firstLine="405"/>
        <w:spacing w:after="0" w:line="277" w:lineRule="auto"/>
        <w:rPr>
          <w:sz w:val="20"/>
          <w:szCs w:val="20"/>
          <w:color w:val="auto"/>
        </w:rPr>
      </w:pPr>
      <w:r>
        <w:rPr>
          <w:rFonts w:ascii="Arial" w:cs="Arial" w:eastAsia="Arial" w:hAnsi="Arial"/>
          <w:sz w:val="18"/>
          <w:szCs w:val="18"/>
          <w:color w:val="auto"/>
        </w:rPr>
        <w:t>The RSRs (and related Dividend Equivalents) subject to the award are governed by, and the</w:t>
      </w:r>
    </w:p>
    <w:p>
      <w:pPr>
        <w:sectPr>
          <w:pgSz w:w="11900" w:h="16838" w:orient="portrait"/>
          <w:cols w:equalWidth="0" w:num="2">
            <w:col w:w="5360" w:space="543"/>
            <w:col w:w="5397"/>
          </w:cols>
          <w:pgMar w:left="360" w:top="368" w:right="239" w:bottom="1440" w:gutter="0" w:footer="0" w:header="0"/>
        </w:sectPr>
      </w:pPr>
    </w:p>
    <w:bookmarkStart w:id="108" w:name="page109"/>
    <w:bookmarkEnd w:id="108"/>
    <w:p>
      <w:pPr>
        <w:ind w:left="31" w:right="100"/>
        <w:spacing w:after="0" w:line="256" w:lineRule="auto"/>
        <w:rPr>
          <w:sz w:val="20"/>
          <w:szCs w:val="20"/>
          <w:color w:val="auto"/>
        </w:rPr>
      </w:pPr>
      <w:r>
        <w:rPr>
          <w:rFonts w:ascii="Arial" w:cs="Arial" w:eastAsia="Arial" w:hAnsi="Arial"/>
          <w:sz w:val="18"/>
          <w:szCs w:val="18"/>
          <w:color w:val="auto"/>
        </w:rPr>
        <w:t>Grantee’s rights are subject to, all of the terms and conditions of the Plan and any other rules adopted by the Committee, as the foregoing may be amended from time to time.</w:t>
      </w:r>
    </w:p>
    <w:p>
      <w:pPr>
        <w:ind w:left="31"/>
        <w:spacing w:after="0" w:line="270" w:lineRule="auto"/>
        <w:rPr>
          <w:sz w:val="20"/>
          <w:szCs w:val="20"/>
          <w:color w:val="auto"/>
        </w:rPr>
      </w:pPr>
      <w:r>
        <w:rPr>
          <w:rFonts w:ascii="Arial" w:cs="Arial" w:eastAsia="Arial" w:hAnsi="Arial"/>
          <w:sz w:val="17"/>
          <w:szCs w:val="17"/>
          <w:color w:val="auto"/>
        </w:rPr>
        <w:t>The Grantee shall have no rights with respect to any amendment of these Terms or the Plan unless such amendment is in writing and signed by a duly authorized officer of the Company. In the event of a conflict between the provisions of the Stock Plan System and the provisions of these Terms and/or the Plan, the provisions of these Terms and/or the Plan, as applicable, shall control.</w:t>
      </w:r>
    </w:p>
    <w:p>
      <w:pPr>
        <w:spacing w:after="0" w:line="256" w:lineRule="exact"/>
        <w:rPr>
          <w:sz w:val="20"/>
          <w:szCs w:val="20"/>
          <w:color w:val="auto"/>
        </w:rPr>
      </w:pPr>
    </w:p>
    <w:p>
      <w:pPr>
        <w:ind w:left="491" w:hanging="464"/>
        <w:spacing w:after="0"/>
        <w:tabs>
          <w:tab w:leader="none" w:pos="491"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Holding Period</w:t>
      </w:r>
      <w:r>
        <w:rPr>
          <w:rFonts w:ascii="Arial" w:cs="Arial" w:eastAsia="Arial" w:hAnsi="Arial"/>
          <w:sz w:val="18"/>
          <w:szCs w:val="18"/>
          <w:b w:val="1"/>
          <w:bCs w:val="1"/>
          <w:color w:val="auto"/>
        </w:rPr>
        <w:t>.</w:t>
      </w:r>
    </w:p>
    <w:p>
      <w:pPr>
        <w:spacing w:after="0" w:line="189" w:lineRule="exact"/>
        <w:rPr>
          <w:sz w:val="20"/>
          <w:szCs w:val="20"/>
          <w:color w:val="auto"/>
        </w:rPr>
      </w:pPr>
    </w:p>
    <w:p>
      <w:pPr>
        <w:ind w:left="31" w:right="100" w:firstLine="405"/>
        <w:spacing w:after="0" w:line="283" w:lineRule="auto"/>
        <w:rPr>
          <w:sz w:val="20"/>
          <w:szCs w:val="20"/>
          <w:color w:val="auto"/>
        </w:rPr>
      </w:pPr>
      <w:r>
        <w:rPr>
          <w:rFonts w:ascii="Arial" w:cs="Arial" w:eastAsia="Arial" w:hAnsi="Arial"/>
          <w:sz w:val="16"/>
          <w:szCs w:val="16"/>
          <w:color w:val="auto"/>
        </w:rPr>
        <w:t>The holding requirements of this Section 11 shall apply to any Grantee who is an elected or appointed officer of the Company or a Country Chief Executive on the date Vested RSRs are paid (or, if earlier, on the date the Grantee’s employment by the Company and its subsidiaries terminates for any reason). Any Grantee subject to this Section 11 shall not be permitted to sell, transfer, anticipate, alienate, assign, pledge, encumber or charge 50% of the total number (if any) of shares of Common Stock the Grantee receives as payment for Vested RSRs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w:t>
      </w:r>
    </w:p>
    <w:p>
      <w:pPr>
        <w:spacing w:after="0" w:line="3" w:lineRule="exact"/>
        <w:rPr>
          <w:sz w:val="20"/>
          <w:szCs w:val="20"/>
          <w:color w:val="auto"/>
        </w:rPr>
      </w:pPr>
    </w:p>
    <w:p>
      <w:pPr>
        <w:ind w:left="31" w:right="60" w:hanging="4"/>
        <w:spacing w:after="0" w:line="265" w:lineRule="auto"/>
        <w:tabs>
          <w:tab w:leader="none" w:pos="326" w:val="left"/>
        </w:tabs>
        <w:numPr>
          <w:ilvl w:val="1"/>
          <w:numId w:val="91"/>
        </w:numPr>
        <w:rPr>
          <w:rFonts w:ascii="Arial" w:cs="Arial" w:eastAsia="Arial" w:hAnsi="Arial"/>
          <w:sz w:val="17"/>
          <w:szCs w:val="17"/>
          <w:color w:val="auto"/>
        </w:rPr>
      </w:pPr>
      <w:r>
        <w:rPr>
          <w:rFonts w:ascii="Arial" w:cs="Arial" w:eastAsia="Arial" w:hAnsi="Arial"/>
          <w:sz w:val="17"/>
          <w:szCs w:val="17"/>
          <w:color w:val="auto"/>
        </w:rPr>
        <w:t>if Grantee is a Country Chief Executive or an appointed officer (not an elected officer) the one year anniversary of the Grantee’s termination of employment, or (E) with respected to Grantee’s entering a U.S. federal government position only, the latest of (i) the date the Grantee’s employment with the Company terminates, or</w:t>
      </w:r>
    </w:p>
    <w:p>
      <w:pPr>
        <w:spacing w:after="0" w:line="1" w:lineRule="exact"/>
        <w:rPr>
          <w:rFonts w:ascii="Arial" w:cs="Arial" w:eastAsia="Arial" w:hAnsi="Arial"/>
          <w:sz w:val="17"/>
          <w:szCs w:val="17"/>
          <w:color w:val="auto"/>
        </w:rPr>
      </w:pPr>
    </w:p>
    <w:p>
      <w:pPr>
        <w:ind w:left="31"/>
        <w:spacing w:after="0" w:line="267" w:lineRule="auto"/>
        <w:rPr>
          <w:rFonts w:ascii="Arial" w:cs="Arial" w:eastAsia="Arial" w:hAnsi="Arial"/>
          <w:sz w:val="17"/>
          <w:szCs w:val="17"/>
          <w:color w:val="auto"/>
        </w:rPr>
      </w:pPr>
      <w:r>
        <w:rPr>
          <w:rFonts w:ascii="Arial" w:cs="Arial" w:eastAsia="Arial" w:hAnsi="Arial"/>
          <w:sz w:val="17"/>
          <w:szCs w:val="17"/>
          <w:color w:val="auto"/>
        </w:rPr>
        <w:t>(ii) the date the Grantee formally accepts the government position in writing, or (iii) the date the government confirms the Grantee (for positions requiring nomination and confirmation). For purposes of this Section 11, the total number of shares of Common Stock the Grantee receives as payment for Vested RSRs shall be determined on a net basis after taking into account any shares otherwise deliverable with respect to the award that the Company withholds to satisfy tax obligations pursuant to Section 7.1.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140" w:lineRule="exact"/>
        <w:rPr>
          <w:rFonts w:ascii="Arial" w:cs="Arial" w:eastAsia="Arial" w:hAnsi="Arial"/>
          <w:sz w:val="17"/>
          <w:szCs w:val="17"/>
          <w:color w:val="auto"/>
        </w:rPr>
      </w:pPr>
    </w:p>
    <w:p>
      <w:pPr>
        <w:ind w:left="411" w:hanging="411"/>
        <w:spacing w:after="0"/>
        <w:tabs>
          <w:tab w:leader="none" w:pos="411"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89" w:lineRule="exact"/>
        <w:rPr>
          <w:sz w:val="20"/>
          <w:szCs w:val="20"/>
          <w:color w:val="auto"/>
        </w:rPr>
      </w:pPr>
    </w:p>
    <w:p>
      <w:pPr>
        <w:ind w:left="31" w:right="200" w:firstLine="405"/>
        <w:spacing w:after="0" w:line="277" w:lineRule="auto"/>
        <w:rPr>
          <w:sz w:val="20"/>
          <w:szCs w:val="20"/>
          <w:color w:val="auto"/>
        </w:rPr>
      </w:pPr>
      <w:r>
        <w:rPr>
          <w:rFonts w:ascii="Arial" w:cs="Arial" w:eastAsia="Arial" w:hAnsi="Arial"/>
          <w:sz w:val="18"/>
          <w:szCs w:val="18"/>
          <w:color w:val="auto"/>
        </w:rPr>
        <w:t>Whenever used in these Terms, the following terms shall have the meanings set forth below and, when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meaning is intended, the initial letter of the word is capitalized:</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the occurrence of either or both of the following:</w:t>
      </w:r>
    </w:p>
    <w:p>
      <w:pPr>
        <w:spacing w:after="0" w:line="200" w:lineRule="exact"/>
        <w:rPr>
          <w:sz w:val="20"/>
          <w:szCs w:val="20"/>
          <w:color w:val="auto"/>
        </w:rPr>
      </w:pPr>
    </w:p>
    <w:p>
      <w:pPr>
        <w:ind w:left="540" w:right="100" w:hanging="320"/>
        <w:spacing w:after="0" w:line="302" w:lineRule="auto"/>
        <w:tabs>
          <w:tab w:leader="none" w:pos="5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13" w:lineRule="exact"/>
        <w:rPr>
          <w:rFonts w:ascii="Arial" w:cs="Arial" w:eastAsia="Arial" w:hAnsi="Arial"/>
          <w:sz w:val="16"/>
          <w:szCs w:val="16"/>
          <w:color w:val="auto"/>
        </w:rPr>
      </w:pPr>
    </w:p>
    <w:p>
      <w:pPr>
        <w:ind w:left="540" w:right="20" w:hanging="320"/>
        <w:spacing w:after="0" w:line="273" w:lineRule="auto"/>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willful engaging by the Grantee in misconduct that is significantly injurious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1" w:lineRule="exact"/>
        <w:rPr>
          <w:sz w:val="20"/>
          <w:szCs w:val="20"/>
          <w:color w:val="auto"/>
        </w:rPr>
      </w:pPr>
    </w:p>
    <w:p>
      <w:pPr>
        <w:ind w:right="40" w:firstLine="44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21" w:lineRule="exact"/>
        <w:rPr>
          <w:sz w:val="20"/>
          <w:szCs w:val="20"/>
          <w:color w:val="auto"/>
        </w:rPr>
      </w:pPr>
    </w:p>
    <w:p>
      <w:pPr>
        <w:jc w:val="both"/>
        <w:ind w:right="18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Company’s Compensation Committee or any successor committee appointed by the Board to administer the Plan.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18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w:t>
      </w:r>
    </w:p>
    <w:p>
      <w:pPr>
        <w:spacing w:after="0" w:line="121" w:lineRule="exact"/>
        <w:rPr>
          <w:sz w:val="20"/>
          <w:szCs w:val="20"/>
          <w:color w:val="auto"/>
        </w:rPr>
      </w:pPr>
    </w:p>
    <w:p>
      <w:pPr>
        <w:ind w:right="100" w:firstLine="44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w:t>
      </w:r>
    </w:p>
    <w:p>
      <w:pPr>
        <w:sectPr>
          <w:pgSz w:w="11900" w:h="16838" w:orient="portrait"/>
          <w:cols w:equalWidth="0" w:num="2">
            <w:col w:w="5371" w:space="600"/>
            <w:col w:w="5360"/>
          </w:cols>
          <w:pgMar w:left="329" w:top="368" w:right="239" w:bottom="1440" w:gutter="0" w:footer="0" w:header="0"/>
        </w:sectPr>
      </w:pPr>
    </w:p>
    <w:bookmarkStart w:id="109" w:name="page110"/>
    <w:bookmarkEnd w:id="109"/>
    <w:p>
      <w:pPr>
        <w:ind w:left="31" w:right="46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Grantee’s express written consent, the occurrence of any one or more of the following:</w:t>
      </w:r>
    </w:p>
    <w:p>
      <w:pPr>
        <w:spacing w:after="0" w:line="80" w:lineRule="exact"/>
        <w:rPr>
          <w:sz w:val="20"/>
          <w:szCs w:val="20"/>
          <w:color w:val="auto"/>
        </w:rPr>
      </w:pPr>
    </w:p>
    <w:p>
      <w:pPr>
        <w:ind w:left="571" w:right="40" w:hanging="314"/>
        <w:spacing w:after="0" w:line="253" w:lineRule="auto"/>
        <w:tabs>
          <w:tab w:leader="none" w:pos="571"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w:t>
      </w:r>
    </w:p>
    <w:p>
      <w:pPr>
        <w:spacing w:after="0" w:line="251" w:lineRule="exact"/>
        <w:rPr>
          <w:sz w:val="20"/>
          <w:szCs w:val="20"/>
          <w:color w:val="auto"/>
        </w:rPr>
      </w:pPr>
    </w:p>
    <w:p>
      <w:pPr>
        <w:ind w:left="331" w:right="120"/>
        <w:spacing w:after="0" w:line="288" w:lineRule="auto"/>
        <w:rPr>
          <w:sz w:val="20"/>
          <w:szCs w:val="20"/>
          <w:color w:val="auto"/>
        </w:rPr>
      </w:pPr>
      <w:r>
        <w:rPr>
          <w:rFonts w:ascii="Arial" w:cs="Arial" w:eastAsia="Arial" w:hAnsi="Arial"/>
          <w:sz w:val="16"/>
          <w:szCs w:val="16"/>
          <w:color w:val="auto"/>
        </w:rPr>
        <w:t>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 recognized executive placement firm for purposes of making the determination required by the preceding sentence and the written opinion of the firm thus selected shall be conclusive as to this issue.</w:t>
      </w:r>
    </w:p>
    <w:p>
      <w:pPr>
        <w:spacing w:after="0" w:line="129" w:lineRule="exact"/>
        <w:rPr>
          <w:sz w:val="20"/>
          <w:szCs w:val="20"/>
          <w:color w:val="auto"/>
        </w:rPr>
      </w:pPr>
    </w:p>
    <w:p>
      <w:pPr>
        <w:ind w:left="331"/>
        <w:spacing w:after="0" w:line="268" w:lineRule="auto"/>
        <w:rPr>
          <w:sz w:val="20"/>
          <w:szCs w:val="20"/>
          <w:color w:val="auto"/>
        </w:rPr>
      </w:pPr>
      <w:r>
        <w:rPr>
          <w:rFonts w:ascii="Arial" w:cs="Arial" w:eastAsia="Arial" w:hAnsi="Arial"/>
          <w:sz w:val="17"/>
          <w:szCs w:val="17"/>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147" w:lineRule="exact"/>
        <w:rPr>
          <w:sz w:val="20"/>
          <w:szCs w:val="20"/>
          <w:color w:val="auto"/>
        </w:rPr>
      </w:pPr>
    </w:p>
    <w:p>
      <w:pPr>
        <w:ind w:left="331" w:right="80" w:hanging="331"/>
        <w:spacing w:after="0" w:line="264" w:lineRule="auto"/>
        <w:tabs>
          <w:tab w:leader="none" w:pos="3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reduction by the Company in the Grantee’s annualized rate of base salary as in effect at the start of the Protected Period, or as the same shall be increased from time to time.</w:t>
      </w:r>
    </w:p>
    <w:p>
      <w:pPr>
        <w:spacing w:after="0" w:line="140" w:lineRule="exact"/>
        <w:rPr>
          <w:rFonts w:ascii="Arial" w:cs="Arial" w:eastAsia="Arial" w:hAnsi="Arial"/>
          <w:sz w:val="18"/>
          <w:szCs w:val="18"/>
          <w:color w:val="auto"/>
        </w:rPr>
      </w:pPr>
    </w:p>
    <w:p>
      <w:pPr>
        <w:ind w:left="331" w:right="140" w:hanging="331"/>
        <w:spacing w:after="0" w:line="277" w:lineRule="auto"/>
        <w:tabs>
          <w:tab w:leader="none" w:pos="3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material reduction in the aggregate value of the Grantee’s level of participation in any of the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0" w:right="40"/>
        <w:spacing w:after="0" w:line="342" w:lineRule="auto"/>
        <w:rPr>
          <w:sz w:val="20"/>
          <w:szCs w:val="20"/>
          <w:color w:val="auto"/>
        </w:rPr>
      </w:pPr>
      <w:r>
        <w:rPr>
          <w:rFonts w:ascii="Arial" w:cs="Arial" w:eastAsia="Arial" w:hAnsi="Arial"/>
          <w:sz w:val="16"/>
          <w:szCs w:val="16"/>
          <w:color w:val="auto"/>
        </w:rPr>
        <w:t>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98" w:lineRule="exact"/>
        <w:rPr>
          <w:sz w:val="20"/>
          <w:szCs w:val="20"/>
          <w:color w:val="auto"/>
        </w:rPr>
      </w:pPr>
    </w:p>
    <w:p>
      <w:pPr>
        <w:ind w:left="320" w:right="60" w:hanging="317"/>
        <w:spacing w:after="0" w:line="289" w:lineRule="auto"/>
        <w:tabs>
          <w:tab w:leader="none" w:pos="3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26" w:lineRule="exact"/>
        <w:rPr>
          <w:rFonts w:ascii="Arial" w:cs="Arial" w:eastAsia="Arial" w:hAnsi="Arial"/>
          <w:sz w:val="16"/>
          <w:szCs w:val="16"/>
          <w:color w:val="auto"/>
        </w:rPr>
      </w:pPr>
    </w:p>
    <w:p>
      <w:pPr>
        <w:ind w:left="580" w:right="100" w:hanging="320"/>
        <w:spacing w:after="0" w:line="276" w:lineRule="auto"/>
        <w:tabs>
          <w:tab w:leader="none" w:pos="562"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w:t>
      </w:r>
    </w:p>
    <w:p>
      <w:pPr>
        <w:spacing w:after="0" w:line="132"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The Grantee’s right to terminate employment for Good Reason is conditioned upon (a) the Grantee providing the Company with written notice of the Good Reason condition within 90 days of its first occurrence;</w:t>
      </w:r>
    </w:p>
    <w:p>
      <w:pPr>
        <w:ind w:left="260" w:hanging="257"/>
        <w:spacing w:after="0"/>
        <w:tabs>
          <w:tab w:leader="none" w:pos="2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Grantee’s notice including a period of no less than 30 days from the</w:t>
      </w:r>
    </w:p>
    <w:p>
      <w:pPr>
        <w:spacing w:after="0" w:line="20" w:lineRule="exact"/>
        <w:rPr>
          <w:rFonts w:ascii="Arial" w:cs="Arial" w:eastAsia="Arial" w:hAnsi="Arial"/>
          <w:sz w:val="17"/>
          <w:szCs w:val="17"/>
          <w:color w:val="auto"/>
        </w:rPr>
      </w:pPr>
    </w:p>
    <w:p>
      <w:pPr>
        <w:spacing w:after="0" w:line="253" w:lineRule="auto"/>
        <w:rPr>
          <w:rFonts w:ascii="Arial" w:cs="Arial" w:eastAsia="Arial" w:hAnsi="Arial"/>
          <w:sz w:val="17"/>
          <w:szCs w:val="17"/>
          <w:color w:val="auto"/>
        </w:rPr>
      </w:pPr>
      <w:r>
        <w:rPr>
          <w:rFonts w:ascii="Arial" w:cs="Arial" w:eastAsia="Arial" w:hAnsi="Arial"/>
          <w:sz w:val="18"/>
          <w:szCs w:val="18"/>
          <w:color w:val="auto"/>
        </w:rPr>
        <w:t>Company’s receipt of the notice for the Company to cure the Good Reason condition; and (c) Grantee implementing a Good Reason termination only if the condition continues to go uncured and such termination is initiated and executed no later than six (6) months from the date of its first occurrence.</w:t>
      </w:r>
    </w:p>
    <w:p>
      <w:pPr>
        <w:spacing w:after="0" w:line="15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ectPr>
          <w:pgSz w:w="11900" w:h="16838" w:orient="portrait"/>
          <w:cols w:equalWidth="0" w:num="2">
            <w:col w:w="5371" w:space="560"/>
            <w:col w:w="5400"/>
          </w:cols>
          <w:pgMar w:left="329" w:top="364" w:right="239" w:bottom="1440" w:gutter="0" w:footer="0" w:header="0"/>
        </w:sectPr>
      </w:pPr>
    </w:p>
    <w:bookmarkStart w:id="110" w:name="page111"/>
    <w:bookmarkEnd w:id="110"/>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2011 Long- Term Incentive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Plan, as it may be amended form time to time.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Protected Period</w:t>
      </w:r>
      <w:r>
        <w:rPr>
          <w:rFonts w:ascii="Arial" w:cs="Arial" w:eastAsia="Arial" w:hAnsi="Arial"/>
          <w:sz w:val="18"/>
          <w:szCs w:val="18"/>
          <w:color w:val="auto"/>
        </w:rPr>
        <w:t>” corresponding to a Change in Control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be a period of time determined in accordance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70" w:lineRule="exact"/>
        <w:rPr>
          <w:sz w:val="20"/>
          <w:szCs w:val="20"/>
          <w:color w:val="auto"/>
        </w:rPr>
      </w:pPr>
    </w:p>
    <w:p>
      <w:pPr>
        <w:ind w:left="600" w:right="5860" w:hanging="334"/>
        <w:spacing w:after="0" w:line="291" w:lineRule="auto"/>
        <w:tabs>
          <w:tab w:leader="none" w:pos="582"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221" w:lineRule="exact"/>
        <w:rPr>
          <w:rFonts w:ascii="Arial" w:cs="Arial" w:eastAsia="Arial" w:hAnsi="Arial"/>
          <w:sz w:val="16"/>
          <w:szCs w:val="16"/>
          <w:color w:val="auto"/>
        </w:rPr>
      </w:pPr>
    </w:p>
    <w:p>
      <w:pPr>
        <w:ind w:left="580" w:right="360" w:hanging="314"/>
        <w:spacing w:after="0" w:line="259" w:lineRule="auto"/>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46" w:lineRule="exact"/>
        <w:rPr>
          <w:rFonts w:ascii="Arial" w:cs="Arial" w:eastAsia="Arial" w:hAnsi="Arial"/>
          <w:sz w:val="18"/>
          <w:szCs w:val="18"/>
          <w:color w:val="auto"/>
        </w:rPr>
      </w:pPr>
    </w:p>
    <w:p>
      <w:pPr>
        <w:ind w:left="580" w:hanging="314"/>
        <w:spacing w:after="0" w:line="277" w:lineRule="auto"/>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case of any Change in Control not described in clause (i) or (ii) above, the Protected Period shall commence on the date that is six (6) months prior to the Change in Control and shall continue through and including the date of the Change in Control.</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w:t>
      </w:r>
      <w:r>
        <w:rPr>
          <w:rFonts w:ascii="Arial" w:cs="Arial" w:eastAsia="Arial" w:hAnsi="Arial"/>
          <w:sz w:val="18"/>
          <w:szCs w:val="18"/>
          <w:color w:val="auto"/>
        </w:rPr>
        <w:t>” means the person acquiring a Grantee’s rights to a grant under the Plan by will or by the laws of descent or distribution.</w:t>
      </w:r>
    </w:p>
    <w:p>
      <w:pPr>
        <w:sectPr>
          <w:pgSz w:w="11900" w:h="16838" w:orient="portrait"/>
          <w:cols w:equalWidth="0" w:num="1">
            <w:col w:w="11240"/>
          </w:cols>
          <w:pgMar w:left="320" w:top="36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10(h)(vi)</w:t>
      </w:r>
    </w:p>
    <w:p>
      <w:pPr>
        <w:spacing w:after="0" w:line="310" w:lineRule="exact"/>
        <w:rPr>
          <w:sz w:val="20"/>
          <w:szCs w:val="20"/>
          <w:color w:val="auto"/>
        </w:rPr>
      </w:pPr>
    </w:p>
    <w:p>
      <w:pPr>
        <w:jc w:val="center"/>
        <w:ind w:right="96"/>
        <w:spacing w:after="0"/>
        <w:rPr>
          <w:sz w:val="20"/>
          <w:szCs w:val="20"/>
          <w:color w:val="auto"/>
        </w:rPr>
      </w:pPr>
      <w:r>
        <w:rPr>
          <w:rFonts w:ascii="Arial" w:cs="Arial" w:eastAsia="Arial" w:hAnsi="Arial"/>
          <w:sz w:val="32"/>
          <w:szCs w:val="32"/>
          <w:b w:val="1"/>
          <w:bCs w:val="1"/>
          <w:color w:val="auto"/>
        </w:rPr>
        <w:t>NORTHROP GRUMMAN CORPORATION</w:t>
      </w:r>
    </w:p>
    <w:p>
      <w:pPr>
        <w:spacing w:after="0" w:line="48" w:lineRule="exact"/>
        <w:rPr>
          <w:sz w:val="20"/>
          <w:szCs w:val="20"/>
          <w:color w:val="auto"/>
        </w:rPr>
      </w:pPr>
    </w:p>
    <w:p>
      <w:pPr>
        <w:jc w:val="center"/>
        <w:ind w:left="4" w:right="120"/>
        <w:spacing w:after="0" w:line="245" w:lineRule="auto"/>
        <w:rPr>
          <w:sz w:val="20"/>
          <w:szCs w:val="20"/>
          <w:color w:val="auto"/>
        </w:rPr>
      </w:pPr>
      <w:r>
        <w:rPr>
          <w:rFonts w:ascii="Arial" w:cs="Arial" w:eastAsia="Arial" w:hAnsi="Arial"/>
          <w:sz w:val="22"/>
          <w:szCs w:val="22"/>
          <w:b w:val="1"/>
          <w:bCs w:val="1"/>
          <w:color w:val="auto"/>
        </w:rPr>
        <w:t>TERMS AND CONDITIONS APPLICABLE TO 2016 RESTRICTED STOCK RIGHTS GRANTED UNDER THE 2011 LONG-TERM INCENTIVE STOCK PLAN</w:t>
      </w:r>
    </w:p>
    <w:p>
      <w:pPr>
        <w:spacing w:after="0" w:line="214" w:lineRule="exact"/>
        <w:rPr>
          <w:sz w:val="20"/>
          <w:szCs w:val="20"/>
          <w:color w:val="auto"/>
        </w:rPr>
      </w:pPr>
    </w:p>
    <w:p>
      <w:pPr>
        <w:ind w:left="4" w:right="120" w:firstLine="405"/>
        <w:spacing w:after="0" w:line="255" w:lineRule="auto"/>
        <w:rPr>
          <w:sz w:val="20"/>
          <w:szCs w:val="20"/>
          <w:color w:val="auto"/>
        </w:rPr>
      </w:pPr>
      <w:r>
        <w:rPr>
          <w:rFonts w:ascii="Arial" w:cs="Arial" w:eastAsia="Arial" w:hAnsi="Arial"/>
          <w:sz w:val="18"/>
          <w:szCs w:val="18"/>
          <w:color w:val="auto"/>
        </w:rPr>
        <w:t xml:space="preserve">These Terms and Conditions (“Terms”) apply to certain “Restricted Stock Rights” (“RSRs”) granted by Northrop Grumman Corporation (the “Company”) in 2016 under its 2011 Long-Term Incentive Stock Plan. The date of grant of the RSR award (the “Grant Date”) and the number of RSRs applicable to your award are set forth in the letter from the Company announcing your RSR award (your “Grant Letter”) and are also reflected in the electronic stock plan award recordkeeping system (“Stock Plan System”) maintained by the Company or its designee. These Terms apply only with respect to this </w:t>
      </w:r>
      <w:r>
        <w:rPr>
          <w:rFonts w:ascii="Arial" w:cs="Arial" w:eastAsia="Arial" w:hAnsi="Arial"/>
          <w:sz w:val="18"/>
          <w:szCs w:val="18"/>
          <w:b w:val="1"/>
          <w:bCs w:val="1"/>
          <w:color w:val="auto"/>
        </w:rPr>
        <w:t>special 2016 RSR award</w:t>
      </w:r>
      <w:r>
        <w:rPr>
          <w:rFonts w:ascii="Arial" w:cs="Arial" w:eastAsia="Arial" w:hAnsi="Arial"/>
          <w:sz w:val="18"/>
          <w:szCs w:val="18"/>
          <w:color w:val="auto"/>
        </w:rPr>
        <w:t xml:space="preserve"> identified in your Grant Letter. You are referred to as the “Grantee” with respect to your award. Capitalized terms are generally defined in Section 12 below if not otherwise defined herein.</w:t>
      </w:r>
    </w:p>
    <w:p>
      <w:pPr>
        <w:spacing w:after="0" w:line="153" w:lineRule="exact"/>
        <w:rPr>
          <w:sz w:val="20"/>
          <w:szCs w:val="20"/>
          <w:color w:val="auto"/>
        </w:rPr>
      </w:pPr>
    </w:p>
    <w:p>
      <w:pPr>
        <w:ind w:left="4" w:right="20" w:firstLine="648"/>
        <w:spacing w:after="0" w:line="297" w:lineRule="auto"/>
        <w:rPr>
          <w:sz w:val="20"/>
          <w:szCs w:val="20"/>
          <w:color w:val="auto"/>
        </w:rPr>
      </w:pPr>
      <w:r>
        <w:rPr>
          <w:rFonts w:ascii="Arial" w:cs="Arial" w:eastAsia="Arial" w:hAnsi="Arial"/>
          <w:sz w:val="16"/>
          <w:szCs w:val="16"/>
          <w:color w:val="auto"/>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 conditions set forth in these Terms, and is further subject to all of the terms and conditions of the Plan, as it may be amended from time to time, and any rules adopted by the Committee, as such rules are in effect from time to time. If you do not formally accept your RSR award, including these Terms, in accordance with the instructions and time limit set forth in your Grant Letter, you will be deemed to have forfeited your RSR award.</w:t>
      </w:r>
    </w:p>
    <w:p>
      <w:pPr>
        <w:sectPr>
          <w:pgSz w:w="11900" w:h="16838" w:orient="portrait"/>
          <w:cols w:equalWidth="0" w:num="1">
            <w:col w:w="11304"/>
          </w:cols>
          <w:pgMar w:left="356" w:top="121" w:right="239" w:bottom="1440" w:gutter="0" w:footer="0" w:header="0"/>
        </w:sectPr>
      </w:pPr>
    </w:p>
    <w:p>
      <w:pPr>
        <w:spacing w:after="0" w:line="276" w:lineRule="exact"/>
        <w:rPr>
          <w:sz w:val="20"/>
          <w:szCs w:val="20"/>
          <w:color w:val="auto"/>
        </w:rPr>
      </w:pPr>
    </w:p>
    <w:p>
      <w:pPr>
        <w:ind w:left="384" w:hanging="384"/>
        <w:spacing w:after="0"/>
        <w:tabs>
          <w:tab w:leader="none" w:pos="384"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Issuance of Shares</w:t>
      </w:r>
      <w:r>
        <w:rPr>
          <w:rFonts w:ascii="Arial" w:cs="Arial" w:eastAsia="Arial" w:hAnsi="Arial"/>
          <w:sz w:val="18"/>
          <w:szCs w:val="18"/>
          <w:color w:val="auto"/>
        </w:rPr>
        <w:t>.</w:t>
      </w:r>
    </w:p>
    <w:p>
      <w:pPr>
        <w:spacing w:after="0" w:line="189" w:lineRule="exact"/>
        <w:rPr>
          <w:sz w:val="20"/>
          <w:szCs w:val="20"/>
          <w:color w:val="auto"/>
        </w:rPr>
      </w:pPr>
    </w:p>
    <w:p>
      <w:pPr>
        <w:ind w:left="4" w:right="100" w:firstLine="405"/>
        <w:spacing w:after="0" w:line="293" w:lineRule="auto"/>
        <w:rPr>
          <w:sz w:val="20"/>
          <w:szCs w:val="20"/>
          <w:color w:val="auto"/>
        </w:rPr>
      </w:pPr>
      <w:r>
        <w:rPr>
          <w:rFonts w:ascii="Arial" w:cs="Arial" w:eastAsia="Arial" w:hAnsi="Arial"/>
          <w:sz w:val="16"/>
          <w:szCs w:val="16"/>
          <w:color w:val="auto"/>
        </w:rPr>
        <w:t>Subject to Sections 2 and 6 below, one hundred percent (100%) of the number of RSRs (and any Dividend Equivalents (as defined below)) subject to your award (subject to adjustment as provided in Section 6.1) shall vest upon the second anniversary of the Grant Date, provided that if the second anniversary of the Grant Date falls on a weekend or holiday, then the award shall vest on the next business day.</w:t>
      </w:r>
    </w:p>
    <w:p>
      <w:pPr>
        <w:spacing w:after="0" w:line="120" w:lineRule="exact"/>
        <w:rPr>
          <w:sz w:val="20"/>
          <w:szCs w:val="20"/>
          <w:color w:val="auto"/>
        </w:rPr>
      </w:pPr>
    </w:p>
    <w:p>
      <w:pPr>
        <w:ind w:left="4" w:firstLine="405"/>
        <w:spacing w:after="0" w:line="289"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i w:val="1"/>
          <w:iCs w:val="1"/>
          <w:color w:val="auto"/>
        </w:rPr>
        <w:t>Payment of RSRs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below,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pay an RSR subject to the award that vests (“Vested RSR”) (and related Dividend Equivalents) within 60 days following the vesting of the RSR on the second anniversary of the Grant Date. The Company shall pay such Vested RSRs in either an equivalent number of shares of Common Stock, or, in the discretion of the Committee, in cash or in a combination of shares of Common Stock and cash. In the event of a cash payment, the amount of the payment for each Vested RSR to be paid in cash will equal the Fair Market Value (as defined below) of a share of Common Stock as of the date that such RSR became vested.</w:t>
      </w:r>
    </w:p>
    <w:p>
      <w:pPr>
        <w:spacing w:after="0" w:line="121" w:lineRule="exact"/>
        <w:rPr>
          <w:sz w:val="20"/>
          <w:szCs w:val="20"/>
          <w:color w:val="auto"/>
        </w:rPr>
      </w:pPr>
    </w:p>
    <w:p>
      <w:pPr>
        <w:ind w:left="4" w:right="20" w:firstLine="405"/>
        <w:spacing w:after="0" w:line="272"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Grantee shall be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for Dividend Equivalents (if any) with respect to any Vested RSRs. For purposes of these Terms, “Dividend Equivalents” means the aggregate amount of dividends paid by the Company on a number of shares of Common Stock equivalent to the number of Vested RSRs during the period from the Grant date until the date the Vested RSRs are paid without interest or other adjustments to reflect the time value of money). Dividend Equivalents (if any) will be paid at the same</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10" w:right="760"/>
        <w:spacing w:after="0" w:line="277" w:lineRule="auto"/>
        <w:rPr>
          <w:sz w:val="20"/>
          <w:szCs w:val="20"/>
          <w:color w:val="auto"/>
        </w:rPr>
      </w:pPr>
      <w:r>
        <w:rPr>
          <w:rFonts w:ascii="Arial" w:cs="Arial" w:eastAsia="Arial" w:hAnsi="Arial"/>
          <w:sz w:val="18"/>
          <w:szCs w:val="18"/>
          <w:color w:val="auto"/>
        </w:rPr>
        <w:t>time as the Vested RSRs to which they relate are paid. Dividend Equivalents will be paid in cash.</w:t>
      </w:r>
    </w:p>
    <w:p>
      <w:pPr>
        <w:spacing w:after="0" w:line="139" w:lineRule="exact"/>
        <w:rPr>
          <w:sz w:val="20"/>
          <w:szCs w:val="20"/>
          <w:color w:val="auto"/>
        </w:rPr>
      </w:pPr>
    </w:p>
    <w:p>
      <w:pPr>
        <w:ind w:left="390" w:hanging="390"/>
        <w:spacing w:after="0"/>
        <w:tabs>
          <w:tab w:leader="none" w:pos="39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Early Termination of Award; Termination of Employment</w:t>
      </w:r>
      <w:r>
        <w:rPr>
          <w:rFonts w:ascii="Arial" w:cs="Arial" w:eastAsia="Arial" w:hAnsi="Arial"/>
          <w:sz w:val="18"/>
          <w:szCs w:val="18"/>
          <w:color w:val="auto"/>
        </w:rPr>
        <w:t>.</w:t>
      </w:r>
    </w:p>
    <w:p>
      <w:pPr>
        <w:spacing w:after="0" w:line="171" w:lineRule="exact"/>
        <w:rPr>
          <w:sz w:val="20"/>
          <w:szCs w:val="20"/>
          <w:color w:val="auto"/>
        </w:rPr>
      </w:pPr>
    </w:p>
    <w:p>
      <w:pPr>
        <w:ind w:left="10" w:right="20" w:firstLine="405"/>
        <w:spacing w:after="0" w:line="287"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RSRs (and related Dividend Equivalents)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award, to the extent not previously vested, shall terminate and become null and void if and when (a) the award terminates in connection with a Change in Control pursuant to Section 6 below, or</w:t>
      </w:r>
    </w:p>
    <w:p>
      <w:pPr>
        <w:spacing w:after="0" w:line="3" w:lineRule="exact"/>
        <w:rPr>
          <w:sz w:val="20"/>
          <w:szCs w:val="20"/>
          <w:color w:val="auto"/>
        </w:rPr>
      </w:pPr>
    </w:p>
    <w:p>
      <w:pPr>
        <w:ind w:left="10" w:right="80" w:hanging="10"/>
        <w:spacing w:after="0" w:line="255" w:lineRule="auto"/>
        <w:tabs>
          <w:tab w:leader="none" w:pos="2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except as provided in Section 2.6 and in Section 6, the Grantee ceases for any reason to be an employee of the Company or one of its subsidiaries.</w:t>
      </w:r>
    </w:p>
    <w:p>
      <w:pPr>
        <w:spacing w:after="0" w:line="146" w:lineRule="exact"/>
        <w:rPr>
          <w:sz w:val="20"/>
          <w:szCs w:val="20"/>
          <w:color w:val="auto"/>
        </w:rPr>
      </w:pPr>
    </w:p>
    <w:p>
      <w:pPr>
        <w:ind w:left="10" w:right="40" w:firstLine="405"/>
        <w:spacing w:after="0" w:line="289"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i w:val="1"/>
          <w:iCs w:val="1"/>
          <w:color w:val="auto"/>
        </w:rPr>
        <w:t>Leave of Absence</w:t>
      </w:r>
      <w:r>
        <w:rPr>
          <w:rFonts w:ascii="Arial" w:cs="Arial" w:eastAsia="Arial" w:hAnsi="Arial"/>
          <w:sz w:val="16"/>
          <w:szCs w:val="16"/>
          <w:color w:val="auto"/>
        </w:rPr>
        <w:t>. Unless the Committee otherwise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21" w:lineRule="exact"/>
        <w:rPr>
          <w:sz w:val="20"/>
          <w:szCs w:val="20"/>
          <w:color w:val="auto"/>
        </w:rPr>
      </w:pPr>
    </w:p>
    <w:p>
      <w:pPr>
        <w:ind w:left="10" w:right="80" w:firstLine="405"/>
        <w:spacing w:after="0" w:line="258"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i w:val="1"/>
          <w:iCs w:val="1"/>
          <w:color w:val="auto"/>
        </w:rPr>
        <w:t>Salary Continuation</w:t>
      </w:r>
      <w:r>
        <w:rPr>
          <w:rFonts w:ascii="Arial" w:cs="Arial" w:eastAsia="Arial" w:hAnsi="Arial"/>
          <w:sz w:val="18"/>
          <w:szCs w:val="18"/>
          <w:color w:val="auto"/>
        </w:rPr>
        <w:t>. Subject to Section 2.2 above,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as used herein means active employment by the Company and salary continuation without active employment (other than a leave of absence approved by the Company that is covered by Section 2.2) will not, in and of itself,</w:t>
      </w:r>
    </w:p>
    <w:p>
      <w:pPr>
        <w:sectPr>
          <w:pgSz w:w="11900" w:h="16838" w:orient="portrait"/>
          <w:cols w:equalWidth="0" w:num="2">
            <w:col w:w="5364" w:space="570"/>
            <w:col w:w="5370"/>
          </w:cols>
          <w:pgMar w:left="356" w:top="121" w:right="2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color w:val="auto"/>
        </w:rPr>
        <w:t>constitute “employment” for purposes hereof (in the case</w:t>
      </w:r>
    </w:p>
    <w:p>
      <w:pPr>
        <w:spacing w:after="0" w:line="2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of salary continuation without active employment, the Grantee’s cessation of active employee status shall, subject to Section 2.2, be deemed to be a termination of “employment” for purposes hereof). Furthermore, salary continuation will not, in and of itself, constitute a leave of absence approved by the Company for purposes of the award.</w:t>
      </w:r>
    </w:p>
    <w:p>
      <w:pPr>
        <w:spacing w:after="0" w:line="11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i w:val="1"/>
          <w:iCs w:val="1"/>
          <w:color w:val="auto"/>
        </w:rPr>
        <w:t>Sale or Spinoff of Subsidiary or Business Unit</w:t>
      </w:r>
      <w:r>
        <w:rPr>
          <w:rFonts w:ascii="Arial" w:cs="Arial" w:eastAsia="Arial" w:hAnsi="Arial"/>
          <w:sz w:val="16"/>
          <w:szCs w:val="16"/>
          <w:color w:val="auto"/>
        </w:rPr>
        <w:t>. For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RSRs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w:t>
      </w:r>
    </w:p>
    <w:p>
      <w:pPr>
        <w:spacing w:after="0" w:line="119"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b w:val="1"/>
          <w:bCs w:val="1"/>
          <w:i w:val="1"/>
          <w:iCs w:val="1"/>
          <w:color w:val="auto"/>
        </w:rPr>
        <w:t>Continuance of Employment Required</w:t>
      </w:r>
      <w:r>
        <w:rPr>
          <w:rFonts w:ascii="Arial" w:cs="Arial" w:eastAsia="Arial" w:hAnsi="Arial"/>
          <w:sz w:val="17"/>
          <w:szCs w:val="17"/>
          <w:color w:val="auto"/>
        </w:rPr>
        <w:t>. Except as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Section 2.6 and in Section 6, the vesting of the RSRs (and related Dividend Equivalents) subject to the award requires continued employment through the second anniversary of the Grant Date as a condition to the vesting of any portion of the award. Employment for only a portion of the vesting period, even if a substantial portion, will not entitle the Grantee to any proportionate vesting or avoid or mitigate a termination of rights and benefits upon or following a termination of employment. Nothing contained in these Terms,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40"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i w:val="1"/>
          <w:iCs w:val="1"/>
          <w:color w:val="auto"/>
        </w:rPr>
        <w:t>Death or Disability</w:t>
      </w:r>
      <w:r>
        <w:rPr>
          <w:rFonts w:ascii="Arial" w:cs="Arial" w:eastAsia="Arial" w:hAnsi="Arial"/>
          <w:sz w:val="16"/>
          <w:szCs w:val="16"/>
          <w:color w:val="auto"/>
        </w:rPr>
        <w:t>. If the Grantee dies or incurs a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while employed by the Company or a subsidiary and such death or Disability occurs more than six months after the Grant Date, the outstanding and previously unvested RSRs (and related Dividend Equivalents) subject to the award shall vest as of the date of the Grantee’s death or Disability, as applicable. RSRs (and related Dividend Equivalents) vesting under this Section shall be paid within 60 days following the earlier of (a) Grantee’s death or (b) Grantee’s Disability, but in no event later than March 15 of the year following the date of the death or Disability . In the event of the Grantee’s death prior to the delivery of shares or other payment with respect to any vested RSRs (and related Dividend Equivalents), the Grantee’s Successor shall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37" w:right="160"/>
        <w:spacing w:after="0" w:line="264" w:lineRule="auto"/>
        <w:rPr>
          <w:sz w:val="20"/>
          <w:szCs w:val="20"/>
          <w:color w:val="auto"/>
        </w:rPr>
      </w:pPr>
      <w:r>
        <w:rPr>
          <w:rFonts w:ascii="Arial" w:cs="Arial" w:eastAsia="Arial" w:hAnsi="Arial"/>
          <w:sz w:val="18"/>
          <w:szCs w:val="18"/>
          <w:color w:val="auto"/>
        </w:rPr>
        <w:t>entitled to any payments to which the Grantee would have been entitled under these Terms with respect to such vested and unpaid RSRs (and related Dividend Equivalents).</w:t>
      </w:r>
    </w:p>
    <w:p>
      <w:pPr>
        <w:spacing w:after="0" w:line="137" w:lineRule="exact"/>
        <w:rPr>
          <w:sz w:val="20"/>
          <w:szCs w:val="20"/>
          <w:color w:val="auto"/>
        </w:rPr>
      </w:pPr>
    </w:p>
    <w:p>
      <w:pPr>
        <w:ind w:left="417" w:hanging="417"/>
        <w:spacing w:after="0"/>
        <w:tabs>
          <w:tab w:leader="none" w:pos="417"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185" w:lineRule="exact"/>
        <w:rPr>
          <w:sz w:val="20"/>
          <w:szCs w:val="20"/>
          <w:color w:val="auto"/>
        </w:rPr>
      </w:pPr>
    </w:p>
    <w:p>
      <w:pPr>
        <w:ind w:left="37" w:firstLine="405"/>
        <w:spacing w:after="0" w:line="26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i w:val="1"/>
          <w:iCs w:val="1"/>
          <w:color w:val="auto"/>
        </w:rPr>
        <w:t>Non-Transferability</w:t>
      </w:r>
      <w:r>
        <w:rPr>
          <w:rFonts w:ascii="Arial" w:cs="Arial" w:eastAsia="Arial" w:hAnsi="Arial"/>
          <w:sz w:val="17"/>
          <w:szCs w:val="17"/>
          <w:color w:val="auto"/>
        </w:rPr>
        <w:t>. The award, as well as the RSRs (and</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39" w:lineRule="exact"/>
        <w:rPr>
          <w:sz w:val="20"/>
          <w:szCs w:val="20"/>
          <w:color w:val="auto"/>
        </w:rPr>
      </w:pPr>
    </w:p>
    <w:p>
      <w:pPr>
        <w:ind w:left="37" w:right="60" w:firstLine="405"/>
        <w:spacing w:after="0" w:line="287"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i w:val="1"/>
          <w:iCs w:val="1"/>
          <w:color w:val="auto"/>
        </w:rPr>
        <w:t>Recoupment of Awards</w:t>
      </w:r>
      <w:r>
        <w:rPr>
          <w:rFonts w:ascii="Arial" w:cs="Arial" w:eastAsia="Arial" w:hAnsi="Arial"/>
          <w:sz w:val="16"/>
          <w:szCs w:val="16"/>
          <w:color w:val="auto"/>
        </w:rPr>
        <w:t>. Any payments or issuances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the award are subject to recoupment pursuant to the 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Further,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128" w:lineRule="exact"/>
        <w:rPr>
          <w:sz w:val="20"/>
          <w:szCs w:val="20"/>
          <w:color w:val="auto"/>
        </w:rPr>
      </w:pPr>
    </w:p>
    <w:p>
      <w:pPr>
        <w:ind w:left="317" w:hanging="290"/>
        <w:spacing w:after="0"/>
        <w:tabs>
          <w:tab w:leader="none" w:pos="317"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Post-Employment Conduct</w:t>
      </w:r>
      <w:r>
        <w:rPr>
          <w:rFonts w:ascii="Arial" w:cs="Arial" w:eastAsia="Arial" w:hAnsi="Arial"/>
          <w:sz w:val="18"/>
          <w:szCs w:val="18"/>
          <w:color w:val="auto"/>
        </w:rPr>
        <w:t>.</w:t>
      </w:r>
    </w:p>
    <w:p>
      <w:pPr>
        <w:spacing w:after="0" w:line="293" w:lineRule="exact"/>
        <w:rPr>
          <w:sz w:val="20"/>
          <w:szCs w:val="20"/>
          <w:color w:val="auto"/>
        </w:rPr>
      </w:pPr>
    </w:p>
    <w:p>
      <w:pPr>
        <w:ind w:left="37" w:right="20" w:firstLine="405"/>
        <w:spacing w:after="0" w:line="289"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i w:val="1"/>
          <w:iCs w:val="1"/>
          <w:color w:val="auto"/>
        </w:rPr>
        <w:t>Vice President Contribution.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You acknowledge and agree that</w:t>
      </w:r>
      <w:r>
        <w:rPr>
          <w:rFonts w:ascii="Arial" w:cs="Arial" w:eastAsia="Arial" w:hAnsi="Arial"/>
          <w:sz w:val="16"/>
          <w:szCs w:val="16"/>
          <w:b w:val="1"/>
          <w:bCs w:val="1"/>
          <w:color w:val="auto"/>
        </w:rPr>
        <w:t xml:space="preserve"> </w:t>
      </w:r>
      <w:r>
        <w:rPr>
          <w:rFonts w:ascii="Arial" w:cs="Arial" w:eastAsia="Arial" w:hAnsi="Arial"/>
          <w:sz w:val="16"/>
          <w:szCs w:val="16"/>
          <w:color w:val="auto"/>
        </w:rPr>
        <w:t>as a Vice President of the Company, you are involved in managing specific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operations. You occupy one of the most senior executive positions in the Company and</w:t>
      </w:r>
    </w:p>
    <w:p>
      <w:pPr>
        <w:sectPr>
          <w:pgSz w:w="11900" w:h="16838" w:orient="portrait"/>
          <w:cols w:equalWidth="0" w:num="2">
            <w:col w:w="5360" w:space="543"/>
            <w:col w:w="5357"/>
          </w:cols>
          <w:pgMar w:left="360" w:top="368" w:right="279" w:bottom="1440" w:gutter="0" w:footer="0" w:header="0"/>
        </w:sectPr>
      </w:pPr>
    </w:p>
    <w:bookmarkStart w:id="113" w:name="page114"/>
    <w:bookmarkEnd w:id="113"/>
    <w:p>
      <w:pPr>
        <w:spacing w:after="0" w:line="4" w:lineRule="exact"/>
        <w:rPr>
          <w:sz w:val="20"/>
          <w:szCs w:val="20"/>
          <w:color w:val="auto"/>
        </w:rPr>
      </w:pPr>
    </w:p>
    <w:p>
      <w:pPr>
        <w:ind w:left="4" w:right="80"/>
        <w:spacing w:after="0" w:line="312" w:lineRule="auto"/>
        <w:rPr>
          <w:sz w:val="20"/>
          <w:szCs w:val="20"/>
          <w:color w:val="auto"/>
        </w:rPr>
      </w:pPr>
      <w:r>
        <w:rPr>
          <w:rFonts w:ascii="Arial" w:cs="Arial" w:eastAsia="Arial" w:hAnsi="Arial"/>
          <w:sz w:val="16"/>
          <w:szCs w:val="16"/>
          <w:color w:val="auto"/>
        </w:rPr>
        <w:t>have far-reaching access to highly confidential, valuable and sensitive information, customer, vendor and employee relationships, intellectual property, strategic and tactical plans, and financial information and plans.</w:t>
      </w:r>
    </w:p>
    <w:p>
      <w:pPr>
        <w:spacing w:after="0" w:line="197" w:lineRule="exact"/>
        <w:rPr>
          <w:sz w:val="20"/>
          <w:szCs w:val="20"/>
          <w:color w:val="auto"/>
        </w:rPr>
      </w:pPr>
    </w:p>
    <w:p>
      <w:pPr>
        <w:ind w:left="4" w:right="160" w:firstLine="405"/>
        <w:spacing w:after="0" w:line="286"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color w:val="auto"/>
        </w:rPr>
        <w:t>The Company has a legitimate business interest in restricting</w:t>
      </w:r>
      <w:r>
        <w:rPr>
          <w:rFonts w:ascii="Arial" w:cs="Arial" w:eastAsia="Arial" w:hAnsi="Arial"/>
          <w:sz w:val="16"/>
          <w:szCs w:val="16"/>
          <w:b w:val="1"/>
          <w:bCs w:val="1"/>
          <w:color w:val="auto"/>
        </w:rPr>
        <w:t xml:space="preserve"> </w:t>
      </w:r>
      <w:r>
        <w:rPr>
          <w:rFonts w:ascii="Arial" w:cs="Arial" w:eastAsia="Arial" w:hAnsi="Arial"/>
          <w:sz w:val="16"/>
          <w:szCs w:val="16"/>
          <w:color w:val="auto"/>
        </w:rPr>
        <w:t>your ability to compete in the specific manner set forth below, and the Company has provided you this grant, subject to these Terms and as consideration for the restrictive covenants set forth in this Section 4; provided that the provisions of this Section 4 shall not apply where both</w:t>
      </w:r>
    </w:p>
    <w:p>
      <w:pPr>
        <w:spacing w:after="0" w:line="2" w:lineRule="exact"/>
        <w:rPr>
          <w:sz w:val="20"/>
          <w:szCs w:val="20"/>
          <w:color w:val="auto"/>
        </w:rPr>
      </w:pPr>
    </w:p>
    <w:p>
      <w:pPr>
        <w:ind w:left="4" w:right="160" w:hanging="4"/>
        <w:spacing w:after="0" w:line="261" w:lineRule="auto"/>
        <w:tabs>
          <w:tab w:leader="none" w:pos="21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provisions are not permitted and (ii) the Delaware choice of law provision is not applied.</w:t>
      </w:r>
    </w:p>
    <w:p>
      <w:pPr>
        <w:spacing w:after="0" w:line="180" w:lineRule="exact"/>
        <w:rPr>
          <w:sz w:val="20"/>
          <w:szCs w:val="20"/>
          <w:color w:val="auto"/>
        </w:rPr>
      </w:pPr>
    </w:p>
    <w:p>
      <w:pPr>
        <w:ind w:left="4" w:firstLine="405"/>
        <w:spacing w:after="0" w:line="287"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i w:val="1"/>
          <w:iCs w:val="1"/>
          <w:color w:val="auto"/>
        </w:rPr>
        <w:t>Non-Competition</w:t>
      </w:r>
      <w:r>
        <w:rPr>
          <w:rFonts w:ascii="Arial" w:cs="Arial" w:eastAsia="Arial" w:hAnsi="Arial"/>
          <w:sz w:val="16"/>
          <w:szCs w:val="16"/>
          <w:color w:val="auto"/>
        </w:rPr>
        <w:t>. For a period of six (6) months from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termination of Grantee’s employment for any reason other than a Reduction-in- Force as determined at the Company’s sole discretion (“Termination”), you will not, directly or indirectly, oversee, control, or participate in the design, operation, research, manufacture, marketing, sale, or distribution of “Competitive Products and Services”. For the purpose of this section, “Competitive Products and Services” shall mean products or services that compete with, or are an alternative or potential alternative to, the products sold or services provided by Northrop Grumman, but only to the extent you had responsibility for, worked with, or had access to confidential, sensitive or proprietary information about such products and services while employed by the Company.</w:t>
      </w:r>
    </w:p>
    <w:p>
      <w:pPr>
        <w:spacing w:after="0" w:line="196" w:lineRule="exact"/>
        <w:rPr>
          <w:sz w:val="20"/>
          <w:szCs w:val="20"/>
          <w:color w:val="auto"/>
        </w:rPr>
      </w:pPr>
    </w:p>
    <w:p>
      <w:pPr>
        <w:ind w:left="4" w:firstLine="405"/>
        <w:spacing w:after="0" w:line="270"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b w:val="1"/>
          <w:bCs w:val="1"/>
          <w:i w:val="1"/>
          <w:iCs w:val="1"/>
          <w:color w:val="auto"/>
        </w:rPr>
        <w:t>Non-Solicitation of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eighteen (18)</w:t>
      </w:r>
      <w:r>
        <w:rPr>
          <w:rFonts w:ascii="Arial" w:cs="Arial" w:eastAsia="Arial" w:hAnsi="Arial"/>
          <w:sz w:val="17"/>
          <w:szCs w:val="17"/>
          <w:b w:val="1"/>
          <w:bCs w:val="1"/>
          <w:color w:val="auto"/>
        </w:rPr>
        <w:t xml:space="preserve"> </w:t>
      </w:r>
      <w:r>
        <w:rPr>
          <w:rFonts w:ascii="Arial" w:cs="Arial" w:eastAsia="Arial" w:hAnsi="Arial"/>
          <w:sz w:val="17"/>
          <w:szCs w:val="17"/>
          <w:color w:val="auto"/>
        </w:rPr>
        <w:t>months from your Termination, you shall not, directly or indirectly, solicit any customer, supplier, or teammate of Northrop Grumman with whom you came into contact, or about whom you received confidential information, while employed by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205" w:lineRule="exact"/>
        <w:rPr>
          <w:sz w:val="20"/>
          <w:szCs w:val="20"/>
          <w:color w:val="auto"/>
        </w:rPr>
      </w:pPr>
    </w:p>
    <w:p>
      <w:pPr>
        <w:ind w:left="4" w:right="40" w:firstLine="405"/>
        <w:spacing w:after="0" w:line="274"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i w:val="1"/>
          <w:iCs w:val="1"/>
          <w:color w:val="auto"/>
        </w:rPr>
        <w:t>Non-Solicitation of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eighteen (18)</w:t>
      </w:r>
      <w:r>
        <w:rPr>
          <w:rFonts w:ascii="Arial" w:cs="Arial" w:eastAsia="Arial" w:hAnsi="Arial"/>
          <w:sz w:val="17"/>
          <w:szCs w:val="17"/>
          <w:b w:val="1"/>
          <w:bCs w:val="1"/>
          <w:color w:val="auto"/>
        </w:rPr>
        <w:t xml:space="preserve"> </w:t>
      </w:r>
      <w:r>
        <w:rPr>
          <w:rFonts w:ascii="Arial" w:cs="Arial" w:eastAsia="Arial" w:hAnsi="Arial"/>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confidential information while employed by Northrop Grumman.</w:t>
      </w:r>
    </w:p>
    <w:p>
      <w:pPr>
        <w:spacing w:after="0" w:line="20" w:lineRule="exact"/>
        <w:rPr>
          <w:sz w:val="20"/>
          <w:szCs w:val="20"/>
          <w:color w:val="auto"/>
        </w:rPr>
      </w:pPr>
      <w:r>
        <w:rPr>
          <w:sz w:val="20"/>
          <w:szCs w:val="20"/>
          <w:color w:val="auto"/>
        </w:rPr>
        <w:br w:type="column"/>
      </w:r>
    </w:p>
    <w:p>
      <w:pPr>
        <w:ind w:left="37" w:right="140" w:firstLine="405"/>
        <w:spacing w:after="0" w:line="274"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b w:val="1"/>
          <w:bCs w:val="1"/>
          <w:i w:val="1"/>
          <w:iCs w:val="1"/>
          <w:color w:val="auto"/>
        </w:rPr>
        <w:t>Non-Disparagement.</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not issue or communicate any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formal legal process or government investigation.</w:t>
      </w:r>
    </w:p>
    <w:p>
      <w:pPr>
        <w:spacing w:after="0" w:line="187" w:lineRule="exact"/>
        <w:rPr>
          <w:sz w:val="20"/>
          <w:szCs w:val="20"/>
          <w:color w:val="auto"/>
        </w:rPr>
      </w:pPr>
    </w:p>
    <w:p>
      <w:pPr>
        <w:ind w:left="157" w:right="40"/>
        <w:spacing w:after="0" w:line="303" w:lineRule="auto"/>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b w:val="1"/>
          <w:bCs w:val="1"/>
          <w:i w:val="1"/>
          <w:iCs w:val="1"/>
          <w:color w:val="auto"/>
        </w:rPr>
        <w:t>Exceptions.</w:t>
      </w:r>
      <w:r>
        <w:rPr>
          <w:rFonts w:ascii="Arial" w:cs="Arial" w:eastAsia="Arial" w:hAnsi="Arial"/>
          <w:sz w:val="16"/>
          <w:szCs w:val="16"/>
          <w:b w:val="1"/>
          <w:bCs w:val="1"/>
          <w:color w:val="auto"/>
        </w:rPr>
        <w:t xml:space="preserve"> </w:t>
      </w:r>
      <w:r>
        <w:rPr>
          <w:rFonts w:ascii="Arial" w:cs="Arial" w:eastAsia="Arial" w:hAnsi="Arial"/>
          <w:sz w:val="16"/>
          <w:szCs w:val="16"/>
          <w:color w:val="auto"/>
        </w:rPr>
        <w:t>You may request an exception to the covenants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by making a written request to the Company’s Chief Human Resources Officer, with such exceptions being considered at the sole discretion of the Company and communicated in writing to you.</w:t>
      </w:r>
    </w:p>
    <w:p>
      <w:pPr>
        <w:spacing w:after="0" w:line="178" w:lineRule="exact"/>
        <w:rPr>
          <w:sz w:val="20"/>
          <w:szCs w:val="20"/>
          <w:color w:val="auto"/>
        </w:rPr>
      </w:pPr>
    </w:p>
    <w:p>
      <w:pPr>
        <w:ind w:left="37" w:firstLine="405"/>
        <w:spacing w:after="0" w:line="287" w:lineRule="auto"/>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i w:val="1"/>
          <w:iCs w:val="1"/>
          <w:color w:val="auto"/>
        </w:rPr>
        <w:t>Reasonableness.</w:t>
      </w:r>
      <w:r>
        <w:rPr>
          <w:rFonts w:ascii="Arial" w:cs="Arial" w:eastAsia="Arial" w:hAnsi="Arial"/>
          <w:sz w:val="16"/>
          <w:szCs w:val="16"/>
          <w:b w:val="1"/>
          <w:bCs w:val="1"/>
          <w:color w:val="auto"/>
        </w:rPr>
        <w:t xml:space="preserve"> </w:t>
      </w:r>
      <w:r>
        <w:rPr>
          <w:rFonts w:ascii="Arial" w:cs="Arial" w:eastAsia="Arial" w:hAnsi="Arial"/>
          <w:sz w:val="16"/>
          <w:szCs w:val="16"/>
          <w:color w:val="auto"/>
        </w:rPr>
        <w:t>You agree that the restrictions set forth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 (iii) that you will be able to earn a livelihood without violating the restrictions in this section. It is the intent of the parties that the provisions of this section shall be enforced to the fullest extent permissible under applicable law. However, if any portion of this covenant is deemed unenforceable, the parties agree that a court or arbitrator may revise the portion deemed unenforceable to the maximum extent possible to achieve the objective of the parties, and the remainder of the covenant shall remain in full force and affect.</w:t>
      </w:r>
    </w:p>
    <w:p>
      <w:pPr>
        <w:spacing w:after="0" w:line="192" w:lineRule="exact"/>
        <w:rPr>
          <w:sz w:val="20"/>
          <w:szCs w:val="20"/>
          <w:color w:val="auto"/>
        </w:rPr>
      </w:pPr>
    </w:p>
    <w:p>
      <w:pPr>
        <w:ind w:left="37" w:right="20" w:firstLine="405"/>
        <w:spacing w:after="0" w:line="287" w:lineRule="auto"/>
        <w:rPr>
          <w:sz w:val="20"/>
          <w:szCs w:val="20"/>
          <w:color w:val="auto"/>
        </w:rPr>
      </w:pPr>
      <w:r>
        <w:rPr>
          <w:rFonts w:ascii="Arial" w:cs="Arial" w:eastAsia="Arial" w:hAnsi="Arial"/>
          <w:sz w:val="16"/>
          <w:szCs w:val="16"/>
          <w:b w:val="1"/>
          <w:bCs w:val="1"/>
          <w:color w:val="auto"/>
        </w:rPr>
        <w:t xml:space="preserve">4.9 </w:t>
      </w:r>
      <w:r>
        <w:rPr>
          <w:rFonts w:ascii="Arial" w:cs="Arial" w:eastAsia="Arial" w:hAnsi="Arial"/>
          <w:sz w:val="16"/>
          <w:szCs w:val="16"/>
          <w:b w:val="1"/>
          <w:bCs w:val="1"/>
          <w:i w:val="1"/>
          <w:iCs w:val="1"/>
          <w:color w:val="auto"/>
        </w:rPr>
        <w:t>Remedies</w:t>
      </w:r>
      <w:r>
        <w:rPr>
          <w:rFonts w:ascii="Arial" w:cs="Arial" w:eastAsia="Arial" w:hAnsi="Arial"/>
          <w:sz w:val="16"/>
          <w:szCs w:val="16"/>
          <w:color w:val="auto"/>
        </w:rPr>
        <w:t>. If you violate any provision in Section 4.3, 4.4, 4.5,</w:t>
      </w:r>
      <w:r>
        <w:rPr>
          <w:rFonts w:ascii="Arial" w:cs="Arial" w:eastAsia="Arial" w:hAnsi="Arial"/>
          <w:sz w:val="16"/>
          <w:szCs w:val="16"/>
          <w:b w:val="1"/>
          <w:bCs w:val="1"/>
          <w:color w:val="auto"/>
        </w:rPr>
        <w:t xml:space="preserve"> </w:t>
      </w:r>
      <w:r>
        <w:rPr>
          <w:rFonts w:ascii="Arial" w:cs="Arial" w:eastAsia="Arial" w:hAnsi="Arial"/>
          <w:sz w:val="16"/>
          <w:szCs w:val="16"/>
          <w:color w:val="auto"/>
        </w:rPr>
        <w:t>and/or 4.6 of this section, the Company shall have the right to terminate without payment to you any unvested and/or unpaid RSRs (and associated Dividend Equivalents) and require that you immediately deliver to the Company an amount in cash equal to the aggregate Fair Market Value, determined as of the vesting and/or payment date of all RSRs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165" w:lineRule="exact"/>
        <w:rPr>
          <w:sz w:val="20"/>
          <w:szCs w:val="20"/>
          <w:color w:val="auto"/>
        </w:rPr>
      </w:pPr>
    </w:p>
    <w:p>
      <w:pPr>
        <w:ind w:left="417" w:right="720" w:hanging="417"/>
        <w:spacing w:after="0" w:line="266" w:lineRule="auto"/>
        <w:tabs>
          <w:tab w:leader="none" w:pos="417"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Laws; No Stockholder Rights Prior to Issuance</w:t>
      </w:r>
      <w:r>
        <w:rPr>
          <w:rFonts w:ascii="Arial" w:cs="Arial" w:eastAsia="Arial" w:hAnsi="Arial"/>
          <w:sz w:val="18"/>
          <w:szCs w:val="18"/>
          <w:color w:val="auto"/>
        </w:rPr>
        <w:t>.</w:t>
      </w:r>
    </w:p>
    <w:p>
      <w:pPr>
        <w:spacing w:after="0" w:line="126" w:lineRule="exact"/>
        <w:rPr>
          <w:sz w:val="20"/>
          <w:szCs w:val="20"/>
          <w:color w:val="auto"/>
        </w:rPr>
      </w:pPr>
    </w:p>
    <w:p>
      <w:pPr>
        <w:ind w:left="37" w:right="480" w:firstLine="405"/>
        <w:spacing w:after="0" w:line="277" w:lineRule="auto"/>
        <w:rPr>
          <w:sz w:val="20"/>
          <w:szCs w:val="20"/>
          <w:color w:val="auto"/>
        </w:rPr>
      </w:pPr>
      <w:r>
        <w:rPr>
          <w:rFonts w:ascii="Arial" w:cs="Arial" w:eastAsia="Arial" w:hAnsi="Arial"/>
          <w:sz w:val="18"/>
          <w:szCs w:val="18"/>
          <w:color w:val="auto"/>
        </w:rPr>
        <w:t>The Company’s obligation to make any payments or issue any shares with respect to the award is subject</w:t>
      </w:r>
    </w:p>
    <w:p>
      <w:pPr>
        <w:sectPr>
          <w:pgSz w:w="11900" w:h="16838" w:orient="portrait"/>
          <w:cols w:equalWidth="0" w:num="2">
            <w:col w:w="5364" w:space="543"/>
            <w:col w:w="5397"/>
          </w:cols>
          <w:pgMar w:left="356" w:top="364" w:right="239" w:bottom="1440" w:gutter="0" w:footer="0" w:header="0"/>
        </w:sectPr>
      </w:pPr>
    </w:p>
    <w:bookmarkStart w:id="114" w:name="page115"/>
    <w:bookmarkEnd w:id="114"/>
    <w:p>
      <w:pPr>
        <w:ind w:left="31"/>
        <w:spacing w:after="0" w:line="255" w:lineRule="auto"/>
        <w:rPr>
          <w:sz w:val="20"/>
          <w:szCs w:val="20"/>
          <w:color w:val="auto"/>
        </w:rPr>
      </w:pPr>
      <w:r>
        <w:rPr>
          <w:rFonts w:ascii="Arial" w:cs="Arial" w:eastAsia="Arial" w:hAnsi="Arial"/>
          <w:sz w:val="18"/>
          <w:szCs w:val="18"/>
          <w:color w:val="auto"/>
        </w:rPr>
        <w:t>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these Terms</w:t>
      </w:r>
    </w:p>
    <w:p>
      <w:pPr>
        <w:spacing w:after="0" w:line="27" w:lineRule="exact"/>
        <w:rPr>
          <w:sz w:val="20"/>
          <w:szCs w:val="20"/>
          <w:color w:val="auto"/>
        </w:rPr>
      </w:pPr>
    </w:p>
    <w:p>
      <w:pPr>
        <w:ind w:left="31" w:right="100"/>
        <w:spacing w:after="0" w:line="297" w:lineRule="auto"/>
        <w:rPr>
          <w:sz w:val="20"/>
          <w:szCs w:val="20"/>
          <w:color w:val="auto"/>
        </w:rPr>
      </w:pPr>
      <w:r>
        <w:rPr>
          <w:rFonts w:ascii="Arial" w:cs="Arial" w:eastAsia="Arial" w:hAnsi="Arial"/>
          <w:sz w:val="16"/>
          <w:szCs w:val="16"/>
          <w:color w:val="auto"/>
        </w:rPr>
        <w:t>with respect to Dividend Equivalents), with respect to any shares which may be issued in respect of the RSRs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14" w:lineRule="exact"/>
        <w:rPr>
          <w:sz w:val="20"/>
          <w:szCs w:val="20"/>
          <w:color w:val="auto"/>
        </w:rPr>
      </w:pPr>
    </w:p>
    <w:p>
      <w:pPr>
        <w:ind w:left="411" w:hanging="411"/>
        <w:spacing w:after="0"/>
        <w:tabs>
          <w:tab w:leader="none" w:pos="411"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189" w:lineRule="exact"/>
        <w:rPr>
          <w:sz w:val="20"/>
          <w:szCs w:val="20"/>
          <w:color w:val="auto"/>
        </w:rPr>
      </w:pPr>
    </w:p>
    <w:p>
      <w:pPr>
        <w:ind w:left="31" w:right="180" w:firstLine="405"/>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RSRs and the shares subject to the award are subject to adjustment upon the occurrence of events such as stock splits, stock dividends and other changes in capitalization in accordance with Section 6(a) of the Plan.</w:t>
      </w:r>
    </w:p>
    <w:p>
      <w:pPr>
        <w:spacing w:after="0" w:line="146" w:lineRule="exact"/>
        <w:rPr>
          <w:sz w:val="20"/>
          <w:szCs w:val="20"/>
          <w:color w:val="auto"/>
        </w:rPr>
      </w:pPr>
    </w:p>
    <w:p>
      <w:pPr>
        <w:ind w:left="31" w:right="60" w:firstLine="405"/>
        <w:spacing w:after="0" w:line="28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i w:val="1"/>
          <w:iCs w:val="1"/>
          <w:color w:val="auto"/>
        </w:rPr>
        <w:t>Possible Acceleration on Change in Control</w:t>
      </w:r>
      <w:r>
        <w:rPr>
          <w:rFonts w:ascii="Arial" w:cs="Arial" w:eastAsia="Arial" w:hAnsi="Arial"/>
          <w:sz w:val="16"/>
          <w:szCs w:val="16"/>
          <w:color w:val="auto"/>
        </w:rPr>
        <w:t>. Notwithstanding the provisions of Section 2 hereof, and further subject to the Company’s ability to terminate the award as provided in Section 6.3 below, the outstanding and previously unvested RSRs (and related Dividend Equivalents) subject to the award shall become fully vested as of the date of the Grantee’s termination of employment if the termination occurs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 and its subsidiaries for reasons other than Cause or by the Grantee for Good Reason.</w:t>
      </w:r>
    </w:p>
    <w:p>
      <w:pPr>
        <w:spacing w:after="0" w:line="128" w:lineRule="exact"/>
        <w:rPr>
          <w:sz w:val="20"/>
          <w:szCs w:val="20"/>
          <w:color w:val="auto"/>
        </w:rPr>
      </w:pPr>
    </w:p>
    <w:p>
      <w:pPr>
        <w:ind w:left="31" w:right="20" w:firstLine="405"/>
        <w:spacing w:after="0" w:line="289" w:lineRule="auto"/>
        <w:rPr>
          <w:sz w:val="20"/>
          <w:szCs w:val="20"/>
          <w:color w:val="auto"/>
        </w:rPr>
      </w:pPr>
      <w:r>
        <w:rPr>
          <w:rFonts w:ascii="Arial" w:cs="Arial" w:eastAsia="Arial" w:hAnsi="Arial"/>
          <w:sz w:val="16"/>
          <w:szCs w:val="16"/>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26" w:lineRule="exact"/>
        <w:rPr>
          <w:sz w:val="20"/>
          <w:szCs w:val="20"/>
          <w:color w:val="auto"/>
        </w:rPr>
      </w:pPr>
    </w:p>
    <w:p>
      <w:pPr>
        <w:ind w:left="31" w:right="160" w:firstLine="405"/>
        <w:spacing w:after="0" w:line="286" w:lineRule="auto"/>
        <w:rPr>
          <w:sz w:val="20"/>
          <w:szCs w:val="20"/>
          <w:color w:val="auto"/>
        </w:rPr>
      </w:pPr>
      <w:r>
        <w:rPr>
          <w:rFonts w:ascii="Arial" w:cs="Arial" w:eastAsia="Arial" w:hAnsi="Arial"/>
          <w:sz w:val="17"/>
          <w:szCs w:val="17"/>
          <w:color w:val="auto"/>
        </w:rPr>
        <w:t>Payment of any RSRs (and related Dividend Equivalents) that vest under this Section will be made within 60 days of the Grantee’s termination of employment, but in no event later than March 15 of the</w:t>
      </w:r>
    </w:p>
    <w:p>
      <w:pPr>
        <w:spacing w:after="0" w:line="20" w:lineRule="exact"/>
        <w:rPr>
          <w:sz w:val="20"/>
          <w:szCs w:val="20"/>
          <w:color w:val="auto"/>
        </w:rPr>
      </w:pPr>
      <w:r>
        <w:rPr>
          <w:sz w:val="20"/>
          <w:szCs w:val="20"/>
          <w:color w:val="auto"/>
        </w:rPr>
        <w:br w:type="column"/>
      </w:r>
    </w:p>
    <w:p>
      <w:pPr>
        <w:ind w:left="10"/>
        <w:spacing w:after="0"/>
        <w:rPr>
          <w:sz w:val="20"/>
          <w:szCs w:val="20"/>
          <w:color w:val="auto"/>
        </w:rPr>
      </w:pPr>
      <w:r>
        <w:rPr>
          <w:rFonts w:ascii="Arial" w:cs="Arial" w:eastAsia="Arial" w:hAnsi="Arial"/>
          <w:sz w:val="18"/>
          <w:szCs w:val="18"/>
          <w:color w:val="auto"/>
        </w:rPr>
        <w:t>year following the Grantee’s date of termination of employment.</w:t>
      </w:r>
    </w:p>
    <w:p>
      <w:pPr>
        <w:spacing w:after="0" w:line="185" w:lineRule="exact"/>
        <w:rPr>
          <w:sz w:val="20"/>
          <w:szCs w:val="20"/>
          <w:color w:val="auto"/>
        </w:rPr>
      </w:pPr>
    </w:p>
    <w:p>
      <w:pPr>
        <w:ind w:left="10" w:right="40" w:firstLine="405"/>
        <w:spacing w:after="0" w:line="26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b w:val="1"/>
          <w:bCs w:val="1"/>
          <w:i w:val="1"/>
          <w:iCs w:val="1"/>
          <w:color w:val="auto"/>
        </w:rPr>
        <w:t>Automatic Acceleration; Early Termination</w:t>
      </w:r>
      <w:r>
        <w:rPr>
          <w:rFonts w:ascii="Arial" w:cs="Arial" w:eastAsia="Arial" w:hAnsi="Arial"/>
          <w:sz w:val="17"/>
          <w:szCs w:val="17"/>
          <w:color w:val="auto"/>
        </w:rPr>
        <w:t>. If the Company 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w:t>
      </w:r>
    </w:p>
    <w:p>
      <w:pPr>
        <w:spacing w:after="0" w:line="1" w:lineRule="exact"/>
        <w:rPr>
          <w:sz w:val="20"/>
          <w:szCs w:val="20"/>
          <w:color w:val="auto"/>
        </w:rPr>
      </w:pPr>
    </w:p>
    <w:p>
      <w:pPr>
        <w:ind w:left="10"/>
        <w:spacing w:after="0" w:line="283" w:lineRule="auto"/>
        <w:rPr>
          <w:sz w:val="20"/>
          <w:szCs w:val="20"/>
          <w:color w:val="auto"/>
        </w:rPr>
      </w:pPr>
      <w:r>
        <w:rPr>
          <w:rFonts w:ascii="Arial" w:cs="Arial" w:eastAsia="Arial" w:hAnsi="Arial"/>
          <w:sz w:val="16"/>
          <w:szCs w:val="16"/>
          <w:color w:val="auto"/>
        </w:rPr>
        <w:t>Change in Control, or if for any other reason the award would not continue after the Change in Control, then upon the Change in Control the outstanding and previously unvested RSRs (and related Dividend Equivalents) subject to the award shall vest fully and completely. Unless the Committee expressly provides otherwise in the circumstances, no acceleration of vesting of the award shall occur pursuant to this Section 6.3 in connection with a Change in Control if either (a) the Company is the surviving entity, or (b) the successor to the Company (if any) (or a Parent thereof) agrees in writing prior to the Change in Control to assume the award. The award shall terminate, subject to such acceleration provisions, upon a Change in Control triggered by clause (iii) or (iv) of the definition thereof in which the Company is not the surviving entity and the successor to the Company (if any) (or a Parent thereof) does not agree in writing prior to the occurrence of the Change in Control to continue and assume the award following the Change in Control.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w:t>
      </w:r>
    </w:p>
    <w:p>
      <w:pPr>
        <w:spacing w:after="0" w:line="358" w:lineRule="exact"/>
        <w:rPr>
          <w:sz w:val="20"/>
          <w:szCs w:val="20"/>
          <w:color w:val="auto"/>
        </w:rPr>
      </w:pPr>
    </w:p>
    <w:p>
      <w:pPr>
        <w:ind w:left="10" w:right="140" w:firstLine="405"/>
        <w:spacing w:after="0" w:line="259" w:lineRule="auto"/>
        <w:rPr>
          <w:sz w:val="20"/>
          <w:szCs w:val="20"/>
          <w:color w:val="auto"/>
        </w:rPr>
      </w:pPr>
      <w:r>
        <w:rPr>
          <w:rFonts w:ascii="Arial" w:cs="Arial" w:eastAsia="Arial" w:hAnsi="Arial"/>
          <w:sz w:val="18"/>
          <w:szCs w:val="18"/>
          <w:color w:val="auto"/>
        </w:rPr>
        <w:t>Payment of any RSRs (and related Dividend Equivalents) that vest under this Section 6.3 will be made within 60 days of the Change of Control, but in no event later than March 15 of the year following the Change in Control.</w:t>
      </w:r>
    </w:p>
    <w:p>
      <w:pPr>
        <w:spacing w:after="0" w:line="142" w:lineRule="exact"/>
        <w:rPr>
          <w:sz w:val="20"/>
          <w:szCs w:val="20"/>
          <w:color w:val="auto"/>
        </w:rPr>
      </w:pPr>
    </w:p>
    <w:p>
      <w:pPr>
        <w:ind w:left="390" w:hanging="390"/>
        <w:spacing w:after="0"/>
        <w:tabs>
          <w:tab w:leader="none" w:pos="390"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80" w:lineRule="exact"/>
        <w:rPr>
          <w:sz w:val="20"/>
          <w:szCs w:val="20"/>
          <w:color w:val="auto"/>
        </w:rPr>
      </w:pPr>
    </w:p>
    <w:p>
      <w:pPr>
        <w:ind w:left="10" w:right="20" w:firstLine="405"/>
        <w:spacing w:after="0" w:line="282"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7"/>
          <w:szCs w:val="17"/>
          <w:b w:val="1"/>
          <w:bCs w:val="1"/>
          <w:i w:val="1"/>
          <w:iCs w:val="1"/>
          <w:color w:val="auto"/>
        </w:rPr>
        <w:t>Tax Withholding</w:t>
      </w:r>
      <w:r>
        <w:rPr>
          <w:rFonts w:ascii="Arial" w:cs="Arial" w:eastAsia="Arial" w:hAnsi="Arial"/>
          <w:sz w:val="17"/>
          <w:szCs w:val="17"/>
          <w:color w:val="auto"/>
        </w:rPr>
        <w:t>. The Company or the subsidiary which</w:t>
      </w:r>
      <w:r>
        <w:rPr>
          <w:rFonts w:ascii="Arial" w:cs="Arial" w:eastAsia="Arial" w:hAnsi="Arial"/>
          <w:sz w:val="19"/>
          <w:szCs w:val="19"/>
          <w:b w:val="1"/>
          <w:bCs w:val="1"/>
          <w:color w:val="auto"/>
        </w:rPr>
        <w:t xml:space="preserve"> </w:t>
      </w:r>
      <w:r>
        <w:rPr>
          <w:rFonts w:ascii="Arial" w:cs="Arial" w:eastAsia="Arial" w:hAnsi="Arial"/>
          <w:sz w:val="17"/>
          <w:szCs w:val="17"/>
          <w:color w:val="auto"/>
        </w:rPr>
        <w:t>employs the Grantee shall be entitled to require, as a condition of making any payments or issuing any shares upon vesting of the RSRs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w:t>
      </w:r>
    </w:p>
    <w:p>
      <w:pPr>
        <w:sectPr>
          <w:pgSz w:w="11900" w:h="16838" w:orient="portrait"/>
          <w:cols w:equalWidth="0" w:num="2">
            <w:col w:w="5391" w:space="570"/>
            <w:col w:w="5350"/>
          </w:cols>
          <w:pgMar w:left="329" w:top="368" w:right="259" w:bottom="1440" w:gutter="0" w:footer="0" w:header="0"/>
        </w:sectPr>
      </w:pPr>
    </w:p>
    <w:bookmarkStart w:id="115" w:name="page116"/>
    <w:bookmarkEnd w:id="115"/>
    <w:p>
      <w:pPr>
        <w:ind w:right="20"/>
        <w:spacing w:after="0" w:line="255" w:lineRule="auto"/>
        <w:rPr>
          <w:sz w:val="20"/>
          <w:szCs w:val="20"/>
          <w:color w:val="auto"/>
        </w:rPr>
      </w:pPr>
      <w:r>
        <w:rPr>
          <w:rFonts w:ascii="Arial" w:cs="Arial" w:eastAsia="Arial" w:hAnsi="Arial"/>
          <w:sz w:val="18"/>
          <w:szCs w:val="18"/>
          <w:color w:val="auto"/>
        </w:rPr>
        <w:t>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44" w:lineRule="exact"/>
        <w:rPr>
          <w:sz w:val="20"/>
          <w:szCs w:val="20"/>
          <w:color w:val="auto"/>
        </w:rPr>
      </w:pPr>
    </w:p>
    <w:p>
      <w:pPr>
        <w:ind w:right="180" w:firstLine="405"/>
        <w:spacing w:after="0" w:line="262" w:lineRule="auto"/>
        <w:rPr>
          <w:sz w:val="20"/>
          <w:szCs w:val="20"/>
          <w:color w:val="auto"/>
        </w:rPr>
      </w:pPr>
      <w:r>
        <w:rPr>
          <w:rFonts w:ascii="Arial" w:cs="Arial" w:eastAsia="Arial" w:hAnsi="Arial"/>
          <w:sz w:val="20"/>
          <w:szCs w:val="20"/>
          <w:b w:val="1"/>
          <w:bCs w:val="1"/>
          <w:color w:val="auto"/>
        </w:rPr>
        <w:t xml:space="preserve">7.2. </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The Company will pay all federal and state</w:t>
      </w:r>
      <w:r>
        <w:rPr>
          <w:rFonts w:ascii="Arial" w:cs="Arial" w:eastAsia="Arial" w:hAnsi="Arial"/>
          <w:sz w:val="20"/>
          <w:szCs w:val="20"/>
          <w:b w:val="1"/>
          <w:bCs w:val="1"/>
          <w:color w:val="auto"/>
        </w:rPr>
        <w:t xml:space="preserve"> </w:t>
      </w:r>
      <w:r>
        <w:rPr>
          <w:rFonts w:ascii="Arial" w:cs="Arial" w:eastAsia="Arial" w:hAnsi="Arial"/>
          <w:sz w:val="18"/>
          <w:szCs w:val="18"/>
          <w:color w:val="auto"/>
        </w:rPr>
        <w:t>transfer taxes, if any, and other fees and</w:t>
      </w:r>
    </w:p>
    <w:p>
      <w:pPr>
        <w:spacing w:after="0" w:line="23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expenses in connection with the issuance of shares in connection with the vesting of the RSRs.</w:t>
      </w:r>
    </w:p>
    <w:p>
      <w:pPr>
        <w:spacing w:after="0" w:line="121" w:lineRule="exact"/>
        <w:rPr>
          <w:sz w:val="20"/>
          <w:szCs w:val="20"/>
          <w:color w:val="auto"/>
        </w:rPr>
      </w:pPr>
    </w:p>
    <w:p>
      <w:pPr>
        <w:ind w:firstLine="405"/>
        <w:spacing w:after="0" w:line="264" w:lineRule="auto"/>
        <w:rPr>
          <w:sz w:val="20"/>
          <w:szCs w:val="20"/>
          <w:color w:val="auto"/>
        </w:rPr>
      </w:pPr>
      <w:r>
        <w:rPr>
          <w:rFonts w:ascii="Arial" w:cs="Arial" w:eastAsia="Arial" w:hAnsi="Arial"/>
          <w:sz w:val="20"/>
          <w:szCs w:val="20"/>
          <w:b w:val="1"/>
          <w:bCs w:val="1"/>
          <w:color w:val="auto"/>
        </w:rPr>
        <w:t xml:space="preserve">7.3. </w:t>
      </w:r>
      <w:r>
        <w:rPr>
          <w:rFonts w:ascii="Arial" w:cs="Arial" w:eastAsia="Arial" w:hAnsi="Arial"/>
          <w:sz w:val="18"/>
          <w:szCs w:val="18"/>
          <w:b w:val="1"/>
          <w:bCs w:val="1"/>
          <w:i w:val="1"/>
          <w:iCs w:val="1"/>
          <w:color w:val="auto"/>
        </w:rPr>
        <w:t>Compliance with Code</w:t>
      </w:r>
      <w:r>
        <w:rPr>
          <w:rFonts w:ascii="Arial" w:cs="Arial" w:eastAsia="Arial" w:hAnsi="Arial"/>
          <w:sz w:val="18"/>
          <w:szCs w:val="18"/>
          <w:color w:val="auto"/>
        </w:rPr>
        <w:t>. These Terms are designed to be</w:t>
      </w:r>
      <w:r>
        <w:rPr>
          <w:rFonts w:ascii="Arial" w:cs="Arial" w:eastAsia="Arial" w:hAnsi="Arial"/>
          <w:sz w:val="20"/>
          <w:szCs w:val="20"/>
          <w:b w:val="1"/>
          <w:bCs w:val="1"/>
          <w:color w:val="auto"/>
        </w:rPr>
        <w:t xml:space="preserve"> </w:t>
      </w:r>
      <w:r>
        <w:rPr>
          <w:rFonts w:ascii="Arial" w:cs="Arial" w:eastAsia="Arial" w:hAnsi="Arial"/>
          <w:sz w:val="18"/>
          <w:szCs w:val="18"/>
          <w:color w:val="auto"/>
        </w:rPr>
        <w:t>exempt from Code Section 409A, and the Committee shall administer and construe the award, and may amend the Terms of the award, in such a way as to be exempt from and to avoid adverse tax consequences under Code Section 409A.</w:t>
      </w:r>
    </w:p>
    <w:p>
      <w:pPr>
        <w:spacing w:after="0" w:line="135"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20"/>
          <w:szCs w:val="20"/>
          <w:b w:val="1"/>
          <w:bCs w:val="1"/>
          <w:color w:val="auto"/>
        </w:rPr>
        <w:t xml:space="preserve">7.4. </w:t>
      </w:r>
      <w:r>
        <w:rPr>
          <w:rFonts w:ascii="Arial" w:cs="Arial" w:eastAsia="Arial" w:hAnsi="Arial"/>
          <w:sz w:val="18"/>
          <w:szCs w:val="18"/>
          <w:b w:val="1"/>
          <w:bCs w:val="1"/>
          <w:i w:val="1"/>
          <w:iCs w:val="1"/>
          <w:color w:val="auto"/>
        </w:rPr>
        <w:t>Unfunded Arrangement</w:t>
      </w:r>
      <w:r>
        <w:rPr>
          <w:rFonts w:ascii="Arial" w:cs="Arial" w:eastAsia="Arial" w:hAnsi="Arial"/>
          <w:sz w:val="18"/>
          <w:szCs w:val="18"/>
          <w:color w:val="auto"/>
        </w:rPr>
        <w:t>. The right of the Grantee to receive</w:t>
      </w:r>
      <w:r>
        <w:rPr>
          <w:rFonts w:ascii="Arial" w:cs="Arial" w:eastAsia="Arial" w:hAnsi="Arial"/>
          <w:sz w:val="20"/>
          <w:szCs w:val="20"/>
          <w:b w:val="1"/>
          <w:bCs w:val="1"/>
          <w:color w:val="auto"/>
        </w:rPr>
        <w:t xml:space="preserve"> </w:t>
      </w:r>
      <w:r>
        <w:rPr>
          <w:rFonts w:ascii="Arial" w:cs="Arial" w:eastAsia="Arial" w:hAnsi="Arial"/>
          <w:sz w:val="18"/>
          <w:szCs w:val="18"/>
          <w:color w:val="auto"/>
        </w:rPr>
        <w:t>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36" w:lineRule="exact"/>
        <w:rPr>
          <w:sz w:val="20"/>
          <w:szCs w:val="20"/>
          <w:color w:val="auto"/>
        </w:rPr>
      </w:pPr>
    </w:p>
    <w:p>
      <w:pPr>
        <w:ind w:right="20" w:firstLine="405"/>
        <w:spacing w:after="0" w:line="302"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6"/>
          <w:szCs w:val="16"/>
          <w:b w:val="1"/>
          <w:bCs w:val="1"/>
          <w:i w:val="1"/>
          <w:iCs w:val="1"/>
          <w:color w:val="auto"/>
        </w:rPr>
        <w:t>Code Section 280G</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Notwithstanding any other provision of</w:t>
      </w:r>
      <w:r>
        <w:rPr>
          <w:rFonts w:ascii="Arial" w:cs="Arial" w:eastAsia="Arial" w:hAnsi="Arial"/>
          <w:sz w:val="18"/>
          <w:szCs w:val="18"/>
          <w:b w:val="1"/>
          <w:bCs w:val="1"/>
          <w:color w:val="auto"/>
        </w:rPr>
        <w:t xml:space="preserve"> </w:t>
      </w:r>
      <w:r>
        <w:rPr>
          <w:rFonts w:ascii="Arial" w:cs="Arial" w:eastAsia="Arial" w:hAnsi="Arial"/>
          <w:sz w:val="16"/>
          <w:szCs w:val="16"/>
          <w:color w:val="auto"/>
        </w:rPr>
        <w:t>this Agreement to the contrary, in the event that any amounts payable to you as a result of Section 6.2 or 6.3 hereof,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w:t>
      </w:r>
    </w:p>
    <w:p>
      <w:pPr>
        <w:spacing w:after="0" w:line="20" w:lineRule="exact"/>
        <w:rPr>
          <w:sz w:val="20"/>
          <w:szCs w:val="20"/>
          <w:color w:val="auto"/>
        </w:rPr>
      </w:pPr>
      <w:r>
        <w:rPr>
          <w:sz w:val="20"/>
          <w:szCs w:val="20"/>
          <w:color w:val="auto"/>
        </w:rPr>
        <w:br w:type="column"/>
      </w:r>
    </w:p>
    <w:p>
      <w:pPr>
        <w:ind w:left="37" w:right="40"/>
        <w:spacing w:after="0" w:line="272" w:lineRule="auto"/>
        <w:rPr>
          <w:sz w:val="20"/>
          <w:szCs w:val="20"/>
          <w:color w:val="auto"/>
        </w:rPr>
      </w:pPr>
      <w:r>
        <w:rPr>
          <w:rFonts w:ascii="Arial" w:cs="Arial" w:eastAsia="Arial" w:hAnsi="Arial"/>
          <w:sz w:val="17"/>
          <w:szCs w:val="17"/>
          <w:color w:val="auto"/>
        </w:rPr>
        <w:t>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25" w:lineRule="exact"/>
        <w:rPr>
          <w:sz w:val="20"/>
          <w:szCs w:val="20"/>
          <w:color w:val="auto"/>
        </w:rPr>
      </w:pPr>
    </w:p>
    <w:p>
      <w:pPr>
        <w:ind w:left="417" w:hanging="417"/>
        <w:spacing w:after="0"/>
        <w:tabs>
          <w:tab w:leader="none" w:pos="417"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Arbitration</w:t>
      </w:r>
    </w:p>
    <w:p>
      <w:pPr>
        <w:spacing w:after="0" w:line="189" w:lineRule="exact"/>
        <w:rPr>
          <w:sz w:val="20"/>
          <w:szCs w:val="20"/>
          <w:color w:val="auto"/>
        </w:rPr>
      </w:pPr>
    </w:p>
    <w:p>
      <w:pPr>
        <w:ind w:left="37" w:firstLine="392"/>
        <w:spacing w:after="0" w:line="267" w:lineRule="auto"/>
        <w:rPr>
          <w:sz w:val="20"/>
          <w:szCs w:val="20"/>
          <w:color w:val="auto"/>
        </w:rPr>
      </w:pPr>
      <w:r>
        <w:rPr>
          <w:rFonts w:ascii="Arial" w:cs="Arial" w:eastAsia="Arial" w:hAnsi="Arial"/>
          <w:sz w:val="17"/>
          <w:szCs w:val="17"/>
          <w:color w:val="auto"/>
        </w:rPr>
        <w:t>This agreement shall be governed by the laws of the State of Delaware. Any cause of action or claim arising out of or related to the terms and conditions applicable to this grant will be determined through final and binding arbitration, in accordance with Northrop Grumman Corporate Procedure H103A,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these terms, before arbitration is commenced or concluded, either party may seek injunctive or other provisional equitable relief from a state or federal court in the Commonwealth of Virginia. All court actions or proceedings arising under these terms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47" w:lineRule="exact"/>
        <w:rPr>
          <w:sz w:val="20"/>
          <w:szCs w:val="20"/>
          <w:color w:val="auto"/>
        </w:rPr>
      </w:pPr>
    </w:p>
    <w:p>
      <w:pPr>
        <w:ind w:left="417" w:hanging="417"/>
        <w:spacing w:after="0"/>
        <w:tabs>
          <w:tab w:leader="none" w:pos="417" w:val="left"/>
        </w:tabs>
        <w:numPr>
          <w:ilvl w:val="0"/>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189" w:lineRule="exact"/>
        <w:rPr>
          <w:sz w:val="20"/>
          <w:szCs w:val="20"/>
          <w:color w:val="auto"/>
        </w:rPr>
      </w:pPr>
    </w:p>
    <w:p>
      <w:pPr>
        <w:ind w:left="37" w:right="40" w:firstLine="405"/>
        <w:spacing w:after="0" w:line="290" w:lineRule="auto"/>
        <w:rPr>
          <w:sz w:val="20"/>
          <w:szCs w:val="20"/>
          <w:color w:val="auto"/>
        </w:rPr>
      </w:pPr>
      <w:r>
        <w:rPr>
          <w:rFonts w:ascii="Arial" w:cs="Arial" w:eastAsia="Arial" w:hAnsi="Arial"/>
          <w:sz w:val="16"/>
          <w:szCs w:val="16"/>
          <w:color w:val="auto"/>
        </w:rPr>
        <w:t>The Committee has the discretionary authority to determine any questions as to the date when the Grantee’s employment terminated and the cause of such termination and to interpret any provision of these Terms, the Stock Plan System, the Plan, and any other applicable rules. Any action taken by, or inaction of, the Committee relating to or pursuant to these Terms, the Stock Plan System, the Plan, or any other applicable rules shall be within the absolute discretion of the Committee and shall be conclusive and binding on all persons.</w:t>
      </w:r>
    </w:p>
    <w:p>
      <w:pPr>
        <w:spacing w:after="0" w:line="122" w:lineRule="exact"/>
        <w:rPr>
          <w:sz w:val="20"/>
          <w:szCs w:val="20"/>
          <w:color w:val="auto"/>
        </w:rPr>
      </w:pPr>
    </w:p>
    <w:p>
      <w:pPr>
        <w:ind w:left="417" w:hanging="417"/>
        <w:spacing w:after="0"/>
        <w:tabs>
          <w:tab w:leader="none" w:pos="417"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189" w:lineRule="exact"/>
        <w:rPr>
          <w:sz w:val="20"/>
          <w:szCs w:val="20"/>
          <w:color w:val="auto"/>
        </w:rPr>
      </w:pPr>
    </w:p>
    <w:p>
      <w:pPr>
        <w:ind w:left="37" w:right="80" w:firstLine="405"/>
        <w:spacing w:after="0" w:line="279" w:lineRule="auto"/>
        <w:rPr>
          <w:sz w:val="20"/>
          <w:szCs w:val="20"/>
          <w:color w:val="auto"/>
        </w:rPr>
      </w:pPr>
      <w:r>
        <w:rPr>
          <w:rFonts w:ascii="Arial" w:cs="Arial" w:eastAsia="Arial" w:hAnsi="Arial"/>
          <w:sz w:val="17"/>
          <w:szCs w:val="17"/>
          <w:color w:val="auto"/>
        </w:rPr>
        <w:t>The RSRs (and related Dividend Equivalents) subject to the award are governed by, and the Grantee’s rights are subject to, all of the terms and conditions of the Plan and any other rules adopted by the Committee, as the foregoing may be amended from time to time.</w:t>
      </w:r>
    </w:p>
    <w:p>
      <w:pPr>
        <w:sectPr>
          <w:pgSz w:w="11900" w:h="16838" w:orient="portrait"/>
          <w:cols w:equalWidth="0" w:num="2">
            <w:col w:w="5360" w:space="543"/>
            <w:col w:w="5397"/>
          </w:cols>
          <w:pgMar w:left="360" w:top="368" w:right="239" w:bottom="1440" w:gutter="0" w:footer="0" w:header="0"/>
        </w:sectPr>
      </w:pPr>
    </w:p>
    <w:bookmarkStart w:id="116" w:name="page117"/>
    <w:bookmarkEnd w:id="116"/>
    <w:p>
      <w:pPr>
        <w:ind w:left="31"/>
        <w:spacing w:after="0" w:line="273" w:lineRule="auto"/>
        <w:rPr>
          <w:sz w:val="20"/>
          <w:szCs w:val="20"/>
          <w:color w:val="auto"/>
        </w:rPr>
      </w:pPr>
      <w:r>
        <w:rPr>
          <w:rFonts w:ascii="Arial" w:cs="Arial" w:eastAsia="Arial" w:hAnsi="Arial"/>
          <w:sz w:val="17"/>
          <w:szCs w:val="17"/>
          <w:color w:val="auto"/>
        </w:rPr>
        <w:t>The Grantee shall have no rights with respect to any amendment of these Terms or the Plan unless such amendment is in writing and signed by a duly authorized officer of the Company. In the event of a conflict between the provisions of the Stock Plan System and the provisions of these Terms and/or the Plan, the provisions of these Terms and/or the Plan, as applicable, shall control.</w:t>
      </w:r>
    </w:p>
    <w:p>
      <w:pPr>
        <w:spacing w:after="0" w:line="26" w:lineRule="exact"/>
        <w:rPr>
          <w:sz w:val="20"/>
          <w:szCs w:val="20"/>
          <w:color w:val="auto"/>
        </w:rPr>
      </w:pPr>
    </w:p>
    <w:p>
      <w:pPr>
        <w:ind w:left="491" w:hanging="464"/>
        <w:spacing w:after="0"/>
        <w:tabs>
          <w:tab w:leader="none" w:pos="491"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Holding Period</w:t>
      </w:r>
      <w:r>
        <w:rPr>
          <w:rFonts w:ascii="Arial" w:cs="Arial" w:eastAsia="Arial" w:hAnsi="Arial"/>
          <w:sz w:val="18"/>
          <w:szCs w:val="18"/>
          <w:b w:val="1"/>
          <w:bCs w:val="1"/>
          <w:color w:val="auto"/>
        </w:rPr>
        <w:t>.</w:t>
      </w:r>
    </w:p>
    <w:p>
      <w:pPr>
        <w:spacing w:after="0" w:line="189" w:lineRule="exact"/>
        <w:rPr>
          <w:sz w:val="20"/>
          <w:szCs w:val="20"/>
          <w:color w:val="auto"/>
        </w:rPr>
      </w:pPr>
    </w:p>
    <w:p>
      <w:pPr>
        <w:ind w:left="31" w:right="100" w:firstLine="405"/>
        <w:spacing w:after="0" w:line="283" w:lineRule="auto"/>
        <w:rPr>
          <w:sz w:val="20"/>
          <w:szCs w:val="20"/>
          <w:color w:val="auto"/>
        </w:rPr>
      </w:pPr>
      <w:r>
        <w:rPr>
          <w:rFonts w:ascii="Arial" w:cs="Arial" w:eastAsia="Arial" w:hAnsi="Arial"/>
          <w:sz w:val="16"/>
          <w:szCs w:val="16"/>
          <w:color w:val="auto"/>
        </w:rPr>
        <w:t>The holding requirements of this Section 11 shall apply to any Grantee who is an elected or appointed officer of the Company or a Country Chief Executive on the date Vested RSRs are paid (or, if earlier, on the date the Grantee’s employment by the Company and its subsidiaries terminates for any reason). Any Grantee subject to this Section 11 shall not be permitted to sell, transfer, anticipate, alienate, assign, pledge, encumber or charge 50% of the total number (if any) of shares of Common Stock the Grantee receives as payment for Vested RSRs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w:t>
      </w:r>
    </w:p>
    <w:p>
      <w:pPr>
        <w:spacing w:after="0" w:line="3" w:lineRule="exact"/>
        <w:rPr>
          <w:sz w:val="20"/>
          <w:szCs w:val="20"/>
          <w:color w:val="auto"/>
        </w:rPr>
      </w:pPr>
    </w:p>
    <w:p>
      <w:pPr>
        <w:ind w:left="31" w:right="60" w:hanging="4"/>
        <w:spacing w:after="0" w:line="265" w:lineRule="auto"/>
        <w:tabs>
          <w:tab w:leader="none" w:pos="326" w:val="left"/>
        </w:tabs>
        <w:numPr>
          <w:ilvl w:val="1"/>
          <w:numId w:val="112"/>
        </w:numPr>
        <w:rPr>
          <w:rFonts w:ascii="Arial" w:cs="Arial" w:eastAsia="Arial" w:hAnsi="Arial"/>
          <w:sz w:val="17"/>
          <w:szCs w:val="17"/>
          <w:color w:val="auto"/>
        </w:rPr>
      </w:pPr>
      <w:r>
        <w:rPr>
          <w:rFonts w:ascii="Arial" w:cs="Arial" w:eastAsia="Arial" w:hAnsi="Arial"/>
          <w:sz w:val="17"/>
          <w:szCs w:val="17"/>
          <w:color w:val="auto"/>
        </w:rPr>
        <w:t>if Grantee is a Country Chief Executive or an appointed officer (not an elected officer) the one year anniversary of the Grantee’s termination of employment, or (E) with respected to Grantee’s entering a U.S. federal government position only, the latest of (i) the date the Grantee’s employment with the Company terminates, or</w:t>
      </w:r>
    </w:p>
    <w:p>
      <w:pPr>
        <w:spacing w:after="0" w:line="1" w:lineRule="exact"/>
        <w:rPr>
          <w:rFonts w:ascii="Arial" w:cs="Arial" w:eastAsia="Arial" w:hAnsi="Arial"/>
          <w:sz w:val="17"/>
          <w:szCs w:val="17"/>
          <w:color w:val="auto"/>
        </w:rPr>
      </w:pPr>
    </w:p>
    <w:p>
      <w:pPr>
        <w:ind w:left="31"/>
        <w:spacing w:after="0" w:line="267" w:lineRule="auto"/>
        <w:rPr>
          <w:rFonts w:ascii="Arial" w:cs="Arial" w:eastAsia="Arial" w:hAnsi="Arial"/>
          <w:sz w:val="17"/>
          <w:szCs w:val="17"/>
          <w:color w:val="auto"/>
        </w:rPr>
      </w:pPr>
      <w:r>
        <w:rPr>
          <w:rFonts w:ascii="Arial" w:cs="Arial" w:eastAsia="Arial" w:hAnsi="Arial"/>
          <w:sz w:val="17"/>
          <w:szCs w:val="17"/>
          <w:color w:val="auto"/>
        </w:rPr>
        <w:t>(ii) the date the Grantee formally accepts the government position in writing, or (iii) the date the government confirms the Grantee (for positions requiring nomination and confirmation). For purposes of this Section 11, the total number of shares of Common Stock the Grantee receives as payment for Vested RSRs shall be determined on a net basis after taking into account any shares otherwise deliverable with respect to the award that the Company withholds to satisfy tax obligations pursuant to Section 7.1.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140" w:lineRule="exact"/>
        <w:rPr>
          <w:rFonts w:ascii="Arial" w:cs="Arial" w:eastAsia="Arial" w:hAnsi="Arial"/>
          <w:sz w:val="17"/>
          <w:szCs w:val="17"/>
          <w:color w:val="auto"/>
        </w:rPr>
      </w:pPr>
    </w:p>
    <w:p>
      <w:pPr>
        <w:ind w:left="411" w:hanging="411"/>
        <w:spacing w:after="0"/>
        <w:tabs>
          <w:tab w:leader="none" w:pos="411" w:val="left"/>
        </w:tabs>
        <w:numPr>
          <w:ilvl w:val="0"/>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89" w:lineRule="exact"/>
        <w:rPr>
          <w:sz w:val="20"/>
          <w:szCs w:val="20"/>
          <w:color w:val="auto"/>
        </w:rPr>
      </w:pPr>
    </w:p>
    <w:p>
      <w:pPr>
        <w:jc w:val="both"/>
        <w:ind w:left="31" w:right="200" w:firstLine="405"/>
        <w:spacing w:after="0" w:line="264" w:lineRule="auto"/>
        <w:rPr>
          <w:sz w:val="20"/>
          <w:szCs w:val="20"/>
          <w:color w:val="auto"/>
        </w:rPr>
      </w:pPr>
      <w:r>
        <w:rPr>
          <w:rFonts w:ascii="Arial" w:cs="Arial" w:eastAsia="Arial" w:hAnsi="Arial"/>
          <w:sz w:val="18"/>
          <w:szCs w:val="18"/>
          <w:color w:val="auto"/>
        </w:rPr>
        <w:t>Whenever used in these Terms, the following terms shall have the meanings set forth below and, when the meaning is intended, the initial letter of the word is capitalized:</w:t>
      </w:r>
    </w:p>
    <w:p>
      <w:pPr>
        <w:spacing w:after="0" w:line="137" w:lineRule="exact"/>
        <w:rPr>
          <w:sz w:val="20"/>
          <w:szCs w:val="20"/>
          <w:color w:val="auto"/>
        </w:rPr>
      </w:pPr>
    </w:p>
    <w:p>
      <w:pPr>
        <w:ind w:left="43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the occurrence of either or both of the following:</w:t>
      </w:r>
    </w:p>
    <w:p>
      <w:pPr>
        <w:spacing w:after="0" w:line="200" w:lineRule="exact"/>
        <w:rPr>
          <w:sz w:val="20"/>
          <w:szCs w:val="20"/>
          <w:color w:val="auto"/>
        </w:rPr>
      </w:pPr>
    </w:p>
    <w:p>
      <w:pPr>
        <w:ind w:left="540" w:right="100" w:hanging="320"/>
        <w:spacing w:after="0" w:line="302" w:lineRule="auto"/>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13" w:lineRule="exact"/>
        <w:rPr>
          <w:rFonts w:ascii="Arial" w:cs="Arial" w:eastAsia="Arial" w:hAnsi="Arial"/>
          <w:sz w:val="16"/>
          <w:szCs w:val="16"/>
          <w:color w:val="auto"/>
        </w:rPr>
      </w:pPr>
    </w:p>
    <w:p>
      <w:pPr>
        <w:ind w:left="540" w:right="20" w:hanging="320"/>
        <w:spacing w:after="0" w:line="273" w:lineRule="auto"/>
        <w:tabs>
          <w:tab w:leader="none" w:pos="5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willful engaging by the Grantee in misconduct that is significantly injurious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1" w:lineRule="exact"/>
        <w:rPr>
          <w:sz w:val="20"/>
          <w:szCs w:val="20"/>
          <w:color w:val="auto"/>
        </w:rPr>
      </w:pPr>
    </w:p>
    <w:p>
      <w:pPr>
        <w:ind w:right="40" w:firstLine="44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21" w:lineRule="exact"/>
        <w:rPr>
          <w:sz w:val="20"/>
          <w:szCs w:val="20"/>
          <w:color w:val="auto"/>
        </w:rPr>
      </w:pPr>
    </w:p>
    <w:p>
      <w:pPr>
        <w:jc w:val="both"/>
        <w:ind w:right="18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Company’s Compensation Committee or any successor committee appointed by the Board to administer the Plan.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18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w:t>
      </w:r>
    </w:p>
    <w:p>
      <w:pPr>
        <w:spacing w:after="0" w:line="121" w:lineRule="exact"/>
        <w:rPr>
          <w:sz w:val="20"/>
          <w:szCs w:val="20"/>
          <w:color w:val="auto"/>
        </w:rPr>
      </w:pPr>
    </w:p>
    <w:p>
      <w:pPr>
        <w:ind w:right="100" w:firstLine="44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40" w:lineRule="exact"/>
        <w:rPr>
          <w:sz w:val="20"/>
          <w:szCs w:val="20"/>
          <w:color w:val="auto"/>
        </w:rPr>
      </w:pPr>
    </w:p>
    <w:p>
      <w:pPr>
        <w:ind w:right="50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Grantee’s express written consent, the occurrence of any one or more of the following:</w:t>
      </w:r>
    </w:p>
    <w:p>
      <w:pPr>
        <w:spacing w:after="0" w:line="80" w:lineRule="exact"/>
        <w:rPr>
          <w:sz w:val="20"/>
          <w:szCs w:val="20"/>
          <w:color w:val="auto"/>
        </w:rPr>
      </w:pPr>
    </w:p>
    <w:p>
      <w:pPr>
        <w:ind w:left="540" w:right="160" w:hanging="320"/>
        <w:spacing w:after="0" w:line="277"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material and substantial reduction in the nature or status of the Grantee’s authorities or</w:t>
      </w:r>
    </w:p>
    <w:p>
      <w:pPr>
        <w:sectPr>
          <w:pgSz w:w="11900" w:h="16838" w:orient="portrait"/>
          <w:cols w:equalWidth="0" w:num="2">
            <w:col w:w="5371" w:space="600"/>
            <w:col w:w="5360"/>
          </w:cols>
          <w:pgMar w:left="329" w:top="368" w:right="239" w:bottom="1440" w:gutter="0" w:footer="0" w:header="0"/>
        </w:sectPr>
      </w:pPr>
    </w:p>
    <w:bookmarkStart w:id="117" w:name="page118"/>
    <w:bookmarkEnd w:id="117"/>
    <w:p>
      <w:pPr>
        <w:ind w:left="571" w:right="120"/>
        <w:spacing w:after="0" w:line="334" w:lineRule="auto"/>
        <w:rPr>
          <w:sz w:val="20"/>
          <w:szCs w:val="20"/>
          <w:color w:val="auto"/>
        </w:rPr>
      </w:pPr>
      <w:r>
        <w:rPr>
          <w:rFonts w:ascii="Arial" w:cs="Arial" w:eastAsia="Arial" w:hAnsi="Arial"/>
          <w:sz w:val="16"/>
          <w:szCs w:val="16"/>
          <w:color w:val="auto"/>
        </w:rPr>
        <w:t>responsibilities (when such authorities and/or responsibilities are viewed in the aggregate) from their level in effect on the day immediately prior to the start of the Protected Period, other than</w:t>
      </w:r>
    </w:p>
    <w:p>
      <w:pPr>
        <w:spacing w:after="0" w:line="2" w:lineRule="exact"/>
        <w:rPr>
          <w:sz w:val="20"/>
          <w:szCs w:val="20"/>
          <w:color w:val="auto"/>
        </w:rPr>
      </w:pPr>
    </w:p>
    <w:p>
      <w:pPr>
        <w:ind w:left="571" w:right="80" w:firstLine="10"/>
        <w:spacing w:after="0" w:line="329" w:lineRule="auto"/>
        <w:tabs>
          <w:tab w:leader="none" w:pos="86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an inadvertent act that is remedied by the Company promptly after receipt of notice thereof given by the Grantee, and/or (B) changes in the nature or status of the Grantee’s authorities or responsibilities that, in the aggregate, would</w:t>
      </w:r>
    </w:p>
    <w:p>
      <w:pPr>
        <w:spacing w:after="0" w:line="198" w:lineRule="exact"/>
        <w:rPr>
          <w:sz w:val="20"/>
          <w:szCs w:val="20"/>
          <w:color w:val="auto"/>
        </w:rPr>
      </w:pPr>
    </w:p>
    <w:p>
      <w:pPr>
        <w:ind w:left="331" w:right="120"/>
        <w:spacing w:after="0" w:line="288" w:lineRule="auto"/>
        <w:rPr>
          <w:sz w:val="20"/>
          <w:szCs w:val="20"/>
          <w:color w:val="auto"/>
        </w:rPr>
      </w:pPr>
      <w:r>
        <w:rPr>
          <w:rFonts w:ascii="Arial" w:cs="Arial" w:eastAsia="Arial" w:hAnsi="Arial"/>
          <w:sz w:val="16"/>
          <w:szCs w:val="16"/>
          <w:color w:val="auto"/>
        </w:rPr>
        <w:t>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 recognized executive placement firm for purposes of making the determination required by the preceding sentence and the written opinion of the firm thus selected shall be conclusive as to this issue.</w:t>
      </w:r>
    </w:p>
    <w:p>
      <w:pPr>
        <w:spacing w:after="0" w:line="129" w:lineRule="exact"/>
        <w:rPr>
          <w:sz w:val="20"/>
          <w:szCs w:val="20"/>
          <w:color w:val="auto"/>
        </w:rPr>
      </w:pPr>
    </w:p>
    <w:p>
      <w:pPr>
        <w:ind w:left="331"/>
        <w:spacing w:after="0" w:line="268" w:lineRule="auto"/>
        <w:rPr>
          <w:sz w:val="20"/>
          <w:szCs w:val="20"/>
          <w:color w:val="auto"/>
        </w:rPr>
      </w:pPr>
      <w:r>
        <w:rPr>
          <w:rFonts w:ascii="Arial" w:cs="Arial" w:eastAsia="Arial" w:hAnsi="Arial"/>
          <w:sz w:val="17"/>
          <w:szCs w:val="17"/>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147" w:lineRule="exact"/>
        <w:rPr>
          <w:sz w:val="20"/>
          <w:szCs w:val="20"/>
          <w:color w:val="auto"/>
        </w:rPr>
      </w:pPr>
    </w:p>
    <w:p>
      <w:pPr>
        <w:ind w:left="331" w:right="80" w:hanging="331"/>
        <w:spacing w:after="0" w:line="264" w:lineRule="auto"/>
        <w:tabs>
          <w:tab w:leader="none" w:pos="33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reduction by the Company in the Grantee’s annualized rate of base salary as in effect at the start of the Protected Period, or as the same shall be increased from time to time.</w:t>
      </w:r>
    </w:p>
    <w:p>
      <w:pPr>
        <w:spacing w:after="0" w:line="140" w:lineRule="exact"/>
        <w:rPr>
          <w:rFonts w:ascii="Arial" w:cs="Arial" w:eastAsia="Arial" w:hAnsi="Arial"/>
          <w:sz w:val="18"/>
          <w:szCs w:val="18"/>
          <w:color w:val="auto"/>
        </w:rPr>
      </w:pPr>
    </w:p>
    <w:p>
      <w:pPr>
        <w:ind w:left="331" w:right="80" w:hanging="331"/>
        <w:spacing w:after="0" w:line="273" w:lineRule="auto"/>
        <w:tabs>
          <w:tab w:leader="none" w:pos="33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w:t>
      </w:r>
    </w:p>
    <w:p>
      <w:pPr>
        <w:spacing w:after="0" w:line="20" w:lineRule="exact"/>
        <w:rPr>
          <w:sz w:val="20"/>
          <w:szCs w:val="20"/>
          <w:color w:val="auto"/>
        </w:rPr>
      </w:pPr>
      <w:r>
        <w:rPr>
          <w:sz w:val="20"/>
          <w:szCs w:val="20"/>
          <w:color w:val="auto"/>
        </w:rPr>
        <w:br w:type="column"/>
      </w:r>
    </w:p>
    <w:p>
      <w:pPr>
        <w:ind w:left="320" w:right="120"/>
        <w:spacing w:after="0" w:line="349" w:lineRule="auto"/>
        <w:rPr>
          <w:sz w:val="20"/>
          <w:szCs w:val="20"/>
          <w:color w:val="auto"/>
        </w:rPr>
      </w:pPr>
      <w:r>
        <w:rPr>
          <w:rFonts w:ascii="Arial" w:cs="Arial" w:eastAsia="Arial" w:hAnsi="Arial"/>
          <w:sz w:val="16"/>
          <w:szCs w:val="16"/>
          <w:color w:val="auto"/>
        </w:rPr>
        <w:t>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94" w:lineRule="exact"/>
        <w:rPr>
          <w:sz w:val="20"/>
          <w:szCs w:val="20"/>
          <w:color w:val="auto"/>
        </w:rPr>
      </w:pPr>
    </w:p>
    <w:p>
      <w:pPr>
        <w:ind w:left="320" w:right="100" w:hanging="317"/>
        <w:spacing w:after="0" w:line="258" w:lineRule="auto"/>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material reduction in the Grantee’s aggregate level of participation in the Company’s stock-</w:t>
      </w:r>
    </w:p>
    <w:p>
      <w:pPr>
        <w:spacing w:after="0" w:line="1" w:lineRule="exact"/>
        <w:rPr>
          <w:rFonts w:ascii="Arial" w:cs="Arial" w:eastAsia="Arial" w:hAnsi="Arial"/>
          <w:sz w:val="18"/>
          <w:szCs w:val="18"/>
          <w:color w:val="auto"/>
        </w:rPr>
      </w:pPr>
    </w:p>
    <w:p>
      <w:pPr>
        <w:ind w:left="320" w:right="20"/>
        <w:spacing w:after="0" w:line="252" w:lineRule="auto"/>
        <w:rPr>
          <w:rFonts w:ascii="Arial" w:cs="Arial" w:eastAsia="Arial" w:hAnsi="Arial"/>
          <w:sz w:val="18"/>
          <w:szCs w:val="18"/>
          <w:color w:val="auto"/>
        </w:rPr>
      </w:pPr>
      <w:r>
        <w:rPr>
          <w:rFonts w:ascii="Arial" w:cs="Arial" w:eastAsia="Arial" w:hAnsi="Arial"/>
          <w:sz w:val="18"/>
          <w:szCs w:val="18"/>
          <w:color w:val="auto"/>
        </w:rPr>
        <w:t>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51" w:lineRule="exact"/>
        <w:rPr>
          <w:rFonts w:ascii="Arial" w:cs="Arial" w:eastAsia="Arial" w:hAnsi="Arial"/>
          <w:sz w:val="18"/>
          <w:szCs w:val="18"/>
          <w:color w:val="auto"/>
        </w:rPr>
      </w:pPr>
    </w:p>
    <w:p>
      <w:pPr>
        <w:ind w:left="580" w:right="100" w:hanging="320"/>
        <w:spacing w:after="0" w:line="276" w:lineRule="auto"/>
        <w:tabs>
          <w:tab w:leader="none" w:pos="562"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w:t>
      </w:r>
    </w:p>
    <w:p>
      <w:pPr>
        <w:spacing w:after="0" w:line="132"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Grantee’s right to terminate employment for Good Reason is conditioned upon (a) the Grantee providing the Company with written notice of the Good Reason condition within 90 days of its first occurrence;</w:t>
      </w:r>
    </w:p>
    <w:p>
      <w:pPr>
        <w:spacing w:after="0" w:line="1" w:lineRule="exact"/>
        <w:rPr>
          <w:sz w:val="20"/>
          <w:szCs w:val="20"/>
          <w:color w:val="auto"/>
        </w:rPr>
      </w:pPr>
    </w:p>
    <w:p>
      <w:pPr>
        <w:ind w:firstLine="3"/>
        <w:spacing w:after="0" w:line="302" w:lineRule="auto"/>
        <w:tabs>
          <w:tab w:leader="none" w:pos="45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Grantee’s notice including a period of no less than 30 days from the Company’s receipt of the notice for the Company to cure the Good Reason condition; and (c) Grantee implementing a Good Reason termination only if the condition continues to go uncured and such termination is initiated and executed no later than six (6) months from the date of its first occurrence.</w:t>
      </w:r>
    </w:p>
    <w:p>
      <w:pPr>
        <w:spacing w:after="0" w:line="1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22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2011 Long- Term Incentive Stock Plan, as it may be amended form time to time.</w:t>
      </w:r>
    </w:p>
    <w:p>
      <w:pPr>
        <w:sectPr>
          <w:pgSz w:w="11900" w:h="16838" w:orient="portrait"/>
          <w:cols w:equalWidth="0" w:num="2">
            <w:col w:w="5371" w:space="560"/>
            <w:col w:w="5400"/>
          </w:cols>
          <w:pgMar w:left="329" w:top="395" w:right="239" w:bottom="1440" w:gutter="0" w:footer="0" w:header="0"/>
        </w:sectPr>
      </w:pPr>
    </w:p>
    <w:bookmarkStart w:id="118" w:name="page119"/>
    <w:bookmarkEnd w:id="118"/>
    <w:p>
      <w:pPr>
        <w:ind w:right="520" w:firstLine="405"/>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Protected Period</w:t>
      </w:r>
      <w:r>
        <w:rPr>
          <w:rFonts w:ascii="Arial" w:cs="Arial" w:eastAsia="Arial" w:hAnsi="Arial"/>
          <w:sz w:val="18"/>
          <w:szCs w:val="18"/>
          <w:color w:val="auto"/>
        </w:rPr>
        <w:t>” corresponding to a Change in Control of the Company shall be a period of time determined in accordance with the following:</w:t>
      </w:r>
    </w:p>
    <w:p>
      <w:pPr>
        <w:spacing w:after="0" w:line="140" w:lineRule="exact"/>
        <w:rPr>
          <w:sz w:val="20"/>
          <w:szCs w:val="20"/>
          <w:color w:val="auto"/>
        </w:rPr>
      </w:pPr>
    </w:p>
    <w:p>
      <w:pPr>
        <w:ind w:left="600" w:right="420" w:hanging="334"/>
        <w:spacing w:after="0" w:line="286" w:lineRule="auto"/>
        <w:tabs>
          <w:tab w:leader="none" w:pos="58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If the Change in Control is triggered by a tender offer for shares of the Company’s stock or by the offeror’s acquisition of shares pursuant to such a tender offer, the Protected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60"/>
        <w:spacing w:after="0" w:line="304" w:lineRule="auto"/>
        <w:rPr>
          <w:sz w:val="20"/>
          <w:szCs w:val="20"/>
          <w:color w:val="auto"/>
        </w:rPr>
      </w:pPr>
      <w:r>
        <w:rPr>
          <w:rFonts w:ascii="Arial" w:cs="Arial" w:eastAsia="Arial" w:hAnsi="Arial"/>
          <w:sz w:val="18"/>
          <w:szCs w:val="18"/>
          <w:color w:val="auto"/>
        </w:rPr>
        <w:t>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87" w:lineRule="exact"/>
        <w:rPr>
          <w:sz w:val="20"/>
          <w:szCs w:val="20"/>
          <w:color w:val="auto"/>
        </w:rPr>
      </w:pPr>
    </w:p>
    <w:p>
      <w:pPr>
        <w:sectPr>
          <w:pgSz w:w="11900" w:h="16838" w:orient="portrait"/>
          <w:cols w:equalWidth="0" w:num="2">
            <w:col w:w="5800" w:space="720"/>
            <w:col w:w="4720"/>
          </w:cols>
          <w:pgMar w:left="320" w:top="364" w:right="339" w:bottom="1440" w:gutter="0" w:footer="0" w:header="0"/>
        </w:sectPr>
      </w:pPr>
    </w:p>
    <w:p>
      <w:pPr>
        <w:ind w:left="580" w:right="360" w:hanging="314"/>
        <w:spacing w:after="0" w:line="259" w:lineRule="auto"/>
        <w:tabs>
          <w:tab w:leader="none" w:pos="5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46" w:lineRule="exact"/>
        <w:rPr>
          <w:rFonts w:ascii="Arial" w:cs="Arial" w:eastAsia="Arial" w:hAnsi="Arial"/>
          <w:sz w:val="18"/>
          <w:szCs w:val="18"/>
          <w:color w:val="auto"/>
        </w:rPr>
      </w:pPr>
    </w:p>
    <w:p>
      <w:pPr>
        <w:ind w:left="580" w:hanging="314"/>
        <w:spacing w:after="0" w:line="277" w:lineRule="auto"/>
        <w:tabs>
          <w:tab w:leader="none" w:pos="5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any Change in Control not described in clause (i) or (ii) above, the Protected Period shall commence on the date that is six (6) months prior to the Change in Control and shall continue through and including the date of the Change in Control.</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w:t>
      </w:r>
      <w:r>
        <w:rPr>
          <w:rFonts w:ascii="Arial" w:cs="Arial" w:eastAsia="Arial" w:hAnsi="Arial"/>
          <w:sz w:val="18"/>
          <w:szCs w:val="18"/>
          <w:color w:val="auto"/>
        </w:rPr>
        <w:t>” means the person acquiring a Grantee’s rights to a grant under the Plan by will or by the laws of descent or distribution.</w:t>
      </w:r>
    </w:p>
    <w:p>
      <w:pPr>
        <w:sectPr>
          <w:pgSz w:w="11900" w:h="16838" w:orient="portrait"/>
          <w:cols w:equalWidth="0" w:num="1">
            <w:col w:w="11240"/>
          </w:cols>
          <w:pgMar w:left="320" w:top="364" w:right="3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22"/>
          <w:szCs w:val="22"/>
          <w:b w:val="1"/>
          <w:bCs w:val="1"/>
          <w:u w:val="single" w:color="auto"/>
          <w:color w:val="auto"/>
        </w:rPr>
        <w:t>Exhibit 10(j)(v)</w:t>
      </w: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FIRST AMENDMENT TO THE</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NORTHROP GRUMMAN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PLAN 2</w:t>
      </w:r>
    </w:p>
    <w:p>
      <w:pPr>
        <w:spacing w:after="0" w:line="148"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22"/>
          <w:szCs w:val="22"/>
          <w:color w:val="auto"/>
        </w:rPr>
        <w:t>This amendment to the Northrop Grumman Supplemental Plan 2 (the “Plan”), amended and restated effective as of January 1, 2014, is intended to reference the Northrop Grumman Norden Systems Employee Retirement Plan (“Norden Salaried Plan”) as a sub-plan of Northrop Grumman Retirement Plan “B” (“Plan B”) upon the Norden Salaried Plan’s merger into Plan B effective as of midnight, December 31, 2017.</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amendment is effective December 31, 2017 and it replaces Section 1.12 with the following:</w:t>
      </w:r>
    </w:p>
    <w:p>
      <w:pPr>
        <w:spacing w:after="0" w:line="15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8"/>
          <w:szCs w:val="18"/>
          <w:u w:val="single" w:color="auto"/>
          <w:color w:val="auto"/>
        </w:rPr>
        <w:t>Pension Plan</w:t>
      </w:r>
      <w:r>
        <w:rPr>
          <w:rFonts w:ascii="Arial" w:cs="Arial" w:eastAsia="Arial" w:hAnsi="Arial"/>
          <w:sz w:val="18"/>
          <w:szCs w:val="18"/>
          <w:color w:val="auto"/>
        </w:rPr>
        <w:t>.</w:t>
      </w:r>
    </w:p>
    <w:p>
      <w:pPr>
        <w:spacing w:after="0" w:line="152" w:lineRule="exact"/>
        <w:rPr>
          <w:sz w:val="20"/>
          <w:szCs w:val="20"/>
          <w:color w:val="auto"/>
        </w:rPr>
      </w:pPr>
    </w:p>
    <w:p>
      <w:pPr>
        <w:ind w:left="1960" w:right="340" w:hanging="655"/>
        <w:spacing w:after="0" w:line="276" w:lineRule="auto"/>
        <w:tabs>
          <w:tab w:leader="none" w:pos="19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Northrop Grumman Pension Plan (subject to the special effective dates notes below for the following merged plans)</w:t>
      </w:r>
    </w:p>
    <w:p>
      <w:pPr>
        <w:spacing w:after="0" w:line="93"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  The Northrop Grumman Retirement Value Plan (effective as of January 1, 2000)</w:t>
      </w:r>
    </w:p>
    <w:p>
      <w:pPr>
        <w:spacing w:after="0" w:line="152" w:lineRule="exact"/>
        <w:rPr>
          <w:sz w:val="20"/>
          <w:szCs w:val="20"/>
          <w:color w:val="auto"/>
        </w:rPr>
      </w:pPr>
    </w:p>
    <w:p>
      <w:pPr>
        <w:ind w:left="2280" w:right="180" w:hanging="327"/>
        <w:spacing w:after="0" w:line="276" w:lineRule="auto"/>
        <w:tabs>
          <w:tab w:leader="none" w:pos="228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Northrop Grumman Commercial Aircraft Division Salaried Retirement Plan (effective as of July 1, 2000)</w:t>
      </w:r>
    </w:p>
    <w:p>
      <w:pPr>
        <w:spacing w:after="0" w:line="93" w:lineRule="exact"/>
        <w:rPr>
          <w:rFonts w:ascii="Arial" w:cs="Arial" w:eastAsia="Arial" w:hAnsi="Arial"/>
          <w:sz w:val="22"/>
          <w:szCs w:val="22"/>
          <w:color w:val="auto"/>
        </w:rPr>
      </w:pPr>
    </w:p>
    <w:p>
      <w:pPr>
        <w:ind w:left="2280" w:hanging="327"/>
        <w:spacing w:after="0"/>
        <w:tabs>
          <w:tab w:leader="none" w:pos="228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Grumman Pension Plan (effective as of July 1, 2003)</w:t>
      </w:r>
    </w:p>
    <w:p>
      <w:pPr>
        <w:spacing w:after="0" w:line="152" w:lineRule="exact"/>
        <w:rPr>
          <w:rFonts w:ascii="Arial" w:cs="Arial" w:eastAsia="Arial" w:hAnsi="Arial"/>
          <w:sz w:val="22"/>
          <w:szCs w:val="22"/>
          <w:color w:val="auto"/>
        </w:rPr>
      </w:pPr>
    </w:p>
    <w:p>
      <w:pPr>
        <w:ind w:left="1960" w:right="420" w:hanging="655"/>
        <w:spacing w:after="0" w:line="276" w:lineRule="auto"/>
        <w:tabs>
          <w:tab w:leader="none" w:pos="19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Northrop Grumman Electronic Systems - Space Division Consolidated Pension Plan (effective as of October 22, 2001)</w:t>
      </w:r>
    </w:p>
    <w:p>
      <w:pPr>
        <w:spacing w:after="0" w:line="93" w:lineRule="exact"/>
        <w:rPr>
          <w:rFonts w:ascii="Arial" w:cs="Arial" w:eastAsia="Arial" w:hAnsi="Arial"/>
          <w:sz w:val="22"/>
          <w:szCs w:val="22"/>
          <w:color w:val="auto"/>
        </w:rPr>
      </w:pPr>
    </w:p>
    <w:p>
      <w:pPr>
        <w:ind w:left="1960" w:right="480" w:hanging="655"/>
        <w:spacing w:after="0" w:line="276" w:lineRule="auto"/>
        <w:tabs>
          <w:tab w:leader="none" w:pos="19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Northrop Grumman Norden Systems Employee Retirement Plan, a sub-plan of Northrop Grumman Retirement Plan “B” (effective as of midnight, December 31, 2017).</w:t>
      </w:r>
    </w:p>
    <w:p>
      <w:pPr>
        <w:spacing w:after="0" w:line="93" w:lineRule="exact"/>
        <w:rPr>
          <w:rFonts w:ascii="Arial" w:cs="Arial" w:eastAsia="Arial" w:hAnsi="Arial"/>
          <w:sz w:val="22"/>
          <w:szCs w:val="22"/>
          <w:color w:val="auto"/>
        </w:rPr>
      </w:pPr>
    </w:p>
    <w:p>
      <w:pPr>
        <w:ind w:left="5340"/>
        <w:spacing w:after="0"/>
        <w:rPr>
          <w:rFonts w:ascii="Arial" w:cs="Arial" w:eastAsia="Arial" w:hAnsi="Arial"/>
          <w:sz w:val="22"/>
          <w:szCs w:val="22"/>
          <w:color w:val="auto"/>
        </w:rPr>
      </w:pPr>
      <w:r>
        <w:rPr>
          <w:rFonts w:ascii="Arial" w:cs="Arial" w:eastAsia="Arial" w:hAnsi="Arial"/>
          <w:sz w:val="22"/>
          <w:szCs w:val="22"/>
          <w:color w:val="auto"/>
        </w:rPr>
        <w:t>*  *  *</w:t>
      </w:r>
    </w:p>
    <w:p>
      <w:pPr>
        <w:spacing w:after="0" w:line="152" w:lineRule="exact"/>
        <w:rPr>
          <w:sz w:val="20"/>
          <w:szCs w:val="20"/>
          <w:color w:val="auto"/>
        </w:rPr>
      </w:pPr>
    </w:p>
    <w:p>
      <w:pPr>
        <w:ind w:right="40" w:firstLine="648"/>
        <w:spacing w:after="0" w:line="276" w:lineRule="auto"/>
        <w:rPr>
          <w:sz w:val="20"/>
          <w:szCs w:val="20"/>
          <w:color w:val="auto"/>
        </w:rPr>
      </w:pPr>
      <w:r>
        <w:rPr>
          <w:rFonts w:ascii="Arial" w:cs="Arial" w:eastAsia="Arial" w:hAnsi="Arial"/>
          <w:sz w:val="22"/>
          <w:szCs w:val="22"/>
          <w:color w:val="auto"/>
        </w:rPr>
        <w:t>IN WITNESS WHEREOF, this Amendment is adopted and executed by the undersigned duly authorized officer on the 20th day of December, 2017.</w:t>
      </w:r>
    </w:p>
    <w:p>
      <w:pPr>
        <w:spacing w:after="0" w:line="87"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NORTHROP GRUMMAN CORPORATION</w:t>
      </w:r>
    </w:p>
    <w:p>
      <w:pPr>
        <w:spacing w:after="0" w:line="200" w:lineRule="exact"/>
        <w:rPr>
          <w:sz w:val="20"/>
          <w:szCs w:val="20"/>
          <w:color w:val="auto"/>
        </w:rPr>
      </w:pPr>
    </w:p>
    <w:p>
      <w:pPr>
        <w:spacing w:after="0" w:line="36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Denise M. Peppard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56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9">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Denise M. Peppard</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Corporate Vice President and Chief Human</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Resources Officer</w:t>
      </w:r>
    </w:p>
    <w:p>
      <w:pPr>
        <w:sectPr>
          <w:pgSz w:w="11900" w:h="16838" w:orient="portrait"/>
          <w:cols w:equalWidth="0" w:num="1">
            <w:col w:w="11420"/>
          </w:cols>
          <w:pgMar w:left="240" w:top="126"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u w:val="single" w:color="auto"/>
          <w:color w:val="auto"/>
        </w:rPr>
        <w:t>Exhibit 10(m)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Severance Plan for</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Elected and Appointed Officers of</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Northrop Grumman Corporation</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 amended and restated effective January 1, 2018</w:t>
      </w:r>
    </w:p>
    <w:p>
      <w:pPr>
        <w:sectPr>
          <w:pgSz w:w="11900" w:h="16838" w:orient="portrait"/>
          <w:cols w:equalWidth="0" w:num="1">
            <w:col w:w="10220"/>
          </w:cols>
          <w:pgMar w:left="1440" w:top="337" w:right="239" w:bottom="1440" w:gutter="0" w:footer="0" w:header="0"/>
        </w:sectPr>
      </w:pPr>
    </w:p>
    <w:bookmarkStart w:id="121" w:name="page122"/>
    <w:bookmarkEnd w:id="121"/>
    <w:p>
      <w:pPr>
        <w:ind w:left="-8" w:right="320" w:firstLine="8"/>
        <w:spacing w:after="0" w:line="281" w:lineRule="auto"/>
        <w:tabs>
          <w:tab w:leader="none" w:pos="519" w:val="left"/>
        </w:tabs>
        <w:numPr>
          <w:ilvl w:val="0"/>
          <w:numId w:val="12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of Plan. </w:t>
      </w:r>
      <w:r>
        <w:rPr>
          <w:rFonts w:ascii="Arial" w:cs="Arial" w:eastAsia="Arial" w:hAnsi="Arial"/>
          <w:sz w:val="20"/>
          <w:szCs w:val="20"/>
          <w:color w:val="auto"/>
        </w:rPr>
        <w:t>The purpose of the Plan is to provide severance benefits for eligible elected and appointed officers of Northrop</w:t>
      </w:r>
      <w:r>
        <w:rPr>
          <w:rFonts w:ascii="Arial" w:cs="Arial" w:eastAsia="Arial" w:hAnsi="Arial"/>
          <w:sz w:val="20"/>
          <w:szCs w:val="20"/>
          <w:b w:val="1"/>
          <w:bCs w:val="1"/>
          <w:color w:val="auto"/>
        </w:rPr>
        <w:t xml:space="preserve"> </w:t>
      </w:r>
      <w:r>
        <w:rPr>
          <w:rFonts w:ascii="Arial" w:cs="Arial" w:eastAsia="Arial" w:hAnsi="Arial"/>
          <w:sz w:val="20"/>
          <w:szCs w:val="20"/>
          <w:color w:val="auto"/>
        </w:rPr>
        <w:t>Grumman Corporation who reside and work in the United States. The terms of this amended and restated Plan are effective as of January 1, 2018.</w:t>
      </w:r>
    </w:p>
    <w:p>
      <w:pPr>
        <w:spacing w:after="0" w:line="164" w:lineRule="exact"/>
        <w:rPr>
          <w:rFonts w:ascii="Arial" w:cs="Arial" w:eastAsia="Arial" w:hAnsi="Arial"/>
          <w:sz w:val="20"/>
          <w:szCs w:val="20"/>
          <w:b w:val="1"/>
          <w:bCs w:val="1"/>
          <w:color w:val="auto"/>
        </w:rPr>
      </w:pPr>
    </w:p>
    <w:p>
      <w:pPr>
        <w:ind w:left="332" w:hanging="332"/>
        <w:spacing w:after="0"/>
        <w:tabs>
          <w:tab w:leader="none" w:pos="332" w:val="left"/>
        </w:tabs>
        <w:numPr>
          <w:ilvl w:val="0"/>
          <w:numId w:val="12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The terms defined in this section shall have the meaning given below:</w:t>
      </w:r>
    </w:p>
    <w:p>
      <w:pPr>
        <w:spacing w:after="0" w:line="215" w:lineRule="exact"/>
        <w:rPr>
          <w:rFonts w:ascii="Arial" w:cs="Arial" w:eastAsia="Arial" w:hAnsi="Arial"/>
          <w:sz w:val="20"/>
          <w:szCs w:val="20"/>
          <w:b w:val="1"/>
          <w:bCs w:val="1"/>
          <w:color w:val="auto"/>
        </w:rPr>
      </w:pPr>
    </w:p>
    <w:p>
      <w:pPr>
        <w:ind w:left="772" w:hanging="394"/>
        <w:spacing w:after="0"/>
        <w:tabs>
          <w:tab w:leader="none" w:pos="772" w:val="left"/>
        </w:tabs>
        <w:numPr>
          <w:ilvl w:val="1"/>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of Directors of the Company or any successor to the Committee.</w:t>
      </w:r>
    </w:p>
    <w:p>
      <w:pPr>
        <w:spacing w:after="0" w:line="238" w:lineRule="exact"/>
        <w:rPr>
          <w:rFonts w:ascii="Arial" w:cs="Arial" w:eastAsia="Arial" w:hAnsi="Arial"/>
          <w:sz w:val="18"/>
          <w:szCs w:val="18"/>
          <w:color w:val="auto"/>
        </w:rPr>
      </w:pPr>
    </w:p>
    <w:p>
      <w:pPr>
        <w:ind w:left="772" w:hanging="394"/>
        <w:spacing w:after="0"/>
        <w:tabs>
          <w:tab w:leader="none" w:pos="772" w:val="left"/>
        </w:tabs>
        <w:numPr>
          <w:ilvl w:val="1"/>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“Code” </w:t>
      </w:r>
      <w:r>
        <w:rPr>
          <w:rFonts w:ascii="Arial" w:cs="Arial" w:eastAsia="Arial" w:hAnsi="Arial"/>
          <w:sz w:val="20"/>
          <w:szCs w:val="20"/>
          <w:color w:val="auto"/>
        </w:rPr>
        <w:t>means the Internal Revenue Code of 1986, as amended.</w:t>
      </w:r>
    </w:p>
    <w:p>
      <w:pPr>
        <w:spacing w:after="0" w:line="215" w:lineRule="exact"/>
        <w:rPr>
          <w:rFonts w:ascii="Arial" w:cs="Arial" w:eastAsia="Arial" w:hAnsi="Arial"/>
          <w:sz w:val="20"/>
          <w:szCs w:val="20"/>
          <w:color w:val="auto"/>
        </w:rPr>
      </w:pPr>
    </w:p>
    <w:p>
      <w:pPr>
        <w:ind w:left="772" w:hanging="394"/>
        <w:spacing w:after="0"/>
        <w:tabs>
          <w:tab w:leader="none" w:pos="772" w:val="left"/>
        </w:tabs>
        <w:numPr>
          <w:ilvl w:val="1"/>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Northrop Grumman Corporation.</w:t>
      </w:r>
    </w:p>
    <w:p>
      <w:pPr>
        <w:spacing w:after="0" w:line="215" w:lineRule="exact"/>
        <w:rPr>
          <w:rFonts w:ascii="Arial" w:cs="Arial" w:eastAsia="Arial" w:hAnsi="Arial"/>
          <w:sz w:val="20"/>
          <w:szCs w:val="20"/>
          <w:color w:val="auto"/>
        </w:rPr>
      </w:pPr>
    </w:p>
    <w:p>
      <w:pPr>
        <w:ind w:left="772" w:hanging="394"/>
        <w:spacing w:after="0"/>
        <w:tabs>
          <w:tab w:leader="none" w:pos="772" w:val="left"/>
        </w:tabs>
        <w:numPr>
          <w:ilvl w:val="1"/>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“CPC” </w:t>
      </w:r>
      <w:r>
        <w:rPr>
          <w:rFonts w:ascii="Arial" w:cs="Arial" w:eastAsia="Arial" w:hAnsi="Arial"/>
          <w:sz w:val="20"/>
          <w:szCs w:val="20"/>
          <w:color w:val="auto"/>
        </w:rPr>
        <w:t>means the Corporate Policy Council.</w:t>
      </w:r>
    </w:p>
    <w:p>
      <w:pPr>
        <w:spacing w:after="0" w:line="215" w:lineRule="exact"/>
        <w:rPr>
          <w:rFonts w:ascii="Arial" w:cs="Arial" w:eastAsia="Arial" w:hAnsi="Arial"/>
          <w:sz w:val="20"/>
          <w:szCs w:val="20"/>
          <w:color w:val="auto"/>
        </w:rPr>
      </w:pPr>
    </w:p>
    <w:p>
      <w:pPr>
        <w:ind w:left="772" w:right="20" w:hanging="394"/>
        <w:spacing w:after="0" w:line="267" w:lineRule="auto"/>
        <w:tabs>
          <w:tab w:leader="none" w:pos="772" w:val="left"/>
        </w:tabs>
        <w:numPr>
          <w:ilvl w:val="1"/>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“Disability” </w:t>
      </w:r>
      <w:r>
        <w:rPr>
          <w:rFonts w:ascii="Arial" w:cs="Arial" w:eastAsia="Arial" w:hAnsi="Arial"/>
          <w:sz w:val="20"/>
          <w:szCs w:val="20"/>
          <w:color w:val="auto"/>
        </w:rPr>
        <w:t>means any disability of an Officer recognized as a disability for purposes of the Company’s long-term disability plan, or</w:t>
      </w:r>
      <w:r>
        <w:rPr>
          <w:rFonts w:ascii="Arial" w:cs="Arial" w:eastAsia="Arial" w:hAnsi="Arial"/>
          <w:sz w:val="20"/>
          <w:szCs w:val="20"/>
          <w:b w:val="1"/>
          <w:bCs w:val="1"/>
          <w:color w:val="auto"/>
        </w:rPr>
        <w:t xml:space="preserve"> </w:t>
      </w:r>
      <w:r>
        <w:rPr>
          <w:rFonts w:ascii="Arial" w:cs="Arial" w:eastAsia="Arial" w:hAnsi="Arial"/>
          <w:sz w:val="20"/>
          <w:szCs w:val="20"/>
          <w:color w:val="auto"/>
        </w:rPr>
        <w:t>similar plan later adopted by the Company in place of such plan.</w:t>
      </w:r>
    </w:p>
    <w:p>
      <w:pPr>
        <w:spacing w:after="0" w:line="163" w:lineRule="exact"/>
        <w:rPr>
          <w:rFonts w:ascii="Arial" w:cs="Arial" w:eastAsia="Arial" w:hAnsi="Arial"/>
          <w:sz w:val="20"/>
          <w:szCs w:val="20"/>
          <w:color w:val="auto"/>
        </w:rPr>
      </w:pPr>
    </w:p>
    <w:p>
      <w:pPr>
        <w:ind w:left="772" w:hanging="394"/>
        <w:spacing w:after="0"/>
        <w:tabs>
          <w:tab w:leader="none" w:pos="772" w:val="left"/>
        </w:tabs>
        <w:numPr>
          <w:ilvl w:val="1"/>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“Key Employee” </w:t>
      </w:r>
      <w:r>
        <w:rPr>
          <w:rFonts w:ascii="Arial" w:cs="Arial" w:eastAsia="Arial" w:hAnsi="Arial"/>
          <w:sz w:val="20"/>
          <w:szCs w:val="20"/>
          <w:color w:val="auto"/>
        </w:rPr>
        <w:t>means an employee treated as a “specified employee” as of his Separation from Service under Code</w:t>
      </w:r>
    </w:p>
    <w:p>
      <w:pPr>
        <w:spacing w:after="0" w:line="21" w:lineRule="exact"/>
        <w:rPr>
          <w:rFonts w:ascii="Arial" w:cs="Arial" w:eastAsia="Arial" w:hAnsi="Arial"/>
          <w:sz w:val="20"/>
          <w:szCs w:val="20"/>
          <w:color w:val="auto"/>
        </w:rPr>
      </w:pPr>
    </w:p>
    <w:p>
      <w:pPr>
        <w:ind w:left="772"/>
        <w:spacing w:after="0" w:line="255" w:lineRule="auto"/>
        <w:rPr>
          <w:rFonts w:ascii="Arial" w:cs="Arial" w:eastAsia="Arial" w:hAnsi="Arial"/>
          <w:sz w:val="20"/>
          <w:szCs w:val="20"/>
          <w:color w:val="auto"/>
        </w:rPr>
      </w:pPr>
      <w:r>
        <w:rPr>
          <w:rFonts w:ascii="Arial" w:cs="Arial" w:eastAsia="Arial" w:hAnsi="Arial"/>
          <w:sz w:val="19"/>
          <w:szCs w:val="19"/>
          <w:color w:val="auto"/>
        </w:rPr>
        <w:t>section 409A(a)(2)(B)(i) of the Company or its affiliate (i.e., a key employee (as defined in Code section 416(i) without regard to paragraph (5) thereof)) if the Company’s stock is publicly traded on an established securities market or otherwise. The Company shall determine in accordance with a uniform Company policy which Officers are Key Employees as of each December 31 in accordance with IRS regulations or other guidance under Code section 409A, provided that in determining the compensation of individuals for this purpose, the definition of compensation in Treas. Reg. § 1.415(c)-2(d)(3) shall be used. Such determination shall be effective for the twelve (12) month period commencing on April 1 of the following year.</w:t>
      </w:r>
    </w:p>
    <w:p>
      <w:pPr>
        <w:spacing w:after="0" w:line="178" w:lineRule="exact"/>
        <w:rPr>
          <w:rFonts w:ascii="Arial" w:cs="Arial" w:eastAsia="Arial" w:hAnsi="Arial"/>
          <w:sz w:val="20"/>
          <w:szCs w:val="20"/>
          <w:color w:val="auto"/>
        </w:rPr>
      </w:pPr>
    </w:p>
    <w:p>
      <w:pPr>
        <w:ind w:left="772" w:right="460" w:hanging="394"/>
        <w:spacing w:after="0" w:line="267" w:lineRule="auto"/>
        <w:tabs>
          <w:tab w:leader="none" w:pos="772" w:val="left"/>
        </w:tabs>
        <w:numPr>
          <w:ilvl w:val="1"/>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“Officer” </w:t>
      </w:r>
      <w:r>
        <w:rPr>
          <w:rFonts w:ascii="Arial" w:cs="Arial" w:eastAsia="Arial" w:hAnsi="Arial"/>
          <w:sz w:val="20"/>
          <w:szCs w:val="20"/>
          <w:color w:val="auto"/>
        </w:rPr>
        <w:t>means an elected or appointed officer of Northrop Grumman Corporation, other than the Company’s Chief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Officer, who resides and works in the United States.</w:t>
      </w:r>
    </w:p>
    <w:p>
      <w:pPr>
        <w:spacing w:after="0" w:line="163" w:lineRule="exact"/>
        <w:rPr>
          <w:rFonts w:ascii="Arial" w:cs="Arial" w:eastAsia="Arial" w:hAnsi="Arial"/>
          <w:sz w:val="20"/>
          <w:szCs w:val="20"/>
          <w:color w:val="auto"/>
        </w:rPr>
      </w:pPr>
    </w:p>
    <w:p>
      <w:pPr>
        <w:ind w:left="772" w:right="360" w:hanging="394"/>
        <w:spacing w:after="0" w:line="267" w:lineRule="auto"/>
        <w:tabs>
          <w:tab w:leader="none" w:pos="772" w:val="left"/>
        </w:tabs>
        <w:numPr>
          <w:ilvl w:val="1"/>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“Plan” </w:t>
      </w:r>
      <w:r>
        <w:rPr>
          <w:rFonts w:ascii="Arial" w:cs="Arial" w:eastAsia="Arial" w:hAnsi="Arial"/>
          <w:sz w:val="20"/>
          <w:szCs w:val="20"/>
          <w:color w:val="auto"/>
        </w:rPr>
        <w:t>means this Severance Plan for Elected and Appointed Officers of Northrop Grumman Corporation, as it may be amended</w:t>
      </w:r>
      <w:r>
        <w:rPr>
          <w:rFonts w:ascii="Arial" w:cs="Arial" w:eastAsia="Arial" w:hAnsi="Arial"/>
          <w:sz w:val="20"/>
          <w:szCs w:val="20"/>
          <w:b w:val="1"/>
          <w:bCs w:val="1"/>
          <w:color w:val="auto"/>
        </w:rPr>
        <w:t xml:space="preserve"> </w:t>
      </w:r>
      <w:r>
        <w:rPr>
          <w:rFonts w:ascii="Arial" w:cs="Arial" w:eastAsia="Arial" w:hAnsi="Arial"/>
          <w:sz w:val="20"/>
          <w:szCs w:val="20"/>
          <w:color w:val="auto"/>
        </w:rPr>
        <w:t>from time to time.</w:t>
      </w:r>
    </w:p>
    <w:p>
      <w:pPr>
        <w:spacing w:after="0" w:line="163" w:lineRule="exact"/>
        <w:rPr>
          <w:rFonts w:ascii="Arial" w:cs="Arial" w:eastAsia="Arial" w:hAnsi="Arial"/>
          <w:sz w:val="20"/>
          <w:szCs w:val="20"/>
          <w:color w:val="auto"/>
        </w:rPr>
      </w:pPr>
    </w:p>
    <w:p>
      <w:pPr>
        <w:ind w:left="772" w:right="20" w:hanging="394"/>
        <w:spacing w:after="0" w:line="280" w:lineRule="auto"/>
        <w:tabs>
          <w:tab w:leader="none" w:pos="772" w:val="left"/>
        </w:tabs>
        <w:numPr>
          <w:ilvl w:val="1"/>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“Qualifying Termination” </w:t>
      </w:r>
      <w:r>
        <w:rPr>
          <w:rFonts w:ascii="Arial" w:cs="Arial" w:eastAsia="Arial" w:hAnsi="Arial"/>
          <w:sz w:val="18"/>
          <w:szCs w:val="18"/>
          <w:color w:val="auto"/>
        </w:rPr>
        <w:t>means any one of the following (i) an Officer’s involuntary termination of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other than Termination for Cause or mandatory retirement, or (ii) an Officer’s election to terminate employment with the Company in lieu of accepting a downgrade to a non-Officer position or status. “Qualifying Termination” does not include any change in the Officer’s employment status due to any transfer within the Company or to an affiliate, or to a purchaser of assets or a portion of the business of the Company or an affiliate in connection with the purchase, Disability, voluntary termination or normal retirement.</w:t>
      </w:r>
    </w:p>
    <w:p>
      <w:pPr>
        <w:spacing w:after="0" w:line="156" w:lineRule="exact"/>
        <w:rPr>
          <w:rFonts w:ascii="Arial" w:cs="Arial" w:eastAsia="Arial" w:hAnsi="Arial"/>
          <w:sz w:val="18"/>
          <w:szCs w:val="18"/>
          <w:color w:val="auto"/>
        </w:rPr>
      </w:pPr>
    </w:p>
    <w:p>
      <w:pPr>
        <w:ind w:left="772" w:hanging="394"/>
        <w:spacing w:after="0" w:line="253" w:lineRule="auto"/>
        <w:tabs>
          <w:tab w:leader="none" w:pos="772" w:val="left"/>
        </w:tabs>
        <w:numPr>
          <w:ilvl w:val="1"/>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“Release” </w:t>
      </w:r>
      <w:r>
        <w:rPr>
          <w:rFonts w:ascii="Arial" w:cs="Arial" w:eastAsia="Arial" w:hAnsi="Arial"/>
          <w:sz w:val="20"/>
          <w:szCs w:val="20"/>
          <w:color w:val="auto"/>
        </w:rPr>
        <w:t>means the Separation Agreement and General Release prepared by the Company at the time of the Officer’s termination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which may include such terms as the Company deems appropriate, including certain post-employment restrictions as a condition of receiving benefits under the Plan.</w:t>
      </w:r>
    </w:p>
    <w:p>
      <w:pPr>
        <w:sectPr>
          <w:pgSz w:w="11900" w:h="16838" w:orient="portrait"/>
          <w:cols w:equalWidth="0" w:num="1">
            <w:col w:w="11372"/>
          </w:cols>
          <w:pgMar w:left="248" w:top="603" w:right="279" w:bottom="1440" w:gutter="0" w:footer="0" w:header="0"/>
        </w:sectPr>
      </w:pPr>
    </w:p>
    <w:bookmarkStart w:id="122" w:name="page123"/>
    <w:bookmarkEnd w:id="122"/>
    <w:p>
      <w:pPr>
        <w:ind w:left="780" w:right="960" w:hanging="394"/>
        <w:spacing w:after="0" w:line="267" w:lineRule="auto"/>
        <w:tabs>
          <w:tab w:leader="none" w:pos="780" w:val="left"/>
        </w:tabs>
        <w:numPr>
          <w:ilvl w:val="0"/>
          <w:numId w:val="125"/>
        </w:numPr>
        <w:rPr>
          <w:rFonts w:ascii="Arial" w:cs="Arial" w:eastAsia="Arial" w:hAnsi="Arial"/>
          <w:sz w:val="20"/>
          <w:szCs w:val="20"/>
          <w:color w:val="auto"/>
        </w:rPr>
      </w:pPr>
      <w:r>
        <w:rPr>
          <w:rFonts w:ascii="Arial" w:cs="Arial" w:eastAsia="Arial" w:hAnsi="Arial"/>
          <w:sz w:val="20"/>
          <w:szCs w:val="20"/>
          <w:b w:val="1"/>
          <w:bCs w:val="1"/>
          <w:color w:val="auto"/>
        </w:rPr>
        <w:t xml:space="preserve">“Separation from Service” </w:t>
      </w:r>
      <w:r>
        <w:rPr>
          <w:rFonts w:ascii="Arial" w:cs="Arial" w:eastAsia="Arial" w:hAnsi="Arial"/>
          <w:sz w:val="20"/>
          <w:szCs w:val="20"/>
          <w:color w:val="auto"/>
        </w:rPr>
        <w:t>or</w:t>
      </w:r>
      <w:r>
        <w:rPr>
          <w:rFonts w:ascii="Arial" w:cs="Arial" w:eastAsia="Arial" w:hAnsi="Arial"/>
          <w:sz w:val="20"/>
          <w:szCs w:val="20"/>
          <w:b w:val="1"/>
          <w:bCs w:val="1"/>
          <w:color w:val="auto"/>
        </w:rPr>
        <w:t xml:space="preserve"> “Separate from Service” </w:t>
      </w:r>
      <w:r>
        <w:rPr>
          <w:rFonts w:ascii="Arial" w:cs="Arial" w:eastAsia="Arial" w:hAnsi="Arial"/>
          <w:sz w:val="20"/>
          <w:szCs w:val="20"/>
          <w:color w:val="auto"/>
        </w:rPr>
        <w:t>means a “separation from service” within the meaning of Code</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409A.</w:t>
      </w:r>
    </w:p>
    <w:p>
      <w:pPr>
        <w:spacing w:after="0" w:line="163" w:lineRule="exact"/>
        <w:rPr>
          <w:rFonts w:ascii="Arial" w:cs="Arial" w:eastAsia="Arial" w:hAnsi="Arial"/>
          <w:sz w:val="20"/>
          <w:szCs w:val="20"/>
          <w:color w:val="auto"/>
        </w:rPr>
      </w:pPr>
    </w:p>
    <w:p>
      <w:pPr>
        <w:ind w:left="780" w:hanging="394"/>
        <w:spacing w:after="0"/>
        <w:tabs>
          <w:tab w:leader="none" w:pos="780" w:val="left"/>
        </w:tabs>
        <w:numPr>
          <w:ilvl w:val="0"/>
          <w:numId w:val="125"/>
        </w:numPr>
        <w:rPr>
          <w:rFonts w:ascii="Arial" w:cs="Arial" w:eastAsia="Arial" w:hAnsi="Arial"/>
          <w:sz w:val="20"/>
          <w:szCs w:val="20"/>
          <w:color w:val="auto"/>
        </w:rPr>
      </w:pPr>
      <w:r>
        <w:rPr>
          <w:rFonts w:ascii="Arial" w:cs="Arial" w:eastAsia="Arial" w:hAnsi="Arial"/>
          <w:sz w:val="20"/>
          <w:szCs w:val="20"/>
          <w:b w:val="1"/>
          <w:bCs w:val="1"/>
          <w:color w:val="auto"/>
        </w:rPr>
        <w:t xml:space="preserve">“Termination for Cause” </w:t>
      </w:r>
      <w:r>
        <w:rPr>
          <w:rFonts w:ascii="Arial" w:cs="Arial" w:eastAsia="Arial" w:hAnsi="Arial"/>
          <w:sz w:val="20"/>
          <w:szCs w:val="20"/>
          <w:color w:val="auto"/>
        </w:rPr>
        <w:t>means an Officer’s termination of employment with the Company because of:</w:t>
      </w:r>
    </w:p>
    <w:p>
      <w:pPr>
        <w:spacing w:after="0" w:line="221" w:lineRule="exact"/>
        <w:rPr>
          <w:rFonts w:ascii="Arial" w:cs="Arial" w:eastAsia="Arial" w:hAnsi="Arial"/>
          <w:sz w:val="20"/>
          <w:szCs w:val="20"/>
          <w:color w:val="auto"/>
        </w:rPr>
      </w:pPr>
    </w:p>
    <w:p>
      <w:pPr>
        <w:ind w:left="1180" w:right="60" w:hanging="402"/>
        <w:spacing w:after="0" w:line="246" w:lineRule="auto"/>
        <w:tabs>
          <w:tab w:leader="none" w:pos="1162"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continued failure by the Officer to devote reasonable time and effort to the performance of his duties (other than a failure resulting from the Officer’s incapacity due to physical or mental illness) after written demand for improved performance has been delivered to the Officer by the Company which specifically identifies how the Officer has not devoted reasonable time and effort to the performance of his duties;</w:t>
      </w:r>
    </w:p>
    <w:p>
      <w:pPr>
        <w:spacing w:after="0" w:line="191" w:lineRule="exact"/>
        <w:rPr>
          <w:rFonts w:ascii="Arial" w:cs="Arial" w:eastAsia="Arial" w:hAnsi="Arial"/>
          <w:sz w:val="20"/>
          <w:szCs w:val="20"/>
          <w:color w:val="auto"/>
        </w:rPr>
      </w:pPr>
    </w:p>
    <w:p>
      <w:pPr>
        <w:ind w:left="1160" w:hanging="382"/>
        <w:spacing w:after="0"/>
        <w:tabs>
          <w:tab w:leader="none" w:pos="116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willful engaging by Officer in misconduct which is substantially injurious to the Company, monetarily or otherwise; or</w:t>
      </w:r>
    </w:p>
    <w:p>
      <w:pPr>
        <w:spacing w:after="0" w:line="227" w:lineRule="exact"/>
        <w:rPr>
          <w:rFonts w:ascii="Arial" w:cs="Arial" w:eastAsia="Arial" w:hAnsi="Arial"/>
          <w:sz w:val="19"/>
          <w:szCs w:val="19"/>
          <w:color w:val="auto"/>
        </w:rPr>
      </w:pPr>
    </w:p>
    <w:p>
      <w:pPr>
        <w:ind w:left="1180" w:hanging="402"/>
        <w:spacing w:after="0" w:line="260" w:lineRule="auto"/>
        <w:tabs>
          <w:tab w:leader="none" w:pos="1162"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Officer’s conviction for committing an act of fraud, embezzlement, theft, or other act constituting a felony (other than traffic related offenses or as a result of vicarious liability).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 Termination for Cause shall not include a termination attributable to:</w:t>
      </w:r>
    </w:p>
    <w:p>
      <w:pPr>
        <w:spacing w:after="0" w:line="216" w:lineRule="exact"/>
        <w:rPr>
          <w:sz w:val="20"/>
          <w:szCs w:val="20"/>
          <w:color w:val="auto"/>
        </w:rPr>
      </w:pPr>
    </w:p>
    <w:p>
      <w:pPr>
        <w:ind w:left="1160" w:hanging="382"/>
        <w:spacing w:after="0"/>
        <w:tabs>
          <w:tab w:leader="none" w:pos="1160" w:val="left"/>
        </w:tabs>
        <w:numPr>
          <w:ilvl w:val="2"/>
          <w:numId w:val="126"/>
        </w:numPr>
        <w:rPr>
          <w:rFonts w:ascii="Arial" w:cs="Arial" w:eastAsia="Arial" w:hAnsi="Arial"/>
          <w:sz w:val="20"/>
          <w:szCs w:val="20"/>
          <w:color w:val="auto"/>
        </w:rPr>
      </w:pPr>
      <w:r>
        <w:rPr>
          <w:rFonts w:ascii="Arial" w:cs="Arial" w:eastAsia="Arial" w:hAnsi="Arial"/>
          <w:sz w:val="20"/>
          <w:szCs w:val="20"/>
          <w:color w:val="auto"/>
        </w:rPr>
        <w:t>Bad judgment or negligence on the part of the Officer other than habitual negligence; or</w:t>
      </w:r>
    </w:p>
    <w:p>
      <w:pPr>
        <w:spacing w:after="0" w:line="215" w:lineRule="exact"/>
        <w:rPr>
          <w:rFonts w:ascii="Arial" w:cs="Arial" w:eastAsia="Arial" w:hAnsi="Arial"/>
          <w:sz w:val="20"/>
          <w:szCs w:val="20"/>
          <w:color w:val="auto"/>
        </w:rPr>
      </w:pPr>
    </w:p>
    <w:p>
      <w:pPr>
        <w:ind w:left="1180" w:right="60" w:hanging="402"/>
        <w:spacing w:after="0" w:line="260" w:lineRule="auto"/>
        <w:tabs>
          <w:tab w:leader="none" w:pos="1162" w:val="left"/>
        </w:tabs>
        <w:numPr>
          <w:ilvl w:val="2"/>
          <w:numId w:val="126"/>
        </w:numPr>
        <w:rPr>
          <w:rFonts w:ascii="Arial" w:cs="Arial" w:eastAsia="Arial" w:hAnsi="Arial"/>
          <w:sz w:val="20"/>
          <w:szCs w:val="20"/>
          <w:color w:val="auto"/>
        </w:rPr>
      </w:pPr>
      <w:r>
        <w:rPr>
          <w:rFonts w:ascii="Arial" w:cs="Arial" w:eastAsia="Arial" w:hAnsi="Arial"/>
          <w:sz w:val="20"/>
          <w:szCs w:val="20"/>
          <w:color w:val="auto"/>
        </w:rPr>
        <w:t>An act or omission believed by the Officer in good faith to have been in or not opposed to the best interests of the Company and reasonably believed by the Officer to be lawful.</w:t>
      </w:r>
    </w:p>
    <w:p>
      <w:pPr>
        <w:spacing w:after="0" w:line="170" w:lineRule="exact"/>
        <w:rPr>
          <w:rFonts w:ascii="Arial" w:cs="Arial" w:eastAsia="Arial" w:hAnsi="Arial"/>
          <w:sz w:val="20"/>
          <w:szCs w:val="20"/>
          <w:color w:val="auto"/>
        </w:rPr>
      </w:pPr>
    </w:p>
    <w:p>
      <w:pPr>
        <w:ind w:left="340" w:hanging="332"/>
        <w:spacing w:after="0"/>
        <w:tabs>
          <w:tab w:leader="none" w:pos="34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 Requirements.</w:t>
      </w:r>
    </w:p>
    <w:p>
      <w:pPr>
        <w:spacing w:after="0" w:line="221" w:lineRule="exact"/>
        <w:rPr>
          <w:rFonts w:ascii="Arial" w:cs="Arial" w:eastAsia="Arial" w:hAnsi="Arial"/>
          <w:sz w:val="20"/>
          <w:szCs w:val="20"/>
          <w:b w:val="1"/>
          <w:bCs w:val="1"/>
          <w:color w:val="auto"/>
        </w:rPr>
      </w:pPr>
    </w:p>
    <w:p>
      <w:pPr>
        <w:ind w:left="780" w:hanging="394"/>
        <w:spacing w:after="0"/>
        <w:tabs>
          <w:tab w:leader="none" w:pos="780" w:val="left"/>
        </w:tabs>
        <w:numPr>
          <w:ilvl w:val="1"/>
          <w:numId w:val="127"/>
        </w:numPr>
        <w:rPr>
          <w:rFonts w:ascii="Arial" w:cs="Arial" w:eastAsia="Arial" w:hAnsi="Arial"/>
          <w:sz w:val="20"/>
          <w:szCs w:val="20"/>
          <w:color w:val="auto"/>
        </w:rPr>
      </w:pPr>
      <w:r>
        <w:rPr>
          <w:rFonts w:ascii="Arial" w:cs="Arial" w:eastAsia="Arial" w:hAnsi="Arial"/>
          <w:sz w:val="20"/>
          <w:szCs w:val="20"/>
          <w:color w:val="auto"/>
        </w:rPr>
        <w:t>Benefits under the Plan are subject to the Company’s sole discretion and approval.</w:t>
      </w:r>
    </w:p>
    <w:p>
      <w:pPr>
        <w:spacing w:after="0" w:line="215" w:lineRule="exact"/>
        <w:rPr>
          <w:rFonts w:ascii="Arial" w:cs="Arial" w:eastAsia="Arial" w:hAnsi="Arial"/>
          <w:sz w:val="20"/>
          <w:szCs w:val="20"/>
          <w:color w:val="auto"/>
        </w:rPr>
      </w:pPr>
    </w:p>
    <w:p>
      <w:pPr>
        <w:ind w:left="780" w:hanging="394"/>
        <w:spacing w:after="0"/>
        <w:tabs>
          <w:tab w:leader="none" w:pos="780" w:val="left"/>
        </w:tabs>
        <w:numPr>
          <w:ilvl w:val="1"/>
          <w:numId w:val="127"/>
        </w:numPr>
        <w:rPr>
          <w:rFonts w:ascii="Arial" w:cs="Arial" w:eastAsia="Arial" w:hAnsi="Arial"/>
          <w:sz w:val="20"/>
          <w:szCs w:val="20"/>
          <w:color w:val="auto"/>
        </w:rPr>
      </w:pPr>
      <w:r>
        <w:rPr>
          <w:rFonts w:ascii="Arial" w:cs="Arial" w:eastAsia="Arial" w:hAnsi="Arial"/>
          <w:sz w:val="20"/>
          <w:szCs w:val="20"/>
          <w:color w:val="auto"/>
        </w:rPr>
        <w:t>To be considered to receive benefits under the Plan an Officer must meet the following conditions:</w:t>
      </w:r>
    </w:p>
    <w:p>
      <w:pPr>
        <w:spacing w:after="0" w:line="215" w:lineRule="exact"/>
        <w:rPr>
          <w:rFonts w:ascii="Arial" w:cs="Arial" w:eastAsia="Arial" w:hAnsi="Arial"/>
          <w:sz w:val="20"/>
          <w:szCs w:val="20"/>
          <w:color w:val="auto"/>
        </w:rPr>
      </w:pPr>
    </w:p>
    <w:p>
      <w:pPr>
        <w:ind w:left="1180" w:right="100" w:hanging="402"/>
        <w:spacing w:after="0" w:line="250" w:lineRule="auto"/>
        <w:tabs>
          <w:tab w:leader="none" w:pos="1162" w:val="left"/>
        </w:tabs>
        <w:numPr>
          <w:ilvl w:val="2"/>
          <w:numId w:val="127"/>
        </w:numPr>
        <w:rPr>
          <w:rFonts w:ascii="Arial" w:cs="Arial" w:eastAsia="Arial" w:hAnsi="Arial"/>
          <w:sz w:val="20"/>
          <w:szCs w:val="20"/>
          <w:color w:val="auto"/>
        </w:rPr>
      </w:pPr>
      <w:r>
        <w:rPr>
          <w:rFonts w:ascii="Arial" w:cs="Arial" w:eastAsia="Arial" w:hAnsi="Arial"/>
          <w:sz w:val="20"/>
          <w:szCs w:val="20"/>
          <w:color w:val="auto"/>
        </w:rPr>
        <w:t>The Officer must experience a Qualifying Termination that results in termination of employment. If, before termination of employment occurs due to the Qualifying Termination event, the Officer voluntarily quits, retires, or experiences a Termination for Cause, the Officer will not receive benefits under this Plan.</w:t>
      </w:r>
    </w:p>
    <w:p>
      <w:pPr>
        <w:spacing w:after="0" w:line="186" w:lineRule="exact"/>
        <w:rPr>
          <w:rFonts w:ascii="Arial" w:cs="Arial" w:eastAsia="Arial" w:hAnsi="Arial"/>
          <w:sz w:val="20"/>
          <w:szCs w:val="20"/>
          <w:color w:val="auto"/>
        </w:rPr>
      </w:pPr>
    </w:p>
    <w:p>
      <w:pPr>
        <w:ind w:left="1160" w:hanging="382"/>
        <w:spacing w:after="0"/>
        <w:tabs>
          <w:tab w:leader="none" w:pos="1160" w:val="left"/>
        </w:tabs>
        <w:numPr>
          <w:ilvl w:val="2"/>
          <w:numId w:val="127"/>
        </w:numPr>
        <w:rPr>
          <w:rFonts w:ascii="Arial" w:cs="Arial" w:eastAsia="Arial" w:hAnsi="Arial"/>
          <w:sz w:val="20"/>
          <w:szCs w:val="20"/>
          <w:color w:val="auto"/>
        </w:rPr>
      </w:pPr>
      <w:r>
        <w:rPr>
          <w:rFonts w:ascii="Arial" w:cs="Arial" w:eastAsia="Arial" w:hAnsi="Arial"/>
          <w:sz w:val="20"/>
          <w:szCs w:val="20"/>
          <w:color w:val="auto"/>
        </w:rPr>
        <w:t>The Officer must sign the Release.</w:t>
      </w:r>
    </w:p>
    <w:p>
      <w:pPr>
        <w:spacing w:after="0" w:line="209" w:lineRule="exact"/>
        <w:rPr>
          <w:rFonts w:ascii="Arial" w:cs="Arial" w:eastAsia="Arial" w:hAnsi="Arial"/>
          <w:sz w:val="20"/>
          <w:szCs w:val="20"/>
          <w:color w:val="auto"/>
        </w:rPr>
      </w:pPr>
    </w:p>
    <w:p>
      <w:pPr>
        <w:ind w:right="180" w:firstLine="8"/>
        <w:spacing w:after="0" w:line="253" w:lineRule="auto"/>
        <w:tabs>
          <w:tab w:leader="none" w:pos="328"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Severance Benefits. </w:t>
      </w:r>
      <w:r>
        <w:rPr>
          <w:rFonts w:ascii="Arial" w:cs="Arial" w:eastAsia="Arial" w:hAnsi="Arial"/>
          <w:sz w:val="20"/>
          <w:szCs w:val="20"/>
          <w:color w:val="auto"/>
        </w:rPr>
        <w:t>Upon the Qualifying Termination of any eligible Officer, the terminated Officer shall be entitled to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benefits under the Plan: (a) a lump-sum severance cash payment, (b) an extension of the Officer’s existing medical and dental coverage, (c) a prorated annual cash bonus payment, and (d) certain other fringe benefits.</w:t>
      </w:r>
    </w:p>
    <w:p>
      <w:pPr>
        <w:spacing w:after="0" w:line="183" w:lineRule="exact"/>
        <w:rPr>
          <w:rFonts w:ascii="Arial" w:cs="Arial" w:eastAsia="Arial" w:hAnsi="Arial"/>
          <w:sz w:val="20"/>
          <w:szCs w:val="20"/>
          <w:b w:val="1"/>
          <w:bCs w:val="1"/>
          <w:color w:val="auto"/>
        </w:rPr>
      </w:pPr>
    </w:p>
    <w:p>
      <w:pPr>
        <w:ind w:left="780" w:hanging="394"/>
        <w:spacing w:after="0"/>
        <w:tabs>
          <w:tab w:leader="none" w:pos="78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Lump-sum Cash Severance Payment</w:t>
      </w:r>
      <w:r>
        <w:rPr>
          <w:rFonts w:ascii="Arial" w:cs="Arial" w:eastAsia="Arial" w:hAnsi="Arial"/>
          <w:sz w:val="18"/>
          <w:szCs w:val="18"/>
          <w:color w:val="auto"/>
        </w:rPr>
        <w:t>. The designated Appendix describes the lump sum severance benefit available to the Officer.</w:t>
      </w:r>
    </w:p>
    <w:p>
      <w:pPr>
        <w:spacing w:after="0" w:line="238" w:lineRule="exact"/>
        <w:rPr>
          <w:rFonts w:ascii="Arial" w:cs="Arial" w:eastAsia="Arial" w:hAnsi="Arial"/>
          <w:sz w:val="18"/>
          <w:szCs w:val="18"/>
          <w:color w:val="auto"/>
        </w:rPr>
      </w:pPr>
    </w:p>
    <w:p>
      <w:pPr>
        <w:ind w:left="780" w:right="60" w:hanging="394"/>
        <w:spacing w:after="0" w:line="250" w:lineRule="auto"/>
        <w:tabs>
          <w:tab w:leader="none" w:pos="780" w:val="left"/>
        </w:tabs>
        <w:numPr>
          <w:ilvl w:val="1"/>
          <w:numId w:val="127"/>
        </w:numPr>
        <w:rPr>
          <w:rFonts w:ascii="Arial" w:cs="Arial" w:eastAsia="Arial" w:hAnsi="Arial"/>
          <w:sz w:val="20"/>
          <w:szCs w:val="20"/>
          <w:color w:val="auto"/>
        </w:rPr>
      </w:pPr>
      <w:r>
        <w:rPr>
          <w:rFonts w:ascii="Arial" w:cs="Arial" w:eastAsia="Arial" w:hAnsi="Arial"/>
          <w:sz w:val="20"/>
          <w:szCs w:val="20"/>
          <w:u w:val="single" w:color="auto"/>
          <w:color w:val="auto"/>
        </w:rPr>
        <w:t>Extension of Medical and Dental Benefits</w:t>
      </w:r>
      <w:r>
        <w:rPr>
          <w:rFonts w:ascii="Arial" w:cs="Arial" w:eastAsia="Arial" w:hAnsi="Arial"/>
          <w:sz w:val="20"/>
          <w:szCs w:val="20"/>
          <w:color w:val="auto"/>
        </w:rPr>
        <w:t>. The Company will continue to pay its portion of the Officer’s medical and dental benefits for the period of time following the Officer’s termination date that is specified in the designated Appendix, provided that for the balance of the month that</w:t>
      </w:r>
    </w:p>
    <w:p>
      <w:pPr>
        <w:spacing w:after="0" w:line="200" w:lineRule="exact"/>
        <w:rPr>
          <w:sz w:val="20"/>
          <w:szCs w:val="20"/>
          <w:color w:val="auto"/>
        </w:rPr>
      </w:pPr>
    </w:p>
    <w:p>
      <w:pPr>
        <w:spacing w:after="0" w:line="37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60"/>
          </w:cols>
          <w:pgMar w:left="240" w:top="589" w:right="299" w:bottom="1440" w:gutter="0" w:footer="0" w:header="0"/>
        </w:sectPr>
      </w:pPr>
    </w:p>
    <w:bookmarkStart w:id="123" w:name="page124"/>
    <w:bookmarkEnd w:id="123"/>
    <w:p>
      <w:pPr>
        <w:ind w:left="780" w:right="20"/>
        <w:spacing w:after="0" w:line="303" w:lineRule="auto"/>
        <w:rPr>
          <w:sz w:val="20"/>
          <w:szCs w:val="20"/>
          <w:color w:val="auto"/>
        </w:rPr>
      </w:pPr>
      <w:r>
        <w:rPr>
          <w:rFonts w:ascii="Arial" w:cs="Arial" w:eastAsia="Arial" w:hAnsi="Arial"/>
          <w:sz w:val="18"/>
          <w:szCs w:val="18"/>
          <w:color w:val="auto"/>
        </w:rPr>
        <w:t>includes the Officer’s termination date and for the immediately following month, the coverage will be at no cost to the Officer. Such continuation coverage shall run concurrently with COBRA continuation coverage (or similar state law). The Officer must continue to pay his portion of the cost of this coverage with after-tax dollars. If rates for active employees increase during this continuation period, the contribution amount will increase proportionately. Also, if medical and dental benefits are modified, terminated or changed in any way for active employees during this continuation period the Officer will also be subject to such modification, termination or change. Following the continuation period specified in the designated Appendix the Officer will be eligible to receive COBRA benefits for any remaining portion of the applicable COBRA period (typically 18 months) at normal COBRA rates. The unreimbursed COBRA period (</w:t>
      </w:r>
      <w:r>
        <w:rPr>
          <w:rFonts w:ascii="Arial" w:cs="Arial" w:eastAsia="Arial" w:hAnsi="Arial"/>
          <w:sz w:val="18"/>
          <w:szCs w:val="18"/>
          <w:i w:val="1"/>
          <w:iCs w:val="1"/>
          <w:color w:val="auto"/>
        </w:rPr>
        <w:t>e.g.</w:t>
      </w:r>
      <w:r>
        <w:rPr>
          <w:rFonts w:ascii="Arial" w:cs="Arial" w:eastAsia="Arial" w:hAnsi="Arial"/>
          <w:sz w:val="18"/>
          <w:szCs w:val="18"/>
          <w:color w:val="auto"/>
        </w:rPr>
        <w:t>, the period when the Officer must pay full COBRA rates in order to receive COBRA benefits) starts the first day of the month following the end of the continuation period specified in the designated Appendix.</w:t>
      </w:r>
    </w:p>
    <w:p>
      <w:pPr>
        <w:spacing w:after="0" w:line="160" w:lineRule="exact"/>
        <w:rPr>
          <w:sz w:val="20"/>
          <w:szCs w:val="20"/>
          <w:color w:val="auto"/>
        </w:rPr>
      </w:pPr>
    </w:p>
    <w:p>
      <w:pPr>
        <w:ind w:left="660"/>
        <w:spacing w:after="0" w:line="278" w:lineRule="auto"/>
        <w:rPr>
          <w:sz w:val="20"/>
          <w:szCs w:val="20"/>
          <w:color w:val="auto"/>
        </w:rPr>
      </w:pPr>
      <w:r>
        <w:rPr>
          <w:rFonts w:ascii="Arial" w:cs="Arial" w:eastAsia="Arial" w:hAnsi="Arial"/>
          <w:sz w:val="18"/>
          <w:szCs w:val="18"/>
          <w:i w:val="1"/>
          <w:iCs w:val="1"/>
          <w:color w:val="auto"/>
        </w:rPr>
        <w:t>Example: A Non-CPC Officer receives a layoff notice on June 5, 2017, and his last day of work is June 19, 2017. The Officer’s 18-month COBRA period commences June 20, 2017. The Officer will continue to receive medical and dental coverage from June 20, 2017 through July 31, 2017 at no cost to the Officer. The Officer will continue to receive medical and dental coverage from August 1, 2017 through June 19, 2018, as long as the Officer continues to pay the appropriate active employee contribution. Full COBRA rates will apply to the Officer from June 20, 2018 until the end of the remaining COBRA period on December 19, 2018.</w:t>
      </w:r>
    </w:p>
    <w:p>
      <w:pPr>
        <w:spacing w:after="0" w:line="165"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If the Officer is not covered by medical and dental benefits at the time of his termination, this section 4(b) will not apply and no continuation coverage will be offered. No health or welfare benefits other than medical and dental will be continued pursuant to the Plan, including but not limited to disability benefits.</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medical and dental benefits to be provided or payments to be made under this section 4(b) shall be reduced to the extent that the Officer is eligible for benefits or payments for the same occurrence under another employer sponsored plan to which the Officer is entitled because of his employment subsequent to the Qualifying Termination.</w:t>
      </w:r>
    </w:p>
    <w:p>
      <w:pPr>
        <w:spacing w:after="0" w:line="186"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To the extent the benefits under this section 4(b) are, or ever become, taxable to the Officer and to the extent the benefits continue beyond the period in which the Officer would be entitled (or would, but for the Plan, be entitled) to COBRA continuation coverage if the Officer elected such coverage and paid the applicable premiums, the Company shall administer such continuation of coverage consistent with the following additional requirements as set forth in Treas. Reg. § 1.409A-3(i)(1)(iv):</w:t>
      </w:r>
    </w:p>
    <w:p>
      <w:pPr>
        <w:spacing w:after="0" w:line="177" w:lineRule="exact"/>
        <w:rPr>
          <w:sz w:val="20"/>
          <w:szCs w:val="20"/>
          <w:color w:val="auto"/>
        </w:rPr>
      </w:pPr>
    </w:p>
    <w:p>
      <w:pPr>
        <w:ind w:left="1160" w:hanging="382"/>
        <w:spacing w:after="0"/>
        <w:tabs>
          <w:tab w:leader="none" w:pos="116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Officer’s eligibility for benefits in one year will not affect Officer’s eligibility for benefits in any other year;</w:t>
      </w:r>
    </w:p>
    <w:p>
      <w:pPr>
        <w:spacing w:after="0" w:line="215" w:lineRule="exact"/>
        <w:rPr>
          <w:rFonts w:ascii="Arial" w:cs="Arial" w:eastAsia="Arial" w:hAnsi="Arial"/>
          <w:sz w:val="20"/>
          <w:szCs w:val="20"/>
          <w:color w:val="auto"/>
        </w:rPr>
      </w:pPr>
    </w:p>
    <w:p>
      <w:pPr>
        <w:ind w:left="1180" w:right="540" w:hanging="402"/>
        <w:spacing w:after="0" w:line="260" w:lineRule="auto"/>
        <w:tabs>
          <w:tab w:leader="none" w:pos="1162"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reimbursement of eligible expenses will be made on or before the last day of the year following the year in which the expense was incurred; and</w:t>
      </w:r>
    </w:p>
    <w:p>
      <w:pPr>
        <w:spacing w:after="0" w:line="176" w:lineRule="exact"/>
        <w:rPr>
          <w:rFonts w:ascii="Arial" w:cs="Arial" w:eastAsia="Arial" w:hAnsi="Arial"/>
          <w:sz w:val="20"/>
          <w:szCs w:val="20"/>
          <w:color w:val="auto"/>
        </w:rPr>
      </w:pPr>
    </w:p>
    <w:p>
      <w:pPr>
        <w:ind w:left="1160" w:hanging="382"/>
        <w:spacing w:after="0"/>
        <w:tabs>
          <w:tab w:leader="none" w:pos="116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Officer’s right to benefits is not subject to liquidation or exchange for another benefit.</w:t>
      </w:r>
    </w:p>
    <w:p>
      <w:pPr>
        <w:spacing w:after="0" w:line="216"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In the event the preceding sentence applies and the Officer is a Key Employee, provision of these benefits after the COBRA period shall commence on the first day of the seventh month following the Officer’s Separation from Service (or, if earlier, the first day of the month after the Officer’s death).</w:t>
      </w:r>
    </w:p>
    <w:p>
      <w:pPr>
        <w:spacing w:after="0" w:line="200" w:lineRule="exact"/>
        <w:rPr>
          <w:sz w:val="20"/>
          <w:szCs w:val="20"/>
          <w:color w:val="auto"/>
        </w:rPr>
      </w:pPr>
    </w:p>
    <w:p>
      <w:pPr>
        <w:spacing w:after="0" w:line="37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60"/>
          </w:cols>
          <w:pgMar w:left="240" w:top="609" w:right="299" w:bottom="1440" w:gutter="0" w:footer="0" w:header="0"/>
        </w:sectPr>
      </w:pPr>
    </w:p>
    <w:bookmarkStart w:id="124" w:name="page125"/>
    <w:bookmarkEnd w:id="124"/>
    <w:p>
      <w:pPr>
        <w:ind w:left="394" w:hanging="394"/>
        <w:spacing w:after="0" w:line="270" w:lineRule="auto"/>
        <w:tabs>
          <w:tab w:leader="none" w:pos="394"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Company Performance Related Payment</w:t>
      </w:r>
      <w:r>
        <w:rPr>
          <w:rFonts w:ascii="Arial" w:cs="Arial" w:eastAsia="Arial" w:hAnsi="Arial"/>
          <w:sz w:val="18"/>
          <w:szCs w:val="18"/>
          <w:color w:val="auto"/>
        </w:rPr>
        <w:t>. The Officer will be eligible for a severance payment equal to a pro-rata portion of the bonus he or she would have received under the Company annual incentive plan in which he or she was a participant for the year in which the Qualifying Termination occurred, in addition to the lump-sum cash severance payment described in section 4(a). For this purpose, the pro-rated bonus (if any) will be based on the applicable annual incentive plan payout formula, with any applicable individual performance factor set at 1.00, prorated from the beginning of the performance period (January 1st) to the Officer’s date of termination. The severance payment contemplated by this Section 4(c) will be paid when the annual bonuses are paid to active employees between February 15 and March 15 of the year following termination. Notwithstanding anything to the contrary in this section 4(c), if the Officer’s bonus opportunity for the fiscal year in which his or her termination occurs is covered by the Company’s Incentive Compensation Plan (or similar successor bonus program designed to comply with the performance-based compensation exception under Section 162(m) of the Code), then the Officer’s severance payment pursuant to this section 4(c) shall not exceed the maximum bonus the Officer would have been entitled to receive under the Company’s Incentive Compensation Plan for that fiscal year, assuming the Officer had been employed through the date bonuses are paid under such plan for that year, and otherwise calculated under the terms of such plan based on actual performance for that fiscal year (but without giving effect to any discretion of the plan administrator to reduce the bonus amount from the maximum otherwise determined in accordance with such plan).</w:t>
      </w:r>
    </w:p>
    <w:p>
      <w:pPr>
        <w:spacing w:after="0" w:line="170" w:lineRule="exact"/>
        <w:rPr>
          <w:rFonts w:ascii="Arial" w:cs="Arial" w:eastAsia="Arial" w:hAnsi="Arial"/>
          <w:sz w:val="18"/>
          <w:szCs w:val="18"/>
          <w:color w:val="auto"/>
        </w:rPr>
      </w:pPr>
    </w:p>
    <w:p>
      <w:pPr>
        <w:ind w:left="394" w:right="900" w:hanging="394"/>
        <w:spacing w:after="0" w:line="260" w:lineRule="auto"/>
        <w:tabs>
          <w:tab w:leader="none" w:pos="394"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Other Fringe Benefits</w:t>
      </w:r>
      <w:r>
        <w:rPr>
          <w:rFonts w:ascii="Arial" w:cs="Arial" w:eastAsia="Arial" w:hAnsi="Arial"/>
          <w:sz w:val="20"/>
          <w:szCs w:val="20"/>
          <w:color w:val="auto"/>
        </w:rPr>
        <w:t>. All reimbursements will be within the limits established in the Executive Perquisite Program. These perquisites will cease as of the date of termination except for the following:</w:t>
      </w:r>
    </w:p>
    <w:p>
      <w:pPr>
        <w:spacing w:after="0" w:line="176" w:lineRule="exact"/>
        <w:rPr>
          <w:rFonts w:ascii="Arial" w:cs="Arial" w:eastAsia="Arial" w:hAnsi="Arial"/>
          <w:sz w:val="20"/>
          <w:szCs w:val="20"/>
          <w:color w:val="auto"/>
        </w:rPr>
      </w:pPr>
    </w:p>
    <w:p>
      <w:pPr>
        <w:ind w:left="794" w:right="100" w:hanging="402"/>
        <w:spacing w:after="0" w:line="270" w:lineRule="auto"/>
        <w:tabs>
          <w:tab w:leader="none" w:pos="776"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Financial Planning</w:t>
      </w:r>
      <w:r>
        <w:rPr>
          <w:rFonts w:ascii="Arial" w:cs="Arial" w:eastAsia="Arial" w:hAnsi="Arial"/>
          <w:sz w:val="18"/>
          <w:szCs w:val="18"/>
          <w:color w:val="auto"/>
        </w:rPr>
        <w:t>. If an Officer is eligible for financial planning reimbursement at the time of termination, the Officer will be reimbursed for any financial planning fees as specified in the designated Appendix. For these purposes, “financial planning reimbursement” includes any income tax preparation fee reimbursement the Officer may be entitled to under the financial planning reimbursement terms and conditions applicable to the Officer at the time of termination. The financial planning (including income tax preparation fee) reimbursements contemplated by the Appendices are subject to any other applicable limitations that may apply under the financial planning reimbursement terms and conditions applicable to the Officer at the time of termination (for example, and without limitation, annual caps on amounts that may be used in connection with income tax preparation). All such reimbursements pursuant to this section 4(d)(i) shall be administered consistent with the following additional requirements as set forth in Treas. Reg. § 1.409A-3(i)(1)(iv): (1) Officer’s eligibility for benefits in one year will not affect Officer’s eligibility for benefits in any other year; (2) any reimbursement of eligible expenses will be made on or before the last day of the year following the year in which the expense was incurred; and (3) Officer’s right to benefits is not subject to liquidation or exchange for another benefit. In addition, no reimbursements shall be made to an Officer who is a Key Employee for six months following the Officer’s Separation from Service.</w:t>
      </w:r>
    </w:p>
    <w:p>
      <w:pPr>
        <w:spacing w:after="0" w:line="173" w:lineRule="exact"/>
        <w:rPr>
          <w:rFonts w:ascii="Arial" w:cs="Arial" w:eastAsia="Arial" w:hAnsi="Arial"/>
          <w:sz w:val="18"/>
          <w:szCs w:val="18"/>
          <w:color w:val="auto"/>
        </w:rPr>
      </w:pPr>
    </w:p>
    <w:p>
      <w:pPr>
        <w:ind w:left="794" w:right="20" w:hanging="402"/>
        <w:spacing w:after="0" w:line="246" w:lineRule="auto"/>
        <w:tabs>
          <w:tab w:leader="none" w:pos="776" w:val="left"/>
        </w:tabs>
        <w:numPr>
          <w:ilvl w:val="1"/>
          <w:numId w:val="129"/>
        </w:numPr>
        <w:rPr>
          <w:rFonts w:ascii="Arial" w:cs="Arial" w:eastAsia="Arial" w:hAnsi="Arial"/>
          <w:sz w:val="20"/>
          <w:szCs w:val="20"/>
          <w:color w:val="auto"/>
        </w:rPr>
      </w:pPr>
      <w:r>
        <w:rPr>
          <w:rFonts w:ascii="Arial" w:cs="Arial" w:eastAsia="Arial" w:hAnsi="Arial"/>
          <w:sz w:val="20"/>
          <w:szCs w:val="20"/>
          <w:u w:val="single" w:color="auto"/>
          <w:color w:val="auto"/>
        </w:rPr>
        <w:t>Outplacement Service</w:t>
      </w:r>
      <w:r>
        <w:rPr>
          <w:rFonts w:ascii="Arial" w:cs="Arial" w:eastAsia="Arial" w:hAnsi="Arial"/>
          <w:sz w:val="20"/>
          <w:szCs w:val="20"/>
          <w:color w:val="auto"/>
        </w:rPr>
        <w:t>. The Officer will be reimbursed for the cost of reasonable outplacement services provided by the Company’s outplacement service provider for services provided within one year after the Officer’s date of termination; provided, however, that the total reimbursement shall be limited to an amount equal to fifteen percent (15%) of the Officer’s base salary as of the date of termination. All services will be subject</w:t>
      </w:r>
    </w:p>
    <w:p>
      <w:pPr>
        <w:spacing w:after="0" w:line="200" w:lineRule="exact"/>
        <w:rPr>
          <w:sz w:val="20"/>
          <w:szCs w:val="20"/>
          <w:color w:val="auto"/>
        </w:rPr>
      </w:pPr>
    </w:p>
    <w:p>
      <w:pPr>
        <w:spacing w:after="0" w:line="383" w:lineRule="exact"/>
        <w:rPr>
          <w:sz w:val="20"/>
          <w:szCs w:val="20"/>
          <w:color w:val="auto"/>
        </w:rPr>
      </w:pPr>
    </w:p>
    <w:p>
      <w:pPr>
        <w:ind w:left="383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34"/>
          </w:cols>
          <w:pgMar w:left="626" w:top="595" w:right="239" w:bottom="1440" w:gutter="0" w:footer="0" w:header="0"/>
        </w:sectPr>
      </w:pPr>
    </w:p>
    <w:bookmarkStart w:id="125" w:name="page126"/>
    <w:bookmarkEnd w:id="125"/>
    <w:p>
      <w:pPr>
        <w:ind w:left="1152" w:right="220"/>
        <w:spacing w:after="0" w:line="289" w:lineRule="auto"/>
        <w:rPr>
          <w:sz w:val="20"/>
          <w:szCs w:val="20"/>
          <w:color w:val="auto"/>
        </w:rPr>
      </w:pPr>
      <w:r>
        <w:rPr>
          <w:rFonts w:ascii="Arial" w:cs="Arial" w:eastAsia="Arial" w:hAnsi="Arial"/>
          <w:sz w:val="20"/>
          <w:szCs w:val="20"/>
          <w:color w:val="auto"/>
        </w:rPr>
        <w:t>to the current contract with the provider, and all such expenses shall be reimbursed as soon as practicable, but in no event later than the end of the year following the year the Officer Separates from Service.</w:t>
      </w:r>
    </w:p>
    <w:p>
      <w:pPr>
        <w:spacing w:after="0" w:line="162" w:lineRule="exact"/>
        <w:rPr>
          <w:sz w:val="20"/>
          <w:szCs w:val="20"/>
          <w:color w:val="auto"/>
        </w:rPr>
      </w:pPr>
    </w:p>
    <w:p>
      <w:pPr>
        <w:ind w:left="772" w:right="20" w:hanging="394"/>
        <w:spacing w:after="0" w:line="273" w:lineRule="auto"/>
        <w:tabs>
          <w:tab w:leader="none" w:pos="772"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Time and Form of Payment</w:t>
      </w:r>
      <w:r>
        <w:rPr>
          <w:rFonts w:ascii="Arial" w:cs="Arial" w:eastAsia="Arial" w:hAnsi="Arial"/>
          <w:sz w:val="18"/>
          <w:szCs w:val="18"/>
          <w:color w:val="auto"/>
        </w:rPr>
        <w:t>. The severance benefits under section 4(a) will be paid to the eligible Officer in a lump sum as soon as practicable following the Officer’s Separation from Service, but in no event beyond thirty (30) days from such date, provided the Officer signs the Release within twenty one (21) days following the Officer’s Separation from Service. Notwithstanding the foregoing, if the Officer is a Key Employee, the lump sum payment shall be made on or within thirty (30) days after the first day of the seventh month following the Officer’s Separation from Service (or, if earlier, the first day of the month after the Officer’s death), provided the Officer signs the Release within twenty-one (21) days following the Officer’s Separation from Service. This amount will be paid after all regular taxes and withholdings have been deducted. No payment made pursuant to the Plan is eligible compensation under any of the Company’s benefit plans, including without limitation, pension, savings, or deferred compensation plans.</w:t>
      </w:r>
    </w:p>
    <w:p>
      <w:pPr>
        <w:spacing w:after="0" w:line="163" w:lineRule="exact"/>
        <w:rPr>
          <w:rFonts w:ascii="Arial" w:cs="Arial" w:eastAsia="Arial" w:hAnsi="Arial"/>
          <w:sz w:val="18"/>
          <w:szCs w:val="18"/>
          <w:color w:val="auto"/>
        </w:rPr>
      </w:pPr>
    </w:p>
    <w:p>
      <w:pPr>
        <w:ind w:left="-8" w:firstLine="8"/>
        <w:spacing w:after="0" w:line="269" w:lineRule="auto"/>
        <w:tabs>
          <w:tab w:leader="none" w:pos="3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 of Plan Benefits. </w:t>
      </w:r>
      <w:r>
        <w:rPr>
          <w:rFonts w:ascii="Arial" w:cs="Arial" w:eastAsia="Arial" w:hAnsi="Arial"/>
          <w:sz w:val="18"/>
          <w:szCs w:val="18"/>
          <w:color w:val="auto"/>
        </w:rPr>
        <w:t>Notwithstanding anything contained in this Plan to the contrary, if upon or following a change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or effective control” of the Company or in the “ownership of a substantial portion of the assets” of the Company (each within the meaning of Section 280G of the Code), the tax imposed by Section 4999 of the Code or any similar or successor tax (the “Excise Tax”) applies, solely because of such transaction, to any payments, benefits and/or amounts received by the Officer pursuant to the Plan or otherwise, including, without limitation, any amounts received, or deemed received within the meaning of any provision of the Code, by the Officer as a result of (and not by way of limitation) any automatic vesting, lapse of restrictions and/or accelerated target or performance achievement provisions, or otherwise, applicable to outstanding grants or awards to the Officer under any of the Company’s incentive plans, including without limitation, the 2001 Long-Term Incentive Stock Plan and the 1993 Long Term Incentive Stock Plan (collectively, the “Total Payments”), then the Total Payments shall be reduced (but not below zero) so that the maximum amount of the Total Payments (after reduction) shall be one dollar ($1.00) less than the amount which would cause the Total Payments to be subject to the Excise Tax; provided that such reduction to the Total Payments shall be made only if the total after-tax benefit to the Officer is greater after giving effect to such reduction than if no such reduction had been made. If such a reduction is required, the Company shall reduce or eliminate the Total Payments by first reducing or eliminating any cash severance benefits, then by reducing or eliminating any accelerated vesting of stock options, then by reducing or eliminating any accelerated vesting of other equity awards, then by reducing or eliminating any other remaining Total Payments, in each case in reverse order beginning with the payments which are to be paid the farthest in time from the date of the transaction triggering the Excise Tax. The preceding provisions of this section 5 shall take precedence over the provisions of any other plan, arrangement or agreement governing the Officer’s rights and entitlements to any benefits or compensation.</w:t>
      </w:r>
    </w:p>
    <w:p>
      <w:pPr>
        <w:spacing w:after="0" w:line="175" w:lineRule="exact"/>
        <w:rPr>
          <w:rFonts w:ascii="Arial" w:cs="Arial" w:eastAsia="Arial" w:hAnsi="Arial"/>
          <w:sz w:val="18"/>
          <w:szCs w:val="18"/>
          <w:b w:val="1"/>
          <w:bCs w:val="1"/>
          <w:color w:val="auto"/>
        </w:rPr>
      </w:pPr>
    </w:p>
    <w:p>
      <w:pPr>
        <w:ind w:left="-8" w:right="120" w:firstLine="8"/>
        <w:spacing w:after="0" w:line="318" w:lineRule="auto"/>
        <w:tabs>
          <w:tab w:leader="none" w:pos="320"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Offset for Other Benefits Received. </w:t>
      </w:r>
      <w:r>
        <w:rPr>
          <w:rFonts w:ascii="Arial" w:cs="Arial" w:eastAsia="Arial" w:hAnsi="Arial"/>
          <w:sz w:val="16"/>
          <w:szCs w:val="16"/>
          <w:color w:val="auto"/>
        </w:rPr>
        <w:t>The benefits under the Plan are in lieu of, and not in addition to, any other severance or separation</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for which the Officer is eligible under any Company plan, policy or arrangements (including but not limited to, severance benefits provided under any employment agreement, retention incentive agreement, or similar benefits under any individual change in control agreements, plans, policies, arrangements and change in control agreements of acquired companies or business units) (collectively, “severance plans”). If an Officer receives any benefit under any severance plan, such benefit shall cause a corresponding reduction in benefits under this Plan. If, despite any release that the Officer signs in connection with the Plan, such Officer is later awarded and receives benefits</w:t>
      </w:r>
    </w:p>
    <w:p>
      <w:pPr>
        <w:spacing w:after="0" w:line="200" w:lineRule="exact"/>
        <w:rPr>
          <w:sz w:val="20"/>
          <w:szCs w:val="20"/>
          <w:color w:val="auto"/>
        </w:rPr>
      </w:pPr>
    </w:p>
    <w:p>
      <w:pPr>
        <w:spacing w:after="0" w:line="329" w:lineRule="exact"/>
        <w:rPr>
          <w:sz w:val="20"/>
          <w:szCs w:val="20"/>
          <w:color w:val="auto"/>
        </w:rPr>
      </w:pPr>
    </w:p>
    <w:p>
      <w:pPr>
        <w:ind w:left="4212"/>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392"/>
          </w:cols>
          <w:pgMar w:left="248" w:top="609" w:right="259" w:bottom="1440" w:gutter="0" w:footer="0" w:header="0"/>
        </w:sectPr>
      </w:pPr>
    </w:p>
    <w:bookmarkStart w:id="126" w:name="page127"/>
    <w:bookmarkEnd w:id="126"/>
    <w:p>
      <w:pPr>
        <w:ind w:right="280"/>
        <w:spacing w:after="0" w:line="250" w:lineRule="auto"/>
        <w:rPr>
          <w:sz w:val="20"/>
          <w:szCs w:val="20"/>
          <w:color w:val="auto"/>
        </w:rPr>
      </w:pPr>
      <w:r>
        <w:rPr>
          <w:rFonts w:ascii="Arial" w:cs="Arial" w:eastAsia="Arial" w:hAnsi="Arial"/>
          <w:sz w:val="20"/>
          <w:szCs w:val="20"/>
          <w:color w:val="auto"/>
        </w:rPr>
        <w:t>under any other severance plan(s), any benefits that the Officer receives under the Plan will be treated as having been received under those other severance plans for purposes of calculating total benefits received under those other severance plans (that is, benefits under those other severance plans will be reduced by amounts received under the Plan).</w:t>
      </w:r>
    </w:p>
    <w:p>
      <w:pPr>
        <w:spacing w:after="0" w:line="180" w:lineRule="exact"/>
        <w:rPr>
          <w:sz w:val="20"/>
          <w:szCs w:val="20"/>
          <w:color w:val="auto"/>
        </w:rPr>
      </w:pPr>
    </w:p>
    <w:p>
      <w:pPr>
        <w:ind w:right="320" w:firstLine="8"/>
        <w:spacing w:after="0" w:line="273" w:lineRule="auto"/>
        <w:tabs>
          <w:tab w:leader="none" w:pos="328" w:val="left"/>
        </w:tabs>
        <w:numPr>
          <w:ilvl w:val="0"/>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Administration. </w:t>
      </w:r>
      <w:r>
        <w:rPr>
          <w:rFonts w:ascii="Arial" w:cs="Arial" w:eastAsia="Arial" w:hAnsi="Arial"/>
          <w:sz w:val="19"/>
          <w:szCs w:val="19"/>
          <w:color w:val="auto"/>
        </w:rPr>
        <w:t>The Plan shall be administered by the Benefit Plans Administrative Committee (the “Plan Administrator”).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has sole and absolute discretion to interpret the terms of the Plan, eligibility for benefits, and determine questions of fact. The Plan Administrator may delegate any of its duties or authority to any individual or entity.</w:t>
      </w:r>
    </w:p>
    <w:p>
      <w:pPr>
        <w:spacing w:after="0" w:line="159" w:lineRule="exact"/>
        <w:rPr>
          <w:rFonts w:ascii="Arial" w:cs="Arial" w:eastAsia="Arial" w:hAnsi="Arial"/>
          <w:sz w:val="19"/>
          <w:szCs w:val="19"/>
          <w:b w:val="1"/>
          <w:bCs w:val="1"/>
          <w:color w:val="auto"/>
        </w:rPr>
      </w:pPr>
    </w:p>
    <w:p>
      <w:pPr>
        <w:ind w:left="340" w:hanging="332"/>
        <w:spacing w:after="0"/>
        <w:tabs>
          <w:tab w:leader="none" w:pos="340" w:val="left"/>
        </w:tabs>
        <w:numPr>
          <w:ilvl w:val="0"/>
          <w:numId w:val="132"/>
        </w:numPr>
        <w:rPr>
          <w:rFonts w:ascii="Arial" w:cs="Arial" w:eastAsia="Arial" w:hAnsi="Arial"/>
          <w:sz w:val="20"/>
          <w:szCs w:val="20"/>
          <w:b w:val="1"/>
          <w:bCs w:val="1"/>
          <w:color w:val="auto"/>
        </w:rPr>
      </w:pPr>
      <w:r>
        <w:rPr>
          <w:rFonts w:ascii="Arial" w:cs="Arial" w:eastAsia="Arial" w:hAnsi="Arial"/>
          <w:sz w:val="20"/>
          <w:szCs w:val="20"/>
          <w:b w:val="1"/>
          <w:bCs w:val="1"/>
          <w:color w:val="auto"/>
        </w:rPr>
        <w:t>Claims and Appeals Procedures.</w:t>
      </w:r>
    </w:p>
    <w:p>
      <w:pPr>
        <w:spacing w:after="0" w:line="222"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i w:val="1"/>
          <w:iCs w:val="1"/>
          <w:u w:val="single" w:color="auto"/>
          <w:color w:val="auto"/>
        </w:rPr>
        <w:t>Claims Procedure</w:t>
      </w:r>
      <w:r>
        <w:rPr>
          <w:rFonts w:ascii="Arial" w:cs="Arial" w:eastAsia="Arial" w:hAnsi="Arial"/>
          <w:sz w:val="20"/>
          <w:szCs w:val="20"/>
          <w:color w:val="auto"/>
        </w:rPr>
        <w:t>. If an Officer believes that he or she is entitled to benefits under the Plan and has not received them, the Officer or his</w:t>
      </w:r>
      <w:r>
        <w:rPr>
          <w:rFonts w:ascii="Arial" w:cs="Arial" w:eastAsia="Arial" w:hAnsi="Arial"/>
          <w:sz w:val="20"/>
          <w:szCs w:val="20"/>
          <w:i w:val="1"/>
          <w:iCs w:val="1"/>
          <w:color w:val="auto"/>
        </w:rPr>
        <w:t xml:space="preserve"> </w:t>
      </w:r>
      <w:r>
        <w:rPr>
          <w:rFonts w:ascii="Arial" w:cs="Arial" w:eastAsia="Arial" w:hAnsi="Arial"/>
          <w:sz w:val="20"/>
          <w:szCs w:val="20"/>
          <w:color w:val="auto"/>
        </w:rPr>
        <w:t>authorized representative (each, a “claimant”) may file a claim for benefits. The Vice President of Compensation and Benefits decides claims for benefits under the Plan. The claimant must submit the written claim to the following address: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Vice President of Compensation and Benefits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Northrop Grumman Corporation</w:t>
      </w:r>
    </w:p>
    <w:p>
      <w:pPr>
        <w:ind w:left="660"/>
        <w:spacing w:after="0"/>
        <w:rPr>
          <w:sz w:val="20"/>
          <w:szCs w:val="20"/>
          <w:color w:val="auto"/>
        </w:rPr>
      </w:pPr>
      <w:r>
        <w:rPr>
          <w:rFonts w:ascii="Arial" w:cs="Arial" w:eastAsia="Arial" w:hAnsi="Arial"/>
          <w:sz w:val="20"/>
          <w:szCs w:val="20"/>
          <w:color w:val="auto"/>
        </w:rPr>
        <w:t>2980 Fairview Park Drive</w:t>
      </w:r>
    </w:p>
    <w:p>
      <w:pPr>
        <w:ind w:left="660"/>
        <w:spacing w:after="0"/>
        <w:rPr>
          <w:sz w:val="20"/>
          <w:szCs w:val="20"/>
          <w:color w:val="auto"/>
        </w:rPr>
      </w:pPr>
      <w:r>
        <w:rPr>
          <w:rFonts w:ascii="Arial" w:cs="Arial" w:eastAsia="Arial" w:hAnsi="Arial"/>
          <w:sz w:val="20"/>
          <w:szCs w:val="20"/>
          <w:color w:val="auto"/>
        </w:rPr>
        <w:t>Falls Church, VA 22042</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letter must state the reason why the claimant believes the Officer is entitled to benefits, and the letter must be received no later than 90 days after the Officer’s termination of employment, or 90 days after a payment was due, whichever comes first.</w:t>
      </w:r>
    </w:p>
    <w:p>
      <w:pPr>
        <w:spacing w:after="0" w:line="17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If the claim is denied, in whole or in part, the claimant will receive a written response within 90 days. This response will include (i) the reason(s) for the denial, (ii) reference(s) to the specific Plan provisions on which denial is based, (iii) a description of any additional information necessary to perfect the claim, and (iv) a description of the Plan’s claims and appeals procedures. In some cases more than 90 days may be needed to make a decision, in which case the claimant will be notified prior to the expiration of the 90 days that more time is needed to review the claim and the date by which the Plan expects to render the decision. In no event will the extension be for more than an additional 90 days.</w:t>
      </w:r>
    </w:p>
    <w:p>
      <w:pPr>
        <w:spacing w:after="0" w:line="197"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i w:val="1"/>
          <w:iCs w:val="1"/>
          <w:u w:val="single" w:color="auto"/>
          <w:color w:val="auto"/>
        </w:rPr>
        <w:t>Appeal of Denied Claim</w:t>
      </w:r>
      <w:r>
        <w:rPr>
          <w:rFonts w:ascii="Arial" w:cs="Arial" w:eastAsia="Arial" w:hAnsi="Arial"/>
          <w:sz w:val="18"/>
          <w:szCs w:val="18"/>
          <w:color w:val="auto"/>
        </w:rPr>
        <w:t>. The claimant may appeal a denied claim by filing an appeal with the Benefit Plans Administrative Committee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60 days after the claim is denied. The written appeal should be sent to the Benefit Plans Administrative Committee at the following address: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Benefit Plans Administrative Committee</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Northrop Grumman Corporation</w:t>
      </w:r>
    </w:p>
    <w:p>
      <w:pPr>
        <w:ind w:left="660"/>
        <w:spacing w:after="0"/>
        <w:rPr>
          <w:sz w:val="20"/>
          <w:szCs w:val="20"/>
          <w:color w:val="auto"/>
        </w:rPr>
      </w:pPr>
      <w:r>
        <w:rPr>
          <w:rFonts w:ascii="Arial" w:cs="Arial" w:eastAsia="Arial" w:hAnsi="Arial"/>
          <w:sz w:val="20"/>
          <w:szCs w:val="20"/>
          <w:color w:val="auto"/>
        </w:rPr>
        <w:t>2980 Fairview Park Drive</w:t>
      </w:r>
    </w:p>
    <w:p>
      <w:pPr>
        <w:ind w:left="660"/>
        <w:spacing w:after="0"/>
        <w:rPr>
          <w:sz w:val="20"/>
          <w:szCs w:val="20"/>
          <w:color w:val="auto"/>
        </w:rPr>
      </w:pPr>
      <w:r>
        <w:rPr>
          <w:rFonts w:ascii="Arial" w:cs="Arial" w:eastAsia="Arial" w:hAnsi="Arial"/>
          <w:sz w:val="20"/>
          <w:szCs w:val="20"/>
          <w:color w:val="auto"/>
        </w:rPr>
        <w:t>Falls Church, VA 22042</w:t>
      </w:r>
    </w:p>
    <w:p>
      <w:pPr>
        <w:spacing w:after="0" w:line="21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As part of the appeal process the claimant will be given the opportunity to submit written comments and information and be provided, upon request and free or charge, with copies of documents and other information relevant to the claim. The review on appeal will take into account all information submitted on appeal, whether or not it was submitted or considered in the initial benefit determination. A decision will be made on the appeal within 60 days, unless additional time is needed. If more time is needed, the claimant will be notified prior to the expiration of the 60 days that up to an additional 60 days is needed and the date by which the Plan expects to render the decision. If the claim is denied, in whole or in part,</w:t>
      </w:r>
    </w:p>
    <w:p>
      <w:pPr>
        <w:spacing w:after="0" w:line="200" w:lineRule="exact"/>
        <w:rPr>
          <w:sz w:val="20"/>
          <w:szCs w:val="20"/>
          <w:color w:val="auto"/>
        </w:rPr>
      </w:pPr>
    </w:p>
    <w:p>
      <w:pPr>
        <w:spacing w:after="0" w:line="38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95" w:right="239" w:bottom="1440" w:gutter="0" w:footer="0" w:header="0"/>
        </w:sectPr>
      </w:pPr>
    </w:p>
    <w:bookmarkStart w:id="127" w:name="page128"/>
    <w:bookmarkEnd w:id="127"/>
    <w:p>
      <w:pPr>
        <w:ind w:right="260"/>
        <w:spacing w:after="0" w:line="291" w:lineRule="auto"/>
        <w:rPr>
          <w:sz w:val="20"/>
          <w:szCs w:val="20"/>
          <w:color w:val="auto"/>
        </w:rPr>
      </w:pPr>
      <w:r>
        <w:rPr>
          <w:rFonts w:ascii="Arial" w:cs="Arial" w:eastAsia="Arial" w:hAnsi="Arial"/>
          <w:sz w:val="18"/>
          <w:szCs w:val="18"/>
          <w:color w:val="auto"/>
        </w:rPr>
        <w:t>on appeal the claimant will receive a written response which will include (i) the reason(s) for the denial, (ii) references to the specific Plan provisions on which the denial is based, (iii) a statement that the claimant is entitled to receive, upon request and free of charge, copies of all documents and other information relevant to the claim on appeal, and (iv) a description of the Plan’s claims and appeals procedures.</w:t>
      </w:r>
    </w:p>
    <w:p>
      <w:pPr>
        <w:spacing w:after="0" w:line="15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If the claim is denied on appeal, the Officer has the right to bring an action under Section 502(a) of the Employee Retirement Income Security Act of 1974, as amended. Any claimant must pursue all claims and appeals procedures described in the Plan document before seeking any other legal recourse with respect to Plan benefits. In addition, any lawsuit must be filed within six months from the date of the denied appeal, or two years from the Officer’s termination date, whichever occurs first.</w:t>
      </w:r>
    </w:p>
    <w:p>
      <w:pPr>
        <w:spacing w:after="0" w:line="19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In exercising their authority and responsibility for deciding claims and appeals, the Vice President of Compensation and Benefits (claims) and the Benefit Plans Administrative Committee (appeals) each have full discretionary authority, including, without limitation, authority to construe the terms of the Plan and to make factual determinations. Their determinations and actions will be conclusive and binding on all persons, and no determination or action will be modified by a court unless the determination or action is proven to be arbitrary or capricious.</w:t>
      </w:r>
    </w:p>
    <w:p>
      <w:pPr>
        <w:spacing w:after="0" w:line="156" w:lineRule="exact"/>
        <w:rPr>
          <w:sz w:val="20"/>
          <w:szCs w:val="20"/>
          <w:color w:val="auto"/>
        </w:rPr>
      </w:pPr>
    </w:p>
    <w:p>
      <w:pPr>
        <w:ind w:right="220" w:firstLine="8"/>
        <w:spacing w:after="0" w:line="267" w:lineRule="auto"/>
        <w:tabs>
          <w:tab w:leader="none" w:pos="328"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Amendment. </w:t>
      </w:r>
      <w:r>
        <w:rPr>
          <w:rFonts w:ascii="Arial" w:cs="Arial" w:eastAsia="Arial" w:hAnsi="Arial"/>
          <w:sz w:val="20"/>
          <w:szCs w:val="20"/>
          <w:color w:val="auto"/>
        </w:rPr>
        <w:t>The Company (acting through the Committee) reserves the right at any time to terminate or amend this Plan in any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and without the consent of any Officer.</w:t>
      </w:r>
    </w:p>
    <w:p>
      <w:pPr>
        <w:spacing w:after="0" w:line="163" w:lineRule="exact"/>
        <w:rPr>
          <w:rFonts w:ascii="Arial" w:cs="Arial" w:eastAsia="Arial" w:hAnsi="Arial"/>
          <w:sz w:val="20"/>
          <w:szCs w:val="20"/>
          <w:b w:val="1"/>
          <w:bCs w:val="1"/>
          <w:color w:val="auto"/>
        </w:rPr>
      </w:pPr>
    </w:p>
    <w:p>
      <w:pPr>
        <w:ind w:right="320" w:firstLine="8"/>
        <w:spacing w:after="0" w:line="330" w:lineRule="auto"/>
        <w:tabs>
          <w:tab w:leader="none" w:pos="427"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Unfunded Obligations. </w:t>
      </w:r>
      <w:r>
        <w:rPr>
          <w:rFonts w:ascii="Arial" w:cs="Arial" w:eastAsia="Arial" w:hAnsi="Arial"/>
          <w:sz w:val="16"/>
          <w:szCs w:val="16"/>
          <w:color w:val="auto"/>
        </w:rPr>
        <w:t>All benefits due an Officer or the Officer’s beneficiary under this Plan are unfunded and unsecured and are</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out of the general funds of the Company. The Company, in its sole and absolute discretion, may establish a trust associated with the payment of Plan benefits, provided that the trust does not alter the characterization of the Plan as an “unfunded plan” for purposes of the Employee Retirement Income Security Act, as amended. Any such trust shall make distributions in accordance with the terms of the Plan.</w:t>
      </w:r>
    </w:p>
    <w:p>
      <w:pPr>
        <w:spacing w:after="0" w:line="122" w:lineRule="exact"/>
        <w:rPr>
          <w:rFonts w:ascii="Arial" w:cs="Arial" w:eastAsia="Arial" w:hAnsi="Arial"/>
          <w:sz w:val="16"/>
          <w:szCs w:val="16"/>
          <w:b w:val="1"/>
          <w:bCs w:val="1"/>
          <w:color w:val="auto"/>
        </w:rPr>
      </w:pPr>
    </w:p>
    <w:p>
      <w:pPr>
        <w:ind w:right="380" w:firstLine="8"/>
        <w:spacing w:after="0" w:line="267" w:lineRule="auto"/>
        <w:tabs>
          <w:tab w:leader="none" w:pos="416"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Transferability of Benefits. </w:t>
      </w:r>
      <w:r>
        <w:rPr>
          <w:rFonts w:ascii="Arial" w:cs="Arial" w:eastAsia="Arial" w:hAnsi="Arial"/>
          <w:sz w:val="20"/>
          <w:szCs w:val="20"/>
          <w:color w:val="auto"/>
        </w:rPr>
        <w:t>The right to receive payment of any benefits under this Plan shall not be transferred, assigned or pledged</w:t>
      </w:r>
      <w:r>
        <w:rPr>
          <w:rFonts w:ascii="Arial" w:cs="Arial" w:eastAsia="Arial" w:hAnsi="Arial"/>
          <w:sz w:val="20"/>
          <w:szCs w:val="20"/>
          <w:b w:val="1"/>
          <w:bCs w:val="1"/>
          <w:color w:val="auto"/>
        </w:rPr>
        <w:t xml:space="preserve"> </w:t>
      </w:r>
      <w:r>
        <w:rPr>
          <w:rFonts w:ascii="Arial" w:cs="Arial" w:eastAsia="Arial" w:hAnsi="Arial"/>
          <w:sz w:val="20"/>
          <w:szCs w:val="20"/>
          <w:color w:val="auto"/>
        </w:rPr>
        <w:t>except by beneficiary designation or by will or under the laws of descent and distribution.</w:t>
      </w:r>
    </w:p>
    <w:p>
      <w:pPr>
        <w:spacing w:after="0" w:line="163" w:lineRule="exact"/>
        <w:rPr>
          <w:rFonts w:ascii="Arial" w:cs="Arial" w:eastAsia="Arial" w:hAnsi="Arial"/>
          <w:sz w:val="20"/>
          <w:szCs w:val="20"/>
          <w:b w:val="1"/>
          <w:bCs w:val="1"/>
          <w:color w:val="auto"/>
        </w:rPr>
      </w:pPr>
    </w:p>
    <w:p>
      <w:pPr>
        <w:ind w:right="360" w:firstLine="8"/>
        <w:spacing w:after="0" w:line="267" w:lineRule="auto"/>
        <w:tabs>
          <w:tab w:leader="none" w:pos="427"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Taxes. </w:t>
      </w:r>
      <w:r>
        <w:rPr>
          <w:rFonts w:ascii="Arial" w:cs="Arial" w:eastAsia="Arial" w:hAnsi="Arial"/>
          <w:sz w:val="20"/>
          <w:szCs w:val="20"/>
          <w:color w:val="auto"/>
        </w:rPr>
        <w:t>The Company may withhold from any payment due under this Plan any taxes required to be withheld under applicable federal,</w:t>
      </w:r>
      <w:r>
        <w:rPr>
          <w:rFonts w:ascii="Arial" w:cs="Arial" w:eastAsia="Arial" w:hAnsi="Arial"/>
          <w:sz w:val="20"/>
          <w:szCs w:val="20"/>
          <w:b w:val="1"/>
          <w:bCs w:val="1"/>
          <w:color w:val="auto"/>
        </w:rPr>
        <w:t xml:space="preserve"> </w:t>
      </w:r>
      <w:r>
        <w:rPr>
          <w:rFonts w:ascii="Arial" w:cs="Arial" w:eastAsia="Arial" w:hAnsi="Arial"/>
          <w:sz w:val="20"/>
          <w:szCs w:val="20"/>
          <w:color w:val="auto"/>
        </w:rPr>
        <w:t>state or local tax laws or regulations.</w:t>
      </w:r>
    </w:p>
    <w:p>
      <w:pPr>
        <w:spacing w:after="0" w:line="163" w:lineRule="exact"/>
        <w:rPr>
          <w:rFonts w:ascii="Arial" w:cs="Arial" w:eastAsia="Arial" w:hAnsi="Arial"/>
          <w:sz w:val="20"/>
          <w:szCs w:val="20"/>
          <w:b w:val="1"/>
          <w:bCs w:val="1"/>
          <w:color w:val="auto"/>
        </w:rPr>
      </w:pPr>
    </w:p>
    <w:p>
      <w:pPr>
        <w:ind w:left="440" w:hanging="432"/>
        <w:spacing w:after="0"/>
        <w:tabs>
          <w:tab w:leader="none" w:pos="440"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Gender. </w:t>
      </w:r>
      <w:r>
        <w:rPr>
          <w:rFonts w:ascii="Arial" w:cs="Arial" w:eastAsia="Arial" w:hAnsi="Arial"/>
          <w:sz w:val="20"/>
          <w:szCs w:val="20"/>
          <w:color w:val="auto"/>
        </w:rPr>
        <w:t>The use of masculine pronouns in this Plan shall be deemed to include both males and females.</w:t>
      </w:r>
    </w:p>
    <w:p>
      <w:pPr>
        <w:spacing w:after="0" w:line="215" w:lineRule="exact"/>
        <w:rPr>
          <w:rFonts w:ascii="Arial" w:cs="Arial" w:eastAsia="Arial" w:hAnsi="Arial"/>
          <w:sz w:val="20"/>
          <w:szCs w:val="20"/>
          <w:b w:val="1"/>
          <w:bCs w:val="1"/>
          <w:color w:val="auto"/>
        </w:rPr>
      </w:pPr>
    </w:p>
    <w:p>
      <w:pPr>
        <w:ind w:right="180" w:firstLine="8"/>
        <w:spacing w:after="0" w:line="277" w:lineRule="auto"/>
        <w:tabs>
          <w:tab w:leader="none" w:pos="427"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Construction, Governing Laws. </w:t>
      </w:r>
      <w:r>
        <w:rPr>
          <w:rFonts w:ascii="Arial" w:cs="Arial" w:eastAsia="Arial" w:hAnsi="Arial"/>
          <w:sz w:val="18"/>
          <w:szCs w:val="18"/>
          <w:color w:val="auto"/>
        </w:rPr>
        <w:t>The Plan is intended as (i) a pension plan within the meaning of Section 3(2) of the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Income Security Act, as amended (“ERISA”), and (ii) an unfunded pension plan maintained by the Company for a select group of management or highly compensated employees within the meaning of Department of Labor Regulation 2520.104-23 promulgated under ERISA, and Sections 201, 301, and 401 of ERISA. Nothing in this Plan creates a vested right to benefits in any employee or any right to be retained in the employ of the Company. Except to the extent that federal legislation or applicable regulation shall govern, the validity and construction of the Plan and each of its provisions shall be subject to and governed by the laws of the Commonwealth of Virginia.</w:t>
      </w:r>
    </w:p>
    <w:p>
      <w:pPr>
        <w:spacing w:after="0" w:line="200" w:lineRule="exact"/>
        <w:rPr>
          <w:sz w:val="20"/>
          <w:szCs w:val="20"/>
          <w:color w:val="auto"/>
        </w:rPr>
      </w:pPr>
    </w:p>
    <w:p>
      <w:pPr>
        <w:spacing w:after="0" w:line="35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00"/>
          </w:cols>
          <w:pgMar w:left="240" w:top="595" w:right="259" w:bottom="1440" w:gutter="0" w:footer="0" w:header="0"/>
        </w:sectPr>
      </w:pPr>
    </w:p>
    <w:bookmarkStart w:id="128" w:name="page129"/>
    <w:bookmarkEnd w:id="128"/>
    <w:p>
      <w:pPr>
        <w:ind w:firstLine="8"/>
        <w:spacing w:after="0" w:line="267" w:lineRule="auto"/>
        <w:tabs>
          <w:tab w:leader="none" w:pos="427"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If any provision of the Plan is found, held or deemed to be void, unlawful or unenforceable under any applicable statute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controlling law, the remainder of the Plan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IN WITNESS WHEREOF, this Amendment and Restatement is hereby executed by a duly authorized officer on this 20th day of December,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Denise Peppard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658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Denise M. Peppard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Corporate Vice President and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0"/>
          </w:cols>
          <w:pgMar w:left="240" w:top="589" w:right="4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20"/>
          <w:szCs w:val="20"/>
          <w:b w:val="1"/>
          <w:bCs w:val="1"/>
          <w:color w:val="auto"/>
        </w:rPr>
        <w:t>Appendix for Corporate Policy Council (CPC) Officers other than the Chief Executive Officer</w:t>
      </w:r>
    </w:p>
    <w:p>
      <w:pPr>
        <w:spacing w:after="0" w:line="330"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following benefits shall apply for purposes of eligible Officers (other than the Company’s Chief Executive Officer) who are members of the CPC:</w:t>
      </w:r>
    </w:p>
    <w:p>
      <w:pPr>
        <w:spacing w:after="0" w:line="177" w:lineRule="exact"/>
        <w:rPr>
          <w:sz w:val="20"/>
          <w:szCs w:val="20"/>
          <w:color w:val="auto"/>
        </w:rPr>
      </w:pPr>
    </w:p>
    <w:p>
      <w:pPr>
        <w:ind w:left="500" w:right="60"/>
        <w:spacing w:after="0" w:line="244" w:lineRule="auto"/>
        <w:rPr>
          <w:sz w:val="20"/>
          <w:szCs w:val="20"/>
          <w:color w:val="auto"/>
        </w:rPr>
      </w:pPr>
      <w:r>
        <w:rPr>
          <w:rFonts w:ascii="Arial" w:cs="Arial" w:eastAsia="Arial" w:hAnsi="Arial"/>
          <w:sz w:val="20"/>
          <w:szCs w:val="20"/>
          <w:color w:val="auto"/>
        </w:rPr>
        <w:t xml:space="preserve">Section 4(a). </w:t>
      </w:r>
      <w:r>
        <w:rPr>
          <w:rFonts w:ascii="Arial" w:cs="Arial" w:eastAsia="Arial" w:hAnsi="Arial"/>
          <w:sz w:val="20"/>
          <w:szCs w:val="20"/>
          <w:u w:val="single" w:color="auto"/>
          <w:color w:val="auto"/>
        </w:rPr>
        <w:t>Lump-sum Cash Severance Payment</w:t>
      </w:r>
      <w:r>
        <w:rPr>
          <w:rFonts w:ascii="Arial" w:cs="Arial" w:eastAsia="Arial" w:hAnsi="Arial"/>
          <w:sz w:val="20"/>
          <w:szCs w:val="20"/>
          <w:color w:val="auto"/>
        </w:rPr>
        <w:t>. The lump sum cash severance payment shall equal one and one half (1.5) times the sum of (A) one year’s base salary as in effect on the effective date of the Officer’s termination, plus (B) the Officer’s target annual bonus established under the Company’s annual incentive plan in which he or she was a participant for the fiscal year in which the date of termination occurs. No supplemental bonuses or other bonuses will be combined with the Officer’s annual bonus for purposes of this computation.</w:t>
      </w:r>
    </w:p>
    <w:p>
      <w:pPr>
        <w:spacing w:after="0" w:line="195" w:lineRule="exact"/>
        <w:rPr>
          <w:sz w:val="20"/>
          <w:szCs w:val="20"/>
          <w:color w:val="auto"/>
        </w:rPr>
      </w:pPr>
    </w:p>
    <w:p>
      <w:pPr>
        <w:ind w:left="500"/>
        <w:spacing w:after="0" w:line="260" w:lineRule="auto"/>
        <w:rPr>
          <w:sz w:val="20"/>
          <w:szCs w:val="20"/>
          <w:color w:val="auto"/>
        </w:rPr>
      </w:pPr>
      <w:r>
        <w:rPr>
          <w:rFonts w:ascii="Arial" w:cs="Arial" w:eastAsia="Arial" w:hAnsi="Arial"/>
          <w:sz w:val="20"/>
          <w:szCs w:val="20"/>
          <w:color w:val="auto"/>
        </w:rPr>
        <w:t xml:space="preserve">Section 4(b). </w:t>
      </w:r>
      <w:r>
        <w:rPr>
          <w:rFonts w:ascii="Arial" w:cs="Arial" w:eastAsia="Arial" w:hAnsi="Arial"/>
          <w:sz w:val="20"/>
          <w:szCs w:val="20"/>
          <w:u w:val="single" w:color="auto"/>
          <w:color w:val="auto"/>
        </w:rPr>
        <w:t>Extension of Medical and Dental Benefits</w:t>
      </w:r>
      <w:r>
        <w:rPr>
          <w:rFonts w:ascii="Arial" w:cs="Arial" w:eastAsia="Arial" w:hAnsi="Arial"/>
          <w:sz w:val="20"/>
          <w:szCs w:val="20"/>
          <w:color w:val="auto"/>
        </w:rPr>
        <w:t>. The Company will continue to pay its portion of the Officer’s medical and dental benefits for eighteen months following the Officer’s termination date.</w:t>
      </w:r>
    </w:p>
    <w:p>
      <w:pPr>
        <w:spacing w:after="0" w:line="177" w:lineRule="exact"/>
        <w:rPr>
          <w:sz w:val="20"/>
          <w:szCs w:val="20"/>
          <w:color w:val="auto"/>
        </w:rPr>
      </w:pPr>
    </w:p>
    <w:p>
      <w:pPr>
        <w:ind w:left="500" w:right="40"/>
        <w:spacing w:after="0" w:line="276" w:lineRule="auto"/>
        <w:rPr>
          <w:sz w:val="20"/>
          <w:szCs w:val="20"/>
          <w:color w:val="auto"/>
        </w:rPr>
      </w:pPr>
      <w:r>
        <w:rPr>
          <w:rFonts w:ascii="Arial" w:cs="Arial" w:eastAsia="Arial" w:hAnsi="Arial"/>
          <w:sz w:val="18"/>
          <w:szCs w:val="18"/>
          <w:color w:val="auto"/>
        </w:rPr>
        <w:t xml:space="preserve">Section 4(d)(i). </w:t>
      </w:r>
      <w:r>
        <w:rPr>
          <w:rFonts w:ascii="Arial" w:cs="Arial" w:eastAsia="Arial" w:hAnsi="Arial"/>
          <w:sz w:val="18"/>
          <w:szCs w:val="18"/>
          <w:u w:val="single" w:color="auto"/>
          <w:color w:val="auto"/>
        </w:rPr>
        <w:t>Financial Planning</w:t>
      </w:r>
      <w:r>
        <w:rPr>
          <w:rFonts w:ascii="Arial" w:cs="Arial" w:eastAsia="Arial" w:hAnsi="Arial"/>
          <w:sz w:val="18"/>
          <w:szCs w:val="18"/>
          <w:color w:val="auto"/>
        </w:rPr>
        <w:t>. If the Officer is eligible for financial planning reimbursement at the time of termination, the Officer will be reimbursed for any financial planning fees incurred before his termination date. In addition, the Officer will be reimbursed for the following financial planning fees incurred after his termination date: (i) any fees incurred in the year in which the date of termination occurs, provided that the total financial planning reimbursement for such year (including fees incurred before and after the date of termination) shall not exceed $15,000 and (ii) any fees incurred in the year following the year in which the date of termination occurs, provided that the total financial planning reimbursement for such year shall not exceed $15,000.</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Appendix for non-CPC Officers</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benefits shall apply for purposes of eligible Officers who are not members of the CPC:</w:t>
      </w:r>
    </w:p>
    <w:p>
      <w:pPr>
        <w:spacing w:after="0" w:line="216" w:lineRule="exact"/>
        <w:rPr>
          <w:sz w:val="20"/>
          <w:szCs w:val="20"/>
          <w:color w:val="auto"/>
        </w:rPr>
      </w:pPr>
    </w:p>
    <w:p>
      <w:pPr>
        <w:ind w:left="500" w:right="340"/>
        <w:spacing w:after="0" w:line="282" w:lineRule="auto"/>
        <w:rPr>
          <w:sz w:val="20"/>
          <w:szCs w:val="20"/>
          <w:color w:val="auto"/>
        </w:rPr>
      </w:pPr>
      <w:r>
        <w:rPr>
          <w:rFonts w:ascii="Arial" w:cs="Arial" w:eastAsia="Arial" w:hAnsi="Arial"/>
          <w:sz w:val="18"/>
          <w:szCs w:val="18"/>
          <w:color w:val="auto"/>
        </w:rPr>
        <w:t xml:space="preserve">Section 4(a). </w:t>
      </w:r>
      <w:r>
        <w:rPr>
          <w:rFonts w:ascii="Arial" w:cs="Arial" w:eastAsia="Arial" w:hAnsi="Arial"/>
          <w:sz w:val="18"/>
          <w:szCs w:val="18"/>
          <w:u w:val="single" w:color="auto"/>
          <w:color w:val="auto"/>
        </w:rPr>
        <w:t>Lump-sum Cash Severance Payment</w:t>
      </w:r>
      <w:r>
        <w:rPr>
          <w:rFonts w:ascii="Arial" w:cs="Arial" w:eastAsia="Arial" w:hAnsi="Arial"/>
          <w:sz w:val="18"/>
          <w:szCs w:val="18"/>
          <w:color w:val="auto"/>
        </w:rPr>
        <w:t>. The lump sum cash severance payment shall equal the sum of (A) one year’s base salary as in effect on the effective date of the Officer’s termination, plus (B) the Officer’s target annual bonus established under the Company’s annual incentive plan in which he or she was a participant for the fiscal year in which the date of termination occurs. No supplemental bonuses or other bonuses will be combined with the Officer’s annual bonus for purposes of this computation.</w:t>
      </w:r>
    </w:p>
    <w:p>
      <w:pPr>
        <w:spacing w:after="0" w:line="162" w:lineRule="exact"/>
        <w:rPr>
          <w:sz w:val="20"/>
          <w:szCs w:val="20"/>
          <w:color w:val="auto"/>
        </w:rPr>
      </w:pPr>
    </w:p>
    <w:p>
      <w:pPr>
        <w:ind w:left="500"/>
        <w:spacing w:after="0" w:line="260" w:lineRule="auto"/>
        <w:rPr>
          <w:sz w:val="20"/>
          <w:szCs w:val="20"/>
          <w:color w:val="auto"/>
        </w:rPr>
      </w:pPr>
      <w:r>
        <w:rPr>
          <w:rFonts w:ascii="Arial" w:cs="Arial" w:eastAsia="Arial" w:hAnsi="Arial"/>
          <w:sz w:val="20"/>
          <w:szCs w:val="20"/>
          <w:color w:val="auto"/>
        </w:rPr>
        <w:t xml:space="preserve">Section 4(b). </w:t>
      </w:r>
      <w:r>
        <w:rPr>
          <w:rFonts w:ascii="Arial" w:cs="Arial" w:eastAsia="Arial" w:hAnsi="Arial"/>
          <w:sz w:val="20"/>
          <w:szCs w:val="20"/>
          <w:u w:val="single" w:color="auto"/>
          <w:color w:val="auto"/>
        </w:rPr>
        <w:t>Extension of Medical and Dental Benefits</w:t>
      </w:r>
      <w:r>
        <w:rPr>
          <w:rFonts w:ascii="Arial" w:cs="Arial" w:eastAsia="Arial" w:hAnsi="Arial"/>
          <w:sz w:val="20"/>
          <w:szCs w:val="20"/>
          <w:color w:val="auto"/>
        </w:rPr>
        <w:t>. The Company will continue to pay its portion of the Officer’s medical and dental benefits for one year following the Officer’s termination date.</w:t>
      </w:r>
    </w:p>
    <w:p>
      <w:pPr>
        <w:spacing w:after="0" w:line="177" w:lineRule="exact"/>
        <w:rPr>
          <w:sz w:val="20"/>
          <w:szCs w:val="20"/>
          <w:color w:val="auto"/>
        </w:rPr>
      </w:pPr>
    </w:p>
    <w:p>
      <w:pPr>
        <w:ind w:left="500" w:right="40"/>
        <w:spacing w:after="0" w:line="259" w:lineRule="auto"/>
        <w:rPr>
          <w:sz w:val="20"/>
          <w:szCs w:val="20"/>
          <w:color w:val="auto"/>
        </w:rPr>
      </w:pPr>
      <w:r>
        <w:rPr>
          <w:rFonts w:ascii="Arial" w:cs="Arial" w:eastAsia="Arial" w:hAnsi="Arial"/>
          <w:sz w:val="19"/>
          <w:szCs w:val="19"/>
          <w:color w:val="auto"/>
        </w:rPr>
        <w:t xml:space="preserve">Section 4(d)(i). </w:t>
      </w:r>
      <w:r>
        <w:rPr>
          <w:rFonts w:ascii="Arial" w:cs="Arial" w:eastAsia="Arial" w:hAnsi="Arial"/>
          <w:sz w:val="19"/>
          <w:szCs w:val="19"/>
          <w:u w:val="single" w:color="auto"/>
          <w:color w:val="auto"/>
        </w:rPr>
        <w:t>Financial Planning</w:t>
      </w:r>
      <w:r>
        <w:rPr>
          <w:rFonts w:ascii="Arial" w:cs="Arial" w:eastAsia="Arial" w:hAnsi="Arial"/>
          <w:sz w:val="19"/>
          <w:szCs w:val="19"/>
          <w:color w:val="auto"/>
        </w:rPr>
        <w:t>. If the Officer is eligible for financial planning reimbursement at the time of termination, the Officer will be reimbursed for any financial planning fees incurred before his termination date. In addition, the Officer will be reimbursed for the following financial planning fees incurred after his termination date: (i) any fees incurred in the year in which the date of termination occurs, provided that the total financial planning reimbursement for such year (including fees incurred before and after the date of termination) shall not exceed $5,000 and (ii) any fees incurred in the year following the year in which the date of termination occurs, provided that the total financial planning reimbursement for such year shall not exceed $5,000.</w:t>
      </w:r>
    </w:p>
    <w:p>
      <w:pPr>
        <w:sectPr>
          <w:pgSz w:w="11900" w:h="16838" w:orient="portrait"/>
          <w:cols w:equalWidth="0" w:num="1">
            <w:col w:w="11400"/>
          </w:cols>
          <w:pgMar w:left="240" w:top="589" w:right="25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YOUR BENEFIT PLAN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Northrop Grumman Corporation</w:t>
      </w:r>
    </w:p>
    <w:p>
      <w:pPr>
        <w:spacing w:after="0" w:line="329" w:lineRule="exact"/>
        <w:rPr>
          <w:sz w:val="20"/>
          <w:szCs w:val="20"/>
          <w:color w:val="auto"/>
        </w:rPr>
      </w:pPr>
    </w:p>
    <w:p>
      <w:pPr>
        <w:jc w:val="center"/>
        <w:ind w:left="260" w:right="2680"/>
        <w:spacing w:after="0" w:line="327" w:lineRule="auto"/>
        <w:rPr>
          <w:sz w:val="20"/>
          <w:szCs w:val="20"/>
          <w:color w:val="auto"/>
        </w:rPr>
      </w:pPr>
      <w:r>
        <w:rPr>
          <w:rFonts w:ascii="Arial" w:cs="Arial" w:eastAsia="Arial" w:hAnsi="Arial"/>
          <w:sz w:val="25"/>
          <w:szCs w:val="25"/>
          <w:b w:val="1"/>
          <w:bCs w:val="1"/>
          <w:color w:val="auto"/>
        </w:rPr>
        <w:t>Class I – Chief Executive Officer (CEO) Class II – Elected Officers, Direct Reports to CEO Class III – Elected Officers, Non-Direct Reports to CEO Class IV – All Other Vice Presidents of NGC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Basic Life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Date: July 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Certificate Number 46</w:t>
      </w:r>
    </w:p>
    <w:p>
      <w:pPr>
        <w:sectPr>
          <w:pgSz w:w="11900" w:h="16838" w:orient="portrait"/>
          <w:cols w:equalWidth="0" w:num="1">
            <w:col w:w="11420"/>
          </w:cols>
          <w:pgMar w:left="240" w:top="580"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Hornet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 Segundo, CA 90245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TO OUR EMPLOYEES: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All of us appreciate the protection and security insurance provides.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describes the benefits that are available to you. We urge you to read it carefully.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Arial" w:cs="Arial" w:eastAsia="Arial" w:hAnsi="Arial"/>
          <w:sz w:val="18"/>
          <w:szCs w:val="18"/>
          <w:color w:val="auto"/>
        </w:rPr>
        <w:t>Northrop Grumman Corporation</w:t>
      </w:r>
    </w:p>
    <w:p>
      <w:pPr>
        <w:sectPr>
          <w:pgSz w:w="11900" w:h="16838" w:orient="portrait"/>
          <w:cols w:equalWidth="0" w:num="1">
            <w:col w:w="10219"/>
          </w:cols>
          <w:pgMar w:left="240" w:top="1233" w:right="1440" w:bottom="1440" w:gutter="0" w:footer="0" w:header="0"/>
        </w:sectPr>
      </w:pPr>
    </w:p>
    <w:bookmarkStart w:id="132" w:name="page133"/>
    <w:bookmarkEnd w:id="132"/>
    <w:p>
      <w:pPr>
        <w:jc w:val="center"/>
        <w:ind w:right="-99"/>
        <w:spacing w:after="0"/>
        <w:rPr>
          <w:sz w:val="20"/>
          <w:szCs w:val="20"/>
          <w:color w:val="auto"/>
        </w:rPr>
      </w:pPr>
      <w:r>
        <w:rPr>
          <w:rFonts w:ascii="Arial" w:cs="Arial" w:eastAsia="Arial" w:hAnsi="Arial"/>
          <w:sz w:val="22"/>
          <w:szCs w:val="22"/>
          <w:b w:val="1"/>
          <w:bCs w:val="1"/>
          <w:color w:val="auto"/>
        </w:rPr>
        <w:t>MetLife</w:t>
      </w:r>
    </w:p>
    <w:p>
      <w:pPr>
        <w:spacing w:after="0" w:line="2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Metropolitan Life Insurance Company</w:t>
      </w:r>
    </w:p>
    <w:p>
      <w:pPr>
        <w:spacing w:after="0" w:line="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200 Park Avenue, New York, New York 10166</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CERTIFICATE OF INSURANCE</w:t>
      </w:r>
    </w:p>
    <w:p>
      <w:pPr>
        <w:spacing w:after="0" w:line="200" w:lineRule="exact"/>
        <w:rPr>
          <w:sz w:val="20"/>
          <w:szCs w:val="20"/>
          <w:color w:val="auto"/>
        </w:rPr>
      </w:pPr>
    </w:p>
    <w:p>
      <w:pPr>
        <w:spacing w:after="0" w:line="262" w:lineRule="exact"/>
        <w:rPr>
          <w:sz w:val="20"/>
          <w:szCs w:val="20"/>
          <w:color w:val="auto"/>
        </w:rPr>
      </w:pPr>
    </w:p>
    <w:p>
      <w:pPr>
        <w:ind w:right="20"/>
        <w:spacing w:after="0" w:line="299" w:lineRule="auto"/>
        <w:rPr>
          <w:sz w:val="20"/>
          <w:szCs w:val="20"/>
          <w:color w:val="auto"/>
        </w:rPr>
      </w:pPr>
      <w:r>
        <w:rPr>
          <w:rFonts w:ascii="Arial" w:cs="Arial" w:eastAsia="Arial" w:hAnsi="Arial"/>
          <w:sz w:val="18"/>
          <w:szCs w:val="18"/>
          <w:color w:val="auto"/>
        </w:rPr>
        <w:t xml:space="preserve">Metropolitan Life Insurance Company (“MetLife”), a stock company, certifies that You are insured for the benefits described in this certificate, subject to the provisions of this certificate. This certificate is issued to You under the Group Policy and it includes the terms and provisions of the Group Policy that describe Your insurance. </w:t>
      </w:r>
      <w:r>
        <w:rPr>
          <w:rFonts w:ascii="Arial" w:cs="Arial" w:eastAsia="Arial" w:hAnsi="Arial"/>
          <w:sz w:val="21"/>
          <w:szCs w:val="21"/>
          <w:b w:val="1"/>
          <w:bCs w:val="1"/>
          <w:color w:val="auto"/>
        </w:rPr>
        <w:t>PLEASE READ THIS CERTIFICATE CAREFULLY.</w:t>
      </w:r>
    </w:p>
    <w:p>
      <w:pPr>
        <w:spacing w:after="0" w:line="1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certificate is part of the Group Policy. The Group Policy is a contract between MetLife and the Policyholder and may be changed or ended without Your consent or notice to You.</w:t>
      </w:r>
    </w:p>
    <w:p>
      <w:pPr>
        <w:sectPr>
          <w:pgSz w:w="11900" w:h="16838" w:orient="portrait"/>
          <w:cols w:equalWidth="0" w:num="1">
            <w:col w:w="11340"/>
          </w:cols>
          <w:pgMar w:left="240" w:top="661" w:right="319" w:bottom="1440" w:gutter="0" w:footer="0" w:header="0"/>
        </w:sect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Policyholder: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Northrop Grumman Corporation</w:t>
      </w:r>
    </w:p>
    <w:p>
      <w:pPr>
        <w:spacing w:after="0" w:line="200" w:lineRule="exact"/>
        <w:rPr>
          <w:sz w:val="20"/>
          <w:szCs w:val="20"/>
          <w:color w:val="auto"/>
        </w:rPr>
      </w:pPr>
    </w:p>
    <w:p>
      <w:pPr>
        <w:sectPr>
          <w:pgSz w:w="11900" w:h="16838" w:orient="portrait"/>
          <w:cols w:equalWidth="0" w:num="2">
            <w:col w:w="3020" w:space="720"/>
            <w:col w:w="7600"/>
          </w:cols>
          <w:pgMar w:left="240" w:top="661" w:right="319" w:bottom="1440" w:gutter="0" w:footer="0" w:header="0"/>
          <w:type w:val="continuous"/>
        </w:sect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Group Policy Number: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91360-2-G</w:t>
      </w:r>
    </w:p>
    <w:p>
      <w:pPr>
        <w:spacing w:after="0" w:line="200" w:lineRule="exact"/>
        <w:rPr>
          <w:sz w:val="20"/>
          <w:szCs w:val="20"/>
          <w:color w:val="auto"/>
        </w:rPr>
      </w:pPr>
    </w:p>
    <w:p>
      <w:pPr>
        <w:sectPr>
          <w:pgSz w:w="11900" w:h="16838" w:orient="portrait"/>
          <w:cols w:equalWidth="0" w:num="2">
            <w:col w:w="3020" w:space="720"/>
            <w:col w:w="7600"/>
          </w:cols>
          <w:pgMar w:left="240" w:top="661" w:right="319" w:bottom="1440" w:gutter="0" w:footer="0" w:header="0"/>
          <w:type w:val="continuous"/>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Type of Insurance: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Term Life Insurance</w:t>
      </w:r>
    </w:p>
    <w:p>
      <w:pPr>
        <w:spacing w:after="0" w:line="200" w:lineRule="exact"/>
        <w:rPr>
          <w:sz w:val="20"/>
          <w:szCs w:val="20"/>
          <w:color w:val="auto"/>
        </w:rPr>
      </w:pPr>
    </w:p>
    <w:p>
      <w:pPr>
        <w:sectPr>
          <w:pgSz w:w="11900" w:h="16838" w:orient="portrait"/>
          <w:cols w:equalWidth="0" w:num="2">
            <w:col w:w="3020" w:space="720"/>
            <w:col w:w="7600"/>
          </w:cols>
          <w:pgMar w:left="240" w:top="661" w:right="319" w:bottom="1440" w:gutter="0" w:footer="0" w:header="0"/>
          <w:type w:val="continuous"/>
        </w:sect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MetLife Toll Free Number(s):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 Claim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FOR LIFE CLAIMS: 1-800-638-6420</w:t>
      </w:r>
    </w:p>
    <w:p>
      <w:pPr>
        <w:spacing w:after="0" w:line="207" w:lineRule="exact"/>
        <w:rPr>
          <w:sz w:val="20"/>
          <w:szCs w:val="20"/>
          <w:color w:val="auto"/>
        </w:rPr>
      </w:pPr>
    </w:p>
    <w:p>
      <w:pPr>
        <w:sectPr>
          <w:pgSz w:w="11900" w:h="16838" w:orient="portrait"/>
          <w:cols w:equalWidth="0" w:num="2">
            <w:col w:w="3060" w:space="720"/>
            <w:col w:w="7560"/>
          </w:cols>
          <w:pgMar w:left="240" w:top="661" w:right="31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THIS CERTIFICATE ONLY DESCRIBES TERM LIFE INSURANCE.</w:t>
      </w:r>
    </w:p>
    <w:p>
      <w:pPr>
        <w:spacing w:after="0" w:line="21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BENEFITS OF THE POLICY PROVIDING YOUR COVERAGE ARE GOVERNED PRIMARILY BY THE LAWS OF A STATE OTHER THAN FLORIDA.</w:t>
      </w:r>
    </w:p>
    <w:p>
      <w:pPr>
        <w:spacing w:after="0" w:line="16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GROUP INSURANCE POLICY PROVIDING COVERAGE UNDER THIS CERTIFICATE WAS ISSUED IN A JURISDICTION OTHER THAN MARYLAND AND MAY NOT PROVIDE ALL THE BENEFITS REQUIRED BY MARYLAND LAW.</w:t>
      </w:r>
    </w:p>
    <w:p>
      <w:pPr>
        <w:spacing w:after="0" w:line="243"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WE ARE REQUIRED BY STATE LAW TO INCLUDE THE NOTICE(S) WHICH APPEAR ON THIS PAGE AND IN THE NOTICE(S) SECTION WHICH FOLLOWS THIS PAGE. PLEASE READ THE(SE) NOTICE(S) CAREFULLY.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w:t>
      </w:r>
    </w:p>
    <w:p>
      <w:pPr>
        <w:sectPr>
          <w:pgSz w:w="11900" w:h="16838" w:orient="portrait"/>
          <w:cols w:equalWidth="0" w:num="1">
            <w:col w:w="11340"/>
          </w:cols>
          <w:pgMar w:left="240" w:top="661" w:right="31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22"/>
          <w:szCs w:val="22"/>
          <w:b w:val="1"/>
          <w:bCs w:val="1"/>
          <w:color w:val="auto"/>
        </w:rPr>
        <w:t>For Texas Residents:</w:t>
      </w:r>
    </w:p>
    <w:p>
      <w:pPr>
        <w:spacing w:after="0" w:line="200" w:lineRule="exact"/>
        <w:rPr>
          <w:sz w:val="20"/>
          <w:szCs w:val="20"/>
          <w:color w:val="auto"/>
        </w:rPr>
      </w:pPr>
    </w:p>
    <w:p>
      <w:pPr>
        <w:spacing w:after="0" w:line="222" w:lineRule="exact"/>
        <w:rPr>
          <w:sz w:val="20"/>
          <w:szCs w:val="20"/>
          <w:color w:val="auto"/>
        </w:rPr>
      </w:pPr>
    </w:p>
    <w:p>
      <w:pPr>
        <w:ind w:left="1640"/>
        <w:spacing w:after="0"/>
        <w:rPr>
          <w:sz w:val="20"/>
          <w:szCs w:val="20"/>
          <w:color w:val="auto"/>
        </w:rPr>
      </w:pPr>
      <w:r>
        <w:rPr>
          <w:rFonts w:ascii="Arial" w:cs="Arial" w:eastAsia="Arial" w:hAnsi="Arial"/>
          <w:sz w:val="22"/>
          <w:szCs w:val="22"/>
          <w:b w:val="1"/>
          <w:bCs w:val="1"/>
          <w:color w:val="auto"/>
        </w:rPr>
        <w:t>IMPORTANT NOTICE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To obtain information or make a complaint:</w:t>
      </w:r>
    </w:p>
    <w:p>
      <w:pPr>
        <w:spacing w:after="0" w:line="3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 may call MetLife’s toll free telephone number for information or to make a complaint at</w:t>
      </w:r>
    </w:p>
    <w:p>
      <w:pPr>
        <w:spacing w:after="0" w:line="33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1-800-638-6420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may contact the Texas Department of Insurance to obtain information on companies, coverages, rights or complaints at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Para Residentes de Texas:</w:t>
      </w:r>
    </w:p>
    <w:p>
      <w:pPr>
        <w:spacing w:after="0" w:line="382"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auto"/>
        </w:rPr>
        <w:t>AVISO IMPORTANTE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Para obtener información o para someter una queja:</w:t>
      </w:r>
    </w:p>
    <w:p>
      <w:pPr>
        <w:spacing w:after="0" w:line="3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Usted puede llamar al numero de teléfono gratis de MetLife para información o para someter una queja al</w:t>
      </w:r>
    </w:p>
    <w:p>
      <w:pPr>
        <w:spacing w:after="0" w:line="33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1-800-638-6420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Puede comunicarse con el Departamento de Seguros de Texas para obtener información acerca de compañías, coberturas, derechos o quejas al</w:t>
      </w:r>
    </w:p>
    <w:p>
      <w:pPr>
        <w:spacing w:after="0" w:line="200" w:lineRule="exact"/>
        <w:rPr>
          <w:sz w:val="20"/>
          <w:szCs w:val="20"/>
          <w:color w:val="auto"/>
        </w:rPr>
      </w:pPr>
    </w:p>
    <w:p>
      <w:pPr>
        <w:sectPr>
          <w:pgSz w:w="11900" w:h="16838" w:orient="portrait"/>
          <w:cols w:equalWidth="0" w:num="2">
            <w:col w:w="5360" w:space="580"/>
            <w:col w:w="5400"/>
          </w:cols>
          <w:pgMar w:left="240" w:top="963" w:right="319" w:bottom="1440" w:gutter="0" w:footer="0" w:header="0"/>
        </w:sectPr>
      </w:pPr>
    </w:p>
    <w:p>
      <w:pPr>
        <w:spacing w:after="0" w:line="383" w:lineRule="exact"/>
        <w:rPr>
          <w:sz w:val="20"/>
          <w:szCs w:val="20"/>
          <w:color w:val="auto"/>
        </w:rPr>
      </w:pPr>
    </w:p>
    <w:p>
      <w:pPr>
        <w:ind w:left="2160"/>
        <w:spacing w:after="0"/>
        <w:tabs>
          <w:tab w:leader="none" w:pos="8080" w:val="left"/>
        </w:tabs>
        <w:rPr>
          <w:sz w:val="20"/>
          <w:szCs w:val="20"/>
          <w:color w:val="auto"/>
        </w:rPr>
      </w:pPr>
      <w:r>
        <w:rPr>
          <w:rFonts w:ascii="Arial" w:cs="Arial" w:eastAsia="Arial" w:hAnsi="Arial"/>
          <w:sz w:val="18"/>
          <w:szCs w:val="18"/>
          <w:color w:val="auto"/>
        </w:rPr>
        <w:t>1-800-252-3439</w:t>
      </w:r>
      <w:r>
        <w:rPr>
          <w:sz w:val="20"/>
          <w:szCs w:val="20"/>
          <w:color w:val="auto"/>
        </w:rPr>
        <w:tab/>
      </w:r>
      <w:r>
        <w:rPr>
          <w:rFonts w:ascii="Arial" w:cs="Arial" w:eastAsia="Arial" w:hAnsi="Arial"/>
          <w:sz w:val="16"/>
          <w:szCs w:val="16"/>
          <w:color w:val="auto"/>
        </w:rPr>
        <w:t>1-800-252-3439</w:t>
      </w:r>
    </w:p>
    <w:p>
      <w:pPr>
        <w:sectPr>
          <w:pgSz w:w="11900" w:h="16838" w:orient="portrait"/>
          <w:cols w:equalWidth="0" w:num="1">
            <w:col w:w="11340"/>
          </w:cols>
          <w:pgMar w:left="240" w:top="96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You may write the Texas Department of Insurance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(512) 475-1771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w:t>
      </w:r>
      <w:r>
        <w:rPr>
          <w:rFonts w:ascii="Arial" w:cs="Arial" w:eastAsia="Arial" w:hAnsi="Arial"/>
          <w:sz w:val="18"/>
          <w:szCs w:val="18"/>
          <w:u w:val="single" w:color="auto"/>
          <w:color w:val="auto"/>
          <w:highlight w:val="lightGray"/>
        </w:rPr>
        <w:t>http://www.tdi.state.texas.gov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auto"/>
          <w:highlight w:val="lightGray"/>
        </w:rPr>
        <w:t>ConsumerProtection@tdi.texas.gov</w:t>
      </w:r>
    </w:p>
    <w:p>
      <w:pPr>
        <w:spacing w:after="0" w:line="30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PREMIUM OR CLAIM DISPUTES: </w:t>
      </w:r>
      <w:r>
        <w:rPr>
          <w:rFonts w:ascii="Arial" w:cs="Arial" w:eastAsia="Arial" w:hAnsi="Arial"/>
          <w:sz w:val="18"/>
          <w:szCs w:val="18"/>
          <w:color w:val="auto"/>
        </w:rPr>
        <w:t>Should You have a dispute</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concerning Your premium or about a claim, You should contact MetLife first. If the dispute is not resolved, You may contact the Texas Department of Insurance.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ATTACH THIS NOTICE TO YOUR CERTIFICATE: </w:t>
      </w:r>
      <w:r>
        <w:rPr>
          <w:rFonts w:ascii="Arial" w:cs="Arial" w:eastAsia="Arial" w:hAnsi="Arial"/>
          <w:sz w:val="18"/>
          <w:szCs w:val="18"/>
          <w:color w:val="auto"/>
        </w:rPr>
        <w:t>This notice is for</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only and does not become a part or condition of the attached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Puede escribir al Departamento de Seguros de Texas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(512) 475-1771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w:t>
      </w:r>
      <w:r>
        <w:rPr>
          <w:rFonts w:ascii="Arial" w:cs="Arial" w:eastAsia="Arial" w:hAnsi="Arial"/>
          <w:sz w:val="18"/>
          <w:szCs w:val="18"/>
          <w:u w:val="single" w:color="auto"/>
          <w:color w:val="auto"/>
          <w:highlight w:val="lightGray"/>
        </w:rPr>
        <w:t>http://www.tdi.state.texas.gov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auto"/>
          <w:highlight w:val="lightGray"/>
        </w:rPr>
        <w:t>ConsumerProtection@tdi.texas.gov</w:t>
      </w:r>
    </w:p>
    <w:p>
      <w:pPr>
        <w:spacing w:after="0" w:line="30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DISPUTAS SOBRE PRIMAS O RECLAMOS: Si </w:t>
      </w:r>
      <w:r>
        <w:rPr>
          <w:rFonts w:ascii="Arial" w:cs="Arial" w:eastAsia="Arial" w:hAnsi="Arial"/>
          <w:sz w:val="18"/>
          <w:szCs w:val="18"/>
          <w:color w:val="auto"/>
        </w:rPr>
        <w:t>tiene una disputa</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concerniente a su prima o a un reclamo, debe comunicarse con MetLife primero. Si no se resuelve la disputa, puede entonces comunicarse con el departamento (TDI).</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 ESTE AVISO A SU CERTIFICADO:</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Este aviso es solo para propósito de información y no se convierte en parte o condición del documento adjunto.</w:t>
      </w:r>
    </w:p>
    <w:p>
      <w:pPr>
        <w:spacing w:after="0" w:line="203" w:lineRule="exact"/>
        <w:rPr>
          <w:sz w:val="20"/>
          <w:szCs w:val="20"/>
          <w:color w:val="auto"/>
        </w:rPr>
      </w:pPr>
    </w:p>
    <w:p>
      <w:pPr>
        <w:sectPr>
          <w:pgSz w:w="11900" w:h="16838" w:orient="portrait"/>
          <w:cols w:equalWidth="0" w:num="2">
            <w:col w:w="5460" w:space="480"/>
            <w:col w:w="5400"/>
          </w:cols>
          <w:pgMar w:left="240" w:top="96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2620" w:val="left"/>
        </w:tabs>
        <w:rPr>
          <w:sz w:val="20"/>
          <w:szCs w:val="20"/>
          <w:color w:val="auto"/>
        </w:rPr>
      </w:pPr>
      <w:r>
        <w:rPr>
          <w:rFonts w:ascii="Arial" w:cs="Arial" w:eastAsia="Arial" w:hAnsi="Arial"/>
          <w:sz w:val="17"/>
          <w:szCs w:val="17"/>
          <w:b w:val="1"/>
          <w:bCs w:val="1"/>
          <w:color w:val="auto"/>
        </w:rPr>
        <w:t>notice/tx</w:t>
      </w:r>
      <w:r>
        <w:rPr>
          <w:sz w:val="20"/>
          <w:szCs w:val="20"/>
          <w:color w:val="auto"/>
        </w:rPr>
        <w:tab/>
      </w:r>
      <w:r>
        <w:rPr>
          <w:rFonts w:ascii="Arial" w:cs="Arial" w:eastAsia="Arial" w:hAnsi="Arial"/>
          <w:sz w:val="17"/>
          <w:szCs w:val="17"/>
          <w:b w:val="1"/>
          <w:bCs w:val="1"/>
          <w:color w:val="auto"/>
        </w:rPr>
        <w:t>2</w:t>
      </w:r>
    </w:p>
    <w:p>
      <w:pPr>
        <w:sectPr>
          <w:pgSz w:w="11900" w:h="16838" w:orient="portrait"/>
          <w:cols w:equalWidth="0" w:num="1">
            <w:col w:w="11340"/>
          </w:cols>
          <w:pgMar w:left="240" w:top="963" w:right="31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22"/>
          <w:szCs w:val="22"/>
          <w:b w:val="1"/>
          <w:bCs w:val="1"/>
          <w:color w:val="auto"/>
        </w:rPr>
        <w:t>NOTICE FOR RESIDENTS OF TEXAS</w:t>
      </w:r>
    </w:p>
    <w:p>
      <w:pPr>
        <w:spacing w:after="0" w:line="21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THE INSURANCE POLICY UNDER WHICH THIS CERTIFICATE IS ISSUED IS NOT A POLICY OF WORKERS’ COMPENSATION INSURANCE. YOU SHOULD CONSULT YOUR EMPLOYER TO DETERMINE WHETHER YOUR EMPLOYER IS A SUBSCRIBER TO THE WORKERS’ COMPENSATION SYSTEM.</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b w:val="1"/>
          <w:bCs w:val="1"/>
          <w:color w:val="auto"/>
        </w:rPr>
        <w:t>notice/tx/wc</w:t>
      </w:r>
      <w:r>
        <w:rPr>
          <w:sz w:val="20"/>
          <w:szCs w:val="20"/>
          <w:color w:val="auto"/>
        </w:rPr>
        <w:tab/>
      </w:r>
      <w:r>
        <w:rPr>
          <w:rFonts w:ascii="Arial" w:cs="Arial" w:eastAsia="Arial" w:hAnsi="Arial"/>
          <w:sz w:val="18"/>
          <w:szCs w:val="18"/>
          <w:b w:val="1"/>
          <w:bCs w:val="1"/>
          <w:color w:val="auto"/>
        </w:rPr>
        <w:t>3</w:t>
      </w:r>
    </w:p>
    <w:p>
      <w:pPr>
        <w:sectPr>
          <w:pgSz w:w="11900" w:h="16838" w:orient="portrait"/>
          <w:cols w:equalWidth="0" w:num="1">
            <w:col w:w="11360"/>
          </w:cols>
          <w:pgMar w:left="240" w:top="585" w:right="29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b w:val="1"/>
          <w:bCs w:val="1"/>
          <w:color w:val="auto"/>
        </w:rPr>
        <w:t>NOTICE FOR RESIDENTS OF TEXAS</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LIFE INSURANCE: ACCELERATED BENEFIT OPTION (ABO)</w:t>
      </w:r>
    </w:p>
    <w:p>
      <w:pPr>
        <w:spacing w:after="0" w:line="3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laws of the state of Texas mandate that the terms "Terminally Ill" and "Terminal Illness" when used in the LIFE INSURANCE: ACCELERATED BENEFIT OPTION (ABO) FOR YOU provision means that due to injury or sickness, You are expected to die within 24 months of the date You request payment of an Accelerated Benefit.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notice/tx/abo</w:t>
      </w:r>
      <w:r>
        <w:rPr>
          <w:sz w:val="20"/>
          <w:szCs w:val="20"/>
          <w:color w:val="auto"/>
        </w:rPr>
        <w:tab/>
      </w:r>
      <w:r>
        <w:rPr>
          <w:rFonts w:ascii="Arial" w:cs="Arial" w:eastAsia="Arial" w:hAnsi="Arial"/>
          <w:sz w:val="14"/>
          <w:szCs w:val="14"/>
          <w:b w:val="1"/>
          <w:bCs w:val="1"/>
          <w:color w:val="auto"/>
        </w:rPr>
        <w:t>4</w:t>
      </w:r>
    </w:p>
    <w:p>
      <w:pPr>
        <w:sectPr>
          <w:pgSz w:w="11900" w:h="16838" w:orient="portrait"/>
          <w:cols w:equalWidth="0" w:num="1">
            <w:col w:w="10980"/>
          </w:cols>
          <w:pgMar w:left="240" w:top="585" w:right="6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NOTICE FOR RESIDENTS OF WASHINGTON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ACCELERATED BENEFIT OPTION (ABO)</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Life Insurance accelerated benefit does not and is not intended to qualify as long-term care under Washington state law. Washington state law prevents this accelerated life benefit from being marketed or sold as long-term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notice/wa/abo</w:t>
      </w:r>
      <w:r>
        <w:rPr>
          <w:sz w:val="20"/>
          <w:szCs w:val="20"/>
          <w:color w:val="auto"/>
        </w:rPr>
        <w:tab/>
      </w:r>
      <w:r>
        <w:rPr>
          <w:rFonts w:ascii="Arial" w:cs="Arial" w:eastAsia="Arial" w:hAnsi="Arial"/>
          <w:sz w:val="17"/>
          <w:szCs w:val="17"/>
          <w:b w:val="1"/>
          <w:bCs w:val="1"/>
          <w:color w:val="auto"/>
        </w:rPr>
        <w:t>5</w:t>
      </w:r>
    </w:p>
    <w:p>
      <w:pPr>
        <w:sectPr>
          <w:pgSz w:w="11900" w:h="16838" w:orient="portrait"/>
          <w:cols w:equalWidth="0" w:num="1">
            <w:col w:w="11180"/>
          </w:cols>
          <w:pgMar w:left="240" w:top="580" w:right="47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b w:val="1"/>
          <w:bCs w:val="1"/>
          <w:color w:val="auto"/>
        </w:rPr>
        <w:t>NOTICE FOR RESIDENTS OF ALL STATES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LIFE INSURANCE BENEFITS WILL BE REDUCED IF AN ACCELERATED BENEFIT IS PAID</w:t>
      </w:r>
    </w:p>
    <w:p>
      <w:pPr>
        <w:spacing w:after="0" w:line="21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DISCLOSURE</w:t>
      </w:r>
      <w:r>
        <w:rPr>
          <w:rFonts w:ascii="Arial" w:cs="Arial" w:eastAsia="Arial" w:hAnsi="Arial"/>
          <w:sz w:val="18"/>
          <w:szCs w:val="18"/>
          <w:color w:val="auto"/>
        </w:rPr>
        <w:t>: The Life Insurance accelerated benefit offered under this certificate is intended to qualify for favorable tax treatment under the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Code of 1986. If this benefit qualifies for such favorable tax treatment, the benefit will be excludable from Your income and not subject to federal taxation. Tax laws relating to accelerated benefits are complex. You are advised to consult with a qualified tax advisor about circumstances under which You could receive an accelerated benefit excludable from income under federal law.</w:t>
      </w:r>
    </w:p>
    <w:p>
      <w:pPr>
        <w:spacing w:after="0" w:line="194" w:lineRule="exact"/>
        <w:rPr>
          <w:sz w:val="20"/>
          <w:szCs w:val="20"/>
          <w:color w:val="auto"/>
        </w:rPr>
      </w:pPr>
    </w:p>
    <w:p>
      <w:pPr>
        <w:spacing w:after="0" w:line="297" w:lineRule="auto"/>
        <w:rPr>
          <w:sz w:val="20"/>
          <w:szCs w:val="20"/>
          <w:color w:val="auto"/>
        </w:rPr>
      </w:pPr>
      <w:r>
        <w:rPr>
          <w:rFonts w:ascii="Arial" w:cs="Arial" w:eastAsia="Arial" w:hAnsi="Arial"/>
          <w:sz w:val="17"/>
          <w:szCs w:val="17"/>
          <w:b w:val="1"/>
          <w:bCs w:val="1"/>
          <w:color w:val="auto"/>
        </w:rPr>
        <w:t xml:space="preserve">DISCLOSURE: </w:t>
      </w:r>
      <w:r>
        <w:rPr>
          <w:rFonts w:ascii="Arial" w:cs="Arial" w:eastAsia="Arial" w:hAnsi="Arial"/>
          <w:sz w:val="17"/>
          <w:szCs w:val="17"/>
          <w:color w:val="auto"/>
        </w:rPr>
        <w:t>Receipt of an accelerated benefit may affect Your, Your Spouse’s or Domestic Partner's or Your family’s eligibility for public assistance</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such as Medical Assistance (Medicaid), Aid to Families with Dependent Children (AFDC), Supplementary Social Security Income (SSI), and drug assistance programs. You are advised to consult with a qualified tax advisor and with social service agencies concerning how receipt of such payment will affect Your, Your Spouse’s or Domestic Partner's and Your family’s eligibility for public assistance.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notice/abo/nw</w:t>
      </w:r>
      <w:r>
        <w:rPr>
          <w:sz w:val="20"/>
          <w:szCs w:val="20"/>
          <w:color w:val="auto"/>
        </w:rPr>
        <w:tab/>
      </w:r>
      <w:r>
        <w:rPr>
          <w:rFonts w:ascii="Arial" w:cs="Arial" w:eastAsia="Arial" w:hAnsi="Arial"/>
          <w:sz w:val="14"/>
          <w:szCs w:val="14"/>
          <w:b w:val="1"/>
          <w:bCs w:val="1"/>
          <w:color w:val="auto"/>
        </w:rPr>
        <w:t>6</w:t>
      </w:r>
    </w:p>
    <w:p>
      <w:pPr>
        <w:sectPr>
          <w:pgSz w:w="11900" w:h="16838" w:orient="portrait"/>
          <w:cols w:equalWidth="0" w:num="1">
            <w:col w:w="11320"/>
          </w:cols>
          <w:pgMar w:left="240" w:top="585" w:right="33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b w:val="1"/>
          <w:bCs w:val="1"/>
          <w:color w:val="auto"/>
        </w:rPr>
        <w:t>NOTICE FOR RESIDENTS OF ARKANSAS</w:t>
      </w:r>
    </w:p>
    <w:p>
      <w:pPr>
        <w:spacing w:after="0" w:line="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have a question concerning Your coverage or a claim, first contact the Policyholder or group account administrator. If, after doing so, You still have a concern, You may call the toll free telephone number shown on the Certificate Face Page.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If You are still concerned after contacting both the Policyholder and MetLife, You should feel free to contact:</w:t>
      </w: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Arkansas Insurance Department</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Consumer Services Division</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1200 West Third Street</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Little Rock, Arkansas 72201</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(501) 371-2640 or (800) 852-5494</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b w:val="1"/>
          <w:bCs w:val="1"/>
          <w:color w:val="auto"/>
        </w:rPr>
        <w:t>notice/ar</w:t>
      </w:r>
      <w:r>
        <w:rPr>
          <w:sz w:val="20"/>
          <w:szCs w:val="20"/>
          <w:color w:val="auto"/>
        </w:rPr>
        <w:tab/>
      </w:r>
      <w:r>
        <w:rPr>
          <w:rFonts w:ascii="Arial" w:cs="Arial" w:eastAsia="Arial" w:hAnsi="Arial"/>
          <w:sz w:val="18"/>
          <w:szCs w:val="18"/>
          <w:b w:val="1"/>
          <w:bCs w:val="1"/>
          <w:color w:val="auto"/>
        </w:rPr>
        <w:t>7</w:t>
      </w:r>
    </w:p>
    <w:p>
      <w:pPr>
        <w:sectPr>
          <w:pgSz w:w="11900" w:h="16838" w:orient="portrait"/>
          <w:cols w:equalWidth="0" w:num="1">
            <w:col w:w="11260"/>
          </w:cols>
          <w:pgMar w:left="240" w:top="585" w:right="39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b w:val="1"/>
          <w:bCs w:val="1"/>
          <w:color w:val="auto"/>
        </w:rPr>
        <w:t>NOTICE FOR RESIDENTS OF CALIFORNIA</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TO OBTAIN ADDITIONAL INFORMATION, OR TO MAKE A COMPLAINT, CONTACT THE POLICYHOLDER OR THE METLIFE CLAIM OFFICE SHOWN ON THE EXPLANATION OF BENEFITS YOU RECEIVE AFTER FILING A CLAIM.</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AFTER CONTACTING THE POLICYHOLDER AND/OR METLIFE, YOU FEEL THAT A SATISFACTORY SOLUTION HAS NOT BEEN REACHED, YOU MAY FILE A COMPLAINT WITH THE CALIFORNIA INSURANCE DEPARTMENT AT: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DEPARTMENT OF INSURANCE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300 SOUTH SPRING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LOS ANGELES, CA 90013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 (800) 927-4357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GCERT2000</w:t>
      </w:r>
      <w:r>
        <w:rPr>
          <w:sz w:val="20"/>
          <w:szCs w:val="20"/>
          <w:color w:val="auto"/>
        </w:rPr>
        <w:tab/>
      </w:r>
      <w:r>
        <w:rPr>
          <w:rFonts w:ascii="Arial" w:cs="Arial" w:eastAsia="Arial" w:hAnsi="Arial"/>
          <w:sz w:val="17"/>
          <w:szCs w:val="17"/>
          <w:b w:val="1"/>
          <w:bCs w:val="1"/>
          <w:color w:val="auto"/>
        </w:rPr>
        <w:t>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notice/ca</w:t>
      </w:r>
    </w:p>
    <w:p>
      <w:pPr>
        <w:sectPr>
          <w:pgSz w:w="11900" w:h="16838" w:orient="portrait"/>
          <w:cols w:equalWidth="0" w:num="1">
            <w:col w:w="11400"/>
          </w:cols>
          <w:pgMar w:left="240" w:top="585" w:right="259" w:bottom="1440" w:gutter="0" w:footer="0" w:header="0"/>
        </w:sectPr>
      </w:pPr>
    </w:p>
    <w:bookmarkStart w:id="140" w:name="page141"/>
    <w:bookmarkEnd w:id="140"/>
    <w:p>
      <w:pPr>
        <w:spacing w:after="0"/>
        <w:rPr>
          <w:sz w:val="20"/>
          <w:szCs w:val="20"/>
          <w:color w:val="auto"/>
        </w:rPr>
      </w:pPr>
      <w:r>
        <w:rPr>
          <w:rFonts w:ascii="Arial" w:cs="Arial" w:eastAsia="Arial" w:hAnsi="Arial"/>
          <w:sz w:val="22"/>
          <w:szCs w:val="22"/>
          <w:b w:val="1"/>
          <w:bCs w:val="1"/>
          <w:color w:val="auto"/>
        </w:rPr>
        <w:t>NOTICE FOR RESIDENTS OF GEORGIA</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laws of the state of Georgia prohibit insurers from unfairly discriminating against any person based upon his or her status as a victim of family violence.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notice/ga</w:t>
      </w:r>
      <w:r>
        <w:rPr>
          <w:sz w:val="20"/>
          <w:szCs w:val="20"/>
          <w:color w:val="auto"/>
        </w:rPr>
        <w:tab/>
      </w:r>
      <w:r>
        <w:rPr>
          <w:rFonts w:ascii="Arial" w:cs="Arial" w:eastAsia="Arial" w:hAnsi="Arial"/>
          <w:sz w:val="18"/>
          <w:szCs w:val="18"/>
          <w:b w:val="1"/>
          <w:bCs w:val="1"/>
          <w:color w:val="auto"/>
        </w:rPr>
        <w:t>9</w:t>
      </w:r>
    </w:p>
    <w:p>
      <w:pPr>
        <w:sectPr>
          <w:pgSz w:w="11900" w:h="16838" w:orient="portrait"/>
          <w:cols w:equalWidth="0" w:num="1">
            <w:col w:w="11300"/>
          </w:cols>
          <w:pgMar w:left="240" w:top="585" w:right="35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b w:val="1"/>
          <w:bCs w:val="1"/>
          <w:color w:val="auto"/>
        </w:rPr>
        <w:t>NOTICE FOR RESIDENTS OF IDAHO</w:t>
      </w:r>
    </w:p>
    <w:p>
      <w:pPr>
        <w:spacing w:after="0" w:line="3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have a question concerning Your coverage or a claim, first contact the Policyholder. If, after doing so, You still have a concern, You may call the toll free telephone number shown on the Certificate Face Page.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If You are still concerned after contacting both the Policyholder and MetLife, You should feel free to contact:</w:t>
      </w:r>
    </w:p>
    <w:p>
      <w:pPr>
        <w:spacing w:after="0" w:line="3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Idaho Department of Insurance</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Consumer Affairs</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700 West State Street, 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Floor</w:t>
      </w:r>
    </w:p>
    <w:p>
      <w:pPr>
        <w:spacing w:after="0" w:line="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PO Box 83720</w:t>
      </w:r>
    </w:p>
    <w:p>
      <w:pPr>
        <w:spacing w:after="0" w:line="7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Boise, Idaho 83720-0043</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1-800-721-3272 (for calls placed within Idaho) or 208-334-4250 or www.DOI.Idaho.gov</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b w:val="1"/>
          <w:bCs w:val="1"/>
          <w:color w:val="auto"/>
        </w:rPr>
        <w:t>notice/id</w:t>
      </w:r>
      <w:r>
        <w:rPr>
          <w:sz w:val="20"/>
          <w:szCs w:val="20"/>
          <w:color w:val="auto"/>
        </w:rPr>
        <w:tab/>
      </w:r>
      <w:r>
        <w:rPr>
          <w:rFonts w:ascii="Arial" w:cs="Arial" w:eastAsia="Arial" w:hAnsi="Arial"/>
          <w:sz w:val="18"/>
          <w:szCs w:val="18"/>
          <w:b w:val="1"/>
          <w:bCs w:val="1"/>
          <w:color w:val="auto"/>
        </w:rPr>
        <w:t>10</w:t>
      </w:r>
    </w:p>
    <w:p>
      <w:pPr>
        <w:sectPr>
          <w:pgSz w:w="11900" w:h="16838" w:orient="portrait"/>
          <w:cols w:equalWidth="0" w:num="1">
            <w:col w:w="11200"/>
          </w:cols>
          <w:pgMar w:left="240" w:top="585" w:right="459"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b w:val="1"/>
          <w:bCs w:val="1"/>
          <w:color w:val="auto"/>
        </w:rPr>
        <w:t>NOTICE FOR RESIDENTS OF ILLINOIS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w:t>
      </w:r>
    </w:p>
    <w:p>
      <w:pPr>
        <w:spacing w:after="0" w:line="27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To make a complaint to MetLife, You may write to:</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MetLife</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New York, New York 10166</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address of the Illinois Department of Insurance is:</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Illinois Department of Insurance</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Public Services Division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Springfield, Illinois 62767</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notice/il</w:t>
      </w:r>
      <w:r>
        <w:rPr>
          <w:sz w:val="20"/>
          <w:szCs w:val="20"/>
          <w:color w:val="auto"/>
        </w:rPr>
        <w:tab/>
      </w:r>
      <w:r>
        <w:rPr>
          <w:rFonts w:ascii="Arial" w:cs="Arial" w:eastAsia="Arial" w:hAnsi="Arial"/>
          <w:sz w:val="14"/>
          <w:szCs w:val="14"/>
          <w:b w:val="1"/>
          <w:bCs w:val="1"/>
          <w:color w:val="auto"/>
        </w:rPr>
        <w:t>11</w:t>
      </w:r>
    </w:p>
    <w:p>
      <w:pPr>
        <w:sectPr>
          <w:pgSz w:w="11900" w:h="16838" w:orient="portrait"/>
          <w:cols w:equalWidth="0" w:num="1">
            <w:col w:w="10219"/>
          </w:cols>
          <w:pgMar w:left="240" w:top="585" w:right="1440"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b w:val="1"/>
          <w:bCs w:val="1"/>
          <w:color w:val="auto"/>
        </w:rPr>
        <w:t>NOTICE FOR RESIDENTS OF INDIANA</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regarding your policy or coverage should be directed to:</w:t>
      </w:r>
    </w:p>
    <w:p>
      <w:pPr>
        <w:spacing w:after="0" w:line="38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Metropolitan Life Insurance Company</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1-800-638-5433</w:t>
      </w:r>
    </w:p>
    <w:p>
      <w:pPr>
        <w:spacing w:after="0" w:line="3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(a) need the assistance of the government agency that regulates insurance; or (b) have a complaint you have been unable to resolve with your insurer you may contact the Department of Insurance by mail, telephone or email:</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of Indiana Department of Insurance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Consumer Services Division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311 West Washington Street, Suite 300</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Indianapolis, Indiana 46204</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Consumer Hotline: (800) 622-4461; (317) 232-2395</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Complaint can be filed electronically at www.in.gov/idoi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b w:val="1"/>
          <w:bCs w:val="1"/>
          <w:color w:val="auto"/>
        </w:rPr>
        <w:t>notice/in</w:t>
      </w:r>
      <w:r>
        <w:rPr>
          <w:sz w:val="20"/>
          <w:szCs w:val="20"/>
          <w:color w:val="auto"/>
        </w:rPr>
        <w:tab/>
      </w:r>
      <w:r>
        <w:rPr>
          <w:rFonts w:ascii="Arial" w:cs="Arial" w:eastAsia="Arial" w:hAnsi="Arial"/>
          <w:sz w:val="18"/>
          <w:szCs w:val="18"/>
          <w:b w:val="1"/>
          <w:bCs w:val="1"/>
          <w:color w:val="auto"/>
        </w:rPr>
        <w:t>12</w:t>
      </w:r>
    </w:p>
    <w:p>
      <w:pPr>
        <w:sectPr>
          <w:pgSz w:w="11900" w:h="16838" w:orient="portrait"/>
          <w:cols w:equalWidth="0" w:num="1">
            <w:col w:w="11180"/>
          </w:cols>
          <w:pgMar w:left="240" w:top="585" w:right="47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b w:val="1"/>
          <w:bCs w:val="1"/>
          <w:color w:val="auto"/>
        </w:rPr>
        <w:t>NOTICE FOR RESIDENTS OF MINNESOTA</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is a life insurance policy which pays accelerated death benefits at your option under conditions specified in the policy. This policy is not a long-term care policy meeting the requirements of sections M.S.62A.46 to 62A.56 or chapter 62S.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notice/mn</w:t>
      </w:r>
      <w:r>
        <w:rPr>
          <w:sz w:val="20"/>
          <w:szCs w:val="20"/>
          <w:color w:val="auto"/>
        </w:rPr>
        <w:tab/>
      </w:r>
      <w:r>
        <w:rPr>
          <w:rFonts w:ascii="Arial" w:cs="Arial" w:eastAsia="Arial" w:hAnsi="Arial"/>
          <w:sz w:val="16"/>
          <w:szCs w:val="16"/>
          <w:b w:val="1"/>
          <w:bCs w:val="1"/>
          <w:color w:val="auto"/>
        </w:rPr>
        <w:t>13</w:t>
      </w:r>
    </w:p>
    <w:p>
      <w:pPr>
        <w:sectPr>
          <w:pgSz w:w="11900" w:h="16838" w:orient="portrait"/>
          <w:cols w:equalWidth="0" w:num="1">
            <w:col w:w="11400"/>
          </w:cols>
          <w:pgMar w:left="240" w:top="585" w:right="25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b w:val="1"/>
          <w:bCs w:val="1"/>
          <w:color w:val="auto"/>
        </w:rPr>
        <w:t>NOTICE FOR RESIDENTS OF MINNESOTA</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CONTINUATION OF BASIC LIFE INSURANCE WITH PREMIUM PAYMENT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If Your Life Insurance ends due to termination of Your employment for any reason other than gross misconduct, You may continue such insurance for You.</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If You are eligible for continuation of Life insurance, Your employer will notify You of:</w:t>
      </w:r>
    </w:p>
    <w:p>
      <w:pPr>
        <w:spacing w:after="0" w:line="225" w:lineRule="exact"/>
        <w:rPr>
          <w:sz w:val="20"/>
          <w:szCs w:val="20"/>
          <w:color w:val="auto"/>
        </w:rPr>
      </w:pPr>
    </w:p>
    <w:p>
      <w:pPr>
        <w:ind w:left="340" w:hanging="332"/>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Your right to elect to continue Life Insurance for You;</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amount You must pay each month to Your employer to keep such insurance in force;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instructions for payment;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time that payments are due.</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amount of the premium You will be required to pay for continuation of Life Insurance will not exceed 102 percent of the amount of premium required to be paid for active employees in Your class for such insurance (this includes any premium amounts paid by the employer as well as the employee).</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You will have 60 days within which to elect to continue Life Insurance under this section. The 60 day period begins to run on the date Life Insurance would otherwise end or on the date upon which notice of the right to continue Life Insurance is received, whichever is later. If You die during the 60 day election period, we will consider You to have elected to continue Life Insurance under this section.</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If Your employer fails to notify You of Your right to continue insurance under this section, or fails to forward a required premium to Us that You have paid, causing insurance for You to end, then Your employer will become liable for these benefits to the same extent as, and in place of, us.</w:t>
      </w:r>
    </w:p>
    <w:p>
      <w:pPr>
        <w:spacing w:after="0" w:line="14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If You continue Life Insurance under this section, any reductions in Life Insurance that would have applied if You were Actively at Work apply to the continued 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Continuation of Life Insurance under this section will end on the earliest of:</w:t>
      </w:r>
    </w:p>
    <w:p>
      <w:pPr>
        <w:spacing w:after="0" w:line="225" w:lineRule="exact"/>
        <w:rPr>
          <w:sz w:val="20"/>
          <w:szCs w:val="20"/>
          <w:color w:val="auto"/>
        </w:rPr>
      </w:pPr>
    </w:p>
    <w:p>
      <w:pPr>
        <w:ind w:left="340" w:hanging="332"/>
        <w:spacing w:after="0"/>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date the group policy ends for all employees or for the class of employees to which you belonged when Your Active Work ceased;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date you fail to make a required premium payment when due;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date you become covered for life insurance under this or any other group term life insurance plan; or</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end of 18 months following the date Your Active Work ended.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When a continuation under this section ends, You may buy an individual policy of life insurance from Us. The details of this option are described in the section LIFE INSURANCE: CONVERSION OPTION FOR YOU entitled LIFE INSURANCE: CONVERSION OPTION FOR YOU. For the purpose of that section, the end of this continuation will be considered the end of your employment.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Previous Conversion</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If You converted Life Insurance to an individual policy, We will only pay Life Insurance under this section if such individual policy is returned to Us. If it is returned to Us, We will refund to Your estate the premiums paid for such policy without interest, less any debt incurred under such policy.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If such individual policy is not returned to Us, We will pay the life insurance in effect under the individual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not pay insurance under both the Group Policy and the individual policy.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notice/mnco</w:t>
      </w:r>
      <w:r>
        <w:rPr>
          <w:sz w:val="20"/>
          <w:szCs w:val="20"/>
          <w:color w:val="auto"/>
        </w:rPr>
        <w:tab/>
      </w:r>
      <w:r>
        <w:rPr>
          <w:rFonts w:ascii="Arial" w:cs="Arial" w:eastAsia="Arial" w:hAnsi="Arial"/>
          <w:sz w:val="16"/>
          <w:szCs w:val="16"/>
          <w:b w:val="1"/>
          <w:bCs w:val="1"/>
          <w:color w:val="auto"/>
        </w:rPr>
        <w:t>14</w:t>
      </w:r>
    </w:p>
    <w:p>
      <w:pPr>
        <w:sectPr>
          <w:pgSz w:w="11900" w:h="16838" w:orient="portrait"/>
          <w:cols w:equalWidth="0" w:num="1">
            <w:col w:w="11420"/>
          </w:cols>
          <w:pgMar w:left="240" w:top="125" w:right="23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b w:val="1"/>
          <w:bCs w:val="1"/>
          <w:color w:val="auto"/>
        </w:rPr>
        <w:t>NOTICE FOR RESIDENTS OF UTAH</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of Protection Provided by</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Utah Life and Health Insurance Guaranty Association</w:t>
      </w:r>
    </w:p>
    <w:p>
      <w:pPr>
        <w:spacing w:after="0" w:line="23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This notice provides a brief summary of the Utah Life and Health Insurance Guaranty Association ("the Association") and the protection it provides for policyholders. This safety net was created under Utah law, which determines who and what is covered and the amounts of coverage.</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Association was established to provide protection in the unlikely event that your life, health, or annuity insurance company becomes financially unable to meet its obligations and is taken over by its insurance regulatory agency. If this should happen, the Association will typically arrange to continue coverage and pay claims, in accordance with Utah law, with funding from assessments paid by other insurance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basic protections provided by the Association are:</w:t>
      </w:r>
    </w:p>
    <w:p>
      <w:pPr>
        <w:spacing w:after="0" w:line="23"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 $500,000 in death benefits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 $200,000 in cash surrender or withdrawal values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Health Insurance</w:t>
      </w:r>
    </w:p>
    <w:p>
      <w:pPr>
        <w:spacing w:after="0" w:line="9" w:lineRule="exact"/>
        <w:rPr>
          <w:rFonts w:ascii="Arial" w:cs="Arial" w:eastAsia="Arial" w:hAnsi="Arial"/>
          <w:sz w:val="18"/>
          <w:szCs w:val="18"/>
          <w:color w:val="auto"/>
        </w:rPr>
      </w:pPr>
    </w:p>
    <w:p>
      <w:pPr>
        <w:ind w:left="660" w:right="6200"/>
        <w:spacing w:after="0" w:line="250" w:lineRule="auto"/>
        <w:rPr>
          <w:rFonts w:ascii="Arial" w:cs="Arial" w:eastAsia="Arial" w:hAnsi="Arial"/>
          <w:sz w:val="18"/>
          <w:szCs w:val="18"/>
          <w:color w:val="auto"/>
        </w:rPr>
      </w:pPr>
      <w:r>
        <w:rPr>
          <w:rFonts w:ascii="Arial" w:cs="Arial" w:eastAsia="Arial" w:hAnsi="Arial"/>
          <w:sz w:val="18"/>
          <w:szCs w:val="18"/>
          <w:color w:val="auto"/>
        </w:rPr>
        <w:t>o $500,000 in hospital, medical and surgical insurance benefits o $500,000 in long-term care insurance benefits</w:t>
      </w:r>
    </w:p>
    <w:p>
      <w:pPr>
        <w:ind w:left="660"/>
        <w:spacing w:after="0"/>
        <w:rPr>
          <w:rFonts w:ascii="Arial" w:cs="Arial" w:eastAsia="Arial" w:hAnsi="Arial"/>
          <w:sz w:val="18"/>
          <w:szCs w:val="18"/>
          <w:color w:val="auto"/>
        </w:rPr>
      </w:pPr>
      <w:r>
        <w:rPr>
          <w:rFonts w:ascii="Arial" w:cs="Arial" w:eastAsia="Arial" w:hAnsi="Arial"/>
          <w:sz w:val="18"/>
          <w:szCs w:val="18"/>
          <w:color w:val="auto"/>
        </w:rPr>
        <w:t>o $500,000 in disability income insurance benefits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 $500,000 in other types of health insurance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Annuities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 $250,000 in withdrawal and cash values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maximum amount of protection for each individual, regardless of the number of policies or contracts, is $500,000. Special rules may apply with regard to hospital, medical and surgical insurance benefits.</w:t>
      </w:r>
    </w:p>
    <w:p>
      <w:pPr>
        <w:spacing w:after="0" w:line="16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Note: Certain policies and contracts may not be covered or fully covered. </w:t>
      </w:r>
      <w:r>
        <w:rPr>
          <w:rFonts w:ascii="Arial" w:cs="Arial" w:eastAsia="Arial" w:hAnsi="Arial"/>
          <w:sz w:val="18"/>
          <w:szCs w:val="18"/>
          <w:color w:val="auto"/>
        </w:rPr>
        <w:t>For example, coverage does not extend to any portion of a policy or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insurer does not guarantee, such as certain investment additions to the account value of a variable life insurance policy or a variable annuity contract. Coverage is conditioned on residency in this state and there are substantial limitations and exclusions. For a complete description of coverage, consult Utah Code, Title 3 lA, Chapter 28.</w:t>
      </w:r>
    </w:p>
    <w:p>
      <w:pPr>
        <w:spacing w:after="0" w:line="180"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Insurance companies and agents are prohibited by Utah law to use the existence of the Association or its coverage to encourage you to purchase insurance. When selecting an insurance company, you should not rely on Association coverage. If there is any inconsistency between Utah law and this notice, Utah law will control.</w:t>
      </w:r>
    </w:p>
    <w:p>
      <w:pPr>
        <w:spacing w:after="0" w:line="18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 learn more about the above protections, as well as protections relating to group contracts or retirement plans, please visit the Association's website at www.utlifega.org or contact:</w:t>
      </w:r>
    </w:p>
    <w:p>
      <w:pPr>
        <w:spacing w:after="0" w:line="170" w:lineRule="exact"/>
        <w:rPr>
          <w:sz w:val="20"/>
          <w:szCs w:val="20"/>
          <w:color w:val="auto"/>
        </w:rPr>
      </w:pPr>
    </w:p>
    <w:p>
      <w:pPr>
        <w:ind w:right="5340" w:firstLine="324"/>
        <w:spacing w:after="0" w:line="256" w:lineRule="auto"/>
        <w:rPr>
          <w:sz w:val="20"/>
          <w:szCs w:val="20"/>
          <w:color w:val="auto"/>
        </w:rPr>
      </w:pPr>
      <w:r>
        <w:rPr>
          <w:rFonts w:ascii="Arial" w:cs="Arial" w:eastAsia="Arial" w:hAnsi="Arial"/>
          <w:sz w:val="18"/>
          <w:szCs w:val="18"/>
          <w:color w:val="auto"/>
        </w:rPr>
        <w:t>Utah Life and Health Insurance Guaranty Assoc. Utah Insurance Department 60 East South Temple, Suite 500 3110 State Office Building Salt Lake City UT 84111 Salt Lake City UT 84114-6901</w:t>
      </w:r>
    </w:p>
    <w:p>
      <w:pPr>
        <w:spacing w:after="0"/>
        <w:tabs>
          <w:tab w:leader="none" w:pos="1300" w:val="left"/>
        </w:tabs>
        <w:rPr>
          <w:sz w:val="20"/>
          <w:szCs w:val="20"/>
          <w:color w:val="auto"/>
        </w:rPr>
      </w:pPr>
      <w:r>
        <w:rPr>
          <w:rFonts w:ascii="Arial" w:cs="Arial" w:eastAsia="Arial" w:hAnsi="Arial"/>
          <w:sz w:val="18"/>
          <w:szCs w:val="18"/>
          <w:color w:val="auto"/>
        </w:rPr>
        <w:t>(801) 320-9955</w:t>
      </w:r>
      <w:r>
        <w:rPr>
          <w:sz w:val="20"/>
          <w:szCs w:val="20"/>
          <w:color w:val="auto"/>
        </w:rPr>
        <w:tab/>
      </w:r>
      <w:r>
        <w:rPr>
          <w:rFonts w:ascii="Arial" w:cs="Arial" w:eastAsia="Arial" w:hAnsi="Arial"/>
          <w:sz w:val="16"/>
          <w:szCs w:val="16"/>
          <w:color w:val="auto"/>
        </w:rPr>
        <w:t>(801) 538-3800</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written complaint about misuse of this Notice or the improper use of the existence of the Association may be filed with the Utah Insurance Department at the above address.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GTY-NOTICE-UT-0710</w:t>
      </w:r>
    </w:p>
    <w:p>
      <w:pPr>
        <w:sectPr>
          <w:pgSz w:w="11900" w:h="16838" w:orient="portrait"/>
          <w:cols w:equalWidth="0" w:num="1">
            <w:col w:w="11400"/>
          </w:cols>
          <w:pgMar w:left="240" w:top="120" w:right="25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b w:val="1"/>
          <w:bCs w:val="1"/>
          <w:color w:val="auto"/>
        </w:rPr>
        <w:t>NOTICE FOR RESIDENTS OF VIRGINIA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REGARDING YOUR INSURANCE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the event You need to contact someone about this insurance for any reason please contact Your agent. If no agent was involved in the sale of this insurance, or if You have additional questions You may contact the insurance company issuing this insurance at the following address and telephone number:</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MetLife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10166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Corporate Consumer Relations Department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phone in a claim related question, You may call Claims Customer Service at: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1-800-275-4638</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You have been unable to contact or obtain satisfaction from the company or the agent, You may contact the Virginia State Corporation Commission’s Bureau of Insurance at:</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Office of the Managed Care Ombudsman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Bureau of Insurance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 Box 1157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Richmond, VA 23218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1-877-310-6560 - toll-free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1-804-371-9944 - locally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www.scc.virginia.gov - web address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ombudsman@scc.virginia.gov - email</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notice/va</w:t>
      </w:r>
      <w:r>
        <w:rPr>
          <w:sz w:val="20"/>
          <w:szCs w:val="20"/>
          <w:color w:val="auto"/>
        </w:rPr>
        <w:tab/>
      </w:r>
      <w:r>
        <w:rPr>
          <w:rFonts w:ascii="Arial" w:cs="Arial" w:eastAsia="Arial" w:hAnsi="Arial"/>
          <w:sz w:val="16"/>
          <w:szCs w:val="16"/>
          <w:b w:val="1"/>
          <w:bCs w:val="1"/>
          <w:color w:val="auto"/>
        </w:rPr>
        <w:t>16</w:t>
      </w:r>
    </w:p>
    <w:p>
      <w:pPr>
        <w:sectPr>
          <w:pgSz w:w="11900" w:h="16838" w:orient="portrait"/>
          <w:cols w:equalWidth="0" w:num="1">
            <w:col w:w="11380"/>
          </w:cols>
          <w:pgMar w:left="240" w:top="585" w:right="27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b w:val="1"/>
          <w:bCs w:val="1"/>
          <w:color w:val="auto"/>
        </w:rPr>
        <w:t>NOTICE FOR RESIDENTS OF WISCONSIN</w:t>
      </w:r>
    </w:p>
    <w:p>
      <w:pPr>
        <w:spacing w:after="0" w:line="200" w:lineRule="exact"/>
        <w:rPr>
          <w:sz w:val="20"/>
          <w:szCs w:val="20"/>
          <w:color w:val="auto"/>
        </w:rPr>
      </w:pPr>
    </w:p>
    <w:p>
      <w:pPr>
        <w:spacing w:after="0" w:line="317"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u w:val="single" w:color="auto"/>
          <w:color w:val="auto"/>
        </w:rPr>
        <w:t>KEEP THIS NOTICE WITH YOUR INSURANCE PAPERS</w:t>
      </w:r>
    </w:p>
    <w:p>
      <w:pPr>
        <w:spacing w:after="0" w:line="200" w:lineRule="exact"/>
        <w:rPr>
          <w:sz w:val="20"/>
          <w:szCs w:val="20"/>
          <w:color w:val="auto"/>
        </w:rPr>
      </w:pP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PROBLEMS WITH YOUR INSURANCE? </w:t>
      </w:r>
      <w:r>
        <w:rPr>
          <w:rFonts w:ascii="Arial" w:cs="Arial" w:eastAsia="Arial" w:hAnsi="Arial"/>
          <w:sz w:val="18"/>
          <w:szCs w:val="18"/>
          <w:color w:val="auto"/>
        </w:rPr>
        <w:t>- If You are having problems with Your insurance company or agent, do not hesitate to contact the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agent to resolve Your problem.</w:t>
      </w:r>
    </w:p>
    <w:p>
      <w:pPr>
        <w:spacing w:after="0" w:line="38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MetLife</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Attn: Corporate Consumer Relations Department</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New York, New York 10166</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1-800-638-5433</w:t>
      </w:r>
    </w:p>
    <w:p>
      <w:pPr>
        <w:spacing w:after="0" w:line="200" w:lineRule="exact"/>
        <w:rPr>
          <w:sz w:val="20"/>
          <w:szCs w:val="20"/>
          <w:color w:val="auto"/>
        </w:rPr>
      </w:pPr>
    </w:p>
    <w:p>
      <w:pPr>
        <w:spacing w:after="0" w:line="22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You can also contact the </w:t>
      </w:r>
      <w:r>
        <w:rPr>
          <w:rFonts w:ascii="Arial" w:cs="Arial" w:eastAsia="Arial" w:hAnsi="Arial"/>
          <w:sz w:val="18"/>
          <w:szCs w:val="18"/>
          <w:b w:val="1"/>
          <w:bCs w:val="1"/>
          <w:color w:val="auto"/>
        </w:rPr>
        <w:t>OFFICE OF THE COMMISSIONER OF INSURANCE</w:t>
      </w:r>
      <w:r>
        <w:rPr>
          <w:rFonts w:ascii="Arial" w:cs="Arial" w:eastAsia="Arial" w:hAnsi="Arial"/>
          <w:sz w:val="18"/>
          <w:szCs w:val="18"/>
          <w:color w:val="auto"/>
        </w:rPr>
        <w:t xml:space="preserve">, a state agency which enforces Wisconsin’s insurance laws, and file a complaint. You can contact the </w:t>
      </w:r>
      <w:r>
        <w:rPr>
          <w:rFonts w:ascii="Arial" w:cs="Arial" w:eastAsia="Arial" w:hAnsi="Arial"/>
          <w:sz w:val="18"/>
          <w:szCs w:val="18"/>
          <w:b w:val="1"/>
          <w:bCs w:val="1"/>
          <w:color w:val="auto"/>
        </w:rPr>
        <w:t>OFFICE OF THE COMMISSIONER OF INSURANCE</w:t>
      </w:r>
      <w:r>
        <w:rPr>
          <w:rFonts w:ascii="Arial" w:cs="Arial" w:eastAsia="Arial" w:hAnsi="Arial"/>
          <w:sz w:val="18"/>
          <w:szCs w:val="18"/>
          <w:color w:val="auto"/>
        </w:rPr>
        <w:t xml:space="preserve"> by contacting:</w:t>
      </w: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Office of the Commissioner of Insurance</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Complaints Department</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P.O. Box 7873</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Madison, WI 53707-7873</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1-800-236-8517 outside of Madison or 608-266-0103 in Madison.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notice/wi</w:t>
      </w:r>
      <w:r>
        <w:rPr>
          <w:sz w:val="20"/>
          <w:szCs w:val="20"/>
          <w:color w:val="auto"/>
        </w:rPr>
        <w:tab/>
      </w:r>
      <w:r>
        <w:rPr>
          <w:rFonts w:ascii="Arial" w:cs="Arial" w:eastAsia="Arial" w:hAnsi="Arial"/>
          <w:sz w:val="18"/>
          <w:szCs w:val="18"/>
          <w:b w:val="1"/>
          <w:bCs w:val="1"/>
          <w:color w:val="auto"/>
        </w:rPr>
        <w:t>17</w:t>
      </w:r>
    </w:p>
    <w:p>
      <w:pPr>
        <w:sectPr>
          <w:pgSz w:w="11900" w:h="16838" w:orient="portrait"/>
          <w:cols w:equalWidth="0" w:num="1">
            <w:col w:w="11200"/>
          </w:cols>
          <w:pgMar w:left="240" w:top="585" w:right="45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86"/>
        </w:trPr>
        <w:tc>
          <w:tcPr>
            <w:tcW w:w="2500" w:type="dxa"/>
            <w:vAlign w:val="bottom"/>
            <w:gridSpan w:val="6"/>
          </w:tcPr>
          <w:p>
            <w:pPr>
              <w:spacing w:after="0"/>
              <w:rPr>
                <w:sz w:val="20"/>
                <w:szCs w:val="20"/>
                <w:color w:val="auto"/>
              </w:rPr>
            </w:pPr>
            <w:r>
              <w:rPr>
                <w:rFonts w:ascii="Arial" w:cs="Arial" w:eastAsia="Arial" w:hAnsi="Arial"/>
                <w:sz w:val="22"/>
                <w:szCs w:val="22"/>
                <w:b w:val="1"/>
                <w:bCs w:val="1"/>
                <w:color w:val="auto"/>
              </w:rPr>
              <w:t>TABLE OF CONTENTS</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756"/>
        </w:trPr>
        <w:tc>
          <w:tcPr>
            <w:tcW w:w="860" w:type="dxa"/>
            <w:vAlign w:val="bottom"/>
          </w:tcPr>
          <w:p>
            <w:pPr>
              <w:spacing w:after="0"/>
              <w:rPr>
                <w:sz w:val="20"/>
                <w:szCs w:val="20"/>
                <w:color w:val="auto"/>
              </w:rPr>
            </w:pPr>
            <w:r>
              <w:rPr>
                <w:rFonts w:ascii="Arial" w:cs="Arial" w:eastAsia="Arial" w:hAnsi="Arial"/>
                <w:sz w:val="22"/>
                <w:szCs w:val="22"/>
                <w:b w:val="1"/>
                <w:bCs w:val="1"/>
                <w:color w:val="auto"/>
              </w:rPr>
              <w:t>Section</w:t>
            </w:r>
          </w:p>
        </w:tc>
        <w:tc>
          <w:tcPr>
            <w:tcW w:w="900" w:type="dxa"/>
            <w:vAlign w:val="bottom"/>
            <w:gridSpan w:val="3"/>
          </w:tcPr>
          <w:p>
            <w:pPr>
              <w:jc w:val="center"/>
              <w:spacing w:after="0"/>
              <w:rPr>
                <w:sz w:val="20"/>
                <w:szCs w:val="20"/>
                <w:color w:val="auto"/>
              </w:rPr>
            </w:pPr>
            <w:r>
              <w:rPr>
                <w:rFonts w:ascii="Arial" w:cs="Arial" w:eastAsia="Arial" w:hAnsi="Arial"/>
                <w:sz w:val="22"/>
                <w:szCs w:val="22"/>
                <w:b w:val="1"/>
                <w:bCs w:val="1"/>
                <w:color w:val="auto"/>
                <w:w w:val="98"/>
              </w:rPr>
              <w:t>Page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4"/>
        </w:trPr>
        <w:tc>
          <w:tcPr>
            <w:tcW w:w="2120" w:type="dxa"/>
            <w:vAlign w:val="bottom"/>
            <w:gridSpan w:val="5"/>
          </w:tcPr>
          <w:p>
            <w:pPr>
              <w:spacing w:after="0"/>
              <w:rPr>
                <w:sz w:val="20"/>
                <w:szCs w:val="20"/>
                <w:color w:val="auto"/>
              </w:rPr>
            </w:pPr>
            <w:r>
              <w:rPr>
                <w:rFonts w:ascii="Arial" w:cs="Arial" w:eastAsia="Arial" w:hAnsi="Arial"/>
                <w:sz w:val="18"/>
                <w:szCs w:val="18"/>
                <w:color w:val="auto"/>
                <w:w w:val="92"/>
              </w:rPr>
              <w:t>CERTIFICATE FACE PAGE</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NOTICES</w:t>
            </w:r>
          </w:p>
        </w:tc>
        <w:tc>
          <w:tcPr>
            <w:tcW w:w="300" w:type="dxa"/>
            <w:vAlign w:val="bottom"/>
          </w:tcPr>
          <w:p>
            <w:pPr>
              <w:jc w:val="right"/>
              <w:ind w:right="21"/>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2120" w:type="dxa"/>
            <w:vAlign w:val="bottom"/>
            <w:gridSpan w:val="5"/>
          </w:tcPr>
          <w:p>
            <w:pPr>
              <w:spacing w:after="0"/>
              <w:rPr>
                <w:sz w:val="20"/>
                <w:szCs w:val="20"/>
                <w:color w:val="auto"/>
              </w:rPr>
            </w:pPr>
            <w:r>
              <w:rPr>
                <w:rFonts w:ascii="Arial" w:cs="Arial" w:eastAsia="Arial" w:hAnsi="Arial"/>
                <w:sz w:val="18"/>
                <w:szCs w:val="18"/>
                <w:color w:val="auto"/>
                <w:w w:val="94"/>
              </w:rPr>
              <w:t>SCHEDULE OF BENEFITS</w:t>
            </w: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DEFINITIONS</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4280" w:type="dxa"/>
            <w:vAlign w:val="bottom"/>
            <w:gridSpan w:val="8"/>
          </w:tcPr>
          <w:p>
            <w:pPr>
              <w:spacing w:after="0"/>
              <w:rPr>
                <w:sz w:val="20"/>
                <w:szCs w:val="20"/>
                <w:color w:val="auto"/>
              </w:rPr>
            </w:pPr>
            <w:r>
              <w:rPr>
                <w:rFonts w:ascii="Arial" w:cs="Arial" w:eastAsia="Arial" w:hAnsi="Arial"/>
                <w:sz w:val="18"/>
                <w:szCs w:val="18"/>
                <w:color w:val="auto"/>
              </w:rPr>
              <w:t>ELIGIBILITY PROVISIONS: INSURANCE FOR YOU</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w w:val="89"/>
              </w:rPr>
              <w:t>23</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440" w:type="dxa"/>
            <w:vAlign w:val="bottom"/>
            <w:gridSpan w:val="3"/>
          </w:tcPr>
          <w:p>
            <w:pPr>
              <w:ind w:left="180"/>
              <w:spacing w:after="0"/>
              <w:rPr>
                <w:sz w:val="20"/>
                <w:szCs w:val="20"/>
                <w:color w:val="auto"/>
              </w:rPr>
            </w:pPr>
            <w:r>
              <w:rPr>
                <w:rFonts w:ascii="Arial" w:cs="Arial" w:eastAsia="Arial" w:hAnsi="Arial"/>
                <w:sz w:val="18"/>
                <w:szCs w:val="18"/>
                <w:color w:val="auto"/>
                <w:w w:val="97"/>
              </w:rPr>
              <w:t>Eligible Classes</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2780" w:type="dxa"/>
            <w:vAlign w:val="bottom"/>
            <w:gridSpan w:val="7"/>
          </w:tcPr>
          <w:p>
            <w:pPr>
              <w:ind w:left="180"/>
              <w:spacing w:after="0"/>
              <w:rPr>
                <w:sz w:val="20"/>
                <w:szCs w:val="20"/>
                <w:color w:val="auto"/>
              </w:rPr>
            </w:pPr>
            <w:r>
              <w:rPr>
                <w:rFonts w:ascii="Arial" w:cs="Arial" w:eastAsia="Arial" w:hAnsi="Arial"/>
                <w:sz w:val="18"/>
                <w:szCs w:val="18"/>
                <w:color w:val="auto"/>
                <w:w w:val="91"/>
              </w:rPr>
              <w:t>Date You Are Eligible for Insurance</w:t>
            </w:r>
          </w:p>
        </w:tc>
        <w:tc>
          <w:tcPr>
            <w:tcW w:w="1500" w:type="dxa"/>
            <w:vAlign w:val="bottom"/>
          </w:tcPr>
          <w:p>
            <w:pPr>
              <w:jc w:val="right"/>
              <w:ind w:right="1050"/>
              <w:spacing w:after="0"/>
              <w:rPr>
                <w:sz w:val="20"/>
                <w:szCs w:val="20"/>
                <w:color w:val="auto"/>
              </w:rPr>
            </w:pPr>
            <w:r>
              <w:rPr>
                <w:rFonts w:ascii="Arial" w:cs="Arial" w:eastAsia="Arial" w:hAnsi="Arial"/>
                <w:sz w:val="18"/>
                <w:szCs w:val="18"/>
                <w:color w:val="auto"/>
              </w:rPr>
              <w:t>23</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760" w:type="dxa"/>
            <w:vAlign w:val="bottom"/>
            <w:gridSpan w:val="4"/>
          </w:tcPr>
          <w:p>
            <w:pPr>
              <w:ind w:left="180"/>
              <w:spacing w:after="0"/>
              <w:rPr>
                <w:sz w:val="20"/>
                <w:szCs w:val="20"/>
                <w:color w:val="auto"/>
              </w:rPr>
            </w:pPr>
            <w:r>
              <w:rPr>
                <w:rFonts w:ascii="Arial" w:cs="Arial" w:eastAsia="Arial" w:hAnsi="Arial"/>
                <w:sz w:val="18"/>
                <w:szCs w:val="18"/>
                <w:color w:val="auto"/>
                <w:w w:val="99"/>
              </w:rPr>
              <w:t>Enrollment Process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23</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2780" w:type="dxa"/>
            <w:vAlign w:val="bottom"/>
            <w:gridSpan w:val="7"/>
          </w:tcPr>
          <w:p>
            <w:pPr>
              <w:ind w:left="180"/>
              <w:spacing w:after="0"/>
              <w:rPr>
                <w:sz w:val="20"/>
                <w:szCs w:val="20"/>
                <w:color w:val="auto"/>
              </w:rPr>
            </w:pPr>
            <w:r>
              <w:rPr>
                <w:rFonts w:ascii="Arial" w:cs="Arial" w:eastAsia="Arial" w:hAnsi="Arial"/>
                <w:sz w:val="18"/>
                <w:szCs w:val="18"/>
                <w:color w:val="auto"/>
                <w:w w:val="95"/>
              </w:rPr>
              <w:t>Date Your Insurance Takes Effect</w:t>
            </w:r>
          </w:p>
        </w:tc>
        <w:tc>
          <w:tcPr>
            <w:tcW w:w="1500" w:type="dxa"/>
            <w:vAlign w:val="bottom"/>
          </w:tcPr>
          <w:p>
            <w:pPr>
              <w:jc w:val="right"/>
              <w:ind w:right="1230"/>
              <w:spacing w:after="0"/>
              <w:rPr>
                <w:sz w:val="20"/>
                <w:szCs w:val="20"/>
                <w:color w:val="auto"/>
              </w:rPr>
            </w:pPr>
            <w:r>
              <w:rPr>
                <w:rFonts w:ascii="Arial" w:cs="Arial" w:eastAsia="Arial" w:hAnsi="Arial"/>
                <w:sz w:val="18"/>
                <w:szCs w:val="18"/>
                <w:color w:val="auto"/>
                <w:w w:val="79"/>
              </w:rPr>
              <w:t>23</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2120" w:type="dxa"/>
            <w:vAlign w:val="bottom"/>
            <w:gridSpan w:val="5"/>
          </w:tcPr>
          <w:p>
            <w:pPr>
              <w:ind w:left="180"/>
              <w:spacing w:after="0"/>
              <w:rPr>
                <w:sz w:val="20"/>
                <w:szCs w:val="20"/>
                <w:color w:val="auto"/>
              </w:rPr>
            </w:pPr>
            <w:r>
              <w:rPr>
                <w:rFonts w:ascii="Arial" w:cs="Arial" w:eastAsia="Arial" w:hAnsi="Arial"/>
                <w:sz w:val="18"/>
                <w:szCs w:val="18"/>
                <w:color w:val="auto"/>
                <w:w w:val="90"/>
              </w:rPr>
              <w:t>Date Your Insurance Ends</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5060" w:type="dxa"/>
            <w:vAlign w:val="bottom"/>
            <w:gridSpan w:val="9"/>
          </w:tcPr>
          <w:p>
            <w:pPr>
              <w:spacing w:after="0"/>
              <w:rPr>
                <w:sz w:val="20"/>
                <w:szCs w:val="20"/>
                <w:color w:val="auto"/>
              </w:rPr>
            </w:pPr>
            <w:r>
              <w:rPr>
                <w:rFonts w:ascii="Arial" w:cs="Arial" w:eastAsia="Arial" w:hAnsi="Arial"/>
                <w:sz w:val="18"/>
                <w:szCs w:val="18"/>
                <w:color w:val="auto"/>
                <w:w w:val="98"/>
              </w:rPr>
              <w:t>CONTINUATION OF INSURANCE WITH PREMIUM PAYMENT</w:t>
            </w:r>
          </w:p>
        </w:tc>
        <w:tc>
          <w:tcPr>
            <w:tcW w:w="820" w:type="dxa"/>
            <w:vAlign w:val="bottom"/>
          </w:tcPr>
          <w:p>
            <w:pPr>
              <w:jc w:val="right"/>
              <w:ind w:right="45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4"/>
                <w:szCs w:val="24"/>
                <w:color w:val="auto"/>
              </w:rPr>
            </w:pPr>
          </w:p>
        </w:tc>
      </w:tr>
      <w:tr>
        <w:trPr>
          <w:trHeight w:val="432"/>
        </w:trPr>
        <w:tc>
          <w:tcPr>
            <w:tcW w:w="2500" w:type="dxa"/>
            <w:vAlign w:val="bottom"/>
            <w:gridSpan w:val="6"/>
          </w:tcPr>
          <w:p>
            <w:pPr>
              <w:ind w:left="180"/>
              <w:spacing w:after="0"/>
              <w:rPr>
                <w:sz w:val="20"/>
                <w:szCs w:val="20"/>
                <w:color w:val="auto"/>
              </w:rPr>
            </w:pPr>
            <w:r>
              <w:rPr>
                <w:rFonts w:ascii="Arial" w:cs="Arial" w:eastAsia="Arial" w:hAnsi="Arial"/>
                <w:sz w:val="18"/>
                <w:szCs w:val="18"/>
                <w:color w:val="auto"/>
                <w:w w:val="94"/>
              </w:rPr>
              <w:t>For Family And Medical Leave</w:t>
            </w:r>
          </w:p>
        </w:tc>
        <w:tc>
          <w:tcPr>
            <w:tcW w:w="1780" w:type="dxa"/>
            <w:vAlign w:val="bottom"/>
            <w:gridSpan w:val="2"/>
          </w:tcPr>
          <w:p>
            <w:pPr>
              <w:jc w:val="right"/>
              <w:ind w:right="1370"/>
              <w:spacing w:after="0"/>
              <w:rPr>
                <w:sz w:val="20"/>
                <w:szCs w:val="20"/>
                <w:color w:val="auto"/>
              </w:rPr>
            </w:pPr>
            <w:r>
              <w:rPr>
                <w:rFonts w:ascii="Arial" w:cs="Arial" w:eastAsia="Arial" w:hAnsi="Arial"/>
                <w:sz w:val="18"/>
                <w:szCs w:val="18"/>
                <w:color w:val="auto"/>
              </w:rPr>
              <w:t>25</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5880" w:type="dxa"/>
            <w:vAlign w:val="bottom"/>
            <w:gridSpan w:val="10"/>
          </w:tcPr>
          <w:p>
            <w:pPr>
              <w:ind w:left="180"/>
              <w:spacing w:after="0"/>
              <w:rPr>
                <w:sz w:val="20"/>
                <w:szCs w:val="20"/>
                <w:color w:val="auto"/>
              </w:rPr>
            </w:pPr>
            <w:r>
              <w:rPr>
                <w:rFonts w:ascii="Arial" w:cs="Arial" w:eastAsia="Arial" w:hAnsi="Arial"/>
                <w:sz w:val="18"/>
                <w:szCs w:val="18"/>
                <w:color w:val="auto"/>
                <w:w w:val="93"/>
              </w:rPr>
              <w:t>At Your Option: Continuation Of Your Life Insurance During A Labor Dispute</w:t>
            </w: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2780" w:type="dxa"/>
            <w:vAlign w:val="bottom"/>
            <w:gridSpan w:val="7"/>
          </w:tcPr>
          <w:p>
            <w:pPr>
              <w:ind w:left="180"/>
              <w:spacing w:after="0"/>
              <w:rPr>
                <w:sz w:val="20"/>
                <w:szCs w:val="20"/>
                <w:color w:val="auto"/>
              </w:rPr>
            </w:pPr>
            <w:r>
              <w:rPr>
                <w:rFonts w:ascii="Arial" w:cs="Arial" w:eastAsia="Arial" w:hAnsi="Arial"/>
                <w:sz w:val="18"/>
                <w:szCs w:val="18"/>
                <w:color w:val="auto"/>
              </w:rPr>
              <w:t>At The Policyholder's Option  25</w:t>
            </w: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2500" w:type="dxa"/>
            <w:vAlign w:val="bottom"/>
            <w:gridSpan w:val="6"/>
          </w:tcPr>
          <w:p>
            <w:pPr>
              <w:spacing w:after="0"/>
              <w:rPr>
                <w:sz w:val="20"/>
                <w:szCs w:val="20"/>
                <w:color w:val="auto"/>
              </w:rPr>
            </w:pPr>
            <w:r>
              <w:rPr>
                <w:rFonts w:ascii="Arial" w:cs="Arial" w:eastAsia="Arial" w:hAnsi="Arial"/>
                <w:sz w:val="18"/>
                <w:szCs w:val="18"/>
                <w:color w:val="auto"/>
                <w:w w:val="99"/>
              </w:rPr>
              <w:t>EVIDENCE OF INSURABILITY</w:t>
            </w:r>
          </w:p>
        </w:tc>
        <w:tc>
          <w:tcPr>
            <w:tcW w:w="1780" w:type="dxa"/>
            <w:vAlign w:val="bottom"/>
            <w:gridSpan w:val="2"/>
          </w:tcPr>
          <w:p>
            <w:pPr>
              <w:jc w:val="right"/>
              <w:ind w:right="1350"/>
              <w:spacing w:after="0"/>
              <w:rPr>
                <w:sz w:val="20"/>
                <w:szCs w:val="20"/>
                <w:color w:val="auto"/>
              </w:rPr>
            </w:pPr>
            <w:r>
              <w:rPr>
                <w:rFonts w:ascii="Arial" w:cs="Arial" w:eastAsia="Arial" w:hAnsi="Arial"/>
                <w:sz w:val="18"/>
                <w:szCs w:val="18"/>
                <w:color w:val="auto"/>
              </w:rPr>
              <w:t>26</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2500" w:type="dxa"/>
            <w:vAlign w:val="bottom"/>
            <w:gridSpan w:val="6"/>
          </w:tcPr>
          <w:p>
            <w:pPr>
              <w:spacing w:after="0"/>
              <w:rPr>
                <w:sz w:val="20"/>
                <w:szCs w:val="20"/>
                <w:color w:val="auto"/>
              </w:rPr>
            </w:pPr>
            <w:r>
              <w:rPr>
                <w:rFonts w:ascii="Arial" w:cs="Arial" w:eastAsia="Arial" w:hAnsi="Arial"/>
                <w:sz w:val="18"/>
                <w:szCs w:val="18"/>
                <w:color w:val="auto"/>
              </w:rPr>
              <w:t>LIFE INSURANCE: FOR YOU</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27</w:t>
            </w: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5880" w:type="dxa"/>
            <w:vAlign w:val="bottom"/>
            <w:gridSpan w:val="10"/>
          </w:tcPr>
          <w:p>
            <w:pPr>
              <w:spacing w:after="0"/>
              <w:rPr>
                <w:sz w:val="20"/>
                <w:szCs w:val="20"/>
                <w:color w:val="auto"/>
              </w:rPr>
            </w:pPr>
            <w:r>
              <w:rPr>
                <w:rFonts w:ascii="Arial" w:cs="Arial" w:eastAsia="Arial" w:hAnsi="Arial"/>
                <w:sz w:val="18"/>
                <w:szCs w:val="18"/>
                <w:color w:val="auto"/>
                <w:w w:val="99"/>
              </w:rPr>
              <w:t>LIFE INSURANCE: ACCELERATED BENEFIT OPTION (ABO) FOR YOU</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28</w:t>
            </w:r>
          </w:p>
        </w:tc>
      </w:tr>
      <w:tr>
        <w:trPr>
          <w:trHeight w:val="432"/>
        </w:trPr>
        <w:tc>
          <w:tcPr>
            <w:tcW w:w="4280" w:type="dxa"/>
            <w:vAlign w:val="bottom"/>
            <w:gridSpan w:val="8"/>
          </w:tcPr>
          <w:p>
            <w:pPr>
              <w:spacing w:after="0"/>
              <w:rPr>
                <w:sz w:val="20"/>
                <w:szCs w:val="20"/>
                <w:color w:val="auto"/>
              </w:rPr>
            </w:pPr>
            <w:r>
              <w:rPr>
                <w:rFonts w:ascii="Arial" w:cs="Arial" w:eastAsia="Arial" w:hAnsi="Arial"/>
                <w:sz w:val="18"/>
                <w:szCs w:val="18"/>
                <w:color w:val="auto"/>
                <w:w w:val="96"/>
              </w:rPr>
              <w:t>LIFE INSURANCE: CONVERSION OPTION FOR YOU</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5060" w:type="dxa"/>
            <w:vAlign w:val="bottom"/>
            <w:gridSpan w:val="9"/>
          </w:tcPr>
          <w:p>
            <w:pPr>
              <w:spacing w:after="0"/>
              <w:rPr>
                <w:sz w:val="20"/>
                <w:szCs w:val="20"/>
                <w:color w:val="auto"/>
              </w:rPr>
            </w:pPr>
            <w:r>
              <w:rPr>
                <w:rFonts w:ascii="Arial" w:cs="Arial" w:eastAsia="Arial" w:hAnsi="Arial"/>
                <w:sz w:val="18"/>
                <w:szCs w:val="18"/>
                <w:color w:val="auto"/>
              </w:rPr>
              <w:t>FILING A CLAIM: CLAIMS FOR LIFE INSURANCE BENEFITS</w:t>
            </w:r>
          </w:p>
        </w:tc>
        <w:tc>
          <w:tcPr>
            <w:tcW w:w="820" w:type="dxa"/>
            <w:vAlign w:val="bottom"/>
          </w:tcPr>
          <w:p>
            <w:pPr>
              <w:jc w:val="right"/>
              <w:ind w:right="47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r>
      <w:tr>
        <w:trPr>
          <w:trHeight w:val="432"/>
        </w:trPr>
        <w:tc>
          <w:tcPr>
            <w:tcW w:w="2120" w:type="dxa"/>
            <w:vAlign w:val="bottom"/>
            <w:gridSpan w:val="5"/>
          </w:tcPr>
          <w:p>
            <w:pPr>
              <w:spacing w:after="0"/>
              <w:rPr>
                <w:sz w:val="20"/>
                <w:szCs w:val="20"/>
                <w:color w:val="auto"/>
              </w:rPr>
            </w:pPr>
            <w:r>
              <w:rPr>
                <w:rFonts w:ascii="Arial" w:cs="Arial" w:eastAsia="Arial" w:hAnsi="Arial"/>
                <w:sz w:val="18"/>
                <w:szCs w:val="18"/>
                <w:color w:val="auto"/>
              </w:rPr>
              <w:t>GENERAL PROVISIONS</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9"/>
              </w:rPr>
              <w:t>33</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160" w:type="dxa"/>
            <w:vAlign w:val="bottom"/>
            <w:gridSpan w:val="2"/>
          </w:tcPr>
          <w:p>
            <w:pPr>
              <w:ind w:left="180"/>
              <w:spacing w:after="0"/>
              <w:rPr>
                <w:sz w:val="20"/>
                <w:szCs w:val="20"/>
                <w:color w:val="auto"/>
              </w:rPr>
            </w:pPr>
            <w:r>
              <w:rPr>
                <w:rFonts w:ascii="Arial" w:cs="Arial" w:eastAsia="Arial" w:hAnsi="Arial"/>
                <w:sz w:val="18"/>
                <w:szCs w:val="18"/>
                <w:color w:val="auto"/>
              </w:rPr>
              <w:t>Assignment</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160" w:type="dxa"/>
            <w:vAlign w:val="bottom"/>
            <w:gridSpan w:val="2"/>
          </w:tcPr>
          <w:p>
            <w:pPr>
              <w:ind w:left="180"/>
              <w:spacing w:after="0"/>
              <w:rPr>
                <w:sz w:val="20"/>
                <w:szCs w:val="20"/>
                <w:color w:val="auto"/>
              </w:rPr>
            </w:pPr>
            <w:r>
              <w:rPr>
                <w:rFonts w:ascii="Arial" w:cs="Arial" w:eastAsia="Arial" w:hAnsi="Arial"/>
                <w:sz w:val="18"/>
                <w:szCs w:val="18"/>
                <w:color w:val="auto"/>
              </w:rPr>
              <w:t>Beneficiary</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440" w:type="dxa"/>
            <w:vAlign w:val="bottom"/>
            <w:gridSpan w:val="3"/>
          </w:tcPr>
          <w:p>
            <w:pPr>
              <w:ind w:left="180"/>
              <w:spacing w:after="0"/>
              <w:rPr>
                <w:sz w:val="20"/>
                <w:szCs w:val="20"/>
                <w:color w:val="auto"/>
              </w:rPr>
            </w:pPr>
            <w:r>
              <w:rPr>
                <w:rFonts w:ascii="Arial" w:cs="Arial" w:eastAsia="Arial" w:hAnsi="Arial"/>
                <w:sz w:val="18"/>
                <w:szCs w:val="18"/>
                <w:color w:val="auto"/>
              </w:rPr>
              <w:t>Entire Contract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33</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4280" w:type="dxa"/>
            <w:vAlign w:val="bottom"/>
            <w:gridSpan w:val="8"/>
          </w:tcPr>
          <w:p>
            <w:pPr>
              <w:ind w:left="180"/>
              <w:spacing w:after="0"/>
              <w:rPr>
                <w:sz w:val="20"/>
                <w:szCs w:val="20"/>
                <w:color w:val="auto"/>
              </w:rPr>
            </w:pPr>
            <w:r>
              <w:rPr>
                <w:rFonts w:ascii="Arial" w:cs="Arial" w:eastAsia="Arial" w:hAnsi="Arial"/>
                <w:sz w:val="18"/>
                <w:szCs w:val="18"/>
                <w:color w:val="auto"/>
              </w:rPr>
              <w:t>Incontestability: Statements Made by You  33</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760" w:type="dxa"/>
            <w:vAlign w:val="bottom"/>
            <w:gridSpan w:val="4"/>
          </w:tcPr>
          <w:p>
            <w:pPr>
              <w:ind w:left="180"/>
              <w:spacing w:after="0"/>
              <w:rPr>
                <w:sz w:val="20"/>
                <w:szCs w:val="20"/>
                <w:color w:val="auto"/>
              </w:rPr>
            </w:pPr>
            <w:r>
              <w:rPr>
                <w:rFonts w:ascii="Arial" w:cs="Arial" w:eastAsia="Arial" w:hAnsi="Arial"/>
                <w:sz w:val="18"/>
                <w:szCs w:val="18"/>
                <w:color w:val="auto"/>
                <w:w w:val="95"/>
              </w:rPr>
              <w:t>Misstatement of Age</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760" w:type="dxa"/>
            <w:vAlign w:val="bottom"/>
            <w:gridSpan w:val="4"/>
          </w:tcPr>
          <w:p>
            <w:pPr>
              <w:ind w:left="180"/>
              <w:spacing w:after="0"/>
              <w:rPr>
                <w:sz w:val="20"/>
                <w:szCs w:val="20"/>
                <w:color w:val="auto"/>
              </w:rPr>
            </w:pPr>
            <w:r>
              <w:rPr>
                <w:rFonts w:ascii="Arial" w:cs="Arial" w:eastAsia="Arial" w:hAnsi="Arial"/>
                <w:sz w:val="18"/>
                <w:szCs w:val="18"/>
                <w:color w:val="auto"/>
                <w:w w:val="96"/>
              </w:rPr>
              <w:t>Conformity with Law</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19"/>
          </w:cols>
          <w:pgMar w:left="2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3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toc</w:t>
      </w:r>
      <w:r>
        <w:rPr>
          <w:sz w:val="20"/>
          <w:szCs w:val="20"/>
          <w:color w:val="auto"/>
        </w:rPr>
        <w:tab/>
      </w:r>
      <w:r>
        <w:rPr>
          <w:rFonts w:ascii="Arial" w:cs="Arial" w:eastAsia="Arial" w:hAnsi="Arial"/>
          <w:sz w:val="17"/>
          <w:szCs w:val="17"/>
          <w:b w:val="1"/>
          <w:bCs w:val="1"/>
          <w:color w:val="auto"/>
        </w:rPr>
        <w:t>18</w:t>
      </w:r>
    </w:p>
    <w:p>
      <w:pPr>
        <w:sectPr>
          <w:pgSz w:w="11900" w:h="16838" w:orient="portrait"/>
          <w:cols w:equalWidth="0" w:num="1">
            <w:col w:w="10219"/>
          </w:cols>
          <w:pgMar w:left="240" w:top="121" w:right="1440" w:bottom="1440" w:gutter="0" w:footer="0" w:header="0"/>
          <w:type w:val="continuous"/>
        </w:sectPr>
      </w:pPr>
    </w:p>
    <w:bookmarkStart w:id="150" w:name="page151"/>
    <w:bookmarkEnd w:id="150"/>
    <w:p>
      <w:pPr>
        <w:spacing w:after="0"/>
        <w:rPr>
          <w:sz w:val="20"/>
          <w:szCs w:val="20"/>
          <w:color w:val="auto"/>
        </w:rPr>
      </w:pPr>
      <w:r>
        <w:rPr>
          <w:rFonts w:ascii="Arial" w:cs="Arial" w:eastAsia="Arial" w:hAnsi="Arial"/>
          <w:sz w:val="22"/>
          <w:szCs w:val="22"/>
          <w:b w:val="1"/>
          <w:bCs w:val="1"/>
          <w:color w:val="auto"/>
        </w:rPr>
        <w:t>SCHEDULE OF BENEFITS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This schedule shows the benefits that are available under the Group Policy. You will only be insured for the benefits:</w:t>
      </w:r>
    </w:p>
    <w:p>
      <w:pPr>
        <w:spacing w:after="0" w:line="225" w:lineRule="exact"/>
        <w:rPr>
          <w:sz w:val="20"/>
          <w:szCs w:val="20"/>
          <w:color w:val="auto"/>
        </w:rPr>
      </w:pPr>
    </w:p>
    <w:p>
      <w:pPr>
        <w:ind w:left="340" w:hanging="332"/>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which You become and remain eligible;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which You elect, if subject to election;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which are in effect.</w:t>
      </w: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4000" w:val="left"/>
        </w:tabs>
        <w:rPr>
          <w:sz w:val="20"/>
          <w:szCs w:val="20"/>
          <w:color w:val="auto"/>
        </w:rPr>
      </w:pPr>
      <w:r>
        <w:rPr>
          <w:rFonts w:ascii="Arial" w:cs="Arial" w:eastAsia="Arial" w:hAnsi="Arial"/>
          <w:sz w:val="22"/>
          <w:szCs w:val="22"/>
          <w:b w:val="1"/>
          <w:bCs w:val="1"/>
          <w:color w:val="auto"/>
        </w:rPr>
        <w:t>BENEFIT</w:t>
      </w:r>
      <w:r>
        <w:rPr>
          <w:sz w:val="20"/>
          <w:szCs w:val="20"/>
          <w:color w:val="auto"/>
        </w:rPr>
        <w:tab/>
      </w:r>
      <w:r>
        <w:rPr>
          <w:rFonts w:ascii="Arial" w:cs="Arial" w:eastAsia="Arial" w:hAnsi="Arial"/>
          <w:sz w:val="22"/>
          <w:szCs w:val="22"/>
          <w:b w:val="1"/>
          <w:bCs w:val="1"/>
          <w:color w:val="auto"/>
        </w:rPr>
        <w:t>BENEFIT AMOUNTS AND HIGHLIGHTS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Will Pay Benefits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When the Certificate states that We will pay benefits in "one sum" or a "single sum", We will pay the full benefit amount by check.</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modes of payment may be available upon request. For details, call Our toll free number shown on the Certificate Face Page.</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Life Insurance For You</w:t>
      </w:r>
    </w:p>
    <w:p>
      <w:pPr>
        <w:spacing w:after="0" w:line="381"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For Class I – IV Active Employees</w:t>
            </w:r>
          </w:p>
        </w:tc>
        <w:tc>
          <w:tcPr>
            <w:tcW w:w="3820" w:type="dxa"/>
            <w:vAlign w:val="bottom"/>
            <w:gridSpan w:val="2"/>
          </w:tcPr>
          <w:p>
            <w:pPr>
              <w:ind w:left="920"/>
              <w:spacing w:after="0"/>
              <w:rPr>
                <w:sz w:val="20"/>
                <w:szCs w:val="20"/>
                <w:color w:val="auto"/>
              </w:rPr>
            </w:pPr>
            <w:r>
              <w:rPr>
                <w:rFonts w:ascii="Arial" w:cs="Arial" w:eastAsia="Arial" w:hAnsi="Arial"/>
                <w:sz w:val="18"/>
                <w:szCs w:val="18"/>
                <w:color w:val="auto"/>
                <w:w w:val="92"/>
              </w:rPr>
              <w:t>An amount equal to 3 times Your Basic</w:t>
            </w:r>
          </w:p>
        </w:tc>
      </w:tr>
      <w:tr>
        <w:trPr>
          <w:trHeight w:val="216"/>
        </w:trPr>
        <w:tc>
          <w:tcPr>
            <w:tcW w:w="3460" w:type="dxa"/>
            <w:vAlign w:val="bottom"/>
          </w:tcPr>
          <w:p>
            <w:pPr>
              <w:spacing w:after="0"/>
              <w:rPr>
                <w:sz w:val="18"/>
                <w:szCs w:val="18"/>
                <w:color w:val="auto"/>
              </w:rPr>
            </w:pPr>
          </w:p>
        </w:tc>
        <w:tc>
          <w:tcPr>
            <w:tcW w:w="3820" w:type="dxa"/>
            <w:vAlign w:val="bottom"/>
            <w:gridSpan w:val="2"/>
          </w:tcPr>
          <w:p>
            <w:pPr>
              <w:ind w:left="920"/>
              <w:spacing w:after="0"/>
              <w:rPr>
                <w:sz w:val="20"/>
                <w:szCs w:val="20"/>
                <w:color w:val="auto"/>
              </w:rPr>
            </w:pPr>
            <w:r>
              <w:rPr>
                <w:rFonts w:ascii="Arial" w:cs="Arial" w:eastAsia="Arial" w:hAnsi="Arial"/>
                <w:sz w:val="18"/>
                <w:szCs w:val="18"/>
                <w:color w:val="auto"/>
                <w:w w:val="96"/>
              </w:rPr>
              <w:t>Annual Earnings, rounded to the next</w:t>
            </w:r>
          </w:p>
        </w:tc>
      </w:tr>
      <w:tr>
        <w:trPr>
          <w:trHeight w:val="230"/>
        </w:trPr>
        <w:tc>
          <w:tcPr>
            <w:tcW w:w="3460" w:type="dxa"/>
            <w:vAlign w:val="bottom"/>
          </w:tcPr>
          <w:p>
            <w:pPr>
              <w:spacing w:after="0"/>
              <w:rPr>
                <w:sz w:val="20"/>
                <w:szCs w:val="20"/>
                <w:color w:val="auto"/>
              </w:rPr>
            </w:pPr>
          </w:p>
        </w:tc>
        <w:tc>
          <w:tcPr>
            <w:tcW w:w="2840" w:type="dxa"/>
            <w:vAlign w:val="bottom"/>
          </w:tcPr>
          <w:p>
            <w:pPr>
              <w:ind w:left="920"/>
              <w:spacing w:after="0"/>
              <w:rPr>
                <w:sz w:val="20"/>
                <w:szCs w:val="20"/>
                <w:color w:val="auto"/>
              </w:rPr>
            </w:pPr>
            <w:r>
              <w:rPr>
                <w:rFonts w:ascii="Arial" w:cs="Arial" w:eastAsia="Arial" w:hAnsi="Arial"/>
                <w:sz w:val="18"/>
                <w:szCs w:val="18"/>
                <w:color w:val="auto"/>
              </w:rPr>
              <w:t>higher $1,000</w:t>
            </w:r>
          </w:p>
        </w:tc>
        <w:tc>
          <w:tcPr>
            <w:tcW w:w="980" w:type="dxa"/>
            <w:vAlign w:val="bottom"/>
          </w:tcPr>
          <w:p>
            <w:pPr>
              <w:spacing w:after="0"/>
              <w:rPr>
                <w:sz w:val="20"/>
                <w:szCs w:val="20"/>
                <w:color w:val="auto"/>
              </w:rPr>
            </w:pPr>
          </w:p>
        </w:tc>
      </w:tr>
      <w:tr>
        <w:trPr>
          <w:trHeight w:val="486"/>
        </w:trPr>
        <w:tc>
          <w:tcPr>
            <w:tcW w:w="3460" w:type="dxa"/>
            <w:vAlign w:val="bottom"/>
          </w:tcPr>
          <w:p>
            <w:pPr>
              <w:spacing w:after="0"/>
              <w:rPr>
                <w:sz w:val="20"/>
                <w:szCs w:val="20"/>
                <w:color w:val="auto"/>
              </w:rPr>
            </w:pPr>
            <w:r>
              <w:rPr>
                <w:rFonts w:ascii="Arial" w:cs="Arial" w:eastAsia="Arial" w:hAnsi="Arial"/>
                <w:sz w:val="18"/>
                <w:szCs w:val="18"/>
                <w:color w:val="auto"/>
              </w:rPr>
              <w:t>Maximum Life Benefit</w:t>
            </w:r>
          </w:p>
        </w:tc>
        <w:tc>
          <w:tcPr>
            <w:tcW w:w="2840" w:type="dxa"/>
            <w:vAlign w:val="bottom"/>
          </w:tcPr>
          <w:p>
            <w:pPr>
              <w:ind w:left="9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2,000,000</w:t>
            </w:r>
          </w:p>
        </w:tc>
      </w:tr>
      <w:tr>
        <w:trPr>
          <w:trHeight w:val="337"/>
        </w:trPr>
        <w:tc>
          <w:tcPr>
            <w:tcW w:w="3460" w:type="dxa"/>
            <w:vAlign w:val="bottom"/>
          </w:tcPr>
          <w:p>
            <w:pPr>
              <w:spacing w:after="0"/>
              <w:rPr>
                <w:sz w:val="20"/>
                <w:szCs w:val="20"/>
                <w:color w:val="auto"/>
              </w:rPr>
            </w:pPr>
            <w:r>
              <w:rPr>
                <w:rFonts w:ascii="Arial" w:cs="Arial" w:eastAsia="Arial" w:hAnsi="Arial"/>
                <w:sz w:val="18"/>
                <w:szCs w:val="18"/>
                <w:color w:val="auto"/>
              </w:rPr>
              <w:t>Accelerated Benefit Option</w:t>
            </w:r>
          </w:p>
        </w:tc>
        <w:tc>
          <w:tcPr>
            <w:tcW w:w="3820" w:type="dxa"/>
            <w:vAlign w:val="bottom"/>
            <w:gridSpan w:val="2"/>
          </w:tcPr>
          <w:p>
            <w:pPr>
              <w:ind w:left="920"/>
              <w:spacing w:after="0"/>
              <w:rPr>
                <w:sz w:val="20"/>
                <w:szCs w:val="20"/>
                <w:color w:val="auto"/>
              </w:rPr>
            </w:pPr>
            <w:r>
              <w:rPr>
                <w:rFonts w:ascii="Arial" w:cs="Arial" w:eastAsia="Arial" w:hAnsi="Arial"/>
                <w:sz w:val="18"/>
                <w:szCs w:val="18"/>
                <w:color w:val="auto"/>
                <w:w w:val="97"/>
              </w:rPr>
              <w:t>Up to 80% of Your Basic Life amount</w:t>
            </w:r>
          </w:p>
        </w:tc>
      </w:tr>
      <w:tr>
        <w:trPr>
          <w:trHeight w:val="230"/>
        </w:trPr>
        <w:tc>
          <w:tcPr>
            <w:tcW w:w="3460" w:type="dxa"/>
            <w:vAlign w:val="bottom"/>
          </w:tcPr>
          <w:p>
            <w:pPr>
              <w:spacing w:after="0"/>
              <w:rPr>
                <w:sz w:val="20"/>
                <w:szCs w:val="20"/>
                <w:color w:val="auto"/>
              </w:rPr>
            </w:pPr>
          </w:p>
        </w:tc>
        <w:tc>
          <w:tcPr>
            <w:tcW w:w="2840" w:type="dxa"/>
            <w:vAlign w:val="bottom"/>
          </w:tcPr>
          <w:p>
            <w:pPr>
              <w:ind w:left="920"/>
              <w:spacing w:after="0"/>
              <w:rPr>
                <w:sz w:val="20"/>
                <w:szCs w:val="20"/>
                <w:color w:val="auto"/>
              </w:rPr>
            </w:pPr>
            <w:r>
              <w:rPr>
                <w:rFonts w:ascii="Arial" w:cs="Arial" w:eastAsia="Arial" w:hAnsi="Arial"/>
                <w:sz w:val="18"/>
                <w:szCs w:val="18"/>
                <w:color w:val="auto"/>
              </w:rPr>
              <w:t>not to exceed $500,000</w:t>
            </w:r>
          </w:p>
        </w:tc>
        <w:tc>
          <w:tcPr>
            <w:tcW w:w="9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sch</w:t>
      </w:r>
      <w:r>
        <w:rPr>
          <w:sz w:val="20"/>
          <w:szCs w:val="20"/>
          <w:color w:val="auto"/>
        </w:rPr>
        <w:tab/>
      </w:r>
      <w:r>
        <w:rPr>
          <w:rFonts w:ascii="Arial" w:cs="Arial" w:eastAsia="Arial" w:hAnsi="Arial"/>
          <w:sz w:val="16"/>
          <w:szCs w:val="16"/>
          <w:b w:val="1"/>
          <w:bCs w:val="1"/>
          <w:color w:val="auto"/>
        </w:rPr>
        <w:t>19</w:t>
      </w:r>
    </w:p>
    <w:p>
      <w:pPr>
        <w:sectPr>
          <w:pgSz w:w="11900" w:h="16838" w:orient="portrait"/>
          <w:cols w:equalWidth="0" w:num="1">
            <w:col w:w="10219"/>
          </w:cols>
          <w:pgMar w:left="240" w:top="126" w:right="1440"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b w:val="1"/>
          <w:bCs w:val="1"/>
          <w:color w:val="auto"/>
        </w:rPr>
        <w:t>DEFINITIONS</w:t>
      </w:r>
    </w:p>
    <w:p>
      <w:pPr>
        <w:spacing w:after="0" w:line="200" w:lineRule="exact"/>
        <w:rPr>
          <w:sz w:val="20"/>
          <w:szCs w:val="20"/>
          <w:color w:val="auto"/>
        </w:rPr>
      </w:pPr>
    </w:p>
    <w:p>
      <w:pPr>
        <w:spacing w:after="0" w:line="2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used in this certificate, the terms listed below will have the meanings set forth below. When defined terms are used in this certificate, they will appear with initial capitalization. The plural use of a term defined in the singular will share the same meaning.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Actively at Work or Active Work </w:t>
      </w:r>
      <w:r>
        <w:rPr>
          <w:rFonts w:ascii="Arial" w:cs="Arial" w:eastAsia="Arial" w:hAnsi="Arial"/>
          <w:sz w:val="16"/>
          <w:szCs w:val="16"/>
          <w:color w:val="auto"/>
        </w:rPr>
        <w:t>means that You are performing all of the usual and customary duties of Your job on a regular basis. This must be done at:</w:t>
      </w:r>
    </w:p>
    <w:p>
      <w:pPr>
        <w:spacing w:after="0" w:line="252"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Policyholder’s place of business;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alternate place approved by the Policyholder; 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place to which the Policyholder’s business requires You to travel.</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You will be deemed to be Actively at Work during weekends or Policyholder approved vacations, holidays or business closures if You were Actively at Work on the last scheduled work day preceding such time off.</w:t>
      </w:r>
    </w:p>
    <w:p>
      <w:pPr>
        <w:spacing w:after="0" w:line="166"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 xml:space="preserve">Basic Annual Earnings </w:t>
      </w:r>
      <w:r>
        <w:rPr>
          <w:rFonts w:ascii="Arial" w:cs="Arial" w:eastAsia="Arial" w:hAnsi="Arial"/>
          <w:sz w:val="16"/>
          <w:szCs w:val="16"/>
          <w:color w:val="auto"/>
        </w:rPr>
        <w:t>means Your gross annual rate of pay as determined by Your Policyholder, excluding overtime and other extra pay. "Basic Annual</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for You if You are a salesman includes commissions and/or bonuses which shall be averaged for the most recent 12 month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Beneficiary </w:t>
      </w:r>
      <w:r>
        <w:rPr>
          <w:rFonts w:ascii="Arial" w:cs="Arial" w:eastAsia="Arial" w:hAnsi="Arial"/>
          <w:sz w:val="18"/>
          <w:szCs w:val="18"/>
          <w:color w:val="auto"/>
        </w:rPr>
        <w:t>means the person(s) to whom We will pay insurance as determined in accordance with the GENERAL PROVISIONS section.</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Domestic Partner </w:t>
      </w:r>
      <w:r>
        <w:rPr>
          <w:rFonts w:ascii="Arial" w:cs="Arial" w:eastAsia="Arial" w:hAnsi="Arial"/>
          <w:sz w:val="18"/>
          <w:szCs w:val="18"/>
          <w:color w:val="auto"/>
        </w:rPr>
        <w:t>means each of two people who are of the same or opposite sex, one of whom is an employee of the Policyholder and who represent</w:t>
      </w:r>
      <w:r>
        <w:rPr>
          <w:rFonts w:ascii="Arial" w:cs="Arial" w:eastAsia="Arial" w:hAnsi="Arial"/>
          <w:sz w:val="18"/>
          <w:szCs w:val="18"/>
          <w:b w:val="1"/>
          <w:bCs w:val="1"/>
          <w:color w:val="auto"/>
        </w:rPr>
        <w:t xml:space="preserve"> </w:t>
      </w:r>
      <w:r>
        <w:rPr>
          <w:rFonts w:ascii="Arial" w:cs="Arial" w:eastAsia="Arial" w:hAnsi="Arial"/>
          <w:sz w:val="18"/>
          <w:szCs w:val="18"/>
          <w:color w:val="auto"/>
        </w:rPr>
        <w:t>themselves publicly as each other's domestic partner and have:</w:t>
      </w:r>
    </w:p>
    <w:p>
      <w:pPr>
        <w:spacing w:after="0" w:line="166"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registered as domestic partners or members of a civil union with a government agency or office where such registration is available; or</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submitted a domestic partner declaration to the Policyholder.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Domestic Partner declaration must be signed by both parties, and establish that:</w:t>
      </w:r>
    </w:p>
    <w:p>
      <w:pPr>
        <w:spacing w:after="0" w:line="225"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person is 18 years of age or older;</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neither person is married;</w:t>
      </w:r>
    </w:p>
    <w:p>
      <w:pPr>
        <w:spacing w:after="0" w:line="90"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neither person has had another Domestic Partner within 6 months prior to the enrollment date for insurance for the Domestic Partner under the Group Policy;</w:t>
      </w:r>
    </w:p>
    <w:p>
      <w:pPr>
        <w:spacing w:after="0" w:line="35" w:lineRule="exact"/>
        <w:rPr>
          <w:rFonts w:ascii="Arial" w:cs="Arial" w:eastAsia="Arial" w:hAnsi="Arial"/>
          <w:sz w:val="18"/>
          <w:szCs w:val="18"/>
          <w:color w:val="auto"/>
        </w:rPr>
      </w:pPr>
    </w:p>
    <w:p>
      <w:pPr>
        <w:ind w:left="340" w:hanging="332"/>
        <w:spacing w:after="0"/>
        <w:tabs>
          <w:tab w:leader="none" w:pos="3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they have shared the same residence for at least 6 months prior to the date they enroll for insurance for the Domestic Partner under the Group Policy;</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they are not related by blood in a manner that would bar their marriage in the jurisdiction in which they reside;</w:t>
      </w:r>
    </w:p>
    <w:p>
      <w:pPr>
        <w:spacing w:after="0" w:line="90" w:lineRule="exact"/>
        <w:rPr>
          <w:rFonts w:ascii="Arial" w:cs="Arial" w:eastAsia="Arial" w:hAnsi="Arial"/>
          <w:sz w:val="18"/>
          <w:szCs w:val="18"/>
          <w:color w:val="auto"/>
        </w:rPr>
      </w:pPr>
    </w:p>
    <w:p>
      <w:pPr>
        <w:ind w:left="340" w:right="20" w:hanging="332"/>
        <w:spacing w:after="0" w:line="264"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they have an exclusive mutual commitment to share the responsibility for each other’s welfare and financial obligations which commitment existed for at least 6 months prior to the date they enroll for insurance for the Domestic Partner under the Group Policy, and such commitment is expected to last indefinitely.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 or more of the following exist as evidence of joint responsibility for basic financial obligations:</w:t>
      </w:r>
    </w:p>
    <w:p>
      <w:pPr>
        <w:spacing w:after="0" w:line="225"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joint mortgage or lease;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designation of the Domestic Partner as beneficiary for life insurance or retirement benefits;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joint wills or designation of the Domestic Partner as executor and/or primary beneficiary;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designation of the Domestic Partner as durable power of attorney or health care proxy;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ownership of a joint bank account, joint credit cards or other evidence of joint financial responsibility; or</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other evidence of economic interdependence.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Noncontributory Insurance </w:t>
      </w:r>
      <w:r>
        <w:rPr>
          <w:rFonts w:ascii="Arial" w:cs="Arial" w:eastAsia="Arial" w:hAnsi="Arial"/>
          <w:sz w:val="18"/>
          <w:szCs w:val="18"/>
          <w:color w:val="auto"/>
        </w:rPr>
        <w:t>means insurance for which the Policyholder does not require You to pay any part of the premium.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Physician </w:t>
      </w:r>
      <w:r>
        <w:rPr>
          <w:rFonts w:ascii="Arial" w:cs="Arial" w:eastAsia="Arial" w:hAnsi="Arial"/>
          <w:sz w:val="18"/>
          <w:szCs w:val="18"/>
          <w:color w:val="auto"/>
        </w:rPr>
        <w:t>means:</w:t>
      </w:r>
    </w:p>
    <w:p>
      <w:pPr>
        <w:spacing w:after="0" w:line="229"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person licensed to practice medicine in the jurisdiction where such services are performed; or</w:t>
      </w:r>
    </w:p>
    <w:p>
      <w:pPr>
        <w:spacing w:after="0" w:line="200" w:lineRule="exact"/>
        <w:rPr>
          <w:sz w:val="20"/>
          <w:szCs w:val="20"/>
          <w:color w:val="auto"/>
        </w:rPr>
      </w:pPr>
    </w:p>
    <w:p>
      <w:pPr>
        <w:spacing w:after="0" w:line="34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GCERT2000</w:t>
        <w:tab/>
        <w:t>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 as amended by GCR07-9 dp</w:t>
      </w:r>
    </w:p>
    <w:p>
      <w:pPr>
        <w:sectPr>
          <w:pgSz w:w="11900" w:h="16838" w:orient="portrait"/>
          <w:cols w:equalWidth="0" w:num="1">
            <w:col w:w="11400"/>
          </w:cols>
          <w:pgMar w:left="240" w:top="125" w:right="25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b w:val="1"/>
          <w:bCs w:val="1"/>
          <w:color w:val="auto"/>
        </w:rPr>
        <w:t>DEFINITIONS (continued)</w:t>
      </w:r>
    </w:p>
    <w:p>
      <w:pPr>
        <w:spacing w:after="0" w:line="200" w:lineRule="exact"/>
        <w:rPr>
          <w:sz w:val="20"/>
          <w:szCs w:val="20"/>
          <w:color w:val="auto"/>
        </w:rPr>
      </w:pPr>
    </w:p>
    <w:p>
      <w:pPr>
        <w:spacing w:after="0" w:line="267" w:lineRule="exact"/>
        <w:rPr>
          <w:sz w:val="20"/>
          <w:szCs w:val="20"/>
          <w:color w:val="auto"/>
        </w:rPr>
      </w:pPr>
    </w:p>
    <w:p>
      <w:pPr>
        <w:ind w:left="340" w:right="40" w:hanging="332"/>
        <w:spacing w:after="0" w:line="264" w:lineRule="auto"/>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other person whose services, according to applicable law, must be treated as Physician’s services for purposes of the Group Policy. Each such person must be licensed in the jurisdiction where he performs the service and must act within the scope of that license. He must also be certified and/or registered if required by such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term does not include:</w:t>
      </w:r>
    </w:p>
    <w:p>
      <w:pPr>
        <w:spacing w:after="0" w:line="229"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You;</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Your Spouse or Domestic Partner; or</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member of Your immediate family including Your and/or Your Spouse’s or Domestic Partner's: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parents;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children (natural, step or adopted);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siblings;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grandparents;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grandchildren.</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Proof </w:t>
      </w:r>
      <w:r>
        <w:rPr>
          <w:rFonts w:ascii="Arial" w:cs="Arial" w:eastAsia="Arial" w:hAnsi="Arial"/>
          <w:sz w:val="18"/>
          <w:szCs w:val="18"/>
          <w:color w:val="auto"/>
        </w:rPr>
        <w:t>means Written evidence satisfactory to Us that a person has satisfied the conditions and requirements for any benefit described in this certificate. When</w:t>
      </w:r>
      <w:r>
        <w:rPr>
          <w:rFonts w:ascii="Arial" w:cs="Arial" w:eastAsia="Arial" w:hAnsi="Arial"/>
          <w:sz w:val="18"/>
          <w:szCs w:val="18"/>
          <w:b w:val="1"/>
          <w:bCs w:val="1"/>
          <w:color w:val="auto"/>
        </w:rPr>
        <w:t xml:space="preserve"> </w:t>
      </w:r>
      <w:r>
        <w:rPr>
          <w:rFonts w:ascii="Arial" w:cs="Arial" w:eastAsia="Arial" w:hAnsi="Arial"/>
          <w:sz w:val="18"/>
          <w:szCs w:val="18"/>
          <w:color w:val="auto"/>
        </w:rPr>
        <w:t>a claim is made for any benefit described in this certificate, Proof must establish:</w:t>
      </w:r>
    </w:p>
    <w:p>
      <w:pPr>
        <w:spacing w:after="0" w:line="166" w:lineRule="exact"/>
        <w:rPr>
          <w:sz w:val="20"/>
          <w:szCs w:val="20"/>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nature and extent of the loss or condition;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Our obligation to pay the claim; and</w:t>
      </w:r>
    </w:p>
    <w:p>
      <w:pPr>
        <w:spacing w:after="0" w:line="90" w:lineRule="exact"/>
        <w:rPr>
          <w:rFonts w:ascii="Arial" w:cs="Arial" w:eastAsia="Arial" w:hAnsi="Arial"/>
          <w:sz w:val="18"/>
          <w:szCs w:val="18"/>
          <w:color w:val="auto"/>
        </w:rPr>
      </w:pPr>
    </w:p>
    <w:p>
      <w:pPr>
        <w:ind w:right="7800" w:firstLine="8"/>
        <w:spacing w:after="0" w:line="448" w:lineRule="auto"/>
        <w:tabs>
          <w:tab w:leader="none" w:pos="32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claimant’s right to receive payment. Proof must be provided at the claimant's expense.</w:t>
      </w:r>
    </w:p>
    <w:p>
      <w:pPr>
        <w:spacing w:after="0" w:line="3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means any symbol or method executed or adopted by a person with the present intention to authenticate a record, which is on or transmitted by paper</w:t>
      </w:r>
      <w:r>
        <w:rPr>
          <w:rFonts w:ascii="Arial" w:cs="Arial" w:eastAsia="Arial" w:hAnsi="Arial"/>
          <w:sz w:val="18"/>
          <w:szCs w:val="18"/>
          <w:b w:val="1"/>
          <w:bCs w:val="1"/>
          <w:color w:val="auto"/>
        </w:rPr>
        <w:t xml:space="preserve"> </w:t>
      </w:r>
      <w:r>
        <w:rPr>
          <w:rFonts w:ascii="Arial" w:cs="Arial" w:eastAsia="Arial" w:hAnsi="Arial"/>
          <w:sz w:val="18"/>
          <w:szCs w:val="18"/>
          <w:color w:val="auto"/>
        </w:rPr>
        <w:t>or electronic media which is acceptable to Us and consistent with applicable law.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Spouse </w:t>
      </w:r>
      <w:r>
        <w:rPr>
          <w:rFonts w:ascii="Arial" w:cs="Arial" w:eastAsia="Arial" w:hAnsi="Arial"/>
          <w:sz w:val="18"/>
          <w:szCs w:val="18"/>
          <w:color w:val="auto"/>
        </w:rPr>
        <w:t>means Your lawful spouse.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w:t>
      </w:r>
      <w:r>
        <w:rPr>
          <w:rFonts w:ascii="Arial" w:cs="Arial" w:eastAsia="Arial" w:hAnsi="Arial"/>
          <w:sz w:val="18"/>
          <w:szCs w:val="18"/>
          <w:color w:val="auto"/>
        </w:rPr>
        <w:t>,</w:t>
      </w:r>
      <w:r>
        <w:rPr>
          <w:rFonts w:ascii="Arial" w:cs="Arial" w:eastAsia="Arial" w:hAnsi="Arial"/>
          <w:sz w:val="18"/>
          <w:szCs w:val="18"/>
          <w:b w:val="1"/>
          <w:bCs w:val="1"/>
          <w:color w:val="auto"/>
        </w:rPr>
        <w:t xml:space="preserve"> Us </w:t>
      </w:r>
      <w:r>
        <w:rPr>
          <w:rFonts w:ascii="Arial" w:cs="Arial" w:eastAsia="Arial" w:hAnsi="Arial"/>
          <w:sz w:val="18"/>
          <w:szCs w:val="18"/>
          <w:color w:val="auto"/>
        </w:rPr>
        <w:t>and</w:t>
      </w:r>
      <w:r>
        <w:rPr>
          <w:rFonts w:ascii="Arial" w:cs="Arial" w:eastAsia="Arial" w:hAnsi="Arial"/>
          <w:sz w:val="18"/>
          <w:szCs w:val="18"/>
          <w:b w:val="1"/>
          <w:bCs w:val="1"/>
          <w:color w:val="auto"/>
        </w:rPr>
        <w:t xml:space="preserve"> Our </w:t>
      </w:r>
      <w:r>
        <w:rPr>
          <w:rFonts w:ascii="Arial" w:cs="Arial" w:eastAsia="Arial" w:hAnsi="Arial"/>
          <w:sz w:val="18"/>
          <w:szCs w:val="18"/>
          <w:color w:val="auto"/>
        </w:rPr>
        <w:t>mean MetLife.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Written </w:t>
      </w:r>
      <w:r>
        <w:rPr>
          <w:rFonts w:ascii="Arial" w:cs="Arial" w:eastAsia="Arial" w:hAnsi="Arial"/>
          <w:sz w:val="16"/>
          <w:szCs w:val="16"/>
          <w:color w:val="auto"/>
        </w:rPr>
        <w:t>or</w:t>
      </w:r>
      <w:r>
        <w:rPr>
          <w:rFonts w:ascii="Arial" w:cs="Arial" w:eastAsia="Arial" w:hAnsi="Arial"/>
          <w:sz w:val="16"/>
          <w:szCs w:val="16"/>
          <w:b w:val="1"/>
          <w:bCs w:val="1"/>
          <w:color w:val="auto"/>
        </w:rPr>
        <w:t xml:space="preserve"> Writing </w:t>
      </w:r>
      <w:r>
        <w:rPr>
          <w:rFonts w:ascii="Arial" w:cs="Arial" w:eastAsia="Arial" w:hAnsi="Arial"/>
          <w:sz w:val="16"/>
          <w:szCs w:val="16"/>
          <w:color w:val="auto"/>
        </w:rPr>
        <w:t>means a record which is on or transmitted by paper or electronic media which is acceptable to Us and consistent with applicable law.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You </w:t>
      </w:r>
      <w:r>
        <w:rPr>
          <w:rFonts w:ascii="Arial" w:cs="Arial" w:eastAsia="Arial" w:hAnsi="Arial"/>
          <w:sz w:val="18"/>
          <w:szCs w:val="18"/>
          <w:color w:val="auto"/>
        </w:rPr>
        <w:t>and</w:t>
      </w:r>
      <w:r>
        <w:rPr>
          <w:rFonts w:ascii="Arial" w:cs="Arial" w:eastAsia="Arial" w:hAnsi="Arial"/>
          <w:sz w:val="18"/>
          <w:szCs w:val="18"/>
          <w:b w:val="1"/>
          <w:bCs w:val="1"/>
          <w:color w:val="auto"/>
        </w:rPr>
        <w:t xml:space="preserve"> Your </w:t>
      </w:r>
      <w:r>
        <w:rPr>
          <w:rFonts w:ascii="Arial" w:cs="Arial" w:eastAsia="Arial" w:hAnsi="Arial"/>
          <w:sz w:val="18"/>
          <w:szCs w:val="18"/>
          <w:color w:val="auto"/>
        </w:rPr>
        <w:t>mean an employee who is insured under the Group Policy for the insurance described in this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GCERT2000</w:t>
      </w:r>
      <w:r>
        <w:rPr>
          <w:sz w:val="20"/>
          <w:szCs w:val="20"/>
          <w:color w:val="auto"/>
        </w:rPr>
        <w:tab/>
      </w:r>
      <w:r>
        <w:rPr>
          <w:rFonts w:ascii="Arial" w:cs="Arial" w:eastAsia="Arial" w:hAnsi="Arial"/>
          <w:sz w:val="16"/>
          <w:szCs w:val="16"/>
          <w:b w:val="1"/>
          <w:bCs w:val="1"/>
          <w:color w:val="auto"/>
        </w:rPr>
        <w:t>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 as amended by GCR07-9 dp</w:t>
      </w:r>
    </w:p>
    <w:p>
      <w:pPr>
        <w:sectPr>
          <w:pgSz w:w="11900" w:h="16838" w:orient="portrait"/>
          <w:cols w:equalWidth="0" w:num="1">
            <w:col w:w="11380"/>
          </w:cols>
          <w:pgMar w:left="240" w:top="120" w:right="27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b w:val="1"/>
          <w:bCs w:val="1"/>
          <w:color w:val="auto"/>
        </w:rPr>
        <w:t>ELIGIBILITY PROVISIONS: INSURANCE FOR YOU</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CLASS(ES)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employees of the Policyholder participating in one of the following executive classes: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 Chief Executive Officer (CEO).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 Elected Officers, direct reports to CEO.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 Elected Officers, non-direct reports to CEO.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IV – all other Vice Presidents of NGC.</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YOU ARE ELIGIBLE FOR INSURANCE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may only become eligible for the insurance available for Your eligible class as shown in the SCHEDULE OF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are in an eligible class on July 1, 2013, You will be eligible for the insurance described in this certificate on that date.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If You enter an eligible class after July 1, 2013, You will be eligible for the insurance described in this certificate on the date You enter that class.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 Employment With The Policyholder</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If You were employed by the Policyholder and insured by Us under a policy of group life insurance when Your employment ended, You will not be eligible for life insurance under this Group Policy if You are re-hired by the Policyholder within 2 years after such employment ended, unless You surrender:</w:t>
      </w:r>
    </w:p>
    <w:p>
      <w:pPr>
        <w:spacing w:after="0" w:line="124"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individual policy of life insurance to which You converted when Your employment ended;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certificate of insurance continued as ported insurance when such employment 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cash value, if any, of such surrendered insurance will be paid to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ENROLLMENT PROCESS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You are eligible for insurance, You may enroll for such insurance by completing an enrollment form.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YOUR INSURANCE TAKES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Rules for Noncontributory Insurance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When You complete the enrollment process for Noncontributory Insurance, such insurance will take effect on the date You become eligible, provided You are Actively at Work on that date.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You are not Actively at Work on the date the Noncontributory Insurance would otherwise take effect, insurance will take effect on the day You resume Active Work.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GCERT2000</w:t>
        <w:tab/>
        <w:t>22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e/ee</w:t>
      </w:r>
    </w:p>
    <w:p>
      <w:pPr>
        <w:sectPr>
          <w:pgSz w:w="11900" w:h="16838" w:orient="portrait"/>
          <w:cols w:equalWidth="0" w:num="1">
            <w:col w:w="11360"/>
          </w:cols>
          <w:pgMar w:left="240" w:top="121" w:right="29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b w:val="1"/>
          <w:bCs w:val="1"/>
          <w:color w:val="auto"/>
        </w:rPr>
        <w:t>ELIGIBILITY PROVISIONS: INSURANCE FOR YOU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in Insurance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insurance due to an increase in Your earnings will take effect on the date of change.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If You are not Actively at Work on the date insurance would otherwise take effect, insurance will take effect on the day You resume Active Work.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Decrease in Insurance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decrease in insurance due to a decrease in Your earnings will take effect on the date of change.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YOUR INSURANCE 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Your insurance will end on the earliest of:</w:t>
      </w:r>
    </w:p>
    <w:p>
      <w:pPr>
        <w:spacing w:after="0" w:line="225" w:lineRule="exact"/>
        <w:rPr>
          <w:sz w:val="20"/>
          <w:szCs w:val="20"/>
          <w:color w:val="auto"/>
        </w:rPr>
      </w:pPr>
    </w:p>
    <w:p>
      <w:pPr>
        <w:ind w:left="320" w:hanging="312"/>
        <w:spacing w:after="0"/>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date the Group Policy ends; or</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date insurance ends for Your class; or</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end of the period for which the last premium has been paid for You; or</w:t>
      </w:r>
    </w:p>
    <w:p>
      <w:pPr>
        <w:spacing w:after="0" w:line="9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date Your employment ends; Your employment will end if You cease to be Actively at Work in any eligible class, except as stated in the section entitled CONTINUATION OF INSURANCE WITH PREMIUM PAYMENT.</w:t>
      </w:r>
    </w:p>
    <w:p>
      <w:pPr>
        <w:spacing w:after="0" w:line="35"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date You retire in accordance with the Policyholder’s retirement plan.</w:t>
      </w:r>
    </w:p>
    <w:p>
      <w:pPr>
        <w:spacing w:after="0" w:line="30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Please refer to the section entitled LIFE INSURANCE: CONVERSION OPTION FOR YOU for information concerning the option to convert to an individual policy of life insurance if Your Life Insurance ends.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certain cases insurance may be continued as stated in the section entitled CONTINUATION OF INSURANCE WITH PREMIUM PAYMENT.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GCERT2000</w:t>
        <w:tab/>
        <w:t>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e/ee</w:t>
      </w:r>
    </w:p>
    <w:p>
      <w:pPr>
        <w:sectPr>
          <w:pgSz w:w="11900" w:h="16838" w:orient="portrait"/>
          <w:cols w:equalWidth="0" w:num="1">
            <w:col w:w="10940"/>
          </w:cols>
          <w:pgMar w:left="240" w:top="121" w:right="71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b w:val="1"/>
          <w:bCs w:val="1"/>
          <w:color w:val="auto"/>
        </w:rPr>
        <w:t>CONTINUATION OF INSURANCE WITH PREMIUM PAYMENT (For MN Residents see Minnesota Notice Page)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FAMILY AND MEDICAL LEAVE</w:t>
      </w:r>
    </w:p>
    <w:p>
      <w:pPr>
        <w:spacing w:after="0" w:line="31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Certain leaves of absence may qualify for continuation of insurance under the Family and Medical Leave Act of 1993 (FMLA), or other legally mandated leave of absence or similar laws. Please contact the Policyholder for information regarding such legally mandated leave of absence laws.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YOUR OPTION: CONTINUATION OF YOUR LIFE INSURANCE DURING A LABOR DISPUTE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may elect to continue Life Insurance for You, if You cease to be Actively at Work as the result of a labor dispute. Such insurance will continue for up to 6 months if the following conditions are met:</w:t>
      </w:r>
    </w:p>
    <w:p>
      <w:pPr>
        <w:spacing w:after="0" w:line="170" w:lineRule="exact"/>
        <w:rPr>
          <w:sz w:val="20"/>
          <w:szCs w:val="20"/>
          <w:color w:val="auto"/>
        </w:rPr>
      </w:pPr>
    </w:p>
    <w:p>
      <w:pPr>
        <w:ind w:left="340" w:hanging="332"/>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at least 75% of the employees eligible to continue insurance elect to continue this insurance for such time period;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You pay the required premium for such 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continued, Life Insurance for You, will end if:</w:t>
      </w:r>
    </w:p>
    <w:p>
      <w:pPr>
        <w:spacing w:after="0" w:line="225" w:lineRule="exact"/>
        <w:rPr>
          <w:sz w:val="20"/>
          <w:szCs w:val="20"/>
          <w:color w:val="auto"/>
        </w:rPr>
      </w:pPr>
    </w:p>
    <w:p>
      <w:pPr>
        <w:ind w:left="340" w:hanging="332"/>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premium payment is required and You fail to pay premiums for such insurance;</w:t>
      </w:r>
    </w:p>
    <w:p>
      <w:pPr>
        <w:spacing w:after="0" w:line="90"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number of employees who elect to continue such insurance falls below 75% of all employees eligible to continue this insurance for such time period; or</w:t>
      </w:r>
    </w:p>
    <w:p>
      <w:pPr>
        <w:spacing w:after="0" w:line="35"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You cease to be eligible to continue Life Insurance for You, under this section and You do not immediately resume Active Work in a class that is eligible for such insurance.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THE POLICYHOLDER’S OPTION</w:t>
      </w:r>
    </w:p>
    <w:p>
      <w:pPr>
        <w:spacing w:after="0" w:line="2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Policyholder has elected to continue insurance by paying premiums for employees who cease Active Work in an eligible class for any of the reasons specified below.</w:t>
      </w:r>
    </w:p>
    <w:p>
      <w:pPr>
        <w:spacing w:after="0" w:line="170" w:lineRule="exact"/>
        <w:rPr>
          <w:sz w:val="20"/>
          <w:szCs w:val="20"/>
          <w:color w:val="auto"/>
        </w:rPr>
      </w:pPr>
    </w:p>
    <w:p>
      <w:pPr>
        <w:ind w:left="340" w:hanging="332"/>
        <w:spacing w:after="0"/>
        <w:tabs>
          <w:tab w:leader="none" w:pos="3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You cease Active Work due to injury or sickness, up to 24 months;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if You cease Active Work due to part-time work, for a period in accordance with the Policyholder's general practice for an employee in Your job class;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if You cease Active Work due to strike, for a period in accordance with the Policyholder's general practice for an employee in Your job class;</w:t>
      </w:r>
    </w:p>
    <w:p>
      <w:pPr>
        <w:spacing w:after="0" w:line="101" w:lineRule="exact"/>
        <w:rPr>
          <w:rFonts w:ascii="Arial" w:cs="Arial" w:eastAsia="Arial" w:hAnsi="Arial"/>
          <w:sz w:val="17"/>
          <w:szCs w:val="17"/>
          <w:color w:val="auto"/>
        </w:rPr>
      </w:pPr>
    </w:p>
    <w:p>
      <w:pPr>
        <w:ind w:left="340" w:right="360" w:hanging="332"/>
        <w:spacing w:after="0" w:line="277" w:lineRule="auto"/>
        <w:tabs>
          <w:tab w:leader="none" w:pos="3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You cease Active Work due to any other Policyholder approved leave of absence, up to 1 month following the end of the month in which the leave began.</w:t>
      </w:r>
    </w:p>
    <w:p>
      <w:pPr>
        <w:spacing w:after="0" w:line="25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Policyholder's general practice for employees in a job class determines which employees with the above types of absences are to be considered as still insured and for how long among persons in like situations.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the end of any of the continuation periods listed above, Your insurance will be affected as follows:</w:t>
      </w:r>
    </w:p>
    <w:p>
      <w:pPr>
        <w:spacing w:after="0" w:line="225" w:lineRule="exact"/>
        <w:rPr>
          <w:sz w:val="20"/>
          <w:szCs w:val="20"/>
          <w:color w:val="auto"/>
        </w:rPr>
      </w:pPr>
    </w:p>
    <w:p>
      <w:pPr>
        <w:ind w:left="340" w:hanging="332"/>
        <w:spacing w:after="0"/>
        <w:tabs>
          <w:tab w:leader="none" w:pos="3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You resume Active Work in an eligible class at this time, You will continue to be insured under the Group Policy;</w:t>
      </w:r>
    </w:p>
    <w:p>
      <w:pPr>
        <w:spacing w:after="0" w:line="90"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if You do not resume Active Work in an eligible class at this time, Your employment will be considered to end and Your insurance will end in accordance with the DATE YOUR INSURANCE ENDS subsection of the section entitled ELIGIBILITY PROVISIONS: INSURANCE FOR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GCERT2000</w:t>
      </w:r>
      <w:r>
        <w:rPr>
          <w:sz w:val="20"/>
          <w:szCs w:val="20"/>
          <w:color w:val="auto"/>
        </w:rPr>
        <w:tab/>
      </w:r>
      <w:r>
        <w:rPr>
          <w:rFonts w:ascii="Arial" w:cs="Arial" w:eastAsia="Arial" w:hAnsi="Arial"/>
          <w:sz w:val="16"/>
          <w:szCs w:val="16"/>
          <w:b w:val="1"/>
          <w:bCs w:val="1"/>
          <w:color w:val="auto"/>
        </w:rPr>
        <w:t>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coi-eport</w:t>
      </w:r>
    </w:p>
    <w:p>
      <w:pPr>
        <w:sectPr>
          <w:pgSz w:w="11900" w:h="16838" w:orient="portrait"/>
          <w:cols w:equalWidth="0" w:num="1">
            <w:col w:w="11400"/>
          </w:cols>
          <w:pgMar w:left="240" w:top="120" w:right="25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b w:val="1"/>
          <w:bCs w:val="1"/>
          <w:color w:val="auto"/>
        </w:rPr>
        <w:t>EVIDENCE OF INSURABILITY</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No evidence of insurability is required for the insurance described in this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eoi</w:t>
      </w:r>
      <w:r>
        <w:rPr>
          <w:sz w:val="20"/>
          <w:szCs w:val="20"/>
          <w:color w:val="auto"/>
        </w:rPr>
        <w:tab/>
      </w:r>
      <w:r>
        <w:rPr>
          <w:rFonts w:ascii="Arial" w:cs="Arial" w:eastAsia="Arial" w:hAnsi="Arial"/>
          <w:sz w:val="16"/>
          <w:szCs w:val="16"/>
          <w:b w:val="1"/>
          <w:bCs w:val="1"/>
          <w:color w:val="auto"/>
        </w:rPr>
        <w:t>25</w:t>
      </w:r>
    </w:p>
    <w:p>
      <w:pPr>
        <w:sectPr>
          <w:pgSz w:w="11900" w:h="16838" w:orient="portrait"/>
          <w:cols w:equalWidth="0" w:num="1">
            <w:col w:w="10219"/>
          </w:cols>
          <w:pgMar w:left="240" w:top="121" w:right="1440"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b w:val="1"/>
          <w:bCs w:val="1"/>
          <w:color w:val="auto"/>
        </w:rPr>
        <w:t>LIFE INSURANCE: FOR YOU</w:t>
      </w:r>
    </w:p>
    <w:p>
      <w:pPr>
        <w:spacing w:after="0" w:line="200" w:lineRule="exact"/>
        <w:rPr>
          <w:sz w:val="20"/>
          <w:szCs w:val="20"/>
          <w:color w:val="auto"/>
        </w:rPr>
      </w:pPr>
    </w:p>
    <w:p>
      <w:pPr>
        <w:spacing w:after="0" w:line="3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die, Proof of Your death must be sent to Us. When We receive such Proof with the claim, We will review the claim and, if We approve it, will pay the Beneficiary the Life Insurance in effect on the date of Your death.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OPTIONS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will pay the Life Insurance in one sum. Other modes of payment may be available upon request. For details, call Our toll free number shown on the Certificate Face Page.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l/ee</w:t>
      </w:r>
      <w:r>
        <w:rPr>
          <w:sz w:val="20"/>
          <w:szCs w:val="20"/>
          <w:color w:val="auto"/>
        </w:rPr>
        <w:tab/>
      </w:r>
      <w:r>
        <w:rPr>
          <w:rFonts w:ascii="Arial" w:cs="Arial" w:eastAsia="Arial" w:hAnsi="Arial"/>
          <w:sz w:val="16"/>
          <w:szCs w:val="16"/>
          <w:b w:val="1"/>
          <w:bCs w:val="1"/>
          <w:color w:val="auto"/>
        </w:rPr>
        <w:t>26</w:t>
      </w:r>
    </w:p>
    <w:p>
      <w:pPr>
        <w:sectPr>
          <w:pgSz w:w="11900" w:h="16838" w:orient="portrait"/>
          <w:cols w:equalWidth="0" w:num="1">
            <w:col w:w="11280"/>
          </w:cols>
          <w:pgMar w:left="240" w:top="120" w:right="37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b w:val="1"/>
          <w:bCs w:val="1"/>
          <w:color w:val="auto"/>
        </w:rPr>
        <w:t>LIFE INSURANCE: ACCELERATED BENEFIT OPTION (ABO) FOR YOU</w:t>
      </w:r>
    </w:p>
    <w:p>
      <w:pPr>
        <w:spacing w:after="0" w:line="200" w:lineRule="exact"/>
        <w:rPr>
          <w:sz w:val="20"/>
          <w:szCs w:val="20"/>
          <w:color w:val="auto"/>
        </w:rPr>
      </w:pPr>
    </w:p>
    <w:p>
      <w:pPr>
        <w:spacing w:after="0" w:line="348" w:lineRule="exact"/>
        <w:rPr>
          <w:sz w:val="20"/>
          <w:szCs w:val="20"/>
          <w:color w:val="auto"/>
        </w:rPr>
      </w:pPr>
    </w:p>
    <w:p>
      <w:pPr>
        <w:ind w:right="100"/>
        <w:spacing w:after="0" w:line="324" w:lineRule="auto"/>
        <w:rPr>
          <w:sz w:val="20"/>
          <w:szCs w:val="20"/>
          <w:color w:val="auto"/>
        </w:rPr>
      </w:pPr>
      <w:r>
        <w:rPr>
          <w:rFonts w:ascii="Arial" w:cs="Arial" w:eastAsia="Arial" w:hAnsi="Arial"/>
          <w:sz w:val="18"/>
          <w:szCs w:val="18"/>
          <w:color w:val="auto"/>
        </w:rPr>
        <w:t>For purposes of this section, the term “ABO Eligible Life Insurance” refers to each of Your Life Insurance benefits for which the Accelerated Benefit Option is shown as available in the SCHEDULE OF BENEFITS.</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You become Terminally Ill, You or Your legal representative have the option to request Us to pay ABO Eligible Life Insurance before Your death. This is called an accelerated benefit. The request must be made while ABO Eligible Life Insurance is in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Terminally Ill or Terminal Illness </w:t>
      </w:r>
      <w:r>
        <w:rPr>
          <w:rFonts w:ascii="Arial" w:cs="Arial" w:eastAsia="Arial" w:hAnsi="Arial"/>
          <w:sz w:val="18"/>
          <w:szCs w:val="18"/>
          <w:color w:val="auto"/>
        </w:rPr>
        <w:t>means that due to injury or sickness, You are expected to die within 6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Payment of an Accelerated Benefit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conditions and requirements of this section, We will pay an accelerated benefit to You or Your legal representative if:</w:t>
      </w:r>
    </w:p>
    <w:p>
      <w:pPr>
        <w:spacing w:after="0" w:line="225"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amount of each ABO Eligible Life Insurance benefit to be accelerated equals or exceeds $10,000;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ABO Eligible Life Insurance to be accelerated has not been assigned;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We have received Proof that You are Terminally 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only pay an accelerated benefit for each ABO Eligible Life Insurance benefit once.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Proof of Your Terminal Illness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require the following Proof of Your Terminal Illness:</w:t>
      </w:r>
    </w:p>
    <w:p>
      <w:pPr>
        <w:spacing w:after="0" w:line="225"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completed accelerated benefit claim form;</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signed Physician’s certification that You are Terminally Ill;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 examination by a Physician of Our choice, at Our expense, if We request 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 or Your legal representative should contact the Policyholder to obtain a claim form and information regarding the accelerated benefit.</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Upon Our receipt of Your request to accelerate benefits, We will send You a letter with information about the accelerated benefit payment You requested. Our letter will describe the amount of the accelerated benefits We will pay and the amount of Life Insurance remaining after the accelerated benefit is paid.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Accelerated Benefit Amount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will pay an accelerated benefit up to the percentage shown in the SCHEDULE OF BENEFITS for each ABO Eligible Life Insurance benefit in effect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subject to the following:</w:t>
      </w:r>
    </w:p>
    <w:p>
      <w:pPr>
        <w:spacing w:after="0" w:line="207"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b w:val="1"/>
          <w:bCs w:val="1"/>
          <w:color w:val="auto"/>
        </w:rPr>
        <w:t xml:space="preserve">Maximum Accelerated Benefit Amount. </w:t>
      </w:r>
      <w:r>
        <w:rPr>
          <w:rFonts w:ascii="Arial" w:cs="Arial" w:eastAsia="Arial" w:hAnsi="Arial"/>
          <w:sz w:val="18"/>
          <w:szCs w:val="18"/>
          <w:color w:val="auto"/>
        </w:rPr>
        <w:t>The maximum amount We will pay for each ABO Eligible Life Insurance benefit is shown in the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OF BENEFITS.</w:t>
      </w:r>
    </w:p>
    <w:p>
      <w:pPr>
        <w:spacing w:after="0" w:line="162" w:lineRule="exact"/>
        <w:rPr>
          <w:sz w:val="20"/>
          <w:szCs w:val="20"/>
          <w:color w:val="auto"/>
        </w:rPr>
      </w:pPr>
    </w:p>
    <w:p>
      <w:pPr>
        <w:ind w:left="340" w:right="40"/>
        <w:spacing w:after="0" w:line="266" w:lineRule="auto"/>
        <w:rPr>
          <w:sz w:val="20"/>
          <w:szCs w:val="20"/>
          <w:color w:val="auto"/>
        </w:rPr>
      </w:pPr>
      <w:r>
        <w:rPr>
          <w:rFonts w:ascii="Arial" w:cs="Arial" w:eastAsia="Arial" w:hAnsi="Arial"/>
          <w:sz w:val="18"/>
          <w:szCs w:val="18"/>
          <w:b w:val="1"/>
          <w:bCs w:val="1"/>
          <w:color w:val="auto"/>
        </w:rPr>
        <w:t xml:space="preserve">Scheduled Reduction of an ABO Eligible Life Insurance Benefit. </w:t>
      </w:r>
      <w:r>
        <w:rPr>
          <w:rFonts w:ascii="Arial" w:cs="Arial" w:eastAsia="Arial" w:hAnsi="Arial"/>
          <w:sz w:val="18"/>
          <w:szCs w:val="18"/>
          <w:color w:val="auto"/>
        </w:rPr>
        <w:t>If an ABO Eligible Life Insurance benefit is scheduled to reduce within the 6 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after the date You or Your legal representative request an accelerated benefit, We will calculate the accelerated benefit using the amount of such ABO Eligible Life Insurance that will be in effect immediately after the reduction(s) scheduled for such period.</w:t>
      </w:r>
    </w:p>
    <w:p>
      <w:pPr>
        <w:spacing w:after="0" w:line="176" w:lineRule="exact"/>
        <w:rPr>
          <w:sz w:val="20"/>
          <w:szCs w:val="20"/>
          <w:color w:val="auto"/>
        </w:rPr>
      </w:pPr>
    </w:p>
    <w:p>
      <w:pPr>
        <w:ind w:left="340" w:right="40"/>
        <w:spacing w:after="0" w:line="347" w:lineRule="auto"/>
        <w:rPr>
          <w:sz w:val="20"/>
          <w:szCs w:val="20"/>
          <w:color w:val="auto"/>
        </w:rPr>
      </w:pPr>
      <w:r>
        <w:rPr>
          <w:rFonts w:ascii="Arial" w:cs="Arial" w:eastAsia="Arial" w:hAnsi="Arial"/>
          <w:sz w:val="16"/>
          <w:szCs w:val="16"/>
          <w:b w:val="1"/>
          <w:bCs w:val="1"/>
          <w:color w:val="auto"/>
        </w:rPr>
        <w:t xml:space="preserve">Scheduled End of an ABO Eligible Life Insurance Benefit. </w:t>
      </w:r>
      <w:r>
        <w:rPr>
          <w:rFonts w:ascii="Arial" w:cs="Arial" w:eastAsia="Arial" w:hAnsi="Arial"/>
          <w:sz w:val="16"/>
          <w:szCs w:val="16"/>
          <w:color w:val="auto"/>
        </w:rPr>
        <w:t>If an ABO Eligible Life Insurance benefit is scheduled to end within 6 months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You or Your legal representative request an accelerated benefit, We will not pay an accelerated benefit for such ABO Eligible Life Insurance benefit.</w:t>
      </w:r>
    </w:p>
    <w:p>
      <w:pPr>
        <w:spacing w:after="0" w:line="116" w:lineRule="exact"/>
        <w:rPr>
          <w:sz w:val="20"/>
          <w:szCs w:val="20"/>
          <w:color w:val="auto"/>
        </w:rPr>
      </w:pPr>
    </w:p>
    <w:p>
      <w:pPr>
        <w:ind w:left="340" w:right="660"/>
        <w:spacing w:after="0" w:line="313" w:lineRule="auto"/>
        <w:rPr>
          <w:sz w:val="20"/>
          <w:szCs w:val="20"/>
          <w:color w:val="auto"/>
        </w:rPr>
      </w:pPr>
      <w:r>
        <w:rPr>
          <w:rFonts w:ascii="Arial" w:cs="Arial" w:eastAsia="Arial" w:hAnsi="Arial"/>
          <w:sz w:val="17"/>
          <w:szCs w:val="17"/>
          <w:b w:val="1"/>
          <w:bCs w:val="1"/>
          <w:color w:val="auto"/>
        </w:rPr>
        <w:t xml:space="preserve">Previous Conversion of an ABO Eligible Life Insurance Benefit. </w:t>
      </w:r>
      <w:r>
        <w:rPr>
          <w:rFonts w:ascii="Arial" w:cs="Arial" w:eastAsia="Arial" w:hAnsi="Arial"/>
          <w:sz w:val="17"/>
          <w:szCs w:val="17"/>
          <w:color w:val="auto"/>
        </w:rPr>
        <w:t>We will not pay an accelerated benefit for any amount of ABO Eligible Life</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which You previously converted under the section entitled LIFE INSURANCE: CONVERSION OPTION FOR YOU.</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will pay the accelerated benefit in one sum unless You or Your legal representative select another payment mode.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abo/ee</w:t>
      </w:r>
      <w:r>
        <w:rPr>
          <w:sz w:val="20"/>
          <w:szCs w:val="20"/>
          <w:color w:val="auto"/>
        </w:rPr>
        <w:tab/>
      </w:r>
      <w:r>
        <w:rPr>
          <w:rFonts w:ascii="Arial" w:cs="Arial" w:eastAsia="Arial" w:hAnsi="Arial"/>
          <w:sz w:val="16"/>
          <w:szCs w:val="16"/>
          <w:b w:val="1"/>
          <w:bCs w:val="1"/>
          <w:color w:val="auto"/>
        </w:rPr>
        <w:t>27</w:t>
      </w:r>
    </w:p>
    <w:p>
      <w:pPr>
        <w:sectPr>
          <w:pgSz w:w="11900" w:h="16838" w:orient="portrait"/>
          <w:cols w:equalWidth="0" w:num="1">
            <w:col w:w="11420"/>
          </w:cols>
          <w:pgMar w:left="240" w:top="121" w:right="2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b w:val="1"/>
          <w:bCs w:val="1"/>
          <w:color w:val="auto"/>
        </w:rPr>
        <w:t>LIFE INSURANCE: ACCELERATED BENEFIT OPTION (ABO) FOR YOU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Payment of an Accelerated Benefit</w:t>
      </w:r>
    </w:p>
    <w:p>
      <w:pPr>
        <w:spacing w:after="0" w:line="225" w:lineRule="exact"/>
        <w:rPr>
          <w:sz w:val="20"/>
          <w:szCs w:val="20"/>
          <w:color w:val="auto"/>
        </w:rPr>
      </w:pPr>
    </w:p>
    <w:p>
      <w:pPr>
        <w:ind w:left="340" w:right="300"/>
        <w:spacing w:after="0" w:line="282" w:lineRule="auto"/>
        <w:rPr>
          <w:sz w:val="20"/>
          <w:szCs w:val="20"/>
          <w:color w:val="auto"/>
        </w:rPr>
      </w:pPr>
      <w:r>
        <w:rPr>
          <w:rFonts w:ascii="Arial" w:cs="Arial" w:eastAsia="Arial" w:hAnsi="Arial"/>
          <w:sz w:val="18"/>
          <w:szCs w:val="18"/>
          <w:b w:val="1"/>
          <w:bCs w:val="1"/>
          <w:color w:val="auto"/>
        </w:rPr>
        <w:t xml:space="preserve">On Contribution for Your Life Insurance. </w:t>
      </w:r>
      <w:r>
        <w:rPr>
          <w:rFonts w:ascii="Arial" w:cs="Arial" w:eastAsia="Arial" w:hAnsi="Arial"/>
          <w:sz w:val="18"/>
          <w:szCs w:val="18"/>
          <w:color w:val="auto"/>
        </w:rPr>
        <w:t>After We pay the accelerated benefit, any future contributions for Life Insurance You are required to pay</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waived.</w:t>
      </w:r>
    </w:p>
    <w:p>
      <w:pPr>
        <w:spacing w:after="0" w:line="162"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b w:val="1"/>
          <w:bCs w:val="1"/>
          <w:color w:val="auto"/>
        </w:rPr>
        <w:t xml:space="preserve">On Your Life Insurance at Your death. </w:t>
      </w:r>
      <w:r>
        <w:rPr>
          <w:rFonts w:ascii="Arial" w:cs="Arial" w:eastAsia="Arial" w:hAnsi="Arial"/>
          <w:sz w:val="18"/>
          <w:szCs w:val="18"/>
          <w:color w:val="auto"/>
        </w:rPr>
        <w:t>The amount of Life Insurance that We will pay at Your death will be decreased by the amount of the accelerated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paid by Us.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On Your Life Insurance at conversion. </w:t>
      </w:r>
      <w:r>
        <w:rPr>
          <w:rFonts w:ascii="Arial" w:cs="Arial" w:eastAsia="Arial" w:hAnsi="Arial"/>
          <w:sz w:val="18"/>
          <w:szCs w:val="18"/>
          <w:color w:val="auto"/>
        </w:rPr>
        <w:t>The amount to which You are entitled to convert under the section entitled LIFE INSURANCE: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CONVERSION OPTION FOR YOU will be decreased by the amount of the accelerated benefit paid by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Your Option to Accelerate Benefits 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accelerated benefit option will end on the earliest of:</w:t>
      </w:r>
    </w:p>
    <w:p>
      <w:pPr>
        <w:spacing w:after="0" w:line="225" w:lineRule="exact"/>
        <w:rPr>
          <w:sz w:val="20"/>
          <w:szCs w:val="20"/>
          <w:color w:val="auto"/>
        </w:rPr>
      </w:pPr>
    </w:p>
    <w:p>
      <w:pPr>
        <w:ind w:left="340" w:hanging="332"/>
        <w:spacing w:after="0"/>
        <w:tabs>
          <w:tab w:leader="none" w:pos="3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date the ABO Eligible Life Insurance ends;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date You or Your legal representative assign all ABO Eligible Life Insurance; or</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date You or Your legal representative have accelerated all ABO Eligible Life Insurance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abo/ee</w:t>
      </w:r>
      <w:r>
        <w:rPr>
          <w:sz w:val="20"/>
          <w:szCs w:val="20"/>
          <w:color w:val="auto"/>
        </w:rPr>
        <w:tab/>
      </w:r>
      <w:r>
        <w:rPr>
          <w:rFonts w:ascii="Arial" w:cs="Arial" w:eastAsia="Arial" w:hAnsi="Arial"/>
          <w:sz w:val="16"/>
          <w:szCs w:val="16"/>
          <w:b w:val="1"/>
          <w:bCs w:val="1"/>
          <w:color w:val="auto"/>
        </w:rPr>
        <w:t>28</w:t>
      </w:r>
    </w:p>
    <w:p>
      <w:pPr>
        <w:sectPr>
          <w:pgSz w:w="11900" w:h="16838" w:orient="portrait"/>
          <w:cols w:equalWidth="0" w:num="1">
            <w:col w:w="11420"/>
          </w:cols>
          <w:pgMar w:left="240" w:top="121" w:right="23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b w:val="1"/>
          <w:bCs w:val="1"/>
          <w:color w:val="auto"/>
        </w:rPr>
        <w:t>LIFE INSURANCE: CONVERSION OPTION FOR YOU</w:t>
      </w:r>
    </w:p>
    <w:p>
      <w:pPr>
        <w:spacing w:after="0" w:line="200" w:lineRule="exact"/>
        <w:rPr>
          <w:sz w:val="20"/>
          <w:szCs w:val="20"/>
          <w:color w:val="auto"/>
        </w:rPr>
      </w:pPr>
    </w:p>
    <w:p>
      <w:pPr>
        <w:spacing w:after="0" w:line="3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Your life insurance ends or is reduced for any of the reasons stated below, You have the option to buy an individual policy of life insurance (“new policy”) from Us during the Application Period in accordance with the conditions and requirements of this section. This is referred to as the “option to convert”. Evidence of Your insurability will not be required.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You Will Have the Option to Convert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will have the option to convert when:</w:t>
      </w:r>
    </w:p>
    <w:p>
      <w:pPr>
        <w:spacing w:after="0" w:line="225" w:lineRule="exact"/>
        <w:rPr>
          <w:sz w:val="20"/>
          <w:szCs w:val="20"/>
          <w:color w:val="auto"/>
        </w:rPr>
      </w:pPr>
    </w:p>
    <w:p>
      <w:pPr>
        <w:ind w:left="360" w:hanging="352"/>
        <w:spacing w:after="0"/>
        <w:tabs>
          <w:tab w:leader="none" w:pos="3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Your life insurance ends because: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You cease to be in an eligible class;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Your employment ends;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this Group Policy ends, provided You have been insured for life insurance for at least 5 continuous years; or</w:t>
      </w:r>
    </w:p>
    <w:p>
      <w:pPr>
        <w:spacing w:after="0" w:line="90" w:lineRule="exact"/>
        <w:rPr>
          <w:rFonts w:ascii="Arial" w:cs="Arial" w:eastAsia="Arial" w:hAnsi="Arial"/>
          <w:sz w:val="18"/>
          <w:szCs w:val="18"/>
          <w:color w:val="auto"/>
        </w:rPr>
      </w:pPr>
    </w:p>
    <w:p>
      <w:pPr>
        <w:ind w:left="980" w:hanging="648"/>
        <w:spacing w:after="0" w:line="277" w:lineRule="auto"/>
        <w:tabs>
          <w:tab w:leader="none" w:pos="656"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this Group Policy is amended to end all life insurance for an eligible class of which You are a member, provided You have been insured for at least 5 continuous years; or</w:t>
      </w:r>
    </w:p>
    <w:p>
      <w:pPr>
        <w:spacing w:after="0" w:line="35" w:lineRule="exact"/>
        <w:rPr>
          <w:rFonts w:ascii="Arial" w:cs="Arial" w:eastAsia="Arial" w:hAnsi="Arial"/>
          <w:sz w:val="18"/>
          <w:szCs w:val="18"/>
          <w:color w:val="auto"/>
        </w:rPr>
      </w:pPr>
    </w:p>
    <w:p>
      <w:pPr>
        <w:ind w:left="340" w:hanging="332"/>
        <w:spacing w:after="0"/>
        <w:tabs>
          <w:tab w:leader="none" w:pos="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Your life insurance is reduced: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on or after the date You attain age 65;</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because You change from one eligible class to another;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due to an amendment of this Group Policy.</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You opt not to convert a reduction in the amount of Your life insurance as described above, You will not have the option to convert that amount at a later date.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reduction in the amount of Your life insurance as a result of the payment of an accelerated benefit will not give rise to a right to convert under this section.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Period</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You opt to convert Your life insurance for any of the reasons stated above, We must receive a completed conversion application form from You within the Application Period described below.</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You are given Written notice of the option to convert within 15 days before or after the date Your life insurance ends or is reduced, the Application Period begins on the date that such life insurance ends or is reduced and expires 31 days after such date.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You are given Written notice of the option to convert more than 15 days after the date Your life insurance ends or is reduced, the Application Period begins on the date such life insurance ends or is reduced and expires 25 days from the date of such notice. In no event will the Application Period exceed 91 days from the date Your life insurance ends or is reduced.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Conditions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option to convert is subject to the following:</w:t>
      </w:r>
    </w:p>
    <w:p>
      <w:pPr>
        <w:spacing w:after="0" w:line="225" w:lineRule="exact"/>
        <w:rPr>
          <w:sz w:val="20"/>
          <w:szCs w:val="20"/>
          <w:color w:val="auto"/>
        </w:rPr>
      </w:pPr>
    </w:p>
    <w:p>
      <w:pPr>
        <w:ind w:left="340" w:hanging="332"/>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Our receipt within the Application Period of:</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Your Written application for the new policy;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premium due for such new policy;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co/l/ee 07/09</w:t>
      </w:r>
      <w:r>
        <w:rPr>
          <w:sz w:val="20"/>
          <w:szCs w:val="20"/>
          <w:color w:val="auto"/>
        </w:rPr>
        <w:tab/>
      </w:r>
      <w:r>
        <w:rPr>
          <w:rFonts w:ascii="Arial" w:cs="Arial" w:eastAsia="Arial" w:hAnsi="Arial"/>
          <w:sz w:val="16"/>
          <w:szCs w:val="16"/>
          <w:b w:val="1"/>
          <w:bCs w:val="1"/>
          <w:color w:val="auto"/>
        </w:rPr>
        <w:t>29</w:t>
      </w:r>
    </w:p>
    <w:p>
      <w:pPr>
        <w:sectPr>
          <w:pgSz w:w="11900" w:h="16838" w:orient="portrait"/>
          <w:cols w:equalWidth="0" w:num="1">
            <w:col w:w="11360"/>
          </w:cols>
          <w:pgMar w:left="240" w:top="121" w:right="29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b w:val="1"/>
          <w:bCs w:val="1"/>
          <w:color w:val="auto"/>
        </w:rPr>
        <w:t>LIFE INSURANCE: CONVERSION OPTION FOR YOU (continued)</w:t>
      </w:r>
    </w:p>
    <w:p>
      <w:pPr>
        <w:spacing w:after="0" w:line="200" w:lineRule="exact"/>
        <w:rPr>
          <w:sz w:val="20"/>
          <w:szCs w:val="20"/>
          <w:color w:val="auto"/>
        </w:rPr>
      </w:pPr>
    </w:p>
    <w:p>
      <w:pPr>
        <w:spacing w:after="0" w:line="267" w:lineRule="exact"/>
        <w:rPr>
          <w:sz w:val="20"/>
          <w:szCs w:val="20"/>
          <w:color w:val="auto"/>
        </w:rPr>
      </w:pPr>
    </w:p>
    <w:p>
      <w:pPr>
        <w:ind w:left="340" w:hanging="332"/>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premium rates for the new policy will be based 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Our rates then in use;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form and amount of insurance for which you apply;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Your class of risk;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158"/>
        </w:numPr>
        <w:rPr>
          <w:rFonts w:ascii="Arial" w:cs="Arial" w:eastAsia="Arial" w:hAnsi="Arial"/>
          <w:sz w:val="18"/>
          <w:szCs w:val="18"/>
          <w:b w:val="1"/>
          <w:bCs w:val="1"/>
          <w:color w:val="auto"/>
        </w:rPr>
      </w:pPr>
      <w:r>
        <w:rPr>
          <w:rFonts w:ascii="Arial" w:cs="Arial" w:eastAsia="Arial" w:hAnsi="Arial"/>
          <w:sz w:val="18"/>
          <w:szCs w:val="18"/>
          <w:color w:val="auto"/>
        </w:rPr>
        <w:t>Your age;</w:t>
      </w:r>
    </w:p>
    <w:p>
      <w:pPr>
        <w:spacing w:after="0" w:line="90" w:lineRule="exact"/>
        <w:rPr>
          <w:rFonts w:ascii="Arial" w:cs="Arial" w:eastAsia="Arial" w:hAnsi="Arial"/>
          <w:sz w:val="18"/>
          <w:szCs w:val="18"/>
          <w:b w:val="1"/>
          <w:bCs w:val="1"/>
          <w:color w:val="auto"/>
        </w:rPr>
      </w:pPr>
    </w:p>
    <w:p>
      <w:pPr>
        <w:ind w:left="340" w:hanging="332"/>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new policy may be on any form then customarily offered by Us excluding term insurance;</w:t>
      </w:r>
    </w:p>
    <w:p>
      <w:pPr>
        <w:spacing w:after="0" w:line="90"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new policy will be issued without an accidental death and dismemberment benefit, an accelerated benefit option, a waiver of premium benefit or any other rider or additional benefit; and</w:t>
      </w:r>
    </w:p>
    <w:p>
      <w:pPr>
        <w:spacing w:after="0" w:line="35" w:lineRule="exact"/>
        <w:rPr>
          <w:rFonts w:ascii="Arial" w:cs="Arial" w:eastAsia="Arial" w:hAnsi="Arial"/>
          <w:sz w:val="18"/>
          <w:szCs w:val="18"/>
          <w:color w:val="auto"/>
        </w:rPr>
      </w:pPr>
    </w:p>
    <w:p>
      <w:pPr>
        <w:ind w:left="340" w:right="100" w:hanging="332"/>
        <w:spacing w:after="0" w:line="216" w:lineRule="auto"/>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new policy will take effect on the 32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day after the date Your life insurance ends or is reduced; this will be the case regardless of the duration of the Application Period.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Amount of the New Policy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If Your Life Insurance ends due to the end of this Group Policy or the amendment of this Group Policy to end all life insurance for an eligible class of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are a member, the maximum amount of insurance that You may elect for the new policy is the lesser of:</w:t>
      </w:r>
    </w:p>
    <w:p>
      <w:pPr>
        <w:spacing w:after="0" w:line="211" w:lineRule="exact"/>
        <w:rPr>
          <w:sz w:val="20"/>
          <w:szCs w:val="20"/>
          <w:color w:val="auto"/>
        </w:rPr>
      </w:pPr>
    </w:p>
    <w:p>
      <w:pPr>
        <w:ind w:left="340" w:right="280" w:hanging="332"/>
        <w:spacing w:after="0" w:line="277" w:lineRule="auto"/>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amount of Your life insurance that ends under this Group Policy less the amount of life insurance for which You become eligible under any group policy within 31 days after the date insurance ends under this Group Policy; or</w:t>
      </w:r>
    </w:p>
    <w:p>
      <w:pPr>
        <w:spacing w:after="0" w:line="35" w:lineRule="exact"/>
        <w:rPr>
          <w:rFonts w:ascii="Arial" w:cs="Arial" w:eastAsia="Arial" w:hAnsi="Arial"/>
          <w:sz w:val="18"/>
          <w:szCs w:val="18"/>
          <w:color w:val="auto"/>
        </w:rPr>
      </w:pPr>
    </w:p>
    <w:p>
      <w:pPr>
        <w:ind w:left="340" w:hanging="332"/>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$10,000.</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If Your life insurance ends or is reduced due to the Policyholder’s organizational restructuring, the maximum amount of insurance that You may elect for the new policy is the amount of Your life insurance that ends under this Group Policy less the amount of life insurance for which You become eligible under any other group policy within 31 days after the date insurance ends under this Group Policy.</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Your life insurance ends or is reduced for any other reason, the maximum amount of insurance that You may elect for the new policy is the amount of Your life insurance which ends under this Group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PROVISIONS IF YOU DIE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Die Within 31 Days After Your Life Insurance Ends Or Is Reduced</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You die within 31 days after Your life insurance ends or is reduced by an amount You are entitled to convert, Proof of Your death must be sent to Us. When We receive such Proof with the claim, We will review the claim and if We approve it will pay the Beneficiary. The amount We will pay is the amount You were entitled to convert.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amount You were entitled to convert will not be paid as insurance under both a new individual conversion policy and the Group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co/l/ee 07/09</w:t>
      </w:r>
      <w:r>
        <w:rPr>
          <w:sz w:val="20"/>
          <w:szCs w:val="20"/>
          <w:color w:val="auto"/>
        </w:rPr>
        <w:tab/>
      </w:r>
      <w:r>
        <w:rPr>
          <w:rFonts w:ascii="Arial" w:cs="Arial" w:eastAsia="Arial" w:hAnsi="Arial"/>
          <w:sz w:val="16"/>
          <w:szCs w:val="16"/>
          <w:b w:val="1"/>
          <w:bCs w:val="1"/>
          <w:color w:val="auto"/>
        </w:rPr>
        <w:t>30</w:t>
      </w:r>
    </w:p>
    <w:p>
      <w:pPr>
        <w:sectPr>
          <w:pgSz w:w="11900" w:h="16838" w:orient="portrait"/>
          <w:cols w:equalWidth="0" w:num="1">
            <w:col w:w="11360"/>
          </w:cols>
          <w:pgMar w:left="240" w:top="121" w:right="29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b w:val="1"/>
          <w:bCs w:val="1"/>
          <w:color w:val="auto"/>
        </w:rPr>
        <w:t>FILING A CLAIM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FOR LIFE INSURANCE BENEFITS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When there has been the death of an insured person, notify the Policyholder. This notice should be given to the Policyholder as soon as is reasonably possible after the death. The claim form will be sent to the beneficiary or beneficiaries of record.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beneficiary or beneficiaries should complete the claim form and send it and Proof of the death to Us as instructed on the claim form.</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When We receive the claim form and Proof, We will review the claim and, if We approve it, We will pay benefits subject to the terms and provisions of this certificate and the Group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2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life/claim 07/09</w:t>
      </w:r>
      <w:r>
        <w:rPr>
          <w:sz w:val="20"/>
          <w:szCs w:val="20"/>
          <w:color w:val="auto"/>
        </w:rPr>
        <w:tab/>
      </w:r>
      <w:r>
        <w:rPr>
          <w:rFonts w:ascii="Arial" w:cs="Arial" w:eastAsia="Arial" w:hAnsi="Arial"/>
          <w:sz w:val="16"/>
          <w:szCs w:val="16"/>
          <w:b w:val="1"/>
          <w:bCs w:val="1"/>
          <w:color w:val="auto"/>
        </w:rPr>
        <w:t>31</w:t>
      </w:r>
    </w:p>
    <w:p>
      <w:pPr>
        <w:sectPr>
          <w:pgSz w:w="11900" w:h="16838" w:orient="portrait"/>
          <w:cols w:equalWidth="0" w:num="1">
            <w:col w:w="11360"/>
          </w:cols>
          <w:pgMar w:left="240" w:top="121" w:right="29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b w:val="1"/>
          <w:bCs w:val="1"/>
          <w:color w:val="auto"/>
        </w:rPr>
        <w:t>GENERAL PROVISIONS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rights and benefits under the Group Policy are not assignable prior to a claim for benefits, except as required by law. We are not responsible for the validity of an assignment.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Beneficiary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You may designate a Beneficiary in Your application or enrollment form. You may change Your Beneficiary at any time. To do so, You must send a Signed and dated, Written request to the Policyholder using a form satisfactory to Us. Your Written request to change the Beneficiary must be sent to the Policyholder within 30 days of the date You Sign such request.</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You do not need the Beneficiary’s consent to make a change. When We receive the change, it will take effect as of the date You Signed it. The change will not apply to any payment made in good faith by Us before the change request was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two or more Beneficiaries are designated and their shares are not specified, they will share the insurance equally.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If there is no Beneficiary designated or no surviving designated Beneficiary at Your death, We will determine the Beneficiary to be Your Spouse.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 there is no Spouse, We will pay Your estate. Any payment made in good faith will discharge Our liability to the extent of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Entire Contract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Your insurance is provided under a contract of group insurance with the Policyholder. The entire contract with the Policyholder is made up of the following:</w:t>
      </w:r>
    </w:p>
    <w:p>
      <w:pPr>
        <w:spacing w:after="0" w:line="248" w:lineRule="exact"/>
        <w:rPr>
          <w:sz w:val="20"/>
          <w:szCs w:val="20"/>
          <w:color w:val="auto"/>
        </w:rPr>
      </w:pPr>
    </w:p>
    <w:p>
      <w:pPr>
        <w:ind w:left="340" w:hanging="332"/>
        <w:spacing w:after="0"/>
        <w:tabs>
          <w:tab w:leader="none" w:pos="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Group Policy and its Exhibits, which include the certificate(s);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Policyholder's application;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amendments and/or endorsements to the Group Policy.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Incontestability: Statements Made by You</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statement made by You will be considered a representation and not a warranty. We will not use such statement to avoid Life Insurance, reduce benefits or defend a claim unless the following requirements are met:</w:t>
      </w:r>
    </w:p>
    <w:p>
      <w:pPr>
        <w:spacing w:after="0" w:line="170" w:lineRule="exact"/>
        <w:rPr>
          <w:sz w:val="20"/>
          <w:szCs w:val="20"/>
          <w:color w:val="auto"/>
        </w:rPr>
      </w:pPr>
    </w:p>
    <w:p>
      <w:pPr>
        <w:ind w:left="340" w:hanging="332"/>
        <w:spacing w:after="0"/>
        <w:tabs>
          <w:tab w:leader="none" w:pos="3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statement is in a Written application or enrollment form;</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You have Signed the application or enrollment form;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copy of the application or enrollment form has been given to You or Your Beneficiary.</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will not use Your statements which relate to insurability to contest insurance after it has been in force for 2 years during Your life. In addition, We will not use such statements to contest an increase or benefit addition to such insurance after the increase or benefit has been in force for 2 years during Your life.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Misstatement of Age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If Your age is misstated, the correct age will be used to determine if insurance is in effect and, as appropriate, We will adjust the benefits and/or premiums.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Conformity with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the terms and provisions of this certificate do not conform to any applicable law, this certificate shall be interpreted to so conform.</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gp 10/04</w:t>
      </w:r>
    </w:p>
    <w:p>
      <w:pPr>
        <w:sectPr>
          <w:pgSz w:w="11900" w:h="16838" w:orient="portrait"/>
          <w:cols w:equalWidth="0" w:num="1">
            <w:col w:w="11420"/>
          </w:cols>
          <w:pgMar w:left="240" w:top="121" w:right="2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b w:val="1"/>
          <w:bCs w:val="1"/>
          <w:color w:val="auto"/>
        </w:rPr>
        <w:t>GENERAL PROVISIONS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4419"/>
        <w:spacing w:after="0"/>
        <w:rPr>
          <w:sz w:val="20"/>
          <w:szCs w:val="20"/>
          <w:color w:val="auto"/>
        </w:rPr>
      </w:pPr>
      <w:r>
        <w:rPr>
          <w:rFonts w:ascii="Arial" w:cs="Arial" w:eastAsia="Arial" w:hAnsi="Arial"/>
          <w:sz w:val="18"/>
          <w:szCs w:val="18"/>
          <w:b w:val="1"/>
          <w:bCs w:val="1"/>
          <w:color w:val="auto"/>
        </w:rPr>
        <w:t>33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GCERT2000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gp 10/04</w:t>
      </w:r>
    </w:p>
    <w:p>
      <w:pPr>
        <w:sectPr>
          <w:pgSz w:w="11900" w:h="16838" w:orient="portrait"/>
          <w:cols w:equalWidth="0" w:num="1">
            <w:col w:w="10219"/>
          </w:cols>
          <w:pgMar w:left="240" w:top="121" w:right="1440"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PRECEDING PAGE IS THE END OF THE CERTIFICATE.</w:t>
      </w:r>
    </w:p>
    <w:p>
      <w:pPr>
        <w:sectPr>
          <w:pgSz w:w="11900" w:h="16838" w:orient="portrait"/>
          <w:cols w:equalWidth="0" w:num="1">
            <w:col w:w="9019"/>
          </w:cols>
          <w:pgMar w:left="1440" w:top="1440" w:right="1440" w:bottom="1440" w:gutter="0" w:footer="0" w:header="0"/>
        </w:sectPr>
      </w:pP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FOLLOWING IS ADDITIONAL INFORMATION.</w:t>
      </w:r>
    </w:p>
    <w:p>
      <w:pPr>
        <w:sectPr>
          <w:pgSz w:w="11900" w:h="16838" w:orient="portrait"/>
          <w:cols w:equalWidth="0" w:num="1">
            <w:col w:w="9019"/>
          </w:cols>
          <w:pgMar w:left="1440" w:top="1440" w:right="1440" w:bottom="1440" w:gutter="0" w:footer="0" w:header="0"/>
          <w:type w:val="continuous"/>
        </w:sectPr>
      </w:pPr>
    </w:p>
    <w:bookmarkStart w:id="166" w:name="page167"/>
    <w:bookmarkEnd w:id="166"/>
    <w:p>
      <w:pPr>
        <w:jc w:val="center"/>
        <w:spacing w:after="0"/>
        <w:rPr>
          <w:sz w:val="20"/>
          <w:szCs w:val="20"/>
          <w:color w:val="auto"/>
        </w:rPr>
      </w:pPr>
      <w:r>
        <w:rPr>
          <w:rFonts w:ascii="Arial" w:cs="Arial" w:eastAsia="Arial" w:hAnsi="Arial"/>
          <w:sz w:val="22"/>
          <w:szCs w:val="22"/>
          <w:b w:val="1"/>
          <w:bCs w:val="1"/>
          <w:color w:val="auto"/>
        </w:rPr>
        <w:t>ERISA INFORMATION</w:t>
      </w:r>
    </w:p>
    <w:p>
      <w:pPr>
        <w:spacing w:after="0" w:line="200" w:lineRule="exact"/>
        <w:rPr>
          <w:sz w:val="20"/>
          <w:szCs w:val="20"/>
          <w:color w:val="auto"/>
        </w:rPr>
      </w:pPr>
    </w:p>
    <w:p>
      <w:pPr>
        <w:spacing w:after="0" w:line="269"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THIS SUMMARY PLAN DESCRIPTION IS EXPRESSLY MADE PART OF THE NORTHROP GRUMMAN CORPORATION TERM LIFE INSURANCE PLAN AND IS LEGALLY ENFORCEABLE AS PART OF THE PLAN WITH RESPECT TO ITS TERMS AND CONDITIONS. IN THE EVENT THERE IS NO OTHER PLAN DOCUMENT, THIS DOCUMENT SHALL SERVE AS A SUMMARY PLAN DESCRIPTION AND SHALL ALSO CONSTITUTE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AND ADDRESS OF EMPLOYER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2980 Fairview Park Drive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Falls Church, VA 22042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AND ADDRESS OF PLAN ADMINISTRATOR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Employee Welfare Benefits Committee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7201 Hewitt Associates Drive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P.O. Box 8000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28262-8000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(800) 894-4194</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AND ADDRESS OF AGENT FOR SERVICE OF LEGAL PROCESS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 Corporate Secretary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2980 Fairview Park Drive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Falls Church, VA 22042</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IDENTIFICATION NUMBER</w:t>
      </w:r>
      <w:r>
        <w:rPr>
          <w:rFonts w:ascii="Arial" w:cs="Arial" w:eastAsia="Arial" w:hAnsi="Arial"/>
          <w:sz w:val="18"/>
          <w:szCs w:val="18"/>
          <w:color w:val="auto"/>
        </w:rPr>
        <w:t>: 80-0640649</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PLAN NUMBER</w:t>
            </w:r>
          </w:p>
        </w:tc>
        <w:tc>
          <w:tcPr>
            <w:tcW w:w="4100" w:type="dxa"/>
            <w:vAlign w:val="bottom"/>
          </w:tcPr>
          <w:p>
            <w:pPr>
              <w:ind w:left="720"/>
              <w:spacing w:after="0"/>
              <w:rPr>
                <w:sz w:val="20"/>
                <w:szCs w:val="20"/>
                <w:color w:val="auto"/>
              </w:rPr>
            </w:pPr>
            <w:r>
              <w:rPr>
                <w:rFonts w:ascii="Arial" w:cs="Arial" w:eastAsia="Arial" w:hAnsi="Arial"/>
                <w:sz w:val="18"/>
                <w:szCs w:val="18"/>
                <w:b w:val="1"/>
                <w:bCs w:val="1"/>
                <w:color w:val="auto"/>
              </w:rPr>
              <w:t>COVERAGE</w:t>
            </w:r>
          </w:p>
        </w:tc>
        <w:tc>
          <w:tcPr>
            <w:tcW w:w="3820" w:type="dxa"/>
            <w:vAlign w:val="bottom"/>
          </w:tcPr>
          <w:p>
            <w:pPr>
              <w:ind w:left="320"/>
              <w:spacing w:after="0"/>
              <w:rPr>
                <w:sz w:val="20"/>
                <w:szCs w:val="20"/>
                <w:color w:val="auto"/>
              </w:rPr>
            </w:pPr>
            <w:r>
              <w:rPr>
                <w:rFonts w:ascii="Arial" w:cs="Arial" w:eastAsia="Arial" w:hAnsi="Arial"/>
                <w:sz w:val="18"/>
                <w:szCs w:val="18"/>
                <w:b w:val="1"/>
                <w:bCs w:val="1"/>
                <w:color w:val="auto"/>
              </w:rPr>
              <w:t>PLAN NAME</w:t>
            </w:r>
          </w:p>
        </w:tc>
      </w:tr>
      <w:tr>
        <w:trPr>
          <w:trHeight w:val="553"/>
        </w:trPr>
        <w:tc>
          <w:tcPr>
            <w:tcW w:w="3160" w:type="dxa"/>
            <w:vAlign w:val="bottom"/>
          </w:tcPr>
          <w:p>
            <w:pPr>
              <w:ind w:left="40"/>
              <w:spacing w:after="0"/>
              <w:rPr>
                <w:sz w:val="20"/>
                <w:szCs w:val="20"/>
                <w:color w:val="auto"/>
              </w:rPr>
            </w:pPr>
            <w:r>
              <w:rPr>
                <w:rFonts w:ascii="Arial" w:cs="Arial" w:eastAsia="Arial" w:hAnsi="Arial"/>
                <w:sz w:val="18"/>
                <w:szCs w:val="18"/>
                <w:color w:val="auto"/>
              </w:rPr>
              <w:t>501</w:t>
            </w:r>
          </w:p>
        </w:tc>
        <w:tc>
          <w:tcPr>
            <w:tcW w:w="4100" w:type="dxa"/>
            <w:vAlign w:val="bottom"/>
          </w:tcPr>
          <w:p>
            <w:pPr>
              <w:ind w:left="720"/>
              <w:spacing w:after="0"/>
              <w:rPr>
                <w:sz w:val="20"/>
                <w:szCs w:val="20"/>
                <w:color w:val="auto"/>
              </w:rPr>
            </w:pPr>
            <w:r>
              <w:rPr>
                <w:rFonts w:ascii="Arial" w:cs="Arial" w:eastAsia="Arial" w:hAnsi="Arial"/>
                <w:sz w:val="18"/>
                <w:szCs w:val="18"/>
                <w:color w:val="auto"/>
              </w:rPr>
              <w:t>Basic Life Insurance for Non-Represented</w:t>
            </w:r>
          </w:p>
        </w:tc>
        <w:tc>
          <w:tcPr>
            <w:tcW w:w="3820" w:type="dxa"/>
            <w:vAlign w:val="bottom"/>
          </w:tcPr>
          <w:p>
            <w:pPr>
              <w:ind w:left="320"/>
              <w:spacing w:after="0"/>
              <w:rPr>
                <w:sz w:val="20"/>
                <w:szCs w:val="20"/>
                <w:color w:val="auto"/>
              </w:rPr>
            </w:pPr>
            <w:r>
              <w:rPr>
                <w:rFonts w:ascii="Arial" w:cs="Arial" w:eastAsia="Arial" w:hAnsi="Arial"/>
                <w:sz w:val="18"/>
                <w:szCs w:val="18"/>
                <w:color w:val="auto"/>
                <w:w w:val="91"/>
              </w:rPr>
              <w:t>Northrop Grumman Corporation Group Benefits</w:t>
            </w:r>
          </w:p>
        </w:tc>
      </w:tr>
      <w:tr>
        <w:trPr>
          <w:trHeight w:val="230"/>
        </w:trPr>
        <w:tc>
          <w:tcPr>
            <w:tcW w:w="3160" w:type="dxa"/>
            <w:vAlign w:val="bottom"/>
          </w:tcPr>
          <w:p>
            <w:pPr>
              <w:spacing w:after="0"/>
              <w:rPr>
                <w:sz w:val="20"/>
                <w:szCs w:val="20"/>
                <w:color w:val="auto"/>
              </w:rPr>
            </w:pPr>
          </w:p>
        </w:tc>
        <w:tc>
          <w:tcPr>
            <w:tcW w:w="4100" w:type="dxa"/>
            <w:vAlign w:val="bottom"/>
          </w:tcPr>
          <w:p>
            <w:pPr>
              <w:ind w:left="720"/>
              <w:spacing w:after="0"/>
              <w:rPr>
                <w:sz w:val="20"/>
                <w:szCs w:val="20"/>
                <w:color w:val="auto"/>
              </w:rPr>
            </w:pPr>
            <w:r>
              <w:rPr>
                <w:rFonts w:ascii="Arial" w:cs="Arial" w:eastAsia="Arial" w:hAnsi="Arial"/>
                <w:sz w:val="18"/>
                <w:szCs w:val="18"/>
                <w:color w:val="auto"/>
              </w:rPr>
              <w:t>Employees</w:t>
            </w:r>
          </w:p>
        </w:tc>
        <w:tc>
          <w:tcPr>
            <w:tcW w:w="3820" w:type="dxa"/>
            <w:vAlign w:val="bottom"/>
          </w:tcPr>
          <w:p>
            <w:pPr>
              <w:ind w:left="320"/>
              <w:spacing w:after="0"/>
              <w:rPr>
                <w:sz w:val="20"/>
                <w:szCs w:val="20"/>
                <w:color w:val="auto"/>
              </w:rPr>
            </w:pPr>
            <w:r>
              <w:rPr>
                <w:rFonts w:ascii="Arial" w:cs="Arial" w:eastAsia="Arial" w:hAnsi="Arial"/>
                <w:sz w:val="18"/>
                <w:szCs w:val="18"/>
                <w:color w:val="auto"/>
              </w:rPr>
              <w:t>Plan</w:t>
            </w:r>
          </w:p>
        </w:tc>
      </w:tr>
      <w:tr>
        <w:trPr>
          <w:trHeight w:val="378"/>
        </w:trPr>
        <w:tc>
          <w:tcPr>
            <w:tcW w:w="3160" w:type="dxa"/>
            <w:vAlign w:val="bottom"/>
          </w:tcPr>
          <w:p>
            <w:pPr>
              <w:spacing w:after="0"/>
              <w:rPr>
                <w:sz w:val="20"/>
                <w:szCs w:val="20"/>
                <w:color w:val="auto"/>
              </w:rPr>
            </w:pPr>
            <w:r>
              <w:rPr>
                <w:rFonts w:ascii="Arial" w:cs="Arial" w:eastAsia="Arial" w:hAnsi="Arial"/>
                <w:sz w:val="18"/>
                <w:szCs w:val="18"/>
                <w:b w:val="1"/>
                <w:bCs w:val="1"/>
                <w:color w:val="auto"/>
              </w:rPr>
              <w:t>TYPE OF ADMINISTRATION</w:t>
            </w:r>
          </w:p>
        </w:tc>
        <w:tc>
          <w:tcPr>
            <w:tcW w:w="4100" w:type="dxa"/>
            <w:vAlign w:val="bottom"/>
          </w:tcPr>
          <w:p>
            <w:pPr>
              <w:spacing w:after="0"/>
              <w:rPr>
                <w:sz w:val="24"/>
                <w:szCs w:val="24"/>
                <w:color w:val="auto"/>
              </w:rPr>
            </w:pPr>
          </w:p>
        </w:tc>
        <w:tc>
          <w:tcPr>
            <w:tcW w:w="38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above listed benefits are insured by Metropolitan Life Insurance Company ("MetLife").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 FOR SERVICE OF LEGAL PROCESS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disputes arising under the Plan, service of legal process may be made upon the Plan administrator at the above address. For disputes seeking payment of benefits, service of legal process may be made upon MetLife by serving MetLife's designated agent to accept service of process.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FOR INSURANCE; DESCRIPTION OR SUMMARY OF BENEFITS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Your MetLife certificate describes the eligibility requirements for insurance provided by MetLife under the Plan. It also includes a detailed description of the insurance provided by MetLife under the Plan.</w:t>
      </w:r>
    </w:p>
    <w:p>
      <w:pPr>
        <w:sectPr>
          <w:pgSz w:w="11900" w:h="16838" w:orient="portrait"/>
          <w:cols w:equalWidth="0" w:num="1">
            <w:col w:w="11420"/>
          </w:cols>
          <w:pgMar w:left="240" w:top="126" w:right="23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22"/>
          <w:szCs w:val="22"/>
          <w:b w:val="1"/>
          <w:bCs w:val="1"/>
          <w:color w:val="auto"/>
        </w:rPr>
        <w:t>ERISA INFORMATION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TERMINATION OR CHANGES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group policy sets forth those situations in which the Employer and/or MetLife have the rights to end the policy.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Employer reserves the right to change or terminate the Plan at any time. Therefore, there is no guarantee that you will be eligible for the insurance described herein for the duration of your employment. Any such action will be taken only after careful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 consent or the consent of your beneficiary is not required to terminate, modify, amend, or change the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Your insurance ends in accordance with the DATE YOUR INSURANCE ENDS subsection of Your certificate, you may still be eligible to receive benefits. The circumstances under which benefits are available are described in Your MetLife certificate.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Plan's fiscal records are kept on a Plan year basis beginning each July 1st and ending on the following June 30th.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DOMESTIC RELATIONS ORDERS/QUALIFIED MEDICAL CHILD SUPPORT ORDERS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and your beneficiaries can obtain, without charge, from the Plan Administrator a copy of any procedures governing Qualified Domestic Relations Orders (QDRO) and Qualified Medical Child Support Orders (QMCSO).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Presenting Claims for Life Benefits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claim forms needed to file for benefits under the group insurance program can be obtained from the Employer who will also be ready to answer questions about the insurance benefits and to assist the claimant in filing claims. The instructions on the claim form should be followed carefully. This will expedite the processing of the claim. Be sure all questions are answered fully.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Routine Questions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If there is any question about a claim payment, an explanation may be requested from the Employer who is usually able to provide the necessary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 Submission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submitting claims for life benefits ("Benefits"), the claimant must complete the appropriate claim form and submit the required Proof as described in the certificate.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Claim forms must be submitted in accordance with the instructions on the claim form.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Determination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After MetLife receives a claim for Benefits, MetLife will review the claim and notify the claimant of its decision to approve or deny the claim.</w:t>
      </w:r>
    </w:p>
    <w:p>
      <w:pPr>
        <w:sectPr>
          <w:pgSz w:w="11900" w:h="16838" w:orient="portrait"/>
          <w:cols w:equalWidth="0" w:num="1">
            <w:col w:w="11420"/>
          </w:cols>
          <w:pgMar w:left="240" w:top="126" w:right="239" w:bottom="1440" w:gutter="0" w:footer="0" w:header="0"/>
        </w:sectPr>
      </w:pPr>
    </w:p>
    <w:bookmarkStart w:id="168" w:name="page169"/>
    <w:bookmarkEnd w:id="168"/>
    <w:p>
      <w:pPr>
        <w:jc w:val="both"/>
        <w:spacing w:after="0" w:line="277" w:lineRule="auto"/>
        <w:rPr>
          <w:sz w:val="20"/>
          <w:szCs w:val="20"/>
          <w:color w:val="auto"/>
        </w:rPr>
      </w:pPr>
      <w:r>
        <w:rPr>
          <w:rFonts w:ascii="Arial" w:cs="Arial" w:eastAsia="Arial" w:hAnsi="Arial"/>
          <w:sz w:val="18"/>
          <w:szCs w:val="18"/>
          <w:color w:val="auto"/>
        </w:rPr>
        <w:t>Such notification will be provided to the claimant within a reasonable period, not to exceed 90 days from the date we received the claim, unless MetLife notifies the claimant within that period that there are special circumstances requiring an extension of time of up to 90 additional days.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MetLife denies the claim in whole or in part, the notification of the claims decision will state the reason why the claim was denied and reference the specific Plan provision(s) on which the denial is based. If the claim is denied because MetLife did not receive sufficient information, the claims decision will describe the additional information needed and explain why such information is needed. The notification will also include a description of the Plan review procedures and time limits, including a statement of the claimant's right to bring a civil action if the claim is denied after an appeal.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Appealing the Initial Determination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a claim has been denied in whole or in part, the claimant can request a review of the claim by MetLife. This request for review should be sent in writing to Group Insurance Claims Review at the address of MetLife's office which processed the claim within 60 days after the claimant received notice of denial of the claim. When requesting a review, the claimant should state the reason the claimant believes the claim was improperly denied and submit in writing any written comments, documents, records or other information the claimant deems appropriate. Upon the claimant's written request, MetLife will provide the claimant free of charge with copies of relevant documents, records and other information.</w:t>
      </w:r>
    </w:p>
    <w:p>
      <w:pPr>
        <w:spacing w:after="0" w:line="173"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MetLife will re</w:t>
      </w:r>
      <w:r>
        <w:rPr>
          <w:rFonts w:ascii="MS PGothic" w:cs="MS PGothic" w:eastAsia="MS PGothic" w:hAnsi="MS PGothic"/>
          <w:sz w:val="18"/>
          <w:szCs w:val="18"/>
          <w:color w:val="auto"/>
        </w:rPr>
        <w:t>‑</w:t>
      </w:r>
      <w:r>
        <w:rPr>
          <w:rFonts w:ascii="Arial" w:cs="Arial" w:eastAsia="Arial" w:hAnsi="Arial"/>
          <w:sz w:val="18"/>
          <w:szCs w:val="18"/>
          <w:color w:val="auto"/>
        </w:rPr>
        <w:t>evaluate all the information, will conduct a full and fair review of the claim, and the claimant will be notified of the decision. Such notification will be provided within a reasonable period not to exceed 60 days from the date we received the request for review, unless MetLife notifies the claimant within that period that there are special circumstances requiring an extension of time of up to 60 additional days.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MetLife denies the claim on appeal, MetLife will send the claimant a final written decision that states the reason(s) why the appealed claim is being denied, references any specific Plan provision(s) on which the denial is based, any voluntary appeal procedures offered by the Plan, and a statement of the claimant's right to bring a civil action if the claim is denied after an appeal. Upon written request, MetLife will provide the claimant free of charge with copies of documents, records and other information relevant to the claim.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Authority of Plan Administrator and Other Plan Fiduciaries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carrying out their respective responsibilities under the Plan, the Plan administrator and other Plan fiduciaries shall have discretionary authority to interpret the terms of the Plan and to determine eligibility for and entitlement to Plan benefits in accordance with the terms of the Plan. Any interpretation or determination made pursuant to such discretionary authority shall be given full force and effect, unless it can be shown that the interpretation or determination was arbitrary and capricious.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ERISA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statement is required by federal law and regulation.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participant in the Plan, you are entitled to certain rights and protections under the Employee Retirement Income Security Act of 1974 (ERISA). ERISA provides that all participants shall be entitled 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Receive Information About Your Plan and Benefits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Examine, without charge, at the Plan administrator's office and at other specified locations, all Plan documents, including insurance contracts and a copy of the latest annual report (Form 5500 Series) filed by the Plan with the U.S. Department of Labor and available at the Public Disclosure Room of the Employee Benefits Security Administration.</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Obtain, upon written request to the Plan Administrator, copies of documents governing the operation of the Plan, including insurance contracts and copies of the latest annual report (Form 5500 Series) and updated summary plan descriptions. The administrator may make a reasonable charge for the copies.</w:t>
      </w:r>
    </w:p>
    <w:p>
      <w:pPr>
        <w:sectPr>
          <w:pgSz w:w="11900" w:h="16838" w:orient="portrait"/>
          <w:cols w:equalWidth="0" w:num="1">
            <w:col w:w="11420"/>
          </w:cols>
          <w:pgMar w:left="240" w:top="585" w:right="239" w:bottom="1440" w:gutter="0" w:footer="0" w:header="0"/>
        </w:sectPr>
      </w:pPr>
    </w:p>
    <w:bookmarkStart w:id="169" w:name="page170"/>
    <w:bookmarkEnd w:id="169"/>
    <w:p>
      <w:pPr>
        <w:jc w:val="both"/>
        <w:spacing w:after="0" w:line="277" w:lineRule="auto"/>
        <w:rPr>
          <w:sz w:val="20"/>
          <w:szCs w:val="20"/>
          <w:color w:val="auto"/>
        </w:rPr>
      </w:pPr>
      <w:r>
        <w:rPr>
          <w:rFonts w:ascii="Arial" w:cs="Arial" w:eastAsia="Arial" w:hAnsi="Arial"/>
          <w:sz w:val="18"/>
          <w:szCs w:val="18"/>
          <w:color w:val="auto"/>
        </w:rPr>
        <w:t>Receive a summary of the Plan's annual financial report. The Plan Administrator is required by law to furnish each participant with a copy of this summary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Prudent Actions by Plan Fiduciaries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one, including your employer or any other person, may fire you or otherwise discriminate against you in any way to prevent you from obtaining a welfare benefit or exercising your rights under ERISA.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 Your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your claim for a welfare benefit is denied or ignored in whole or in part, you have a right to know why this was done, to obtain copies of documents relating to the decision without charge, and to appeal any denial, all within certain time schedules.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ERISA, there are steps you can take to enforce the above rights. For instance, if you request a copy of Plan documents or the latest annual report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administrator. If you have a claim for benefits which is denied or ignored, in whole or in part, you may file suit in a state or Federal court.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you disagree with the Plan's decision or lack thereof concerning the qualified status of a domestic relations order or a medical child support order, you may file suit in a Federal court.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it should happen that Plan fiduciaries misuse the Plan's money, or if you are discriminated against for asserting your rights, you may seek assistance from the U.S. Department of Labor, or you may file suit in a Federal court.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court will decide who should pay court costs and legal fees. If you are successful, the court may order the person you have sued to pay these costs and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you lose, the court may order you to pay these costs and fees; for example, if it finds your claim is frivolous.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 with Your Questions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OF THE PLAN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It is hoped that the Plan will be continued indefinitely, but Northrop Grumman Corporation reserves the right to change or terminate the Plan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action would be taken only after careful consideration.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of Northrop Grumman Corporation shall be empowered to amend or terminate the Plan or any benefit under the Plan at any time.</w:t>
      </w:r>
    </w:p>
    <w:p>
      <w:pPr>
        <w:sectPr>
          <w:pgSz w:w="11900" w:h="16838" w:orient="portrait"/>
          <w:cols w:equalWidth="0" w:num="1">
            <w:col w:w="11420"/>
          </w:cols>
          <w:pgMar w:left="240" w:top="800"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309245</wp:posOffset>
            </wp:positionV>
            <wp:extent cx="1166495"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1">
                      <a:extLst>
                        <a:ext uri="{28A0092B-C50C-407E-A947-70E740481C1C}"/>
                      </a:extLst>
                    </a:blip>
                    <a:srcRect/>
                    <a:stretch>
                      <a:fillRect/>
                    </a:stretch>
                  </pic:blipFill>
                  <pic:spPr bwMode="auto">
                    <a:xfrm>
                      <a:off x="0" y="0"/>
                      <a:ext cx="116649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Metropolitan Life Insurance Company</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200 Park Avenue, New York, New York 10166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RIDER</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Group Policy No.:</w:t>
      </w:r>
      <w:r>
        <w:rPr>
          <w:sz w:val="20"/>
          <w:szCs w:val="20"/>
          <w:color w:val="auto"/>
        </w:rPr>
        <w:tab/>
      </w:r>
      <w:r>
        <w:rPr>
          <w:rFonts w:ascii="Arial" w:cs="Arial" w:eastAsia="Arial" w:hAnsi="Arial"/>
          <w:sz w:val="16"/>
          <w:szCs w:val="16"/>
          <w:b w:val="1"/>
          <w:bCs w:val="1"/>
          <w:color w:val="auto"/>
        </w:rPr>
        <w:t>91360-2-G</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Policyholder:</w:t>
      </w:r>
      <w:r>
        <w:rPr>
          <w:sz w:val="20"/>
          <w:szCs w:val="20"/>
          <w:color w:val="auto"/>
        </w:rPr>
        <w:tab/>
      </w:r>
      <w:r>
        <w:rPr>
          <w:rFonts w:ascii="Arial" w:cs="Arial" w:eastAsia="Arial" w:hAnsi="Arial"/>
          <w:sz w:val="16"/>
          <w:szCs w:val="16"/>
          <w:b w:val="1"/>
          <w:bCs w:val="1"/>
          <w:color w:val="auto"/>
        </w:rPr>
        <w:t>Northrop Grumman Corporation</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Effective Date:</w:t>
      </w:r>
      <w:r>
        <w:rPr>
          <w:sz w:val="20"/>
          <w:szCs w:val="20"/>
          <w:color w:val="auto"/>
        </w:rPr>
        <w:tab/>
      </w:r>
      <w:r>
        <w:rPr>
          <w:rFonts w:ascii="Arial" w:cs="Arial" w:eastAsia="Arial" w:hAnsi="Arial"/>
          <w:sz w:val="16"/>
          <w:szCs w:val="16"/>
          <w:b w:val="1"/>
          <w:bCs w:val="1"/>
          <w:color w:val="auto"/>
        </w:rPr>
        <w:t>July 1, 2016</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certificate is changed as follows:</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Applicable to Basic Life Insurance for all employees of the Policyholder participating in one of the following executive classes: Class I – Chief Executive Officer (CEO); Class II – Elected Officers, direct reports to CEO; Class III – Elected Officers, non-direct reports to CEO; or Class IV – all other Vice Presidents of NGC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GENERAL PROVISIONS</w:t>
      </w:r>
      <w:r>
        <w:rPr>
          <w:rFonts w:ascii="Arial" w:cs="Arial" w:eastAsia="Arial" w:hAnsi="Arial"/>
          <w:sz w:val="18"/>
          <w:szCs w:val="18"/>
          <w:color w:val="auto"/>
        </w:rPr>
        <w:t xml:space="preserve"> section, replace </w:t>
      </w:r>
      <w:r>
        <w:rPr>
          <w:rFonts w:ascii="Arial" w:cs="Arial" w:eastAsia="Arial" w:hAnsi="Arial"/>
          <w:sz w:val="18"/>
          <w:szCs w:val="18"/>
          <w:b w:val="1"/>
          <w:bCs w:val="1"/>
          <w:color w:val="auto"/>
        </w:rPr>
        <w:t>Beneficiary</w:t>
      </w:r>
      <w:r>
        <w:rPr>
          <w:rFonts w:ascii="Arial" w:cs="Arial" w:eastAsia="Arial" w:hAnsi="Arial"/>
          <w:sz w:val="18"/>
          <w:szCs w:val="18"/>
          <w:color w:val="auto"/>
        </w:rPr>
        <w:t xml:space="preserve"> with the following:</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Beneficiary</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You may designate a Beneficiary in Your application or enrollment form. You may change Your Beneficiary at any time. To do so, You must send a Signed and dated, Written request to Us using a form satisfactory to Us. Your Written request to change the Beneficiary must be sent to Us within 30 days of the date You Sign such request.</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You do not need the Beneficiary’s consent to make a change. When We receive the change, it will take effect as of the date You Signed it. The change will not apply to any payment made in good faith by Us before the change request was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two or more Beneficiaries are designated and their shares are not specified, they will share the insurance equally.</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there is no Beneficiary designated or no surviving designated Beneficiary at Your death, We will determine the Beneficiary according to the following order:</w:t>
      </w:r>
    </w:p>
    <w:p>
      <w:pPr>
        <w:spacing w:after="0" w:line="170" w:lineRule="exact"/>
        <w:rPr>
          <w:sz w:val="20"/>
          <w:szCs w:val="20"/>
          <w:color w:val="auto"/>
        </w:rPr>
      </w:pPr>
    </w:p>
    <w:p>
      <w:pPr>
        <w:ind w:left="340" w:hanging="332"/>
        <w:spacing w:after="0"/>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Your Spouse or Domestic Partner;</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Your child(ren), if there is no surviving Spouse or Domestic Partner; or</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Your estate.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payment made in good faith will discharge our liability to the extent of such payment.</w:t>
      </w:r>
    </w:p>
    <w:p>
      <w:pPr>
        <w:spacing w:after="0" w:line="225" w:lineRule="exact"/>
        <w:rPr>
          <w:sz w:val="20"/>
          <w:szCs w:val="20"/>
          <w:color w:val="auto"/>
        </w:rPr>
      </w:pPr>
    </w:p>
    <w:p>
      <w:pPr>
        <w:ind w:right="4300"/>
        <w:spacing w:after="0" w:line="277" w:lineRule="auto"/>
        <w:rPr>
          <w:sz w:val="20"/>
          <w:szCs w:val="20"/>
          <w:color w:val="auto"/>
        </w:rPr>
      </w:pPr>
      <w:r>
        <w:rPr>
          <w:rFonts w:ascii="Arial" w:cs="Arial" w:eastAsia="Arial" w:hAnsi="Arial"/>
          <w:sz w:val="18"/>
          <w:szCs w:val="18"/>
          <w:color w:val="auto"/>
        </w:rPr>
        <w:t>If a Beneficiary or a payee is a minor or incompetent to receive payment, We will pay that person's Guardian.”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rider is to be attached to and made part of the certificate.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CR2000</w:t>
      </w:r>
    </w:p>
    <w:p>
      <w:pPr>
        <w:sectPr>
          <w:pgSz w:w="11900" w:h="16838" w:orient="portrait"/>
          <w:cols w:equalWidth="0" w:num="1">
            <w:col w:w="11420"/>
          </w:cols>
          <w:pgMar w:left="240" w:top="121"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10(x)(i)</w:t>
      </w:r>
    </w:p>
    <w:p>
      <w:pPr>
        <w:spacing w:after="0" w:line="324" w:lineRule="exact"/>
        <w:rPr>
          <w:sz w:val="20"/>
          <w:szCs w:val="20"/>
          <w:color w:val="auto"/>
        </w:rPr>
      </w:pPr>
    </w:p>
    <w:p>
      <w:pPr>
        <w:ind w:right="5320"/>
        <w:spacing w:after="0" w:line="410" w:lineRule="auto"/>
        <w:rPr>
          <w:sz w:val="20"/>
          <w:szCs w:val="20"/>
          <w:color w:val="auto"/>
        </w:rPr>
      </w:pPr>
      <w:r>
        <w:rPr>
          <w:rFonts w:ascii="Arial" w:cs="Arial" w:eastAsia="Arial" w:hAnsi="Arial"/>
          <w:sz w:val="22"/>
          <w:szCs w:val="22"/>
          <w:b w:val="1"/>
          <w:bCs w:val="1"/>
          <w:color w:val="auto"/>
        </w:rPr>
        <w:t>Life Insurance Company of North America 1601 Chestnut Street Philadelphia, Pennsylvania 19192-2235</w:t>
      </w:r>
    </w:p>
    <w:p>
      <w:pPr>
        <w:spacing w:after="0" w:line="200" w:lineRule="exact"/>
        <w:rPr>
          <w:sz w:val="20"/>
          <w:szCs w:val="20"/>
          <w:color w:val="auto"/>
        </w:rPr>
      </w:pPr>
    </w:p>
    <w:p>
      <w:pPr>
        <w:spacing w:after="0" w:line="367" w:lineRule="exact"/>
        <w:rPr>
          <w:sz w:val="20"/>
          <w:szCs w:val="20"/>
          <w:color w:val="auto"/>
        </w:rPr>
      </w:pPr>
    </w:p>
    <w:p>
      <w:pPr>
        <w:ind w:left="6780"/>
        <w:spacing w:after="0"/>
        <w:rPr>
          <w:sz w:val="20"/>
          <w:szCs w:val="20"/>
          <w:color w:val="auto"/>
        </w:rPr>
      </w:pPr>
      <w:r>
        <w:rPr>
          <w:rFonts w:ascii="Arial" w:cs="Arial" w:eastAsia="Arial" w:hAnsi="Arial"/>
          <w:sz w:val="22"/>
          <w:szCs w:val="22"/>
          <w:b w:val="1"/>
          <w:bCs w:val="1"/>
          <w:color w:val="auto"/>
        </w:rPr>
        <w:t>AMENDMENT</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Policyholder: Trustee of the Group Insurance Trust for Employers in the Manufacturing Industry</w:t>
      </w:r>
    </w:p>
    <w:p>
      <w:pPr>
        <w:spacing w:after="0" w:line="200" w:lineRule="exact"/>
        <w:rPr>
          <w:sz w:val="20"/>
          <w:szCs w:val="20"/>
          <w:color w:val="auto"/>
        </w:rPr>
      </w:pPr>
    </w:p>
    <w:p>
      <w:pPr>
        <w:spacing w:after="0" w:line="322" w:lineRule="exact"/>
        <w:rPr>
          <w:sz w:val="20"/>
          <w:szCs w:val="20"/>
          <w:color w:val="auto"/>
        </w:rPr>
      </w:pPr>
    </w:p>
    <w:p>
      <w:pPr>
        <w:spacing w:after="0"/>
        <w:tabs>
          <w:tab w:leader="none" w:pos="3380" w:val="left"/>
        </w:tabs>
        <w:rPr>
          <w:sz w:val="20"/>
          <w:szCs w:val="20"/>
          <w:color w:val="auto"/>
        </w:rPr>
      </w:pPr>
      <w:r>
        <w:rPr>
          <w:rFonts w:ascii="Arial" w:cs="Arial" w:eastAsia="Arial" w:hAnsi="Arial"/>
          <w:sz w:val="18"/>
          <w:szCs w:val="18"/>
          <w:color w:val="auto"/>
        </w:rPr>
        <w:t>Subscriber: Northrop Grumman Corporation</w:t>
      </w:r>
      <w:r>
        <w:rPr>
          <w:sz w:val="20"/>
          <w:szCs w:val="20"/>
          <w:color w:val="auto"/>
        </w:rPr>
        <w:tab/>
      </w:r>
      <w:r>
        <w:rPr>
          <w:rFonts w:ascii="Arial" w:cs="Arial" w:eastAsia="Arial" w:hAnsi="Arial"/>
          <w:sz w:val="16"/>
          <w:szCs w:val="16"/>
          <w:color w:val="auto"/>
        </w:rPr>
        <w:t>Policy No.: OK 980036</w:t>
      </w:r>
    </w:p>
    <w:p>
      <w:pPr>
        <w:spacing w:after="0" w:line="200" w:lineRule="exact"/>
        <w:rPr>
          <w:sz w:val="20"/>
          <w:szCs w:val="20"/>
          <w:color w:val="auto"/>
        </w:rPr>
      </w:pPr>
    </w:p>
    <w:p>
      <w:pPr>
        <w:spacing w:after="0" w:line="322"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This amendment will be in effect only for Covered Employees in Active Service on the Effective Date(s) shown below. If an Employee is not in Active Service on the date he would otherwise become eligible, he will become eligible on the date he returns to Active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This Amendment is attached to and made part of the Policy specified above. It is subject to all of the policy provisions that do not conflict with its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Subscriber and We hereby agree that the Policy is amended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right="300" w:hanging="326"/>
        <w:spacing w:after="0" w:line="293" w:lineRule="auto"/>
        <w:tabs>
          <w:tab w:leader="none" w:pos="64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Effective April 1, 2009, the Employee Principle Sum under the Basic Accidental Death and Dismemberment Benefits section in the </w:t>
      </w:r>
      <w:r>
        <w:rPr>
          <w:rFonts w:ascii="Arial" w:cs="Arial" w:eastAsia="Arial" w:hAnsi="Arial"/>
          <w:sz w:val="18"/>
          <w:szCs w:val="18"/>
          <w:i w:val="1"/>
          <w:iCs w:val="1"/>
          <w:color w:val="auto"/>
        </w:rPr>
        <w:t>Schedule of</w:t>
      </w:r>
      <w:r>
        <w:rPr>
          <w:rFonts w:ascii="Arial" w:cs="Arial" w:eastAsia="Arial" w:hAnsi="Arial"/>
          <w:sz w:val="18"/>
          <w:szCs w:val="18"/>
          <w:color w:val="auto"/>
        </w:rPr>
        <w:t xml:space="preserve"> </w:t>
      </w:r>
      <w:r>
        <w:rPr>
          <w:rFonts w:ascii="Arial" w:cs="Arial" w:eastAsia="Arial" w:hAnsi="Arial"/>
          <w:sz w:val="18"/>
          <w:szCs w:val="18"/>
          <w:i w:val="1"/>
          <w:iCs w:val="1"/>
          <w:color w:val="auto"/>
        </w:rPr>
        <w:t>Benefit</w:t>
      </w:r>
      <w:r>
        <w:rPr>
          <w:rFonts w:ascii="Arial" w:cs="Arial" w:eastAsia="Arial" w:hAnsi="Arial"/>
          <w:sz w:val="18"/>
          <w:szCs w:val="18"/>
          <w:color w:val="auto"/>
        </w:rPr>
        <w:t>s</w:t>
      </w:r>
      <w:r>
        <w:rPr>
          <w:rFonts w:ascii="Arial" w:cs="Arial" w:eastAsia="Arial" w:hAnsi="Arial"/>
          <w:sz w:val="18"/>
          <w:szCs w:val="18"/>
          <w:i w:val="1"/>
          <w:iCs w:val="1"/>
          <w:color w:val="auto"/>
        </w:rPr>
        <w:t xml:space="preserve"> for Class 1 </w:t>
      </w:r>
      <w:r>
        <w:rPr>
          <w:rFonts w:ascii="Arial" w:cs="Arial" w:eastAsia="Arial" w:hAnsi="Arial"/>
          <w:sz w:val="18"/>
          <w:szCs w:val="18"/>
          <w:color w:val="auto"/>
        </w:rPr>
        <w:t>is replaced by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80"/>
        <w:spacing w:after="0"/>
        <w:tabs>
          <w:tab w:leader="none" w:pos="3000" w:val="left"/>
        </w:tabs>
        <w:rPr>
          <w:sz w:val="20"/>
          <w:szCs w:val="20"/>
          <w:color w:val="auto"/>
        </w:rPr>
      </w:pPr>
      <w:r>
        <w:rPr>
          <w:rFonts w:ascii="Arial" w:cs="Arial" w:eastAsia="Arial" w:hAnsi="Arial"/>
          <w:sz w:val="18"/>
          <w:szCs w:val="18"/>
          <w:color w:val="auto"/>
        </w:rPr>
        <w:t>Employee Principal Sum:</w:t>
      </w:r>
      <w:r>
        <w:rPr>
          <w:sz w:val="20"/>
          <w:szCs w:val="20"/>
          <w:color w:val="auto"/>
        </w:rPr>
        <w:tab/>
      </w:r>
      <w:r>
        <w:rPr>
          <w:rFonts w:ascii="Arial" w:cs="Arial" w:eastAsia="Arial" w:hAnsi="Arial"/>
          <w:sz w:val="16"/>
          <w:szCs w:val="16"/>
          <w:color w:val="auto"/>
        </w:rPr>
        <w:t>6 times Annual Compensation rounded to the next higher $1,000,</w:t>
      </w:r>
    </w:p>
    <w:p>
      <w:pPr>
        <w:spacing w:after="0" w:line="13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if not already a multiple thereof, subject to a maximum of</w:t>
      </w:r>
    </w:p>
    <w:p>
      <w:pPr>
        <w:spacing w:after="0" w:line="144"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$1,000,000</w:t>
      </w:r>
    </w:p>
    <w:p>
      <w:pPr>
        <w:spacing w:after="0" w:line="200" w:lineRule="exact"/>
        <w:rPr>
          <w:sz w:val="20"/>
          <w:szCs w:val="20"/>
          <w:color w:val="auto"/>
        </w:rPr>
      </w:pPr>
    </w:p>
    <w:p>
      <w:pPr>
        <w:spacing w:after="0" w:line="322" w:lineRule="exact"/>
        <w:rPr>
          <w:sz w:val="20"/>
          <w:szCs w:val="20"/>
          <w:color w:val="auto"/>
        </w:rPr>
      </w:pPr>
    </w:p>
    <w:p>
      <w:pPr>
        <w:ind w:left="980" w:right="80"/>
        <w:spacing w:after="0" w:line="324" w:lineRule="auto"/>
        <w:rPr>
          <w:sz w:val="20"/>
          <w:szCs w:val="20"/>
          <w:color w:val="auto"/>
        </w:rPr>
      </w:pPr>
      <w:r>
        <w:rPr>
          <w:rFonts w:ascii="Arial" w:cs="Arial" w:eastAsia="Arial" w:hAnsi="Arial"/>
          <w:sz w:val="17"/>
          <w:szCs w:val="17"/>
          <w:color w:val="auto"/>
        </w:rPr>
        <w:t>Changes in the Covered Person's amount of insurance resulting from a change in the Employee's amount of Annual Compensation take effect, subject to any Active Service requirement, on the effective date of the change in Annual Compensation.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right="300" w:hanging="326"/>
        <w:spacing w:after="0" w:line="293" w:lineRule="auto"/>
        <w:tabs>
          <w:tab w:leader="none" w:pos="64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Effective April 1, 2009, the Employee Principle Sum under the Basic Accidental Death and Dismemberment Benefits section in the </w:t>
      </w:r>
      <w:r>
        <w:rPr>
          <w:rFonts w:ascii="Arial" w:cs="Arial" w:eastAsia="Arial" w:hAnsi="Arial"/>
          <w:sz w:val="18"/>
          <w:szCs w:val="18"/>
          <w:i w:val="1"/>
          <w:iCs w:val="1"/>
          <w:color w:val="auto"/>
        </w:rPr>
        <w:t>Schedule of</w:t>
      </w:r>
      <w:r>
        <w:rPr>
          <w:rFonts w:ascii="Arial" w:cs="Arial" w:eastAsia="Arial" w:hAnsi="Arial"/>
          <w:sz w:val="18"/>
          <w:szCs w:val="18"/>
          <w:color w:val="auto"/>
        </w:rPr>
        <w:t xml:space="preserve"> </w:t>
      </w:r>
      <w:r>
        <w:rPr>
          <w:rFonts w:ascii="Arial" w:cs="Arial" w:eastAsia="Arial" w:hAnsi="Arial"/>
          <w:sz w:val="18"/>
          <w:szCs w:val="18"/>
          <w:i w:val="1"/>
          <w:iCs w:val="1"/>
          <w:color w:val="auto"/>
        </w:rPr>
        <w:t>Benefit</w:t>
      </w:r>
      <w:r>
        <w:rPr>
          <w:rFonts w:ascii="Arial" w:cs="Arial" w:eastAsia="Arial" w:hAnsi="Arial"/>
          <w:sz w:val="18"/>
          <w:szCs w:val="18"/>
          <w:color w:val="auto"/>
        </w:rPr>
        <w:t>s</w:t>
      </w:r>
      <w:r>
        <w:rPr>
          <w:rFonts w:ascii="Arial" w:cs="Arial" w:eastAsia="Arial" w:hAnsi="Arial"/>
          <w:sz w:val="18"/>
          <w:szCs w:val="18"/>
          <w:i w:val="1"/>
          <w:iCs w:val="1"/>
          <w:color w:val="auto"/>
        </w:rPr>
        <w:t xml:space="preserve"> for Class 2 </w:t>
      </w:r>
      <w:r>
        <w:rPr>
          <w:rFonts w:ascii="Arial" w:cs="Arial" w:eastAsia="Arial" w:hAnsi="Arial"/>
          <w:sz w:val="18"/>
          <w:szCs w:val="18"/>
          <w:color w:val="auto"/>
        </w:rPr>
        <w:t>is replaced by the following:</w:t>
      </w:r>
    </w:p>
    <w:p>
      <w:pPr>
        <w:sectPr>
          <w:pgSz w:w="11900" w:h="16838" w:orient="portrait"/>
          <w:cols w:equalWidth="0" w:num="1">
            <w:col w:w="11300"/>
          </w:cols>
          <w:pgMar w:left="360" w:top="121" w:right="239" w:bottom="1440" w:gutter="0" w:footer="0" w:header="0"/>
        </w:sectPr>
      </w:pPr>
    </w:p>
    <w:bookmarkStart w:id="172" w:name="page173"/>
    <w:bookmarkEnd w:id="172"/>
    <w:p>
      <w:pPr>
        <w:ind w:left="660"/>
        <w:spacing w:after="0"/>
        <w:tabs>
          <w:tab w:leader="none" w:pos="2679" w:val="left"/>
        </w:tabs>
        <w:rPr>
          <w:sz w:val="20"/>
          <w:szCs w:val="20"/>
          <w:color w:val="auto"/>
        </w:rPr>
      </w:pPr>
      <w:r>
        <w:rPr>
          <w:rFonts w:ascii="Arial" w:cs="Arial" w:eastAsia="Arial" w:hAnsi="Arial"/>
          <w:sz w:val="18"/>
          <w:szCs w:val="18"/>
          <w:color w:val="auto"/>
        </w:rPr>
        <w:t>Employee Principal Sum:</w:t>
      </w:r>
      <w:r>
        <w:rPr>
          <w:sz w:val="20"/>
          <w:szCs w:val="20"/>
          <w:color w:val="auto"/>
        </w:rPr>
        <w:tab/>
      </w:r>
      <w:r>
        <w:rPr>
          <w:rFonts w:ascii="Arial" w:cs="Arial" w:eastAsia="Arial" w:hAnsi="Arial"/>
          <w:sz w:val="16"/>
          <w:szCs w:val="16"/>
          <w:color w:val="auto"/>
        </w:rPr>
        <w:t>1 times Annual Compensation rounded to the next higher $1,000,</w:t>
      </w:r>
    </w:p>
    <w:p>
      <w:pPr>
        <w:spacing w:after="0" w:line="14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if not already a multiple thereof, subject to a maximum of</w:t>
      </w:r>
    </w:p>
    <w:p>
      <w:pPr>
        <w:spacing w:after="0" w:line="13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$1,000,000</w:t>
      </w:r>
    </w:p>
    <w:p>
      <w:pPr>
        <w:spacing w:after="0" w:line="144" w:lineRule="exact"/>
        <w:rPr>
          <w:sz w:val="20"/>
          <w:szCs w:val="20"/>
          <w:color w:val="auto"/>
        </w:rPr>
      </w:pPr>
    </w:p>
    <w:p>
      <w:pPr>
        <w:ind w:left="900"/>
        <w:spacing w:after="0"/>
        <w:tabs>
          <w:tab w:leader="none" w:pos="1819" w:val="left"/>
        </w:tabs>
        <w:rPr>
          <w:sz w:val="20"/>
          <w:szCs w:val="20"/>
          <w:color w:val="auto"/>
        </w:rPr>
      </w:pPr>
      <w:r>
        <w:rPr>
          <w:rFonts w:ascii="Arial" w:cs="Arial" w:eastAsia="Arial" w:hAnsi="Arial"/>
          <w:sz w:val="18"/>
          <w:szCs w:val="18"/>
          <w:color w:val="auto"/>
        </w:rPr>
        <w:t>Minimum:</w:t>
      </w:r>
      <w:r>
        <w:rPr>
          <w:sz w:val="20"/>
          <w:szCs w:val="20"/>
          <w:color w:val="auto"/>
        </w:rPr>
        <w:tab/>
      </w:r>
      <w:r>
        <w:rPr>
          <w:rFonts w:ascii="Arial" w:cs="Arial" w:eastAsia="Arial" w:hAnsi="Arial"/>
          <w:sz w:val="16"/>
          <w:szCs w:val="16"/>
          <w:color w:val="auto"/>
        </w:rPr>
        <w:t>$50,000</w:t>
      </w:r>
    </w:p>
    <w:p>
      <w:pPr>
        <w:spacing w:after="0" w:line="200" w:lineRule="exact"/>
        <w:rPr>
          <w:sz w:val="20"/>
          <w:szCs w:val="20"/>
          <w:color w:val="auto"/>
        </w:rPr>
      </w:pPr>
    </w:p>
    <w:p>
      <w:pPr>
        <w:spacing w:after="0" w:line="322" w:lineRule="exact"/>
        <w:rPr>
          <w:sz w:val="20"/>
          <w:szCs w:val="20"/>
          <w:color w:val="auto"/>
        </w:rPr>
      </w:pPr>
    </w:p>
    <w:p>
      <w:pPr>
        <w:ind w:left="660"/>
        <w:spacing w:after="0" w:line="324" w:lineRule="auto"/>
        <w:rPr>
          <w:sz w:val="20"/>
          <w:szCs w:val="20"/>
          <w:color w:val="auto"/>
        </w:rPr>
      </w:pPr>
      <w:r>
        <w:rPr>
          <w:rFonts w:ascii="Arial" w:cs="Arial" w:eastAsia="Arial" w:hAnsi="Arial"/>
          <w:sz w:val="17"/>
          <w:szCs w:val="17"/>
          <w:color w:val="auto"/>
        </w:rPr>
        <w:t>Changes in the Covered Person's amount of insurance resulting from a change in the Employee's amount of Annual Compensation take effect, subject to any Active Service requirement, on the effective date of the change in Annual Compensation</w:t>
      </w:r>
    </w:p>
    <w:p>
      <w:pPr>
        <w:spacing w:after="0" w:line="200" w:lineRule="exact"/>
        <w:rPr>
          <w:sz w:val="20"/>
          <w:szCs w:val="20"/>
          <w:color w:val="auto"/>
        </w:rPr>
      </w:pPr>
    </w:p>
    <w:p>
      <w:pPr>
        <w:spacing w:after="0" w:line="299" w:lineRule="exact"/>
        <w:rPr>
          <w:sz w:val="20"/>
          <w:szCs w:val="20"/>
          <w:color w:val="auto"/>
        </w:rPr>
      </w:pPr>
    </w:p>
    <w:p>
      <w:pPr>
        <w:ind w:left="340" w:right="220" w:hanging="340"/>
        <w:spacing w:after="0" w:line="293" w:lineRule="auto"/>
        <w:tabs>
          <w:tab w:leader="none" w:pos="32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Effective April 1, 2009, the Employee Principle Sum under the Basic Accidental Death and Dismemberment Benefits section in the </w:t>
      </w:r>
      <w:r>
        <w:rPr>
          <w:rFonts w:ascii="Arial" w:cs="Arial" w:eastAsia="Arial" w:hAnsi="Arial"/>
          <w:sz w:val="18"/>
          <w:szCs w:val="18"/>
          <w:i w:val="1"/>
          <w:iCs w:val="1"/>
          <w:color w:val="auto"/>
        </w:rPr>
        <w:t>Schedule of</w:t>
      </w:r>
      <w:r>
        <w:rPr>
          <w:rFonts w:ascii="Arial" w:cs="Arial" w:eastAsia="Arial" w:hAnsi="Arial"/>
          <w:sz w:val="18"/>
          <w:szCs w:val="18"/>
          <w:color w:val="auto"/>
        </w:rPr>
        <w:t xml:space="preserve"> </w:t>
      </w:r>
      <w:r>
        <w:rPr>
          <w:rFonts w:ascii="Arial" w:cs="Arial" w:eastAsia="Arial" w:hAnsi="Arial"/>
          <w:sz w:val="18"/>
          <w:szCs w:val="18"/>
          <w:i w:val="1"/>
          <w:iCs w:val="1"/>
          <w:color w:val="auto"/>
        </w:rPr>
        <w:t>Benefit</w:t>
      </w:r>
      <w:r>
        <w:rPr>
          <w:rFonts w:ascii="Arial" w:cs="Arial" w:eastAsia="Arial" w:hAnsi="Arial"/>
          <w:sz w:val="18"/>
          <w:szCs w:val="18"/>
          <w:color w:val="auto"/>
        </w:rPr>
        <w:t>s</w:t>
      </w:r>
      <w:r>
        <w:rPr>
          <w:rFonts w:ascii="Arial" w:cs="Arial" w:eastAsia="Arial" w:hAnsi="Arial"/>
          <w:sz w:val="18"/>
          <w:szCs w:val="18"/>
          <w:i w:val="1"/>
          <w:iCs w:val="1"/>
          <w:color w:val="auto"/>
        </w:rPr>
        <w:t xml:space="preserve"> for Class 6 </w:t>
      </w:r>
      <w:r>
        <w:rPr>
          <w:rFonts w:ascii="Arial" w:cs="Arial" w:eastAsia="Arial" w:hAnsi="Arial"/>
          <w:sz w:val="18"/>
          <w:szCs w:val="18"/>
          <w:color w:val="auto"/>
        </w:rPr>
        <w:t>is replaced by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tabs>
          <w:tab w:leader="none" w:pos="2659" w:val="left"/>
        </w:tabs>
        <w:rPr>
          <w:sz w:val="20"/>
          <w:szCs w:val="20"/>
          <w:color w:val="auto"/>
        </w:rPr>
      </w:pPr>
      <w:r>
        <w:rPr>
          <w:rFonts w:ascii="Arial" w:cs="Arial" w:eastAsia="Arial" w:hAnsi="Arial"/>
          <w:sz w:val="18"/>
          <w:szCs w:val="18"/>
          <w:color w:val="auto"/>
        </w:rPr>
        <w:t>Employee Principal Sum:</w:t>
      </w:r>
      <w:r>
        <w:rPr>
          <w:sz w:val="20"/>
          <w:szCs w:val="20"/>
          <w:color w:val="auto"/>
        </w:rPr>
        <w:tab/>
      </w:r>
      <w:r>
        <w:rPr>
          <w:rFonts w:ascii="Arial" w:cs="Arial" w:eastAsia="Arial" w:hAnsi="Arial"/>
          <w:sz w:val="16"/>
          <w:szCs w:val="16"/>
          <w:color w:val="auto"/>
        </w:rPr>
        <w:t>1 times Annual Compensation rounded to the next higher $1,000,</w:t>
      </w: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if not already a multiple thereof, subject to a maximum of</w:t>
      </w:r>
    </w:p>
    <w:p>
      <w:pPr>
        <w:spacing w:after="0" w:line="14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$1,000,000</w:t>
      </w:r>
    </w:p>
    <w:p>
      <w:pPr>
        <w:spacing w:after="0" w:line="158" w:lineRule="exact"/>
        <w:rPr>
          <w:sz w:val="20"/>
          <w:szCs w:val="20"/>
          <w:color w:val="auto"/>
        </w:rPr>
      </w:pPr>
    </w:p>
    <w:p>
      <w:pPr>
        <w:ind w:left="880"/>
        <w:spacing w:after="0"/>
        <w:tabs>
          <w:tab w:leader="none" w:pos="1799" w:val="left"/>
        </w:tabs>
        <w:rPr>
          <w:sz w:val="20"/>
          <w:szCs w:val="20"/>
          <w:color w:val="auto"/>
        </w:rPr>
      </w:pPr>
      <w:r>
        <w:rPr>
          <w:rFonts w:ascii="Arial" w:cs="Arial" w:eastAsia="Arial" w:hAnsi="Arial"/>
          <w:sz w:val="18"/>
          <w:szCs w:val="18"/>
          <w:color w:val="auto"/>
        </w:rPr>
        <w:t>Minimum:</w:t>
      </w:r>
      <w:r>
        <w:rPr>
          <w:sz w:val="20"/>
          <w:szCs w:val="20"/>
          <w:color w:val="auto"/>
        </w:rPr>
        <w:tab/>
      </w:r>
      <w:r>
        <w:rPr>
          <w:rFonts w:ascii="Arial" w:cs="Arial" w:eastAsia="Arial" w:hAnsi="Arial"/>
          <w:sz w:val="16"/>
          <w:szCs w:val="16"/>
          <w:color w:val="auto"/>
        </w:rPr>
        <w:t>$50,000</w:t>
      </w:r>
    </w:p>
    <w:p>
      <w:pPr>
        <w:spacing w:after="0" w:line="200" w:lineRule="exact"/>
        <w:rPr>
          <w:sz w:val="20"/>
          <w:szCs w:val="20"/>
          <w:color w:val="auto"/>
        </w:rPr>
      </w:pPr>
    </w:p>
    <w:p>
      <w:pPr>
        <w:spacing w:after="0" w:line="322" w:lineRule="exact"/>
        <w:rPr>
          <w:sz w:val="20"/>
          <w:szCs w:val="20"/>
          <w:color w:val="auto"/>
        </w:rPr>
      </w:pPr>
    </w:p>
    <w:p>
      <w:pPr>
        <w:ind w:left="640" w:right="20"/>
        <w:spacing w:after="0" w:line="324" w:lineRule="auto"/>
        <w:rPr>
          <w:sz w:val="20"/>
          <w:szCs w:val="20"/>
          <w:color w:val="auto"/>
        </w:rPr>
      </w:pPr>
      <w:r>
        <w:rPr>
          <w:rFonts w:ascii="Arial" w:cs="Arial" w:eastAsia="Arial" w:hAnsi="Arial"/>
          <w:sz w:val="17"/>
          <w:szCs w:val="17"/>
          <w:color w:val="auto"/>
        </w:rPr>
        <w:t>Changes in the Covered Person's amount of insurance resulting from a change in the Employee's amount of Annual Compensation take effect, subject to any Active Service requirement, on the effective date of the change in Annual Compensation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right="220" w:hanging="340"/>
        <w:spacing w:after="0" w:line="293" w:lineRule="auto"/>
        <w:tabs>
          <w:tab w:leader="none" w:pos="32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Effective April 1, 2009, the Employee Principle Sum under the Basic Accidental Death and Dismemberment Benefits section in the </w:t>
      </w:r>
      <w:r>
        <w:rPr>
          <w:rFonts w:ascii="Arial" w:cs="Arial" w:eastAsia="Arial" w:hAnsi="Arial"/>
          <w:sz w:val="18"/>
          <w:szCs w:val="18"/>
          <w:i w:val="1"/>
          <w:iCs w:val="1"/>
          <w:color w:val="auto"/>
        </w:rPr>
        <w:t>Schedule of</w:t>
      </w:r>
      <w:r>
        <w:rPr>
          <w:rFonts w:ascii="Arial" w:cs="Arial" w:eastAsia="Arial" w:hAnsi="Arial"/>
          <w:sz w:val="18"/>
          <w:szCs w:val="18"/>
          <w:color w:val="auto"/>
        </w:rPr>
        <w:t xml:space="preserve"> </w:t>
      </w:r>
      <w:r>
        <w:rPr>
          <w:rFonts w:ascii="Arial" w:cs="Arial" w:eastAsia="Arial" w:hAnsi="Arial"/>
          <w:sz w:val="18"/>
          <w:szCs w:val="18"/>
          <w:i w:val="1"/>
          <w:iCs w:val="1"/>
          <w:color w:val="auto"/>
        </w:rPr>
        <w:t>Benefit</w:t>
      </w:r>
      <w:r>
        <w:rPr>
          <w:rFonts w:ascii="Arial" w:cs="Arial" w:eastAsia="Arial" w:hAnsi="Arial"/>
          <w:sz w:val="18"/>
          <w:szCs w:val="18"/>
          <w:color w:val="auto"/>
        </w:rPr>
        <w:t>s</w:t>
      </w:r>
      <w:r>
        <w:rPr>
          <w:rFonts w:ascii="Arial" w:cs="Arial" w:eastAsia="Arial" w:hAnsi="Arial"/>
          <w:sz w:val="18"/>
          <w:szCs w:val="18"/>
          <w:i w:val="1"/>
          <w:iCs w:val="1"/>
          <w:color w:val="auto"/>
        </w:rPr>
        <w:t xml:space="preserve"> for Class 7 </w:t>
      </w:r>
      <w:r>
        <w:rPr>
          <w:rFonts w:ascii="Arial" w:cs="Arial" w:eastAsia="Arial" w:hAnsi="Arial"/>
          <w:sz w:val="18"/>
          <w:szCs w:val="18"/>
          <w:color w:val="auto"/>
        </w:rPr>
        <w:t>is replaced by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tabs>
          <w:tab w:leader="none" w:pos="2659" w:val="left"/>
        </w:tabs>
        <w:rPr>
          <w:sz w:val="20"/>
          <w:szCs w:val="20"/>
          <w:color w:val="auto"/>
        </w:rPr>
      </w:pPr>
      <w:r>
        <w:rPr>
          <w:rFonts w:ascii="Arial" w:cs="Arial" w:eastAsia="Arial" w:hAnsi="Arial"/>
          <w:sz w:val="18"/>
          <w:szCs w:val="18"/>
          <w:color w:val="auto"/>
        </w:rPr>
        <w:t>Employee Principal Sum:</w:t>
      </w:r>
      <w:r>
        <w:rPr>
          <w:sz w:val="20"/>
          <w:szCs w:val="20"/>
          <w:color w:val="auto"/>
        </w:rPr>
        <w:tab/>
      </w:r>
      <w:r>
        <w:rPr>
          <w:rFonts w:ascii="Arial" w:cs="Arial" w:eastAsia="Arial" w:hAnsi="Arial"/>
          <w:sz w:val="16"/>
          <w:szCs w:val="16"/>
          <w:color w:val="auto"/>
        </w:rPr>
        <w:t>75% of the Employee’s Annual Compensation rounded to the</w:t>
      </w:r>
    </w:p>
    <w:p>
      <w:pPr>
        <w:spacing w:after="0" w:line="14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next higher $1,000, if not already a multiple thereof, subject to a maximum of $25,000</w:t>
      </w:r>
    </w:p>
    <w:p>
      <w:pPr>
        <w:spacing w:after="0" w:line="200" w:lineRule="exact"/>
        <w:rPr>
          <w:sz w:val="20"/>
          <w:szCs w:val="20"/>
          <w:color w:val="auto"/>
        </w:rPr>
      </w:pPr>
    </w:p>
    <w:p>
      <w:pPr>
        <w:spacing w:after="0" w:line="322" w:lineRule="exact"/>
        <w:rPr>
          <w:sz w:val="20"/>
          <w:szCs w:val="20"/>
          <w:color w:val="auto"/>
        </w:rPr>
      </w:pPr>
    </w:p>
    <w:p>
      <w:pPr>
        <w:ind w:left="640" w:right="20"/>
        <w:spacing w:after="0" w:line="324" w:lineRule="auto"/>
        <w:rPr>
          <w:sz w:val="20"/>
          <w:szCs w:val="20"/>
          <w:color w:val="auto"/>
        </w:rPr>
      </w:pPr>
      <w:r>
        <w:rPr>
          <w:rFonts w:ascii="Arial" w:cs="Arial" w:eastAsia="Arial" w:hAnsi="Arial"/>
          <w:sz w:val="17"/>
          <w:szCs w:val="17"/>
          <w:color w:val="auto"/>
        </w:rPr>
        <w:t>Changes in the Covered Person's amount of insurance resulting from a change in the Employee's amount of Annual Compensation take effect, subject to any Active Service requirement, on the effective date of the change in Annual Compensation</w:t>
      </w:r>
    </w:p>
    <w:p>
      <w:pPr>
        <w:sectPr>
          <w:pgSz w:w="11900" w:h="16838" w:orient="portrait"/>
          <w:cols w:equalWidth="0" w:num="1">
            <w:col w:w="10900"/>
          </w:cols>
          <w:pgMar w:left="680" w:top="1111" w:right="319" w:bottom="1440" w:gutter="0" w:footer="0" w:header="0"/>
        </w:sectPr>
      </w:pPr>
    </w:p>
    <w:bookmarkStart w:id="173" w:name="page174"/>
    <w:bookmarkEnd w:id="173"/>
    <w:p>
      <w:pPr>
        <w:ind w:left="660" w:right="200" w:hanging="340"/>
        <w:spacing w:after="0" w:line="293" w:lineRule="auto"/>
        <w:tabs>
          <w:tab w:leader="none" w:pos="64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Effective April 1, 2009, the Employee Principle Sum under the Basic Accidental Death and Dismemberment Benefits section in the </w:t>
      </w:r>
      <w:r>
        <w:rPr>
          <w:rFonts w:ascii="Arial" w:cs="Arial" w:eastAsia="Arial" w:hAnsi="Arial"/>
          <w:sz w:val="18"/>
          <w:szCs w:val="18"/>
          <w:i w:val="1"/>
          <w:iCs w:val="1"/>
          <w:color w:val="auto"/>
        </w:rPr>
        <w:t>Schedule of</w:t>
      </w:r>
      <w:r>
        <w:rPr>
          <w:rFonts w:ascii="Arial" w:cs="Arial" w:eastAsia="Arial" w:hAnsi="Arial"/>
          <w:sz w:val="18"/>
          <w:szCs w:val="18"/>
          <w:color w:val="auto"/>
        </w:rPr>
        <w:t xml:space="preserve"> </w:t>
      </w:r>
      <w:r>
        <w:rPr>
          <w:rFonts w:ascii="Arial" w:cs="Arial" w:eastAsia="Arial" w:hAnsi="Arial"/>
          <w:sz w:val="18"/>
          <w:szCs w:val="18"/>
          <w:i w:val="1"/>
          <w:iCs w:val="1"/>
          <w:color w:val="auto"/>
        </w:rPr>
        <w:t>Benefit</w:t>
      </w:r>
      <w:r>
        <w:rPr>
          <w:rFonts w:ascii="Arial" w:cs="Arial" w:eastAsia="Arial" w:hAnsi="Arial"/>
          <w:sz w:val="18"/>
          <w:szCs w:val="18"/>
          <w:color w:val="auto"/>
        </w:rPr>
        <w:t>s</w:t>
      </w:r>
      <w:r>
        <w:rPr>
          <w:rFonts w:ascii="Arial" w:cs="Arial" w:eastAsia="Arial" w:hAnsi="Arial"/>
          <w:sz w:val="18"/>
          <w:szCs w:val="18"/>
          <w:i w:val="1"/>
          <w:iCs w:val="1"/>
          <w:color w:val="auto"/>
        </w:rPr>
        <w:t xml:space="preserve"> for Class 15 </w:t>
      </w:r>
      <w:r>
        <w:rPr>
          <w:rFonts w:ascii="Arial" w:cs="Arial" w:eastAsia="Arial" w:hAnsi="Arial"/>
          <w:sz w:val="18"/>
          <w:szCs w:val="18"/>
          <w:color w:val="auto"/>
        </w:rPr>
        <w:t>is replaced by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60"/>
        <w:spacing w:after="0"/>
        <w:tabs>
          <w:tab w:leader="none" w:pos="2980" w:val="left"/>
        </w:tabs>
        <w:rPr>
          <w:sz w:val="20"/>
          <w:szCs w:val="20"/>
          <w:color w:val="auto"/>
        </w:rPr>
      </w:pPr>
      <w:r>
        <w:rPr>
          <w:rFonts w:ascii="Arial" w:cs="Arial" w:eastAsia="Arial" w:hAnsi="Arial"/>
          <w:sz w:val="18"/>
          <w:szCs w:val="18"/>
          <w:color w:val="auto"/>
        </w:rPr>
        <w:t>Employee Principal Sum:</w:t>
      </w:r>
      <w:r>
        <w:rPr>
          <w:sz w:val="20"/>
          <w:szCs w:val="20"/>
          <w:color w:val="auto"/>
        </w:rPr>
        <w:tab/>
      </w:r>
      <w:r>
        <w:rPr>
          <w:rFonts w:ascii="Arial" w:cs="Arial" w:eastAsia="Arial" w:hAnsi="Arial"/>
          <w:sz w:val="16"/>
          <w:szCs w:val="16"/>
          <w:color w:val="auto"/>
        </w:rPr>
        <w:t>1 times Annual Compensation rounded to the next higher $1,000,</w:t>
      </w:r>
    </w:p>
    <w:p>
      <w:pPr>
        <w:spacing w:after="0" w:line="14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if not already a multiple thereof, subject to a maximum of</w:t>
      </w:r>
    </w:p>
    <w:p>
      <w:pPr>
        <w:spacing w:after="0" w:line="1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$50,000</w:t>
      </w:r>
    </w:p>
    <w:p>
      <w:pPr>
        <w:spacing w:after="0" w:line="200" w:lineRule="exact"/>
        <w:rPr>
          <w:sz w:val="20"/>
          <w:szCs w:val="20"/>
          <w:color w:val="auto"/>
        </w:rPr>
      </w:pPr>
    </w:p>
    <w:p>
      <w:pPr>
        <w:spacing w:after="0" w:line="309" w:lineRule="exact"/>
        <w:rPr>
          <w:sz w:val="20"/>
          <w:szCs w:val="20"/>
          <w:color w:val="auto"/>
        </w:rPr>
      </w:pPr>
    </w:p>
    <w:p>
      <w:pPr>
        <w:ind w:left="960"/>
        <w:spacing w:after="0" w:line="324" w:lineRule="auto"/>
        <w:rPr>
          <w:sz w:val="20"/>
          <w:szCs w:val="20"/>
          <w:color w:val="auto"/>
        </w:rPr>
      </w:pPr>
      <w:r>
        <w:rPr>
          <w:rFonts w:ascii="Arial" w:cs="Arial" w:eastAsia="Arial" w:hAnsi="Arial"/>
          <w:sz w:val="17"/>
          <w:szCs w:val="17"/>
          <w:color w:val="auto"/>
        </w:rPr>
        <w:t>Changes in the Covered Person's amount of insurance resulting from a change in the Employee's amount of Annual Compensation take effect, subject to any Active Service requirement, on the effective date of the change in Annual Compensation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above, this Amendment does not change the Policy in any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920"/>
        <w:spacing w:after="0"/>
        <w:rPr>
          <w:sz w:val="20"/>
          <w:szCs w:val="20"/>
          <w:color w:val="auto"/>
        </w:rPr>
      </w:pPr>
      <w:r>
        <w:rPr>
          <w:rFonts w:ascii="Arial" w:cs="Arial" w:eastAsia="Arial" w:hAnsi="Arial"/>
          <w:sz w:val="20"/>
          <w:szCs w:val="20"/>
          <w:b w:val="1"/>
          <w:bCs w:val="1"/>
          <w:color w:val="auto"/>
        </w:rPr>
        <w:t>Life Insurance Company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357505</wp:posOffset>
            </wp:positionV>
            <wp:extent cx="162941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2">
                      <a:extLst>
                        <a:ext uri="{28A0092B-C50C-407E-A947-70E740481C1C}"/>
                      </a:extLst>
                    </a:blip>
                    <a:srcRect/>
                    <a:stretch>
                      <a:fillRect/>
                    </a:stretch>
                  </pic:blipFill>
                  <pic:spPr bwMode="auto">
                    <a:xfrm>
                      <a:off x="0" y="0"/>
                      <a:ext cx="16294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Karen S. Rohan, President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2009 Amendment No. R-2 GA-00-4000.00</w:t>
      </w:r>
    </w:p>
    <w:p>
      <w:pPr>
        <w:sectPr>
          <w:pgSz w:w="11900" w:h="16838" w:orient="portrait"/>
          <w:cols w:equalWidth="0" w:num="1">
            <w:col w:w="11200"/>
          </w:cols>
          <w:pgMar w:left="360" w:top="382"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10(y)</w:t>
      </w:r>
    </w:p>
    <w:p>
      <w:pPr>
        <w:spacing w:after="0" w:line="332"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AMENDMENT NO. 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This amendment forms a part of Group Policy No. 587628 002 issued to the Policyholder: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The entire policy is replaced by the policy attached 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20"/>
        <w:spacing w:after="0" w:line="249" w:lineRule="auto"/>
        <w:rPr>
          <w:sz w:val="20"/>
          <w:szCs w:val="20"/>
          <w:color w:val="auto"/>
        </w:rPr>
      </w:pPr>
      <w:r>
        <w:rPr>
          <w:rFonts w:ascii="Arial" w:cs="Arial" w:eastAsia="Arial" w:hAnsi="Arial"/>
          <w:sz w:val="22"/>
          <w:szCs w:val="22"/>
          <w:color w:val="auto"/>
        </w:rPr>
        <w:t>The effective date of these changes is January 1, 2017. The changes only apply to disabilities which start on or after the effective date.</w:t>
      </w:r>
    </w:p>
    <w:p>
      <w:pPr>
        <w:spacing w:after="0" w:line="258" w:lineRule="exact"/>
        <w:rPr>
          <w:sz w:val="20"/>
          <w:szCs w:val="20"/>
          <w:color w:val="auto"/>
        </w:rPr>
      </w:pPr>
    </w:p>
    <w:p>
      <w:pPr>
        <w:ind w:right="680"/>
        <w:spacing w:after="0" w:line="429" w:lineRule="auto"/>
        <w:rPr>
          <w:sz w:val="20"/>
          <w:szCs w:val="20"/>
          <w:color w:val="auto"/>
        </w:rPr>
      </w:pPr>
      <w:r>
        <w:rPr>
          <w:rFonts w:ascii="Arial" w:cs="Arial" w:eastAsia="Arial" w:hAnsi="Arial"/>
          <w:sz w:val="22"/>
          <w:szCs w:val="22"/>
          <w:color w:val="auto"/>
        </w:rPr>
        <w:t>The policy's terms and provisions will apply other than as stated in this amendment. Dated at Portland, Maine on December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-55245</wp:posOffset>
            </wp:positionV>
            <wp:extent cx="1715135"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3">
                      <a:extLst>
                        <a:ext uri="{28A0092B-C50C-407E-A947-70E740481C1C}"/>
                      </a:extLst>
                    </a:blip>
                    <a:srcRect/>
                    <a:stretch>
                      <a:fillRect/>
                    </a:stretch>
                  </pic:blipFill>
                  <pic:spPr bwMode="auto">
                    <a:xfrm>
                      <a:off x="0" y="0"/>
                      <a:ext cx="1715135" cy="54864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Unum Life Insurance Company of America By</w:t>
      </w:r>
    </w:p>
    <w:p>
      <w:pPr>
        <w:spacing w:after="0" w:line="5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90" w:lineRule="exact"/>
        <w:rPr>
          <w:sz w:val="20"/>
          <w:szCs w:val="20"/>
          <w:color w:val="auto"/>
        </w:rPr>
      </w:pPr>
    </w:p>
    <w:p>
      <w:pPr>
        <w:ind w:right="140"/>
        <w:spacing w:after="0" w:line="249" w:lineRule="auto"/>
        <w:rPr>
          <w:sz w:val="20"/>
          <w:szCs w:val="20"/>
          <w:color w:val="auto"/>
        </w:rPr>
      </w:pPr>
      <w:r>
        <w:rPr>
          <w:rFonts w:ascii="Arial" w:cs="Arial" w:eastAsia="Arial" w:hAnsi="Arial"/>
          <w:sz w:val="22"/>
          <w:szCs w:val="22"/>
          <w:color w:val="auto"/>
        </w:rPr>
        <w:t>If this amendment is unacceptable, please sign below and return this amendment to Unum Life Insurance Company of America at Portland, Maine within 90 days of December 29, 2016.</w:t>
      </w:r>
    </w:p>
    <w:p>
      <w:pPr>
        <w:spacing w:after="0" w:line="219" w:lineRule="exact"/>
        <w:rPr>
          <w:sz w:val="20"/>
          <w:szCs w:val="20"/>
          <w:color w:val="auto"/>
        </w:rPr>
      </w:pPr>
    </w:p>
    <w:p>
      <w:pPr>
        <w:ind w:right="160"/>
        <w:spacing w:after="0" w:line="274" w:lineRule="auto"/>
        <w:rPr>
          <w:sz w:val="20"/>
          <w:szCs w:val="20"/>
          <w:color w:val="auto"/>
        </w:rPr>
      </w:pPr>
      <w:r>
        <w:rPr>
          <w:rFonts w:ascii="Arial" w:cs="Arial" w:eastAsia="Arial" w:hAnsi="Arial"/>
          <w:sz w:val="22"/>
          <w:szCs w:val="22"/>
          <w:b w:val="1"/>
          <w:bCs w:val="1"/>
          <w:color w:val="auto"/>
        </w:rPr>
        <w:t>YOUR FAILURE TO SIGN AND RETURN THIS AMENDMENT BY THAT DATE WILL CONSTITUTE ACCEPTANCE OF THIS AMENDMENT.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Northrop Grumman Corporation</w:t>
      </w:r>
    </w:p>
    <w:p>
      <w:pPr>
        <w:spacing w:after="0" w:line="200" w:lineRule="exact"/>
        <w:rPr>
          <w:sz w:val="20"/>
          <w:szCs w:val="20"/>
          <w:color w:val="auto"/>
        </w:rPr>
      </w:pPr>
    </w:p>
    <w:p>
      <w:pPr>
        <w:spacing w:after="0" w:line="290"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Signature and Title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-27305</wp:posOffset>
            </wp:positionV>
            <wp:extent cx="152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4">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5" w:name="page176"/>
    <w:bookmarkEnd w:id="175"/>
    <w:p>
      <w:pPr>
        <w:jc w:val="center"/>
        <w:ind w:right="-119"/>
        <w:spacing w:after="0"/>
        <w:rPr>
          <w:sz w:val="20"/>
          <w:szCs w:val="20"/>
          <w:color w:val="auto"/>
        </w:rPr>
      </w:pPr>
      <w:r>
        <w:rPr>
          <w:rFonts w:ascii="Arial" w:cs="Arial" w:eastAsia="Arial" w:hAnsi="Arial"/>
          <w:sz w:val="22"/>
          <w:szCs w:val="22"/>
          <w:b w:val="1"/>
          <w:bCs w:val="1"/>
          <w:color w:val="auto"/>
        </w:rPr>
        <w:t>GROUP INSURANCE POLICY NON-PARTICIPATING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2020" w:val="left"/>
        </w:tabs>
        <w:rPr>
          <w:sz w:val="20"/>
          <w:szCs w:val="20"/>
          <w:color w:val="auto"/>
        </w:rPr>
      </w:pPr>
      <w:r>
        <w:rPr>
          <w:rFonts w:ascii="Arial" w:cs="Arial" w:eastAsia="Arial" w:hAnsi="Arial"/>
          <w:sz w:val="22"/>
          <w:szCs w:val="22"/>
          <w:b w:val="1"/>
          <w:bCs w:val="1"/>
          <w:color w:val="auto"/>
        </w:rPr>
        <w:t>POLICYHOLDER:</w:t>
      </w:r>
      <w:r>
        <w:rPr>
          <w:sz w:val="20"/>
          <w:szCs w:val="20"/>
          <w:color w:val="auto"/>
        </w:rPr>
        <w:tab/>
      </w:r>
      <w:r>
        <w:rPr>
          <w:rFonts w:ascii="Arial" w:cs="Arial" w:eastAsia="Arial" w:hAnsi="Arial"/>
          <w:sz w:val="21"/>
          <w:szCs w:val="21"/>
          <w:color w:val="auto"/>
        </w:rPr>
        <w:t>Northrop Grumman Corporation</w:t>
      </w:r>
    </w:p>
    <w:p>
      <w:pPr>
        <w:spacing w:after="0" w:line="179" w:lineRule="exact"/>
        <w:rPr>
          <w:sz w:val="20"/>
          <w:szCs w:val="20"/>
          <w:color w:val="auto"/>
        </w:rPr>
      </w:pPr>
    </w:p>
    <w:p>
      <w:pPr>
        <w:spacing w:after="0"/>
        <w:tabs>
          <w:tab w:leader="none" w:pos="2120" w:val="left"/>
        </w:tabs>
        <w:rPr>
          <w:sz w:val="20"/>
          <w:szCs w:val="20"/>
          <w:color w:val="auto"/>
        </w:rPr>
      </w:pPr>
      <w:r>
        <w:rPr>
          <w:rFonts w:ascii="Arial" w:cs="Arial" w:eastAsia="Arial" w:hAnsi="Arial"/>
          <w:sz w:val="22"/>
          <w:szCs w:val="22"/>
          <w:b w:val="1"/>
          <w:bCs w:val="1"/>
          <w:color w:val="auto"/>
        </w:rPr>
        <w:t>POLICY NUMBER:</w:t>
      </w:r>
      <w:r>
        <w:rPr>
          <w:sz w:val="20"/>
          <w:szCs w:val="20"/>
          <w:color w:val="auto"/>
        </w:rPr>
        <w:tab/>
      </w:r>
      <w:r>
        <w:rPr>
          <w:rFonts w:ascii="Arial" w:cs="Arial" w:eastAsia="Arial" w:hAnsi="Arial"/>
          <w:sz w:val="21"/>
          <w:szCs w:val="21"/>
          <w:color w:val="auto"/>
        </w:rPr>
        <w:t>587628 002</w:t>
      </w:r>
    </w:p>
    <w:p>
      <w:pPr>
        <w:spacing w:after="0" w:line="274" w:lineRule="exact"/>
        <w:rPr>
          <w:sz w:val="20"/>
          <w:szCs w:val="20"/>
          <w:color w:val="auto"/>
        </w:rPr>
      </w:pPr>
    </w:p>
    <w:p>
      <w:pPr>
        <w:spacing w:after="0"/>
        <w:tabs>
          <w:tab w:leader="none" w:pos="2980" w:val="left"/>
        </w:tabs>
        <w:rPr>
          <w:sz w:val="20"/>
          <w:szCs w:val="20"/>
          <w:color w:val="auto"/>
        </w:rPr>
      </w:pPr>
      <w:r>
        <w:rPr>
          <w:rFonts w:ascii="Arial" w:cs="Arial" w:eastAsia="Arial" w:hAnsi="Arial"/>
          <w:sz w:val="22"/>
          <w:szCs w:val="22"/>
          <w:b w:val="1"/>
          <w:bCs w:val="1"/>
          <w:color w:val="auto"/>
        </w:rPr>
        <w:t>POLICY EFFECTIVE DATE:</w:t>
      </w:r>
      <w:r>
        <w:rPr>
          <w:sz w:val="20"/>
          <w:szCs w:val="20"/>
          <w:color w:val="auto"/>
        </w:rPr>
        <w:tab/>
      </w:r>
      <w:r>
        <w:rPr>
          <w:rFonts w:ascii="Arial" w:cs="Arial" w:eastAsia="Arial" w:hAnsi="Arial"/>
          <w:sz w:val="21"/>
          <w:szCs w:val="21"/>
          <w:color w:val="auto"/>
        </w:rPr>
        <w:t xml:space="preserve">July 1, 2006 </w:t>
      </w:r>
      <w:r>
        <w:rPr>
          <w:rFonts w:ascii="Arial" w:cs="Arial" w:eastAsia="Arial" w:hAnsi="Arial"/>
          <w:sz w:val="21"/>
          <w:szCs w:val="21"/>
          <w:b w:val="1"/>
          <w:bCs w:val="1"/>
          <w:color w:val="auto"/>
        </w:rPr>
        <w:t>POLICY ANNIVERSARY DATE:</w:t>
      </w:r>
      <w:r>
        <w:rPr>
          <w:rFonts w:ascii="Arial" w:cs="Arial" w:eastAsia="Arial" w:hAnsi="Arial"/>
          <w:sz w:val="21"/>
          <w:szCs w:val="21"/>
          <w:color w:val="auto"/>
        </w:rPr>
        <w:t xml:space="preserve"> January 1 </w:t>
      </w:r>
      <w:r>
        <w:rPr>
          <w:rFonts w:ascii="Arial" w:cs="Arial" w:eastAsia="Arial" w:hAnsi="Arial"/>
          <w:sz w:val="21"/>
          <w:szCs w:val="21"/>
          <w:b w:val="1"/>
          <w:bCs w:val="1"/>
          <w:color w:val="auto"/>
        </w:rPr>
        <w:t>GOVERNING</w:t>
      </w:r>
    </w:p>
    <w:p>
      <w:pPr>
        <w:spacing w:after="0" w:line="193"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b w:val="1"/>
          <w:bCs w:val="1"/>
          <w:color w:val="auto"/>
        </w:rPr>
        <w:t>JURISDICTION:</w:t>
      </w:r>
      <w:r>
        <w:rPr>
          <w:sz w:val="20"/>
          <w:szCs w:val="20"/>
          <w:color w:val="auto"/>
        </w:rPr>
        <w:tab/>
      </w:r>
      <w:r>
        <w:rPr>
          <w:rFonts w:ascii="Arial" w:cs="Arial" w:eastAsia="Arial" w:hAnsi="Arial"/>
          <w:sz w:val="21"/>
          <w:szCs w:val="21"/>
          <w:color w:val="auto"/>
        </w:rPr>
        <w:t>Virginia</w:t>
      </w:r>
    </w:p>
    <w:p>
      <w:pPr>
        <w:spacing w:after="0" w:line="151"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Unum Life Insurance Company of America (referred to as Unum) will provide benefits under this policy. Unum makes this promise subject to all of this policy's provisions.</w:t>
      </w:r>
    </w:p>
    <w:p>
      <w:pPr>
        <w:spacing w:after="0" w:line="245" w:lineRule="exact"/>
        <w:rPr>
          <w:sz w:val="20"/>
          <w:szCs w:val="20"/>
          <w:color w:val="auto"/>
        </w:rPr>
      </w:pPr>
    </w:p>
    <w:p>
      <w:pPr>
        <w:ind w:right="240"/>
        <w:spacing w:after="0" w:line="246" w:lineRule="auto"/>
        <w:rPr>
          <w:sz w:val="20"/>
          <w:szCs w:val="20"/>
          <w:color w:val="auto"/>
        </w:rPr>
      </w:pPr>
      <w:r>
        <w:rPr>
          <w:rFonts w:ascii="Arial" w:cs="Arial" w:eastAsia="Arial" w:hAnsi="Arial"/>
          <w:sz w:val="22"/>
          <w:szCs w:val="22"/>
          <w:color w:val="auto"/>
        </w:rPr>
        <w:t>The policyholder should read this policy carefully and contact Unum promptly with any questions. This policy is delivered in and is governed by the laws of the governing jurisdiction and to the extent applicable by the Employee Retirement Income Security Act of 1974 (ERISA) and any amendments. This policy consists of:</w:t>
      </w:r>
    </w:p>
    <w:p>
      <w:pPr>
        <w:spacing w:after="0" w:line="181" w:lineRule="exact"/>
        <w:rPr>
          <w:sz w:val="20"/>
          <w:szCs w:val="20"/>
          <w:color w:val="auto"/>
        </w:rPr>
      </w:pPr>
    </w:p>
    <w:p>
      <w:pPr>
        <w:ind w:left="180" w:hanging="171"/>
        <w:spacing w:after="0"/>
        <w:tabs>
          <w:tab w:leader="none" w:pos="18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all policy provisions and any amendments and/or attachments issued;</w:t>
      </w:r>
    </w:p>
    <w:p>
      <w:pPr>
        <w:spacing w:after="0" w:line="17" w:lineRule="exact"/>
        <w:rPr>
          <w:rFonts w:ascii="Arial" w:cs="Arial" w:eastAsia="Arial" w:hAnsi="Arial"/>
          <w:sz w:val="22"/>
          <w:szCs w:val="22"/>
          <w:color w:val="auto"/>
        </w:rPr>
      </w:pPr>
    </w:p>
    <w:p>
      <w:pPr>
        <w:ind w:left="540" w:hanging="531"/>
        <w:spacing w:after="0"/>
        <w:tabs>
          <w:tab w:leader="none" w:pos="54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employees' signed applications; and</w:t>
      </w:r>
    </w:p>
    <w:p>
      <w:pPr>
        <w:spacing w:after="0" w:line="3" w:lineRule="exact"/>
        <w:rPr>
          <w:rFonts w:ascii="Arial" w:cs="Arial" w:eastAsia="Arial" w:hAnsi="Arial"/>
          <w:sz w:val="22"/>
          <w:szCs w:val="22"/>
          <w:color w:val="auto"/>
        </w:rPr>
      </w:pPr>
    </w:p>
    <w:p>
      <w:pPr>
        <w:ind w:left="540" w:hanging="531"/>
        <w:spacing w:after="0"/>
        <w:tabs>
          <w:tab w:leader="none" w:pos="54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certificate of coverage.</w:t>
      </w:r>
    </w:p>
    <w:p>
      <w:pPr>
        <w:spacing w:after="0" w:line="233" w:lineRule="exact"/>
        <w:rPr>
          <w:sz w:val="20"/>
          <w:szCs w:val="20"/>
          <w:color w:val="auto"/>
        </w:rPr>
      </w:pPr>
    </w:p>
    <w:p>
      <w:pPr>
        <w:jc w:val="both"/>
        <w:ind w:right="340"/>
        <w:spacing w:after="0" w:line="246" w:lineRule="auto"/>
        <w:rPr>
          <w:sz w:val="20"/>
          <w:szCs w:val="20"/>
          <w:color w:val="auto"/>
        </w:rPr>
      </w:pPr>
      <w:r>
        <w:rPr>
          <w:rFonts w:ascii="Arial" w:cs="Arial" w:eastAsia="Arial" w:hAnsi="Arial"/>
          <w:sz w:val="22"/>
          <w:szCs w:val="22"/>
          <w:color w:val="auto"/>
        </w:rPr>
        <w:t>This policy may be changed in whole or in part. Only an officer or a registrar of Unum can approve a change. The approval must be in writing and endorsed on or attached to this policy. No other person, including an agent, may change this policy or waive any part of it.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Signed for Unum at Portland, Maine on the Policy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194945</wp:posOffset>
            </wp:positionV>
            <wp:extent cx="3395980" cy="652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5">
                      <a:extLst>
                        <a:ext uri="{28A0092B-C50C-407E-A947-70E740481C1C}"/>
                      </a:extLst>
                    </a:blip>
                    <a:srcRect/>
                    <a:stretch>
                      <a:fillRect/>
                    </a:stretch>
                  </pic:blipFill>
                  <pic:spPr bwMode="auto">
                    <a:xfrm>
                      <a:off x="0" y="0"/>
                      <a:ext cx="3395980" cy="65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22"/>
          <w:szCs w:val="22"/>
          <w:color w:val="auto"/>
        </w:rPr>
        <w:t>President</w:t>
        <w:tab/>
        <w:t>Secretary</w:t>
      </w:r>
    </w:p>
    <w:p>
      <w:pPr>
        <w:spacing w:after="0" w:line="233"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Unum Life Insurance Company of America 2211 Congress Street</w:t>
      </w:r>
    </w:p>
    <w:p>
      <w:pPr>
        <w:spacing w:after="0" w:line="4"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Portland, Maine 04122</w:t>
      </w:r>
    </w:p>
    <w:p>
      <w:pPr>
        <w:sectPr>
          <w:pgSz w:w="11900" w:h="16838" w:orient="portrait"/>
          <w:cols w:equalWidth="0" w:num="1">
            <w:col w:w="11160"/>
          </w:cols>
          <w:pgMar w:left="320" w:top="445" w:right="419" w:bottom="1440" w:gutter="0" w:footer="0" w:header="0"/>
        </w:sectPr>
      </w:pPr>
    </w:p>
    <w:bookmarkStart w:id="176" w:name="page177"/>
    <w:bookmarkEnd w:id="176"/>
    <w:p>
      <w:pPr>
        <w:ind w:left="3060"/>
        <w:spacing w:after="0"/>
        <w:rPr>
          <w:sz w:val="20"/>
          <w:szCs w:val="20"/>
          <w:color w:val="auto"/>
        </w:rPr>
      </w:pPr>
      <w:r>
        <w:rPr>
          <w:rFonts w:ascii="Arial" w:cs="Arial" w:eastAsia="Arial" w:hAnsi="Arial"/>
          <w:sz w:val="22"/>
          <w:szCs w:val="22"/>
          <w:b w:val="1"/>
          <w:bCs w:val="1"/>
          <w:color w:val="auto"/>
        </w:rPr>
        <w:t>TABLE OF CONTENTS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BENEFITS AT A GLANCE .............................................................................................B@G-LTD-1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LONG TERM DISABILITY PLAN ...................................................................................B@G-LTD-1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CLAIM INFORMATION ..................................................................................................LTD-CLM-1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LONG TERM DISABILITY..............................................................................................LTD-CLM-1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POLICYHOLDER PROVISIONS ....................................................................................EMPLOYER-1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CERTIFICATE SECTION ...............................................................................................CC.FP-1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GENERAL PROVISIONS ...............................................................................................EMPLOYEE-1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LONG TERM DISABILITY..............................................................................................LTD-BEN-1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BENEFIT INFORMATION ..............................................................................................LTD-BEN-1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OTHER BENEFIT FEATURES.......................................................................................LTD-OTR-1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OTHER SERVICES........................................................................................................SERVICES-1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GLOSSARY....................................................................................................................GLOSSARY-1</w:t>
      </w:r>
    </w:p>
    <w:p>
      <w:pPr>
        <w:sectPr>
          <w:pgSz w:w="11900" w:h="16838" w:orient="portrait"/>
          <w:cols w:equalWidth="0" w:num="1">
            <w:col w:w="10139"/>
          </w:cols>
          <w:pgMar w:left="320" w:top="431" w:right="1440"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25"/>
          <w:szCs w:val="25"/>
          <w:b w:val="1"/>
          <w:bCs w:val="1"/>
          <w:color w:val="auto"/>
        </w:rPr>
        <w:t>BENEFITS AT A GLANCE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LONG TERM DISABILITY PLAN</w:t>
      </w:r>
    </w:p>
    <w:p>
      <w:pPr>
        <w:spacing w:after="0" w:line="18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This long term disability plan provides financial protection for you by paying a portion of your income while you are disabled. The amount you receive is based on the amount you earned before your disability began. In some cases, you can receive disability payments even if you work while you are disabled.</w:t>
      </w:r>
    </w:p>
    <w:p>
      <w:pPr>
        <w:spacing w:after="0" w:line="114"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b w:val="1"/>
          <w:bCs w:val="1"/>
          <w:color w:val="auto"/>
        </w:rPr>
        <w:t>EMPLOYER'S ORIGINAL PLAN EFFECTIVE DATE:</w:t>
      </w:r>
      <w:r>
        <w:rPr>
          <w:sz w:val="20"/>
          <w:szCs w:val="20"/>
          <w:color w:val="auto"/>
        </w:rPr>
        <w:tab/>
      </w:r>
      <w:r>
        <w:rPr>
          <w:rFonts w:ascii="Arial" w:cs="Arial" w:eastAsia="Arial" w:hAnsi="Arial"/>
          <w:sz w:val="17"/>
          <w:szCs w:val="17"/>
          <w:color w:val="auto"/>
        </w:rPr>
        <w:t>July 1, 2006</w:t>
      </w:r>
    </w:p>
    <w:p>
      <w:pPr>
        <w:spacing w:after="0" w:line="131"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POLICY NUMBER:</w:t>
      </w:r>
      <w:r>
        <w:rPr>
          <w:sz w:val="20"/>
          <w:szCs w:val="20"/>
          <w:color w:val="auto"/>
        </w:rPr>
        <w:tab/>
      </w:r>
      <w:r>
        <w:rPr>
          <w:rFonts w:ascii="Arial" w:cs="Arial" w:eastAsia="Arial" w:hAnsi="Arial"/>
          <w:sz w:val="17"/>
          <w:szCs w:val="17"/>
          <w:color w:val="auto"/>
        </w:rPr>
        <w:t>587628 002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GROUP(S):</w:t>
      </w:r>
    </w:p>
    <w:p>
      <w:pPr>
        <w:spacing w:after="0" w:line="220" w:lineRule="exact"/>
        <w:rPr>
          <w:sz w:val="20"/>
          <w:szCs w:val="20"/>
          <w:color w:val="auto"/>
        </w:rPr>
      </w:pPr>
    </w:p>
    <w:p>
      <w:pPr>
        <w:ind w:right="3000" w:firstLine="648"/>
        <w:spacing w:after="0" w:line="446" w:lineRule="auto"/>
        <w:rPr>
          <w:sz w:val="20"/>
          <w:szCs w:val="20"/>
          <w:color w:val="auto"/>
        </w:rPr>
      </w:pPr>
      <w:r>
        <w:rPr>
          <w:rFonts w:ascii="Arial" w:cs="Arial" w:eastAsia="Arial" w:hAnsi="Arial"/>
          <w:sz w:val="18"/>
          <w:szCs w:val="18"/>
          <w:color w:val="auto"/>
        </w:rPr>
        <w:t xml:space="preserve">All elected or appointed officers in active employment who are elected by the Board of Directors </w:t>
      </w:r>
      <w:r>
        <w:rPr>
          <w:rFonts w:ascii="Arial" w:cs="Arial" w:eastAsia="Arial" w:hAnsi="Arial"/>
          <w:sz w:val="18"/>
          <w:szCs w:val="18"/>
          <w:b w:val="1"/>
          <w:bCs w:val="1"/>
          <w:color w:val="auto"/>
        </w:rPr>
        <w:t>MINIMUM HOURS REQUIREMENT: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Employees must be working at least 20 hours per week.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WAITING PERIOD:</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employees in an eligible group on or before July 1, 2006: None For employees entering an eligible group after July 1, 2006: None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PRIOR SERVICE:</w:t>
      </w:r>
    </w:p>
    <w:p>
      <w:pPr>
        <w:spacing w:after="0" w:line="247" w:lineRule="exact"/>
        <w:rPr>
          <w:sz w:val="20"/>
          <w:szCs w:val="20"/>
          <w:color w:val="auto"/>
        </w:rPr>
      </w:pPr>
    </w:p>
    <w:p>
      <w:pPr>
        <w:ind w:left="660" w:right="80"/>
        <w:spacing w:after="0" w:line="227" w:lineRule="auto"/>
        <w:rPr>
          <w:sz w:val="20"/>
          <w:szCs w:val="20"/>
          <w:color w:val="auto"/>
        </w:rPr>
      </w:pPr>
      <w:r>
        <w:rPr>
          <w:rFonts w:ascii="Arial" w:cs="Arial" w:eastAsia="Arial" w:hAnsi="Arial"/>
          <w:sz w:val="18"/>
          <w:szCs w:val="18"/>
          <w:color w:val="auto"/>
        </w:rPr>
        <w:t>Unum will apply any prior period of work with your Employer toward the pre-existing condition period for the purpose of satisfying the pre-existing condition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COVERAGE: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Your Employer pays the cost of your coverage.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 PERIOD: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 months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Benefits begin the day after the elimination period is completed.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BENEFIT: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65% of monthly earnings to a maximum benefit of $15,000 per month.</w:t>
      </w:r>
    </w:p>
    <w:p>
      <w:pPr>
        <w:spacing w:after="0" w:line="136" w:lineRule="exact"/>
        <w:rPr>
          <w:sz w:val="20"/>
          <w:szCs w:val="20"/>
          <w:color w:val="auto"/>
        </w:rPr>
      </w:pPr>
    </w:p>
    <w:p>
      <w:pPr>
        <w:ind w:left="660" w:right="580"/>
        <w:spacing w:after="0"/>
        <w:rPr>
          <w:sz w:val="20"/>
          <w:szCs w:val="20"/>
          <w:color w:val="auto"/>
        </w:rPr>
      </w:pPr>
      <w:r>
        <w:rPr>
          <w:rFonts w:ascii="Arial" w:cs="Arial" w:eastAsia="Arial" w:hAnsi="Arial"/>
          <w:sz w:val="18"/>
          <w:szCs w:val="18"/>
          <w:b w:val="1"/>
          <w:bCs w:val="1"/>
          <w:color w:val="auto"/>
        </w:rPr>
        <w:t>Your payment may be reduced by deductible sources of income and disability earnings. Some disabilities may not be covered or may have limited coverage under this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PERIOD OF PAYMENT:</w:t>
      </w:r>
    </w:p>
    <w:p>
      <w:pPr>
        <w:spacing w:after="0" w:line="16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u w:val="single" w:color="auto"/>
          <w:color w:val="auto"/>
        </w:rPr>
        <w:t>Age at Disability</w:t>
        <w:tab/>
        <w:t>Maximum Period of Payment</w:t>
      </w:r>
    </w:p>
    <w:p>
      <w:pPr>
        <w:ind w:left="660"/>
        <w:spacing w:after="0" w:line="215" w:lineRule="auto"/>
        <w:tabs>
          <w:tab w:leader="none" w:pos="2220" w:val="left"/>
        </w:tabs>
        <w:rPr>
          <w:sz w:val="20"/>
          <w:szCs w:val="20"/>
          <w:color w:val="auto"/>
        </w:rPr>
      </w:pPr>
      <w:r>
        <w:rPr>
          <w:rFonts w:ascii="Arial" w:cs="Arial" w:eastAsia="Arial" w:hAnsi="Arial"/>
          <w:sz w:val="18"/>
          <w:szCs w:val="18"/>
          <w:color w:val="auto"/>
        </w:rPr>
        <w:t>Less than age 60</w:t>
      </w:r>
      <w:r>
        <w:rPr>
          <w:sz w:val="20"/>
          <w:szCs w:val="20"/>
          <w:color w:val="auto"/>
        </w:rPr>
        <w:tab/>
      </w:r>
      <w:r>
        <w:rPr>
          <w:rFonts w:ascii="Arial" w:cs="Arial" w:eastAsia="Arial" w:hAnsi="Arial"/>
          <w:sz w:val="17"/>
          <w:szCs w:val="17"/>
          <w:color w:val="auto"/>
        </w:rPr>
        <w:t>To age 65, but not less than 5 years</w:t>
      </w:r>
    </w:p>
    <w:p>
      <w:pPr>
        <w:ind w:left="660"/>
        <w:spacing w:after="0" w:line="216" w:lineRule="auto"/>
        <w:tabs>
          <w:tab w:leader="none" w:pos="1400" w:val="left"/>
        </w:tabs>
        <w:rPr>
          <w:sz w:val="20"/>
          <w:szCs w:val="20"/>
          <w:color w:val="auto"/>
        </w:rPr>
      </w:pPr>
      <w:r>
        <w:rPr>
          <w:rFonts w:ascii="Arial" w:cs="Arial" w:eastAsia="Arial" w:hAnsi="Arial"/>
          <w:sz w:val="18"/>
          <w:szCs w:val="18"/>
          <w:color w:val="auto"/>
        </w:rPr>
        <w:t>Age 60</w:t>
      </w:r>
      <w:r>
        <w:rPr>
          <w:sz w:val="20"/>
          <w:szCs w:val="20"/>
          <w:color w:val="auto"/>
        </w:rPr>
        <w:tab/>
      </w:r>
      <w:r>
        <w:rPr>
          <w:rFonts w:ascii="Arial" w:cs="Arial" w:eastAsia="Arial" w:hAnsi="Arial"/>
          <w:sz w:val="17"/>
          <w:szCs w:val="17"/>
          <w:color w:val="auto"/>
        </w:rPr>
        <w:t>60 months</w:t>
      </w:r>
    </w:p>
    <w:p>
      <w:pPr>
        <w:ind w:left="660"/>
        <w:spacing w:after="0" w:line="215" w:lineRule="auto"/>
        <w:tabs>
          <w:tab w:leader="none" w:pos="1400" w:val="left"/>
        </w:tabs>
        <w:rPr>
          <w:sz w:val="20"/>
          <w:szCs w:val="20"/>
          <w:color w:val="auto"/>
        </w:rPr>
      </w:pPr>
      <w:r>
        <w:rPr>
          <w:rFonts w:ascii="Arial" w:cs="Arial" w:eastAsia="Arial" w:hAnsi="Arial"/>
          <w:sz w:val="18"/>
          <w:szCs w:val="18"/>
          <w:color w:val="auto"/>
        </w:rPr>
        <w:t>Age 61</w:t>
      </w:r>
      <w:r>
        <w:rPr>
          <w:sz w:val="20"/>
          <w:szCs w:val="20"/>
          <w:color w:val="auto"/>
        </w:rPr>
        <w:tab/>
      </w:r>
      <w:r>
        <w:rPr>
          <w:rFonts w:ascii="Arial" w:cs="Arial" w:eastAsia="Arial" w:hAnsi="Arial"/>
          <w:sz w:val="17"/>
          <w:szCs w:val="17"/>
          <w:color w:val="auto"/>
        </w:rPr>
        <w:t>48 months</w:t>
      </w:r>
    </w:p>
    <w:p>
      <w:pPr>
        <w:ind w:left="660"/>
        <w:spacing w:after="0" w:line="216" w:lineRule="auto"/>
        <w:tabs>
          <w:tab w:leader="none" w:pos="1400" w:val="left"/>
        </w:tabs>
        <w:rPr>
          <w:sz w:val="20"/>
          <w:szCs w:val="20"/>
          <w:color w:val="auto"/>
        </w:rPr>
      </w:pPr>
      <w:r>
        <w:rPr>
          <w:rFonts w:ascii="Arial" w:cs="Arial" w:eastAsia="Arial" w:hAnsi="Arial"/>
          <w:sz w:val="18"/>
          <w:szCs w:val="18"/>
          <w:color w:val="auto"/>
        </w:rPr>
        <w:t>Age 62</w:t>
      </w:r>
      <w:r>
        <w:rPr>
          <w:sz w:val="20"/>
          <w:szCs w:val="20"/>
          <w:color w:val="auto"/>
        </w:rPr>
        <w:tab/>
      </w:r>
      <w:r>
        <w:rPr>
          <w:rFonts w:ascii="Arial" w:cs="Arial" w:eastAsia="Arial" w:hAnsi="Arial"/>
          <w:sz w:val="17"/>
          <w:szCs w:val="17"/>
          <w:color w:val="auto"/>
        </w:rPr>
        <w:t>42 months</w:t>
      </w:r>
    </w:p>
    <w:p>
      <w:pPr>
        <w:ind w:left="660"/>
        <w:spacing w:after="0" w:line="215" w:lineRule="auto"/>
        <w:tabs>
          <w:tab w:leader="none" w:pos="1400" w:val="left"/>
        </w:tabs>
        <w:rPr>
          <w:sz w:val="20"/>
          <w:szCs w:val="20"/>
          <w:color w:val="auto"/>
        </w:rPr>
      </w:pPr>
      <w:r>
        <w:rPr>
          <w:rFonts w:ascii="Arial" w:cs="Arial" w:eastAsia="Arial" w:hAnsi="Arial"/>
          <w:sz w:val="18"/>
          <w:szCs w:val="18"/>
          <w:color w:val="auto"/>
        </w:rPr>
        <w:t>Age 63</w:t>
      </w:r>
      <w:r>
        <w:rPr>
          <w:sz w:val="20"/>
          <w:szCs w:val="20"/>
          <w:color w:val="auto"/>
        </w:rPr>
        <w:tab/>
      </w:r>
      <w:r>
        <w:rPr>
          <w:rFonts w:ascii="Arial" w:cs="Arial" w:eastAsia="Arial" w:hAnsi="Arial"/>
          <w:sz w:val="17"/>
          <w:szCs w:val="17"/>
          <w:color w:val="auto"/>
        </w:rPr>
        <w:t>36 months</w:t>
      </w:r>
    </w:p>
    <w:p>
      <w:pPr>
        <w:ind w:left="660"/>
        <w:spacing w:after="0" w:line="216" w:lineRule="auto"/>
        <w:tabs>
          <w:tab w:leader="none" w:pos="1400" w:val="left"/>
        </w:tabs>
        <w:rPr>
          <w:sz w:val="20"/>
          <w:szCs w:val="20"/>
          <w:color w:val="auto"/>
        </w:rPr>
      </w:pPr>
      <w:r>
        <w:rPr>
          <w:rFonts w:ascii="Arial" w:cs="Arial" w:eastAsia="Arial" w:hAnsi="Arial"/>
          <w:sz w:val="18"/>
          <w:szCs w:val="18"/>
          <w:color w:val="auto"/>
        </w:rPr>
        <w:t>Age 64</w:t>
      </w:r>
      <w:r>
        <w:rPr>
          <w:sz w:val="20"/>
          <w:szCs w:val="20"/>
          <w:color w:val="auto"/>
        </w:rPr>
        <w:tab/>
      </w:r>
      <w:r>
        <w:rPr>
          <w:rFonts w:ascii="Arial" w:cs="Arial" w:eastAsia="Arial" w:hAnsi="Arial"/>
          <w:sz w:val="17"/>
          <w:szCs w:val="17"/>
          <w:color w:val="auto"/>
        </w:rPr>
        <w:t>30 months</w:t>
      </w:r>
    </w:p>
    <w:p>
      <w:pPr>
        <w:ind w:left="660"/>
        <w:spacing w:after="0" w:line="215" w:lineRule="auto"/>
        <w:tabs>
          <w:tab w:leader="none" w:pos="1400" w:val="left"/>
        </w:tabs>
        <w:rPr>
          <w:sz w:val="20"/>
          <w:szCs w:val="20"/>
          <w:color w:val="auto"/>
        </w:rPr>
      </w:pPr>
      <w:r>
        <w:rPr>
          <w:rFonts w:ascii="Arial" w:cs="Arial" w:eastAsia="Arial" w:hAnsi="Arial"/>
          <w:sz w:val="18"/>
          <w:szCs w:val="18"/>
          <w:color w:val="auto"/>
        </w:rPr>
        <w:t>Age 65</w:t>
      </w:r>
      <w:r>
        <w:rPr>
          <w:sz w:val="20"/>
          <w:szCs w:val="20"/>
          <w:color w:val="auto"/>
        </w:rPr>
        <w:tab/>
      </w:r>
      <w:r>
        <w:rPr>
          <w:rFonts w:ascii="Arial" w:cs="Arial" w:eastAsia="Arial" w:hAnsi="Arial"/>
          <w:sz w:val="17"/>
          <w:szCs w:val="17"/>
          <w:color w:val="auto"/>
        </w:rPr>
        <w:t>24 months</w:t>
      </w:r>
    </w:p>
    <w:p>
      <w:pPr>
        <w:ind w:left="660"/>
        <w:spacing w:after="0" w:line="216" w:lineRule="auto"/>
        <w:tabs>
          <w:tab w:leader="none" w:pos="1400" w:val="left"/>
        </w:tabs>
        <w:rPr>
          <w:sz w:val="20"/>
          <w:szCs w:val="20"/>
          <w:color w:val="auto"/>
        </w:rPr>
      </w:pPr>
      <w:r>
        <w:rPr>
          <w:rFonts w:ascii="Arial" w:cs="Arial" w:eastAsia="Arial" w:hAnsi="Arial"/>
          <w:sz w:val="18"/>
          <w:szCs w:val="18"/>
          <w:color w:val="auto"/>
        </w:rPr>
        <w:t>Age 66</w:t>
      </w:r>
      <w:r>
        <w:rPr>
          <w:sz w:val="20"/>
          <w:szCs w:val="20"/>
          <w:color w:val="auto"/>
        </w:rPr>
        <w:tab/>
      </w:r>
      <w:r>
        <w:rPr>
          <w:rFonts w:ascii="Arial" w:cs="Arial" w:eastAsia="Arial" w:hAnsi="Arial"/>
          <w:sz w:val="17"/>
          <w:szCs w:val="17"/>
          <w:color w:val="auto"/>
        </w:rPr>
        <w:t>21 months</w:t>
      </w:r>
    </w:p>
    <w:p>
      <w:pPr>
        <w:ind w:left="660"/>
        <w:spacing w:after="0" w:line="215" w:lineRule="auto"/>
        <w:tabs>
          <w:tab w:leader="none" w:pos="1400" w:val="left"/>
        </w:tabs>
        <w:rPr>
          <w:sz w:val="20"/>
          <w:szCs w:val="20"/>
          <w:color w:val="auto"/>
        </w:rPr>
      </w:pPr>
      <w:r>
        <w:rPr>
          <w:rFonts w:ascii="Arial" w:cs="Arial" w:eastAsia="Arial" w:hAnsi="Arial"/>
          <w:sz w:val="18"/>
          <w:szCs w:val="18"/>
          <w:color w:val="auto"/>
        </w:rPr>
        <w:t>Age 67</w:t>
      </w:r>
      <w:r>
        <w:rPr>
          <w:sz w:val="20"/>
          <w:szCs w:val="20"/>
          <w:color w:val="auto"/>
        </w:rPr>
        <w:tab/>
      </w:r>
      <w:r>
        <w:rPr>
          <w:rFonts w:ascii="Arial" w:cs="Arial" w:eastAsia="Arial" w:hAnsi="Arial"/>
          <w:sz w:val="17"/>
          <w:szCs w:val="17"/>
          <w:color w:val="auto"/>
        </w:rPr>
        <w:t>18 months</w:t>
      </w:r>
    </w:p>
    <w:p>
      <w:pPr>
        <w:ind w:left="660"/>
        <w:spacing w:after="0" w:line="216" w:lineRule="auto"/>
        <w:tabs>
          <w:tab w:leader="none" w:pos="1400" w:val="left"/>
        </w:tabs>
        <w:rPr>
          <w:sz w:val="20"/>
          <w:szCs w:val="20"/>
          <w:color w:val="auto"/>
        </w:rPr>
      </w:pPr>
      <w:r>
        <w:rPr>
          <w:rFonts w:ascii="Arial" w:cs="Arial" w:eastAsia="Arial" w:hAnsi="Arial"/>
          <w:sz w:val="18"/>
          <w:szCs w:val="18"/>
          <w:color w:val="auto"/>
        </w:rPr>
        <w:t>Age 68</w:t>
      </w:r>
      <w:r>
        <w:rPr>
          <w:sz w:val="20"/>
          <w:szCs w:val="20"/>
          <w:color w:val="auto"/>
        </w:rPr>
        <w:tab/>
      </w:r>
      <w:r>
        <w:rPr>
          <w:rFonts w:ascii="Arial" w:cs="Arial" w:eastAsia="Arial" w:hAnsi="Arial"/>
          <w:sz w:val="17"/>
          <w:szCs w:val="17"/>
          <w:color w:val="auto"/>
        </w:rPr>
        <w:t>15 months</w:t>
      </w:r>
    </w:p>
    <w:p>
      <w:pPr>
        <w:ind w:left="660"/>
        <w:spacing w:after="0"/>
        <w:tabs>
          <w:tab w:leader="none" w:pos="2160" w:val="left"/>
        </w:tabs>
        <w:rPr>
          <w:sz w:val="20"/>
          <w:szCs w:val="20"/>
          <w:color w:val="auto"/>
        </w:rPr>
      </w:pPr>
      <w:r>
        <w:rPr>
          <w:rFonts w:ascii="Arial" w:cs="Arial" w:eastAsia="Arial" w:hAnsi="Arial"/>
          <w:sz w:val="18"/>
          <w:szCs w:val="18"/>
          <w:color w:val="auto"/>
        </w:rPr>
        <w:t>Age 69 and over</w:t>
      </w:r>
      <w:r>
        <w:rPr>
          <w:sz w:val="20"/>
          <w:szCs w:val="20"/>
          <w:color w:val="auto"/>
        </w:rPr>
        <w:tab/>
      </w:r>
      <w:r>
        <w:rPr>
          <w:rFonts w:ascii="Arial" w:cs="Arial" w:eastAsia="Arial" w:hAnsi="Arial"/>
          <w:sz w:val="17"/>
          <w:szCs w:val="17"/>
          <w:color w:val="auto"/>
        </w:rPr>
        <w:t>12 months</w:t>
      </w:r>
    </w:p>
    <w:p>
      <w:pPr>
        <w:sectPr>
          <w:pgSz w:w="11900" w:h="16838" w:orient="portrait"/>
          <w:cols w:equalWidth="0" w:num="1">
            <w:col w:w="11260"/>
          </w:cols>
          <w:pgMar w:left="320" w:top="406" w:right="31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No premium payments are required for your coverage while you are receiving payments under this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FEATURES:</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Continuity of Coverage Minimum Benefit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Pre-Existing: 3/12 Survivor Benefit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above items are only highlights of this plan. For a full description of your coverage, continue reading your certificate of coverage section.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plan includes enrollment, risk management and other support services related to your Employer's Benefit Program.</w:t>
      </w:r>
    </w:p>
    <w:p>
      <w:pPr>
        <w:sectPr>
          <w:pgSz w:w="11900" w:h="16838" w:orient="portrait"/>
          <w:cols w:equalWidth="0" w:num="1">
            <w:col w:w="10580"/>
          </w:cols>
          <w:pgMar w:left="320" w:top="449" w:right="999" w:bottom="1440" w:gutter="0" w:footer="0" w:header="0"/>
        </w:sectPr>
      </w:pPr>
    </w:p>
    <w:bookmarkStart w:id="179" w:name="page180"/>
    <w:bookmarkEnd w:id="179"/>
    <w:p>
      <w:pPr>
        <w:ind w:left="4200"/>
        <w:spacing w:after="0"/>
        <w:rPr>
          <w:sz w:val="20"/>
          <w:szCs w:val="20"/>
          <w:color w:val="auto"/>
        </w:rPr>
      </w:pPr>
      <w:r>
        <w:rPr>
          <w:rFonts w:ascii="Arial" w:cs="Arial" w:eastAsia="Arial" w:hAnsi="Arial"/>
          <w:sz w:val="25"/>
          <w:szCs w:val="25"/>
          <w:b w:val="1"/>
          <w:bCs w:val="1"/>
          <w:color w:val="auto"/>
        </w:rPr>
        <w:t>CLAIM INFORMATION LONG TERM DISABILITY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WHEN DO YOU NOTIFY UNUM OF A CLAIM?</w:t>
      </w:r>
    </w:p>
    <w:p>
      <w:pPr>
        <w:spacing w:after="0" w:line="259" w:lineRule="exact"/>
        <w:rPr>
          <w:sz w:val="20"/>
          <w:szCs w:val="20"/>
          <w:color w:val="auto"/>
        </w:rPr>
      </w:pPr>
    </w:p>
    <w:p>
      <w:pPr>
        <w:ind w:left="340"/>
        <w:spacing w:after="0" w:line="245" w:lineRule="auto"/>
        <w:rPr>
          <w:sz w:val="20"/>
          <w:szCs w:val="20"/>
          <w:color w:val="auto"/>
        </w:rPr>
      </w:pPr>
      <w:r>
        <w:rPr>
          <w:rFonts w:ascii="Arial" w:cs="Arial" w:eastAsia="Arial" w:hAnsi="Arial"/>
          <w:sz w:val="22"/>
          <w:szCs w:val="22"/>
          <w:color w:val="auto"/>
        </w:rPr>
        <w:t>We encourage you to notify us of a claim as soon as possible, so that a claim decision can be made in a timely manner. Telephonic notice as authorized by us or written notice of claim should be provided within 30 days after the date your disability begins. However, you must provide Unum written proof of your claim no later than 90 days after your elimination period. If it is not possible to give proof within 90 days, it must be given no later than 1 year after the time proof is otherwise required except in the absence of legal capacity.</w:t>
      </w:r>
    </w:p>
    <w:p>
      <w:pPr>
        <w:spacing w:after="0" w:line="248" w:lineRule="exact"/>
        <w:rPr>
          <w:sz w:val="20"/>
          <w:szCs w:val="20"/>
          <w:color w:val="auto"/>
        </w:rPr>
      </w:pPr>
    </w:p>
    <w:p>
      <w:pPr>
        <w:jc w:val="both"/>
        <w:ind w:left="340" w:right="220"/>
        <w:spacing w:after="0" w:line="246" w:lineRule="auto"/>
        <w:rPr>
          <w:sz w:val="20"/>
          <w:szCs w:val="20"/>
          <w:color w:val="auto"/>
        </w:rPr>
      </w:pPr>
      <w:r>
        <w:rPr>
          <w:rFonts w:ascii="Arial" w:cs="Arial" w:eastAsia="Arial" w:hAnsi="Arial"/>
          <w:sz w:val="22"/>
          <w:szCs w:val="22"/>
          <w:color w:val="auto"/>
        </w:rPr>
        <w:t>If you choose to file a written notice of claim, the claim form is available from your employer, or you can request a claim form from us. If you do not receive the form from Unum within 15 days of your request, send Unum written proof of claim without waiting for the form.</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You must notify us immediately when you return to work in any capacity.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 YOU FILE A CLAIM?</w:t>
      </w:r>
    </w:p>
    <w:p>
      <w:pPr>
        <w:spacing w:after="0" w:line="259" w:lineRule="exact"/>
        <w:rPr>
          <w:sz w:val="20"/>
          <w:szCs w:val="20"/>
          <w:color w:val="auto"/>
        </w:rPr>
      </w:pPr>
    </w:p>
    <w:p>
      <w:pPr>
        <w:jc w:val="both"/>
        <w:ind w:left="340" w:right="180"/>
        <w:spacing w:after="0" w:line="245" w:lineRule="auto"/>
        <w:rPr>
          <w:sz w:val="20"/>
          <w:szCs w:val="20"/>
          <w:color w:val="auto"/>
        </w:rPr>
      </w:pPr>
      <w:r>
        <w:rPr>
          <w:rFonts w:ascii="Arial" w:cs="Arial" w:eastAsia="Arial" w:hAnsi="Arial"/>
          <w:sz w:val="22"/>
          <w:szCs w:val="22"/>
          <w:color w:val="auto"/>
        </w:rPr>
        <w:t>You may file notice of claim by telephonic means. The telephone number is available through your employer. You will be required to sign an authorization form in order for Unum to obtain medical information from your attending physician. Should Unum be unable to obtain your medical information, we will send a letter and appropriate forms to you for completion to be returned to us by the date determined in the letter.</w:t>
      </w:r>
    </w:p>
    <w:p>
      <w:pPr>
        <w:spacing w:after="0" w:line="250" w:lineRule="exact"/>
        <w:rPr>
          <w:sz w:val="20"/>
          <w:szCs w:val="20"/>
          <w:color w:val="auto"/>
        </w:rPr>
      </w:pPr>
    </w:p>
    <w:p>
      <w:pPr>
        <w:ind w:left="340" w:right="40"/>
        <w:spacing w:after="0" w:line="246" w:lineRule="auto"/>
        <w:rPr>
          <w:sz w:val="20"/>
          <w:szCs w:val="20"/>
          <w:color w:val="auto"/>
        </w:rPr>
      </w:pPr>
      <w:r>
        <w:rPr>
          <w:rFonts w:ascii="Arial" w:cs="Arial" w:eastAsia="Arial" w:hAnsi="Arial"/>
          <w:sz w:val="22"/>
          <w:szCs w:val="22"/>
          <w:color w:val="auto"/>
        </w:rPr>
        <w:t>If you choose to file written notice of claim, you and your employer must complete your own sections of the claim form and then give it to your attending physician. Your physician should complete his or her section of the form and send it directly to Unum.</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INFORMATION IS NEEDED AS PROOF OF YOUR CLAIM?</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Your proof of claim, provided at your expense, must show:</w:t>
      </w:r>
    </w:p>
    <w:p>
      <w:pPr>
        <w:spacing w:after="0" w:line="167" w:lineRule="exact"/>
        <w:rPr>
          <w:sz w:val="20"/>
          <w:szCs w:val="20"/>
          <w:color w:val="auto"/>
        </w:rPr>
      </w:pPr>
    </w:p>
    <w:p>
      <w:pPr>
        <w:ind w:left="520" w:hanging="187"/>
        <w:spacing w:after="0"/>
        <w:tabs>
          <w:tab w:leader="none" w:pos="5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that you are under the </w:t>
      </w:r>
      <w:r>
        <w:rPr>
          <w:rFonts w:ascii="Arial" w:cs="Arial" w:eastAsia="Arial" w:hAnsi="Arial"/>
          <w:sz w:val="22"/>
          <w:szCs w:val="22"/>
          <w:b w:val="1"/>
          <w:bCs w:val="1"/>
          <w:color w:val="auto"/>
        </w:rPr>
        <w:t>regular care</w:t>
      </w:r>
      <w:r>
        <w:rPr>
          <w:rFonts w:ascii="Arial" w:cs="Arial" w:eastAsia="Arial" w:hAnsi="Arial"/>
          <w:sz w:val="22"/>
          <w:szCs w:val="22"/>
          <w:color w:val="auto"/>
        </w:rPr>
        <w:t xml:space="preserve"> of a </w:t>
      </w:r>
      <w:r>
        <w:rPr>
          <w:rFonts w:ascii="Arial" w:cs="Arial" w:eastAsia="Arial" w:hAnsi="Arial"/>
          <w:sz w:val="22"/>
          <w:szCs w:val="22"/>
          <w:b w:val="1"/>
          <w:bCs w:val="1"/>
          <w:color w:val="auto"/>
        </w:rPr>
        <w:t>physician</w:t>
      </w:r>
      <w:r>
        <w:rPr>
          <w:rFonts w:ascii="Arial" w:cs="Arial" w:eastAsia="Arial" w:hAnsi="Arial"/>
          <w:sz w:val="22"/>
          <w:szCs w:val="22"/>
          <w:color w:val="auto"/>
        </w:rPr>
        <w:t>;</w:t>
      </w:r>
    </w:p>
    <w:p>
      <w:pPr>
        <w:spacing w:after="0" w:line="43" w:lineRule="exact"/>
        <w:rPr>
          <w:rFonts w:ascii="Arial" w:cs="Arial" w:eastAsia="Arial" w:hAnsi="Arial"/>
          <w:sz w:val="22"/>
          <w:szCs w:val="22"/>
          <w:color w:val="auto"/>
        </w:rPr>
      </w:pPr>
    </w:p>
    <w:p>
      <w:pPr>
        <w:ind w:left="520" w:hanging="187"/>
        <w:spacing w:after="0"/>
        <w:tabs>
          <w:tab w:leader="none" w:pos="5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appropriate documentation of your monthly earnings;</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date your disability began;</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cause of your disability;</w:t>
      </w:r>
    </w:p>
    <w:p>
      <w:pPr>
        <w:spacing w:after="0" w:line="3" w:lineRule="exact"/>
        <w:rPr>
          <w:rFonts w:ascii="Arial" w:cs="Arial" w:eastAsia="Arial" w:hAnsi="Arial"/>
          <w:sz w:val="22"/>
          <w:szCs w:val="22"/>
          <w:color w:val="auto"/>
        </w:rPr>
      </w:pPr>
    </w:p>
    <w:p>
      <w:pPr>
        <w:ind w:left="520" w:right="480" w:hanging="187"/>
        <w:spacing w:after="0" w:line="243" w:lineRule="auto"/>
        <w:tabs>
          <w:tab w:leader="none" w:pos="5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extent of your disability, including restrictions and limitations preventing you from performing your regular occupation; and</w:t>
      </w:r>
    </w:p>
    <w:p>
      <w:pPr>
        <w:ind w:left="520" w:right="640" w:hanging="187"/>
        <w:spacing w:after="0" w:line="249" w:lineRule="auto"/>
        <w:tabs>
          <w:tab w:leader="none" w:pos="5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the name and address of any </w:t>
      </w:r>
      <w:r>
        <w:rPr>
          <w:rFonts w:ascii="Arial" w:cs="Arial" w:eastAsia="Arial" w:hAnsi="Arial"/>
          <w:sz w:val="22"/>
          <w:szCs w:val="22"/>
          <w:b w:val="1"/>
          <w:bCs w:val="1"/>
          <w:color w:val="auto"/>
        </w:rPr>
        <w:t>hospital or institution</w:t>
      </w:r>
      <w:r>
        <w:rPr>
          <w:rFonts w:ascii="Arial" w:cs="Arial" w:eastAsia="Arial" w:hAnsi="Arial"/>
          <w:sz w:val="22"/>
          <w:szCs w:val="22"/>
          <w:color w:val="auto"/>
        </w:rPr>
        <w:t xml:space="preserve"> where you received treatment, including all attending physicians.</w:t>
      </w:r>
    </w:p>
    <w:p>
      <w:pPr>
        <w:sectPr>
          <w:pgSz w:w="11900" w:h="16838" w:orient="portrait"/>
          <w:cols w:equalWidth="0" w:num="1">
            <w:col w:w="11340"/>
          </w:cols>
          <w:pgMar w:left="320" w:top="528" w:right="239" w:bottom="1440" w:gutter="0" w:footer="0" w:header="0"/>
        </w:sectPr>
      </w:pPr>
    </w:p>
    <w:bookmarkStart w:id="180" w:name="page181"/>
    <w:bookmarkEnd w:id="180"/>
    <w:p>
      <w:pPr>
        <w:ind w:left="340" w:right="480"/>
        <w:spacing w:after="0" w:line="249" w:lineRule="auto"/>
        <w:rPr>
          <w:sz w:val="20"/>
          <w:szCs w:val="20"/>
          <w:color w:val="auto"/>
        </w:rPr>
      </w:pPr>
      <w:r>
        <w:rPr>
          <w:rFonts w:ascii="Arial" w:cs="Arial" w:eastAsia="Arial" w:hAnsi="Arial"/>
          <w:sz w:val="22"/>
          <w:szCs w:val="22"/>
          <w:color w:val="auto"/>
        </w:rPr>
        <w:t>We may request that you send proof of continuing disability indicating that you are under the regular care of a physician. This proof, provided at your expense, must be received within 45 days of a request by us.</w:t>
      </w:r>
    </w:p>
    <w:p>
      <w:pPr>
        <w:spacing w:after="0" w:line="245" w:lineRule="exact"/>
        <w:rPr>
          <w:sz w:val="20"/>
          <w:szCs w:val="20"/>
          <w:color w:val="auto"/>
        </w:rPr>
      </w:pPr>
    </w:p>
    <w:p>
      <w:pPr>
        <w:ind w:left="340" w:right="440"/>
        <w:spacing w:after="0" w:line="249" w:lineRule="auto"/>
        <w:rPr>
          <w:sz w:val="20"/>
          <w:szCs w:val="20"/>
          <w:color w:val="auto"/>
        </w:rPr>
      </w:pPr>
      <w:r>
        <w:rPr>
          <w:rFonts w:ascii="Arial" w:cs="Arial" w:eastAsia="Arial" w:hAnsi="Arial"/>
          <w:sz w:val="22"/>
          <w:szCs w:val="22"/>
          <w:color w:val="auto"/>
        </w:rPr>
        <w:t>In some cases, you will be required to give Unum authorization to obtain additional medical information and to provide non-medical information as part of your proof of</w:t>
      </w:r>
    </w:p>
    <w:p>
      <w:pPr>
        <w:spacing w:after="0" w:line="69" w:lineRule="exact"/>
        <w:rPr>
          <w:sz w:val="20"/>
          <w:szCs w:val="20"/>
          <w:color w:val="auto"/>
        </w:rPr>
      </w:pPr>
    </w:p>
    <w:p>
      <w:pPr>
        <w:ind w:left="340"/>
        <w:spacing w:after="0" w:line="249" w:lineRule="auto"/>
        <w:rPr>
          <w:sz w:val="20"/>
          <w:szCs w:val="20"/>
          <w:color w:val="auto"/>
        </w:rPr>
      </w:pPr>
      <w:r>
        <w:rPr>
          <w:rFonts w:ascii="Arial" w:cs="Arial" w:eastAsia="Arial" w:hAnsi="Arial"/>
          <w:sz w:val="22"/>
          <w:szCs w:val="22"/>
          <w:color w:val="auto"/>
        </w:rPr>
        <w:t>claim, or proof of continuing disability. Unum will deny your claim, or stop sending you payments, if the appropriate information is not submitted.</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TO WHOM WILL UNUM MAKE PAYMENTS?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Unum will make payments to you.</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HAPPENS IF UNUM OVERPAYS YOUR CLAIM?</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Unum has the right to recover any overpayments due to:</w:t>
      </w:r>
    </w:p>
    <w:p>
      <w:pPr>
        <w:spacing w:after="0" w:line="193" w:lineRule="exact"/>
        <w:rPr>
          <w:sz w:val="20"/>
          <w:szCs w:val="20"/>
          <w:color w:val="auto"/>
        </w:rPr>
      </w:pPr>
    </w:p>
    <w:p>
      <w:pPr>
        <w:ind w:left="520" w:hanging="187"/>
        <w:spacing w:after="0"/>
        <w:tabs>
          <w:tab w:leader="none" w:pos="52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fraud;</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any error Unum makes in processing a claim; and</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your receipt of deductible sources of income.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You must reimburse us in full. We will determine the method by which the repayment is to be made.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Unum will not recover more money than the amount we paid you.</w:t>
      </w:r>
    </w:p>
    <w:p>
      <w:pPr>
        <w:sectPr>
          <w:pgSz w:w="11900" w:h="16838" w:orient="portrait"/>
          <w:cols w:equalWidth="0" w:num="1">
            <w:col w:w="11240"/>
          </w:cols>
          <w:pgMar w:left="320" w:top="390" w:right="339" w:bottom="1440" w:gutter="0" w:footer="0" w:header="0"/>
        </w:sectPr>
      </w:pPr>
    </w:p>
    <w:bookmarkStart w:id="181" w:name="page182"/>
    <w:bookmarkEnd w:id="181"/>
    <w:p>
      <w:pPr>
        <w:ind w:left="3900"/>
        <w:spacing w:after="0"/>
        <w:rPr>
          <w:sz w:val="20"/>
          <w:szCs w:val="20"/>
          <w:color w:val="auto"/>
        </w:rPr>
      </w:pPr>
      <w:r>
        <w:rPr>
          <w:rFonts w:ascii="Arial" w:cs="Arial" w:eastAsia="Arial" w:hAnsi="Arial"/>
          <w:sz w:val="25"/>
          <w:szCs w:val="25"/>
          <w:b w:val="1"/>
          <w:bCs w:val="1"/>
          <w:color w:val="auto"/>
        </w:rPr>
        <w:t>POLICYHOLDER PROVISIONS</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IS THE COST OF THIS INSURANCE?</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u w:val="single" w:color="auto"/>
          <w:color w:val="auto"/>
        </w:rPr>
        <w:t>LONG TERM DISABILITY</w:t>
      </w:r>
    </w:p>
    <w:p>
      <w:pPr>
        <w:spacing w:after="0" w:line="251" w:lineRule="exact"/>
        <w:rPr>
          <w:sz w:val="20"/>
          <w:szCs w:val="20"/>
          <w:color w:val="auto"/>
        </w:rPr>
      </w:pPr>
    </w:p>
    <w:p>
      <w:pPr>
        <w:ind w:left="340" w:right="600"/>
        <w:spacing w:after="0" w:line="440" w:lineRule="auto"/>
        <w:rPr>
          <w:sz w:val="20"/>
          <w:szCs w:val="20"/>
          <w:color w:val="auto"/>
        </w:rPr>
      </w:pPr>
      <w:r>
        <w:rPr>
          <w:rFonts w:ascii="Arial" w:cs="Arial" w:eastAsia="Arial" w:hAnsi="Arial"/>
          <w:sz w:val="22"/>
          <w:szCs w:val="22"/>
          <w:color w:val="auto"/>
        </w:rPr>
        <w:t xml:space="preserve">The initial premium for each </w:t>
      </w:r>
      <w:r>
        <w:rPr>
          <w:rFonts w:ascii="Arial" w:cs="Arial" w:eastAsia="Arial" w:hAnsi="Arial"/>
          <w:sz w:val="22"/>
          <w:szCs w:val="22"/>
          <w:b w:val="1"/>
          <w:bCs w:val="1"/>
          <w:color w:val="auto"/>
        </w:rPr>
        <w:t>plan</w:t>
      </w:r>
      <w:r>
        <w:rPr>
          <w:rFonts w:ascii="Arial" w:cs="Arial" w:eastAsia="Arial" w:hAnsi="Arial"/>
          <w:sz w:val="22"/>
          <w:szCs w:val="22"/>
          <w:color w:val="auto"/>
        </w:rPr>
        <w:t xml:space="preserve"> is based on the initial rate(s) shown in the Rate Information Amendment(s). </w:t>
      </w:r>
      <w:r>
        <w:rPr>
          <w:rFonts w:ascii="Arial" w:cs="Arial" w:eastAsia="Arial" w:hAnsi="Arial"/>
          <w:sz w:val="22"/>
          <w:szCs w:val="22"/>
          <w:b w:val="1"/>
          <w:bCs w:val="1"/>
          <w:i w:val="1"/>
          <w:iCs w:val="1"/>
          <w:color w:val="auto"/>
        </w:rPr>
        <w:t>WAIVER OF PREMIUM</w:t>
      </w:r>
    </w:p>
    <w:p>
      <w:pPr>
        <w:spacing w:after="0" w:line="17" w:lineRule="exact"/>
        <w:rPr>
          <w:sz w:val="20"/>
          <w:szCs w:val="20"/>
          <w:color w:val="auto"/>
        </w:rPr>
      </w:pPr>
    </w:p>
    <w:p>
      <w:pPr>
        <w:ind w:left="340" w:right="880"/>
        <w:spacing w:after="0" w:line="249" w:lineRule="auto"/>
        <w:rPr>
          <w:sz w:val="20"/>
          <w:szCs w:val="20"/>
          <w:color w:val="auto"/>
        </w:rPr>
      </w:pPr>
      <w:r>
        <w:rPr>
          <w:rFonts w:ascii="Arial" w:cs="Arial" w:eastAsia="Arial" w:hAnsi="Arial"/>
          <w:sz w:val="22"/>
          <w:szCs w:val="22"/>
          <w:color w:val="auto"/>
        </w:rPr>
        <w:t>Unum does not require premium payments for an insured while he or she is receiving Long Term Disability payments under this plan.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INITIAL RATE GUARANTEE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Refer to the Rate Information Amendment(s).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WHEN IS PREMIUM DUE FOR THIS POLICY?</w:t>
      </w:r>
    </w:p>
    <w:p>
      <w:pPr>
        <w:spacing w:after="0" w:line="259" w:lineRule="exact"/>
        <w:rPr>
          <w:sz w:val="20"/>
          <w:szCs w:val="20"/>
          <w:color w:val="auto"/>
        </w:rPr>
      </w:pPr>
    </w:p>
    <w:p>
      <w:pPr>
        <w:ind w:left="2480" w:right="460" w:hanging="2146"/>
        <w:spacing w:after="0" w:line="249" w:lineRule="auto"/>
        <w:rPr>
          <w:sz w:val="20"/>
          <w:szCs w:val="20"/>
          <w:color w:val="auto"/>
        </w:rPr>
      </w:pPr>
      <w:r>
        <w:rPr>
          <w:rFonts w:ascii="Arial" w:cs="Arial" w:eastAsia="Arial" w:hAnsi="Arial"/>
          <w:sz w:val="22"/>
          <w:szCs w:val="22"/>
          <w:color w:val="auto"/>
        </w:rPr>
        <w:t>Premium Due Dates: Premium due dates are based on the Premium Due Dates shown in the Rate Information Amendment(s).</w:t>
      </w:r>
    </w:p>
    <w:p>
      <w:pPr>
        <w:spacing w:after="0" w:line="219" w:lineRule="exact"/>
        <w:rPr>
          <w:sz w:val="20"/>
          <w:szCs w:val="20"/>
          <w:color w:val="auto"/>
        </w:rPr>
      </w:pPr>
    </w:p>
    <w:p>
      <w:pPr>
        <w:ind w:left="340" w:right="180"/>
        <w:spacing w:after="0" w:line="274"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Policyholder</w:t>
      </w:r>
      <w:r>
        <w:rPr>
          <w:rFonts w:ascii="Arial" w:cs="Arial" w:eastAsia="Arial" w:hAnsi="Arial"/>
          <w:sz w:val="22"/>
          <w:szCs w:val="22"/>
          <w:color w:val="auto"/>
        </w:rPr>
        <w:t xml:space="preserve"> must send all premiums to Unum on or before their respective due date. The premium must be paid in United States dollars.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WHEN ARE INCREASES OR DECREASES IN PREMIUM DUE?</w:t>
      </w:r>
    </w:p>
    <w:p>
      <w:pPr>
        <w:spacing w:after="0" w:line="259" w:lineRule="exact"/>
        <w:rPr>
          <w:sz w:val="20"/>
          <w:szCs w:val="20"/>
          <w:color w:val="auto"/>
        </w:rPr>
      </w:pPr>
    </w:p>
    <w:p>
      <w:pPr>
        <w:ind w:left="340" w:right="340"/>
        <w:spacing w:after="0" w:line="246" w:lineRule="auto"/>
        <w:rPr>
          <w:sz w:val="20"/>
          <w:szCs w:val="20"/>
          <w:color w:val="auto"/>
        </w:rPr>
      </w:pPr>
      <w:r>
        <w:rPr>
          <w:rFonts w:ascii="Arial" w:cs="Arial" w:eastAsia="Arial" w:hAnsi="Arial"/>
          <w:sz w:val="22"/>
          <w:szCs w:val="22"/>
          <w:color w:val="auto"/>
        </w:rPr>
        <w:t>Premium increases or decreases, for other than salary changes, which take effect during a plan month are adjusted and due on the next premium due date following the change. Changes will be pro-rated daily. Premium due dates are shown in the Rate Information Amendment.</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Premium increases or decreases due to salary changes are to be adjusted on the first day of the next plan year.</w:t>
      </w:r>
    </w:p>
    <w:p>
      <w:pPr>
        <w:spacing w:after="0" w:line="260" w:lineRule="exact"/>
        <w:rPr>
          <w:sz w:val="20"/>
          <w:szCs w:val="20"/>
          <w:color w:val="auto"/>
        </w:rPr>
      </w:pPr>
    </w:p>
    <w:p>
      <w:pPr>
        <w:ind w:left="340"/>
        <w:spacing w:after="0" w:line="249" w:lineRule="auto"/>
        <w:rPr>
          <w:sz w:val="20"/>
          <w:szCs w:val="20"/>
          <w:color w:val="auto"/>
        </w:rPr>
      </w:pPr>
      <w:r>
        <w:rPr>
          <w:rFonts w:ascii="Arial" w:cs="Arial" w:eastAsia="Arial" w:hAnsi="Arial"/>
          <w:sz w:val="22"/>
          <w:szCs w:val="22"/>
          <w:color w:val="auto"/>
        </w:rPr>
        <w:t>If premiums are paid on other than a monthly basis, premiums for increases and decreases will result in a monthly pro-rated adjustment on the next premium due date.</w:t>
      </w:r>
    </w:p>
    <w:p>
      <w:pPr>
        <w:spacing w:after="0" w:line="245" w:lineRule="exact"/>
        <w:rPr>
          <w:sz w:val="20"/>
          <w:szCs w:val="20"/>
          <w:color w:val="auto"/>
        </w:rPr>
      </w:pPr>
    </w:p>
    <w:p>
      <w:pPr>
        <w:ind w:left="340" w:right="580"/>
        <w:spacing w:after="0" w:line="249" w:lineRule="auto"/>
        <w:rPr>
          <w:sz w:val="20"/>
          <w:szCs w:val="20"/>
          <w:color w:val="auto"/>
        </w:rPr>
      </w:pPr>
      <w:r>
        <w:rPr>
          <w:rFonts w:ascii="Arial" w:cs="Arial" w:eastAsia="Arial" w:hAnsi="Arial"/>
          <w:sz w:val="22"/>
          <w:szCs w:val="22"/>
          <w:color w:val="auto"/>
        </w:rPr>
        <w:t>Unum will only adjust premium for the current plan year and the prior plan year. In the case of fraud, premium adjustments will be made for all plan years.</w:t>
      </w:r>
    </w:p>
    <w:p>
      <w:pPr>
        <w:spacing w:after="0" w:line="138" w:lineRule="exact"/>
        <w:rPr>
          <w:sz w:val="20"/>
          <w:szCs w:val="20"/>
          <w:color w:val="auto"/>
        </w:rPr>
      </w:pPr>
    </w:p>
    <w:p>
      <w:pPr>
        <w:jc w:val="center"/>
        <w:ind w:right="3600"/>
        <w:spacing w:after="0"/>
        <w:rPr>
          <w:sz w:val="20"/>
          <w:szCs w:val="20"/>
          <w:color w:val="auto"/>
        </w:rPr>
      </w:pPr>
      <w:r>
        <w:rPr>
          <w:rFonts w:ascii="Arial" w:cs="Arial" w:eastAsia="Arial" w:hAnsi="Arial"/>
          <w:sz w:val="21"/>
          <w:szCs w:val="21"/>
          <w:b w:val="1"/>
          <w:bCs w:val="1"/>
          <w:i w:val="1"/>
          <w:iCs w:val="1"/>
          <w:color w:val="auto"/>
        </w:rPr>
        <w:t>WHAT INFORMATION DOES UNUM REQUIRE FROM THE POLICYHOLDER?</w:t>
      </w:r>
    </w:p>
    <w:p>
      <w:pPr>
        <w:spacing w:after="0" w:line="217" w:lineRule="exact"/>
        <w:rPr>
          <w:sz w:val="20"/>
          <w:szCs w:val="20"/>
          <w:color w:val="auto"/>
        </w:rPr>
      </w:pPr>
    </w:p>
    <w:p>
      <w:pPr>
        <w:jc w:val="center"/>
        <w:ind w:right="3600"/>
        <w:spacing w:after="0"/>
        <w:rPr>
          <w:sz w:val="20"/>
          <w:szCs w:val="20"/>
          <w:color w:val="auto"/>
        </w:rPr>
      </w:pPr>
      <w:r>
        <w:rPr>
          <w:rFonts w:ascii="Arial" w:cs="Arial" w:eastAsia="Arial" w:hAnsi="Arial"/>
          <w:sz w:val="22"/>
          <w:szCs w:val="22"/>
          <w:color w:val="auto"/>
        </w:rPr>
        <w:t>The Policyholder must provide Unum with the following on a regular basis:</w:t>
      </w:r>
    </w:p>
    <w:p>
      <w:pPr>
        <w:spacing w:after="0" w:line="193" w:lineRule="exact"/>
        <w:rPr>
          <w:sz w:val="20"/>
          <w:szCs w:val="20"/>
          <w:color w:val="auto"/>
        </w:rPr>
      </w:pPr>
    </w:p>
    <w:p>
      <w:pPr>
        <w:ind w:left="520" w:hanging="187"/>
        <w:spacing w:after="0"/>
        <w:tabs>
          <w:tab w:leader="none" w:pos="52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information about employees:</w:t>
      </w:r>
    </w:p>
    <w:p>
      <w:pPr>
        <w:spacing w:after="0" w:line="17" w:lineRule="exact"/>
        <w:rPr>
          <w:rFonts w:ascii="Arial" w:cs="Arial" w:eastAsia="Arial" w:hAnsi="Arial"/>
          <w:sz w:val="22"/>
          <w:szCs w:val="22"/>
          <w:color w:val="auto"/>
        </w:rPr>
      </w:pPr>
    </w:p>
    <w:p>
      <w:pPr>
        <w:ind w:left="660" w:hanging="124"/>
        <w:spacing w:after="0"/>
        <w:tabs>
          <w:tab w:leader="none" w:pos="66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who are eligible to become insured;</w:t>
      </w:r>
    </w:p>
    <w:p>
      <w:pPr>
        <w:spacing w:after="0" w:line="17" w:lineRule="exact"/>
        <w:rPr>
          <w:rFonts w:ascii="Arial" w:cs="Arial" w:eastAsia="Arial" w:hAnsi="Arial"/>
          <w:sz w:val="22"/>
          <w:szCs w:val="22"/>
          <w:color w:val="auto"/>
        </w:rPr>
      </w:pPr>
    </w:p>
    <w:p>
      <w:pPr>
        <w:ind w:left="660" w:hanging="124"/>
        <w:spacing w:after="0"/>
        <w:tabs>
          <w:tab w:leader="none" w:pos="66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whose amounts of coverage change; and/or</w:t>
      </w:r>
    </w:p>
    <w:p>
      <w:pPr>
        <w:spacing w:after="0" w:line="3" w:lineRule="exact"/>
        <w:rPr>
          <w:rFonts w:ascii="Arial" w:cs="Arial" w:eastAsia="Arial" w:hAnsi="Arial"/>
          <w:sz w:val="22"/>
          <w:szCs w:val="22"/>
          <w:color w:val="auto"/>
        </w:rPr>
      </w:pPr>
    </w:p>
    <w:p>
      <w:pPr>
        <w:ind w:left="660" w:hanging="124"/>
        <w:spacing w:after="0"/>
        <w:tabs>
          <w:tab w:leader="none" w:pos="66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whose coverage ends;</w:t>
      </w:r>
    </w:p>
    <w:p>
      <w:pPr>
        <w:sectPr>
          <w:pgSz w:w="11900" w:h="16838" w:orient="portrait"/>
          <w:cols w:equalWidth="0" w:num="1">
            <w:col w:w="11340"/>
          </w:cols>
          <w:pgMar w:left="320" w:top="406" w:right="239" w:bottom="1440" w:gutter="0" w:footer="0" w:header="0"/>
        </w:sectPr>
      </w:pPr>
    </w:p>
    <w:bookmarkStart w:id="182" w:name="page183"/>
    <w:bookmarkEnd w:id="182"/>
    <w:p>
      <w:pPr>
        <w:ind w:left="520" w:right="3640" w:hanging="187"/>
        <w:spacing w:after="0" w:line="237" w:lineRule="auto"/>
        <w:tabs>
          <w:tab w:leader="none" w:pos="52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occupational information and any other information that may be required to manage a claim; and</w:t>
      </w:r>
    </w:p>
    <w:p>
      <w:pPr>
        <w:ind w:left="520" w:hanging="187"/>
        <w:spacing w:after="0"/>
        <w:tabs>
          <w:tab w:leader="none" w:pos="52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any other information that may be reasonably required.</w:t>
      </w:r>
    </w:p>
    <w:p>
      <w:pPr>
        <w:spacing w:after="0" w:line="314" w:lineRule="exact"/>
        <w:rPr>
          <w:sz w:val="20"/>
          <w:szCs w:val="20"/>
          <w:color w:val="auto"/>
        </w:rPr>
      </w:pPr>
    </w:p>
    <w:p>
      <w:pPr>
        <w:ind w:left="340" w:right="200"/>
        <w:spacing w:after="0" w:line="249" w:lineRule="auto"/>
        <w:rPr>
          <w:sz w:val="20"/>
          <w:szCs w:val="20"/>
          <w:color w:val="auto"/>
        </w:rPr>
      </w:pPr>
      <w:r>
        <w:rPr>
          <w:rFonts w:ascii="Arial" w:cs="Arial" w:eastAsia="Arial" w:hAnsi="Arial"/>
          <w:sz w:val="22"/>
          <w:szCs w:val="22"/>
          <w:color w:val="auto"/>
        </w:rPr>
        <w:t>Policyholder records that, in Unum's reasonable opinion, have a bearing on this policy will be available for review by Unum within 30 days of Unum's request.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Clerical error or omission by Unum will not:</w:t>
      </w:r>
    </w:p>
    <w:p>
      <w:pPr>
        <w:spacing w:after="0" w:line="193" w:lineRule="exact"/>
        <w:rPr>
          <w:sz w:val="20"/>
          <w:szCs w:val="20"/>
          <w:color w:val="auto"/>
        </w:rPr>
      </w:pPr>
    </w:p>
    <w:p>
      <w:pPr>
        <w:ind w:left="520" w:hanging="187"/>
        <w:spacing w:after="0"/>
        <w:tabs>
          <w:tab w:leader="none" w:pos="52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prevent an employee from receiving coverage;</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affect the amount of an insured's coverage; or</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cause an employee's coverage to begin or continue when the coverage would not otherwise be effective.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CAN CANCEL THIS POLICY OR A PLAN UNDER THIS POLICY?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This policy or a plan under this policy can be cancelled:</w:t>
      </w:r>
    </w:p>
    <w:p>
      <w:pPr>
        <w:spacing w:after="0" w:line="193" w:lineRule="exact"/>
        <w:rPr>
          <w:sz w:val="20"/>
          <w:szCs w:val="20"/>
          <w:color w:val="auto"/>
        </w:rPr>
      </w:pPr>
    </w:p>
    <w:p>
      <w:pPr>
        <w:ind w:left="520" w:hanging="187"/>
        <w:spacing w:after="0"/>
        <w:tabs>
          <w:tab w:leader="none" w:pos="52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by Unum; or</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by the Policyholder.</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Unum may cancel or offer to modify this policy or a plan if:</w:t>
      </w:r>
    </w:p>
    <w:p>
      <w:pPr>
        <w:spacing w:after="0" w:line="233" w:lineRule="exact"/>
        <w:rPr>
          <w:sz w:val="20"/>
          <w:szCs w:val="20"/>
          <w:color w:val="auto"/>
        </w:rPr>
      </w:pPr>
    </w:p>
    <w:p>
      <w:pPr>
        <w:ind w:left="520" w:hanging="187"/>
        <w:spacing w:after="0"/>
        <w:tabs>
          <w:tab w:leader="none" w:pos="520" w:val="left"/>
        </w:tabs>
        <w:numPr>
          <w:ilvl w:val="0"/>
          <w:numId w:val="175"/>
        </w:numPr>
        <w:rPr>
          <w:rFonts w:ascii="Arial" w:cs="Arial" w:eastAsia="Arial" w:hAnsi="Arial"/>
          <w:sz w:val="21"/>
          <w:szCs w:val="21"/>
          <w:color w:val="auto"/>
        </w:rPr>
      </w:pPr>
      <w:r>
        <w:rPr>
          <w:rFonts w:ascii="Arial" w:cs="Arial" w:eastAsia="Arial" w:hAnsi="Arial"/>
          <w:sz w:val="21"/>
          <w:szCs w:val="21"/>
          <w:color w:val="auto"/>
        </w:rPr>
        <w:t>there is less than 25% participation of those eligible employees who pay all or part of their premium for a plan; or</w:t>
      </w:r>
    </w:p>
    <w:p>
      <w:pPr>
        <w:spacing w:after="0" w:line="15" w:lineRule="exact"/>
        <w:rPr>
          <w:rFonts w:ascii="Arial" w:cs="Arial" w:eastAsia="Arial" w:hAnsi="Arial"/>
          <w:sz w:val="21"/>
          <w:szCs w:val="21"/>
          <w:color w:val="auto"/>
        </w:rPr>
      </w:pPr>
    </w:p>
    <w:p>
      <w:pPr>
        <w:ind w:left="520" w:hanging="187"/>
        <w:spacing w:after="0"/>
        <w:tabs>
          <w:tab w:leader="none" w:pos="52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there is less than 100% participation of those eligible employees for a Policyholder paid plan;</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Policyholder does not promptly provide Unum with information that is reasonably required;</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Policyholder fails to perform any of its obligations that relate to this policy;</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fewer than 25 employees are insured under a plan;</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 xml:space="preserve">the Policyholder fails to pay any premium within the 60 day </w:t>
      </w:r>
      <w:r>
        <w:rPr>
          <w:rFonts w:ascii="Arial" w:cs="Arial" w:eastAsia="Arial" w:hAnsi="Arial"/>
          <w:sz w:val="22"/>
          <w:szCs w:val="22"/>
          <w:b w:val="1"/>
          <w:bCs w:val="1"/>
          <w:color w:val="auto"/>
        </w:rPr>
        <w:t>grace period</w:t>
      </w:r>
      <w:r>
        <w:rPr>
          <w:rFonts w:ascii="Arial" w:cs="Arial" w:eastAsia="Arial" w:hAnsi="Arial"/>
          <w:sz w:val="22"/>
          <w:szCs w:val="22"/>
          <w:color w:val="auto"/>
        </w:rPr>
        <w:t>.</w:t>
      </w:r>
    </w:p>
    <w:p>
      <w:pPr>
        <w:spacing w:after="0" w:line="233" w:lineRule="exact"/>
        <w:rPr>
          <w:sz w:val="20"/>
          <w:szCs w:val="20"/>
          <w:color w:val="auto"/>
        </w:rPr>
      </w:pPr>
    </w:p>
    <w:p>
      <w:pPr>
        <w:ind w:left="340" w:right="460"/>
        <w:spacing w:after="0" w:line="249" w:lineRule="auto"/>
        <w:rPr>
          <w:sz w:val="20"/>
          <w:szCs w:val="20"/>
          <w:color w:val="auto"/>
        </w:rPr>
      </w:pPr>
      <w:r>
        <w:rPr>
          <w:rFonts w:ascii="Arial" w:cs="Arial" w:eastAsia="Arial" w:hAnsi="Arial"/>
          <w:sz w:val="22"/>
          <w:szCs w:val="22"/>
          <w:color w:val="auto"/>
        </w:rPr>
        <w:t>If Unum cancels this policy or a plan for reasons other than the Policyholder's failure to pay premium, a written notice will be delivered to the Policyholder at least 120 days prior to the cancellation date.</w:t>
      </w:r>
    </w:p>
    <w:p>
      <w:pPr>
        <w:spacing w:after="0" w:line="245" w:lineRule="exact"/>
        <w:rPr>
          <w:sz w:val="20"/>
          <w:szCs w:val="20"/>
          <w:color w:val="auto"/>
        </w:rPr>
      </w:pPr>
    </w:p>
    <w:p>
      <w:pPr>
        <w:jc w:val="both"/>
        <w:ind w:left="340" w:right="240"/>
        <w:spacing w:after="0" w:line="246" w:lineRule="auto"/>
        <w:rPr>
          <w:sz w:val="20"/>
          <w:szCs w:val="20"/>
          <w:color w:val="auto"/>
        </w:rPr>
      </w:pPr>
      <w:r>
        <w:rPr>
          <w:rFonts w:ascii="Arial" w:cs="Arial" w:eastAsia="Arial" w:hAnsi="Arial"/>
          <w:sz w:val="22"/>
          <w:szCs w:val="22"/>
          <w:color w:val="auto"/>
        </w:rPr>
        <w:t>If the premium is not paid during the grace period, the policy or plan will terminate automatically at the end of the grace period. The Policyholder is liable for premium for coverage during the grace period. The Policyholder must pay Unum all premium due for the full period each plan is in force.</w:t>
      </w:r>
    </w:p>
    <w:p>
      <w:pPr>
        <w:spacing w:after="0" w:line="249" w:lineRule="exact"/>
        <w:rPr>
          <w:sz w:val="20"/>
          <w:szCs w:val="20"/>
          <w:color w:val="auto"/>
        </w:rPr>
      </w:pPr>
    </w:p>
    <w:p>
      <w:pPr>
        <w:ind w:left="340"/>
        <w:spacing w:after="0" w:line="243" w:lineRule="auto"/>
        <w:rPr>
          <w:sz w:val="20"/>
          <w:szCs w:val="20"/>
          <w:color w:val="auto"/>
        </w:rPr>
      </w:pPr>
      <w:r>
        <w:rPr>
          <w:rFonts w:ascii="Arial" w:cs="Arial" w:eastAsia="Arial" w:hAnsi="Arial"/>
          <w:sz w:val="22"/>
          <w:szCs w:val="22"/>
          <w:color w:val="auto"/>
        </w:rPr>
        <w:t>The Policyholder may cancel this policy or a plan by written notice delivered to Unum at least 31 days prior to the cancellation date. When both the Policyholder and Unum agree, this policy or a plan can be cancelled on an earlier date. If Unum or the Policyholder cancels this policy or a plan, coverage will end at 12:00 midnight on the last day of coverage.</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If this policy or a plan is cancelled, the cancellation will not affect a </w:t>
      </w:r>
      <w:r>
        <w:rPr>
          <w:rFonts w:ascii="Arial" w:cs="Arial" w:eastAsia="Arial" w:hAnsi="Arial"/>
          <w:sz w:val="22"/>
          <w:szCs w:val="22"/>
          <w:b w:val="1"/>
          <w:bCs w:val="1"/>
          <w:color w:val="auto"/>
        </w:rPr>
        <w:t>payable claim</w:t>
      </w:r>
      <w:r>
        <w:rPr>
          <w:rFonts w:ascii="Arial" w:cs="Arial" w:eastAsia="Arial" w:hAnsi="Arial"/>
          <w:sz w:val="22"/>
          <w:szCs w:val="22"/>
          <w:color w:val="auto"/>
        </w:rPr>
        <w:t>.</w:t>
      </w:r>
    </w:p>
    <w:p>
      <w:pPr>
        <w:sectPr>
          <w:pgSz w:w="11900" w:h="16838" w:orient="portrait"/>
          <w:cols w:equalWidth="0" w:num="1">
            <w:col w:w="11300"/>
          </w:cols>
          <w:pgMar w:left="320" w:top="376" w:right="279" w:bottom="1440" w:gutter="0" w:footer="0" w:header="0"/>
        </w:sectPr>
      </w:pPr>
    </w:p>
    <w:bookmarkStart w:id="183" w:name="page184"/>
    <w:bookmarkEnd w:id="183"/>
    <w:p>
      <w:pPr>
        <w:ind w:right="100"/>
        <w:spacing w:after="0" w:line="274" w:lineRule="auto"/>
        <w:rPr>
          <w:sz w:val="20"/>
          <w:szCs w:val="20"/>
          <w:color w:val="auto"/>
        </w:rPr>
      </w:pPr>
      <w:r>
        <w:rPr>
          <w:rFonts w:ascii="Arial" w:cs="Arial" w:eastAsia="Arial" w:hAnsi="Arial"/>
          <w:sz w:val="22"/>
          <w:szCs w:val="22"/>
          <w:b w:val="1"/>
          <w:bCs w:val="1"/>
          <w:i w:val="1"/>
          <w:iCs w:val="1"/>
          <w:color w:val="auto"/>
        </w:rPr>
        <w:t>WHAT HAPPENS TO AN EMPLOYEE'S COVERAGE UNDER THIS POLICY WHILE HE OR SHE IS ON A FAMILY AND MEDICAL LEAVE OF ABSENCE?</w:t>
      </w:r>
    </w:p>
    <w:p>
      <w:pPr>
        <w:spacing w:after="0" w:line="218" w:lineRule="exact"/>
        <w:rPr>
          <w:sz w:val="20"/>
          <w:szCs w:val="20"/>
          <w:color w:val="auto"/>
        </w:rPr>
      </w:pPr>
    </w:p>
    <w:p>
      <w:pPr>
        <w:jc w:val="both"/>
        <w:ind w:left="340"/>
        <w:spacing w:after="0" w:line="246" w:lineRule="auto"/>
        <w:rPr>
          <w:sz w:val="20"/>
          <w:szCs w:val="20"/>
          <w:color w:val="auto"/>
        </w:rPr>
      </w:pPr>
      <w:r>
        <w:rPr>
          <w:rFonts w:ascii="Arial" w:cs="Arial" w:eastAsia="Arial" w:hAnsi="Arial"/>
          <w:sz w:val="22"/>
          <w:szCs w:val="22"/>
          <w:color w:val="auto"/>
        </w:rPr>
        <w:t>We will continue the employee's coverage in accordance with the policyholder's Human Resource policy on family and medical leaves of absence if premium payments continue and the policyholder approved the employee's leave in writing.</w:t>
      </w:r>
    </w:p>
    <w:p>
      <w:pPr>
        <w:spacing w:after="0" w:line="303" w:lineRule="exact"/>
        <w:rPr>
          <w:sz w:val="20"/>
          <w:szCs w:val="20"/>
          <w:color w:val="auto"/>
        </w:rPr>
      </w:pPr>
    </w:p>
    <w:p>
      <w:pPr>
        <w:ind w:left="340" w:right="180"/>
        <w:spacing w:after="0" w:line="249" w:lineRule="auto"/>
        <w:rPr>
          <w:sz w:val="20"/>
          <w:szCs w:val="20"/>
          <w:color w:val="auto"/>
        </w:rPr>
      </w:pPr>
      <w:r>
        <w:rPr>
          <w:rFonts w:ascii="Arial" w:cs="Arial" w:eastAsia="Arial" w:hAnsi="Arial"/>
          <w:sz w:val="22"/>
          <w:szCs w:val="22"/>
          <w:color w:val="auto"/>
        </w:rPr>
        <w:t>Coverage continues to the end of the month plus four additional months from the day your leave begins for Basic Long Term Disability.</w:t>
      </w:r>
    </w:p>
    <w:p>
      <w:pPr>
        <w:spacing w:after="0" w:line="245" w:lineRule="exact"/>
        <w:rPr>
          <w:sz w:val="20"/>
          <w:szCs w:val="20"/>
          <w:color w:val="auto"/>
        </w:rPr>
      </w:pPr>
    </w:p>
    <w:p>
      <w:pPr>
        <w:jc w:val="both"/>
        <w:ind w:left="340" w:right="140"/>
        <w:spacing w:after="0" w:line="246" w:lineRule="auto"/>
        <w:rPr>
          <w:sz w:val="20"/>
          <w:szCs w:val="20"/>
          <w:color w:val="auto"/>
        </w:rPr>
      </w:pPr>
      <w:r>
        <w:rPr>
          <w:rFonts w:ascii="Arial" w:cs="Arial" w:eastAsia="Arial" w:hAnsi="Arial"/>
          <w:sz w:val="22"/>
          <w:szCs w:val="22"/>
          <w:color w:val="auto"/>
        </w:rPr>
        <w:t>If the policyholder's Human Resource policy doesn't provide for continuation of an employee's coverage during a family and medical leave of absence, the employee's coverage will be reinstated when he or she returns to active employment.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We will not:</w:t>
      </w:r>
    </w:p>
    <w:p>
      <w:pPr>
        <w:spacing w:after="0" w:line="193" w:lineRule="exact"/>
        <w:rPr>
          <w:sz w:val="20"/>
          <w:szCs w:val="20"/>
          <w:color w:val="auto"/>
        </w:rPr>
      </w:pPr>
    </w:p>
    <w:p>
      <w:pPr>
        <w:ind w:left="460" w:hanging="127"/>
        <w:spacing w:after="0"/>
        <w:tabs>
          <w:tab w:leader="none" w:pos="46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apply a new waiting period;</w:t>
      </w:r>
    </w:p>
    <w:p>
      <w:pPr>
        <w:spacing w:after="0" w:line="17" w:lineRule="exact"/>
        <w:rPr>
          <w:rFonts w:ascii="Arial" w:cs="Arial" w:eastAsia="Arial" w:hAnsi="Arial"/>
          <w:sz w:val="22"/>
          <w:szCs w:val="22"/>
          <w:color w:val="auto"/>
        </w:rPr>
      </w:pPr>
    </w:p>
    <w:p>
      <w:pPr>
        <w:ind w:left="460" w:hanging="127"/>
        <w:spacing w:after="0"/>
        <w:tabs>
          <w:tab w:leader="none" w:pos="46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apply a new pre-existing conditions exclusion; or</w:t>
      </w:r>
    </w:p>
    <w:p>
      <w:pPr>
        <w:spacing w:after="0" w:line="3" w:lineRule="exact"/>
        <w:rPr>
          <w:rFonts w:ascii="Arial" w:cs="Arial" w:eastAsia="Arial" w:hAnsi="Arial"/>
          <w:sz w:val="22"/>
          <w:szCs w:val="22"/>
          <w:color w:val="auto"/>
        </w:rPr>
      </w:pPr>
    </w:p>
    <w:p>
      <w:pPr>
        <w:ind w:left="460" w:hanging="127"/>
        <w:spacing w:after="0"/>
        <w:tabs>
          <w:tab w:leader="none" w:pos="46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require evidence of insurability.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DIVISIONS, SUBSIDIARIES OR AFFILIATED COMPANIES INCLUDE: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NAME/LOCATION (CITY AND STATE)</w:t>
      </w:r>
    </w:p>
    <w:p>
      <w:pPr>
        <w:spacing w:after="0" w:line="233" w:lineRule="exact"/>
        <w:rPr>
          <w:sz w:val="20"/>
          <w:szCs w:val="20"/>
          <w:color w:val="auto"/>
        </w:rPr>
      </w:pPr>
    </w:p>
    <w:p>
      <w:pPr>
        <w:ind w:left="340" w:right="580"/>
        <w:spacing w:after="0" w:line="249" w:lineRule="auto"/>
        <w:rPr>
          <w:sz w:val="20"/>
          <w:szCs w:val="20"/>
          <w:color w:val="auto"/>
        </w:rPr>
      </w:pPr>
      <w:r>
        <w:rPr>
          <w:rFonts w:ascii="Arial" w:cs="Arial" w:eastAsia="Arial" w:hAnsi="Arial"/>
          <w:sz w:val="22"/>
          <w:szCs w:val="22"/>
          <w:color w:val="auto"/>
        </w:rPr>
        <w:t>Refer to the Northrop Grumman Account Structure Document that is located in the contract file for a listing of names and locations approved by Unum.</w:t>
      </w:r>
    </w:p>
    <w:p>
      <w:pPr>
        <w:sectPr>
          <w:pgSz w:w="11900" w:h="16838" w:orient="portrait"/>
          <w:cols w:equalWidth="0" w:num="1">
            <w:col w:w="11280"/>
          </w:cols>
          <w:pgMar w:left="320" w:top="364" w:right="299" w:bottom="1440" w:gutter="0" w:footer="0" w:header="0"/>
        </w:sectPr>
      </w:pPr>
    </w:p>
    <w:bookmarkStart w:id="184" w:name="page185"/>
    <w:bookmarkEnd w:id="184"/>
    <w:p>
      <w:pPr>
        <w:jc w:val="center"/>
        <w:ind w:right="60"/>
        <w:spacing w:after="0"/>
        <w:rPr>
          <w:sz w:val="20"/>
          <w:szCs w:val="20"/>
          <w:color w:val="auto"/>
        </w:rPr>
      </w:pPr>
      <w:r>
        <w:rPr>
          <w:rFonts w:ascii="Arial" w:cs="Arial" w:eastAsia="Arial" w:hAnsi="Arial"/>
          <w:sz w:val="25"/>
          <w:szCs w:val="25"/>
          <w:b w:val="1"/>
          <w:bCs w:val="1"/>
          <w:color w:val="auto"/>
        </w:rPr>
        <w:t>CERTIFICATE SECTION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Unum Life Insurance Company of America (referred to as Unum) welcomes you as a client.</w:t>
      </w:r>
    </w:p>
    <w:p>
      <w:pPr>
        <w:spacing w:after="0" w:line="260" w:lineRule="exact"/>
        <w:rPr>
          <w:sz w:val="20"/>
          <w:szCs w:val="20"/>
          <w:color w:val="auto"/>
        </w:rPr>
      </w:pPr>
    </w:p>
    <w:p>
      <w:pPr>
        <w:ind w:right="180"/>
        <w:spacing w:after="0" w:line="249" w:lineRule="auto"/>
        <w:rPr>
          <w:sz w:val="20"/>
          <w:szCs w:val="20"/>
          <w:color w:val="auto"/>
        </w:rPr>
      </w:pPr>
      <w:r>
        <w:rPr>
          <w:rFonts w:ascii="Arial" w:cs="Arial" w:eastAsia="Arial" w:hAnsi="Arial"/>
          <w:sz w:val="22"/>
          <w:szCs w:val="22"/>
          <w:color w:val="auto"/>
        </w:rPr>
        <w:t>This is your certificate of coverage as long as you are eligible for coverage and you become insured. You will want to read it carefully and keep it in a safe place.</w:t>
      </w:r>
    </w:p>
    <w:p>
      <w:pPr>
        <w:spacing w:after="0" w:line="245" w:lineRule="exact"/>
        <w:rPr>
          <w:sz w:val="20"/>
          <w:szCs w:val="20"/>
          <w:color w:val="auto"/>
        </w:rPr>
      </w:pPr>
    </w:p>
    <w:p>
      <w:pPr>
        <w:jc w:val="both"/>
        <w:ind w:right="340"/>
        <w:spacing w:after="0" w:line="246" w:lineRule="auto"/>
        <w:rPr>
          <w:sz w:val="20"/>
          <w:szCs w:val="20"/>
          <w:color w:val="auto"/>
        </w:rPr>
      </w:pPr>
      <w:r>
        <w:rPr>
          <w:rFonts w:ascii="Arial" w:cs="Arial" w:eastAsia="Arial" w:hAnsi="Arial"/>
          <w:sz w:val="22"/>
          <w:szCs w:val="22"/>
          <w:color w:val="auto"/>
        </w:rPr>
        <w:t>Unum has written your certificate of coverage in plain English. However, a few terms and provisions are written as required by insurance law. If you have any questions about any of the terms and provisions, please consult Unum's claims paying office. Unum will assist you in any way to help you understand your benefits.</w:t>
      </w:r>
    </w:p>
    <w:p>
      <w:pPr>
        <w:spacing w:after="0" w:line="249" w:lineRule="exact"/>
        <w:rPr>
          <w:sz w:val="20"/>
          <w:szCs w:val="20"/>
          <w:color w:val="auto"/>
        </w:rPr>
      </w:pPr>
    </w:p>
    <w:p>
      <w:pPr>
        <w:ind w:right="240"/>
        <w:spacing w:after="0" w:line="246" w:lineRule="auto"/>
        <w:rPr>
          <w:sz w:val="20"/>
          <w:szCs w:val="20"/>
          <w:color w:val="auto"/>
        </w:rPr>
      </w:pPr>
      <w:r>
        <w:rPr>
          <w:rFonts w:ascii="Arial" w:cs="Arial" w:eastAsia="Arial" w:hAnsi="Arial"/>
          <w:sz w:val="22"/>
          <w:szCs w:val="22"/>
          <w:color w:val="auto"/>
        </w:rPr>
        <w:t>If the terms and provisions of the certificate of coverage (issued to you) are different from the policy (issued to the policyholder), the policy will govern. Your coverage may be cancelled or changed in whole or in part under the terms and provisions of the policy.</w:t>
      </w:r>
    </w:p>
    <w:p>
      <w:pPr>
        <w:spacing w:after="0" w:line="249" w:lineRule="exact"/>
        <w:rPr>
          <w:sz w:val="20"/>
          <w:szCs w:val="20"/>
          <w:color w:val="auto"/>
        </w:rPr>
      </w:pPr>
    </w:p>
    <w:p>
      <w:pPr>
        <w:ind w:right="160"/>
        <w:spacing w:after="0" w:line="245" w:lineRule="auto"/>
        <w:rPr>
          <w:sz w:val="20"/>
          <w:szCs w:val="20"/>
          <w:color w:val="auto"/>
        </w:rPr>
      </w:pPr>
      <w:r>
        <w:rPr>
          <w:rFonts w:ascii="Arial" w:cs="Arial" w:eastAsia="Arial" w:hAnsi="Arial"/>
          <w:sz w:val="22"/>
          <w:szCs w:val="22"/>
          <w:color w:val="auto"/>
        </w:rPr>
        <w:t>The policy is delivered in and is governed by the laws of the governing jurisdiction and to the extent applicable by the Employee Retirement Income Security Act of 1974 (ERISA) and any amendments. When making a benefit determination under the policy, Unum has discretionary authority to determine your eligibility for benefits and to interpret the terms and provisions of the policy.</w:t>
      </w:r>
    </w:p>
    <w:p>
      <w:pPr>
        <w:spacing w:after="0" w:line="250"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For purposes of effective dates and ending dates under the group policy, all days begin at 12:01 a.m. and end at 12:00 midnight at the Policyholder's address.</w:t>
      </w:r>
    </w:p>
    <w:p>
      <w:pPr>
        <w:spacing w:after="0" w:line="200" w:lineRule="exact"/>
        <w:rPr>
          <w:sz w:val="20"/>
          <w:szCs w:val="20"/>
          <w:color w:val="auto"/>
        </w:rPr>
      </w:pPr>
    </w:p>
    <w:p>
      <w:pPr>
        <w:spacing w:after="0" w:line="315"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Unum Life Insurance Company of America 2211 Congress Street</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Portland, Maine 04122</w:t>
      </w:r>
    </w:p>
    <w:p>
      <w:pPr>
        <w:sectPr>
          <w:pgSz w:w="11900" w:h="16838" w:orient="portrait"/>
          <w:cols w:equalWidth="0" w:num="1">
            <w:col w:w="11320"/>
          </w:cols>
          <w:pgMar w:left="320" w:top="406" w:right="259" w:bottom="1440" w:gutter="0" w:footer="0" w:header="0"/>
        </w:sectPr>
      </w:pPr>
    </w:p>
    <w:bookmarkStart w:id="185" w:name="page186"/>
    <w:bookmarkEnd w:id="185"/>
    <w:p>
      <w:pPr>
        <w:ind w:left="2800"/>
        <w:spacing w:after="0"/>
        <w:rPr>
          <w:sz w:val="20"/>
          <w:szCs w:val="20"/>
          <w:color w:val="auto"/>
        </w:rPr>
      </w:pPr>
      <w:r>
        <w:rPr>
          <w:rFonts w:ascii="Arial" w:cs="Arial" w:eastAsia="Arial" w:hAnsi="Arial"/>
          <w:sz w:val="25"/>
          <w:szCs w:val="25"/>
          <w:b w:val="1"/>
          <w:bCs w:val="1"/>
          <w:color w:val="auto"/>
        </w:rPr>
        <w:t>GENERAL PROVISIONS</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IS THE CERTIFICATE OF COVERAGE?</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This certificate of coverage is a written statement prepared by Unum and may include attachments. It tells you:</w:t>
      </w:r>
    </w:p>
    <w:p>
      <w:pPr>
        <w:spacing w:after="0" w:line="193" w:lineRule="exact"/>
        <w:rPr>
          <w:sz w:val="20"/>
          <w:szCs w:val="20"/>
          <w:color w:val="auto"/>
        </w:rPr>
      </w:pPr>
    </w:p>
    <w:p>
      <w:pPr>
        <w:ind w:left="520" w:hanging="187"/>
        <w:spacing w:after="0"/>
        <w:tabs>
          <w:tab w:leader="none" w:pos="52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coverage for which you may be entitled;</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to whom Unum will make a payment; and</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limitations, exclusions and requirements that apply within a plan.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Unum will provide your Employer with a certificate of coverage for delivery to each insured.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WHEN ARE YOU ELIGIBLE FOR COVERAGE?</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If you are working for your Employer in an eligible group, the date you are eligible for coverage is the later of:</w:t>
      </w:r>
    </w:p>
    <w:p>
      <w:pPr>
        <w:spacing w:after="0" w:line="193" w:lineRule="exact"/>
        <w:rPr>
          <w:sz w:val="20"/>
          <w:szCs w:val="20"/>
          <w:color w:val="auto"/>
        </w:rPr>
      </w:pPr>
    </w:p>
    <w:p>
      <w:pPr>
        <w:ind w:left="520" w:hanging="187"/>
        <w:spacing w:after="0"/>
        <w:tabs>
          <w:tab w:leader="none" w:pos="52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plan effective date; or</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date you enter an eligible group.</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WHEN DOES YOUR COVERAGE BEGIN?</w:t>
      </w:r>
    </w:p>
    <w:p>
      <w:pPr>
        <w:spacing w:after="0" w:line="259" w:lineRule="exact"/>
        <w:rPr>
          <w:sz w:val="20"/>
          <w:szCs w:val="20"/>
          <w:color w:val="auto"/>
        </w:rPr>
      </w:pPr>
    </w:p>
    <w:p>
      <w:pPr>
        <w:ind w:left="340" w:right="280"/>
        <w:spacing w:after="0" w:line="249" w:lineRule="auto"/>
        <w:rPr>
          <w:sz w:val="20"/>
          <w:szCs w:val="20"/>
          <w:color w:val="auto"/>
        </w:rPr>
      </w:pPr>
      <w:r>
        <w:rPr>
          <w:rFonts w:ascii="Arial" w:cs="Arial" w:eastAsia="Arial" w:hAnsi="Arial"/>
          <w:sz w:val="22"/>
          <w:szCs w:val="22"/>
          <w:color w:val="auto"/>
        </w:rPr>
        <w:t>When your Employer pays 100% of the cost of your coverage under a plan, you will be covered at 12:01 a.m. on the date you are eligible for coverage.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IF YOU ARE ABSENT FROM WORK ON THE DATE YOUR COVERAGE WOULD NORMALLY BEGIN?</w:t>
      </w:r>
    </w:p>
    <w:p>
      <w:pPr>
        <w:spacing w:after="0" w:line="286" w:lineRule="exact"/>
        <w:rPr>
          <w:sz w:val="20"/>
          <w:szCs w:val="20"/>
          <w:color w:val="auto"/>
        </w:rPr>
      </w:pPr>
    </w:p>
    <w:p>
      <w:pPr>
        <w:ind w:left="340" w:right="120"/>
        <w:spacing w:after="0" w:line="249" w:lineRule="auto"/>
        <w:rPr>
          <w:sz w:val="20"/>
          <w:szCs w:val="20"/>
          <w:color w:val="auto"/>
        </w:rPr>
      </w:pPr>
      <w:r>
        <w:rPr>
          <w:rFonts w:ascii="Arial" w:cs="Arial" w:eastAsia="Arial" w:hAnsi="Arial"/>
          <w:sz w:val="22"/>
          <w:szCs w:val="22"/>
          <w:color w:val="auto"/>
        </w:rPr>
        <w:t xml:space="preserve">If you are absent from work due to injury, sickness or temporary leave of absence, your coverage will begin on the date you return to </w:t>
      </w:r>
      <w:r>
        <w:rPr>
          <w:rFonts w:ascii="Arial" w:cs="Arial" w:eastAsia="Arial" w:hAnsi="Arial"/>
          <w:sz w:val="22"/>
          <w:szCs w:val="22"/>
          <w:b w:val="1"/>
          <w:bCs w:val="1"/>
          <w:color w:val="auto"/>
        </w:rPr>
        <w:t>active employment</w:t>
      </w:r>
      <w:r>
        <w:rPr>
          <w:rFonts w:ascii="Arial" w:cs="Arial" w:eastAsia="Arial" w:hAnsi="Arial"/>
          <w:sz w:val="22"/>
          <w:szCs w:val="22"/>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ONCE YOUR COVERAGE BEGINS, WHAT HAPPENS IF YOU ARE TEMPORARILY NOT WORKING?</w:t>
      </w:r>
    </w:p>
    <w:p>
      <w:pPr>
        <w:spacing w:after="0" w:line="260" w:lineRule="exact"/>
        <w:rPr>
          <w:sz w:val="20"/>
          <w:szCs w:val="20"/>
          <w:color w:val="auto"/>
        </w:rPr>
      </w:pPr>
    </w:p>
    <w:p>
      <w:pPr>
        <w:ind w:left="340" w:right="360"/>
        <w:spacing w:after="0" w:line="274" w:lineRule="auto"/>
        <w:rPr>
          <w:sz w:val="20"/>
          <w:szCs w:val="20"/>
          <w:color w:val="auto"/>
        </w:rPr>
      </w:pPr>
      <w:r>
        <w:rPr>
          <w:rFonts w:ascii="Arial" w:cs="Arial" w:eastAsia="Arial" w:hAnsi="Arial"/>
          <w:sz w:val="22"/>
          <w:szCs w:val="22"/>
          <w:color w:val="auto"/>
        </w:rPr>
        <w:t xml:space="preserve">If you are on a </w:t>
      </w:r>
      <w:r>
        <w:rPr>
          <w:rFonts w:ascii="Arial" w:cs="Arial" w:eastAsia="Arial" w:hAnsi="Arial"/>
          <w:sz w:val="22"/>
          <w:szCs w:val="22"/>
          <w:b w:val="1"/>
          <w:bCs w:val="1"/>
          <w:color w:val="auto"/>
        </w:rPr>
        <w:t>leave of absence</w:t>
      </w:r>
      <w:r>
        <w:rPr>
          <w:rFonts w:ascii="Arial" w:cs="Arial" w:eastAsia="Arial" w:hAnsi="Arial"/>
          <w:sz w:val="22"/>
          <w:szCs w:val="22"/>
          <w:color w:val="auto"/>
        </w:rPr>
        <w:t>, and if premium is paid, you will be covered through the end of the month that immediately follows the month in which your leave of absence begins.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WHEN WILL CHANGES TO YOUR COVERAGE TAKE EFFECT?</w:t>
      </w:r>
    </w:p>
    <w:p>
      <w:pPr>
        <w:spacing w:after="0" w:line="259" w:lineRule="exact"/>
        <w:rPr>
          <w:sz w:val="20"/>
          <w:szCs w:val="20"/>
          <w:color w:val="auto"/>
        </w:rPr>
      </w:pPr>
    </w:p>
    <w:p>
      <w:pPr>
        <w:ind w:left="340"/>
        <w:spacing w:after="0" w:line="245" w:lineRule="auto"/>
        <w:rPr>
          <w:sz w:val="20"/>
          <w:szCs w:val="20"/>
          <w:color w:val="auto"/>
        </w:rPr>
      </w:pPr>
      <w:r>
        <w:rPr>
          <w:rFonts w:ascii="Arial" w:cs="Arial" w:eastAsia="Arial" w:hAnsi="Arial"/>
          <w:sz w:val="22"/>
          <w:szCs w:val="22"/>
          <w:color w:val="auto"/>
        </w:rPr>
        <w:t>Once your coverage begins, any increased or additional coverage due to a change in your monthly earnings or due to a plan change requested by your Employer will take effect immediately if you are in active employment or if you are on a covered leave of absence. If you are not in active employment due to injury or sickness, any increased or additional coverage will begin on the date you return to active employment.</w:t>
      </w:r>
    </w:p>
    <w:p>
      <w:pPr>
        <w:spacing w:after="0" w:line="224" w:lineRule="exact"/>
        <w:rPr>
          <w:sz w:val="20"/>
          <w:szCs w:val="20"/>
          <w:color w:val="auto"/>
        </w:rPr>
      </w:pPr>
    </w:p>
    <w:p>
      <w:pPr>
        <w:ind w:left="340" w:right="320"/>
        <w:spacing w:after="0" w:line="274" w:lineRule="auto"/>
        <w:rPr>
          <w:sz w:val="20"/>
          <w:szCs w:val="20"/>
          <w:color w:val="auto"/>
        </w:rPr>
      </w:pPr>
      <w:r>
        <w:rPr>
          <w:rFonts w:ascii="Arial" w:cs="Arial" w:eastAsia="Arial" w:hAnsi="Arial"/>
          <w:sz w:val="22"/>
          <w:szCs w:val="22"/>
          <w:color w:val="auto"/>
        </w:rPr>
        <w:t xml:space="preserve">Any decrease in coverage will take effect immediately but will not affect a </w:t>
      </w:r>
      <w:r>
        <w:rPr>
          <w:rFonts w:ascii="Arial" w:cs="Arial" w:eastAsia="Arial" w:hAnsi="Arial"/>
          <w:sz w:val="22"/>
          <w:szCs w:val="22"/>
          <w:b w:val="1"/>
          <w:bCs w:val="1"/>
          <w:color w:val="auto"/>
        </w:rPr>
        <w:t>payable claim</w:t>
      </w:r>
      <w:r>
        <w:rPr>
          <w:rFonts w:ascii="Arial" w:cs="Arial" w:eastAsia="Arial" w:hAnsi="Arial"/>
          <w:sz w:val="22"/>
          <w:szCs w:val="22"/>
          <w:color w:val="auto"/>
        </w:rPr>
        <w:t xml:space="preserve"> that occurs prior to the decrease.</w:t>
      </w:r>
    </w:p>
    <w:p>
      <w:pPr>
        <w:sectPr>
          <w:pgSz w:w="11900" w:h="16838" w:orient="portrait"/>
          <w:cols w:equalWidth="0" w:num="1">
            <w:col w:w="11320"/>
          </w:cols>
          <w:pgMar w:left="320" w:top="406" w:right="25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b w:val="1"/>
          <w:bCs w:val="1"/>
          <w:i w:val="1"/>
          <w:iCs w:val="1"/>
          <w:color w:val="auto"/>
        </w:rPr>
        <w:t>WHEN DOES YOUR COVERAGE END?</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Your coverage under the policy or a plan ends on the earliest of:</w:t>
      </w:r>
    </w:p>
    <w:p>
      <w:pPr>
        <w:spacing w:after="0" w:line="193" w:lineRule="exact"/>
        <w:rPr>
          <w:sz w:val="20"/>
          <w:szCs w:val="20"/>
          <w:color w:val="auto"/>
        </w:rPr>
      </w:pPr>
    </w:p>
    <w:p>
      <w:pPr>
        <w:ind w:left="520" w:hanging="187"/>
        <w:spacing w:after="0"/>
        <w:tabs>
          <w:tab w:leader="none" w:pos="52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date the policy or a plan is cancelled;</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date you no longer are in an eligible group;</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date your eligible group is no longer covered;</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last day of the period for which you made any required contributions; or</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last day you are in active employment except as provided under the covered leave of absence provision.</w:t>
      </w:r>
    </w:p>
    <w:p>
      <w:pPr>
        <w:spacing w:after="0" w:line="260" w:lineRule="exact"/>
        <w:rPr>
          <w:sz w:val="20"/>
          <w:szCs w:val="20"/>
          <w:color w:val="auto"/>
        </w:rPr>
      </w:pPr>
    </w:p>
    <w:p>
      <w:pPr>
        <w:ind w:right="580" w:firstLine="324"/>
        <w:spacing w:after="0" w:line="416" w:lineRule="auto"/>
        <w:rPr>
          <w:sz w:val="20"/>
          <w:szCs w:val="20"/>
          <w:color w:val="auto"/>
        </w:rPr>
      </w:pPr>
      <w:r>
        <w:rPr>
          <w:rFonts w:ascii="Arial" w:cs="Arial" w:eastAsia="Arial" w:hAnsi="Arial"/>
          <w:sz w:val="22"/>
          <w:szCs w:val="22"/>
          <w:color w:val="auto"/>
        </w:rPr>
        <w:t xml:space="preserve">Unum will provide coverage for a payable claim which occurs while you are covered under the policy or plan. </w:t>
      </w:r>
      <w:r>
        <w:rPr>
          <w:rFonts w:ascii="Arial" w:cs="Arial" w:eastAsia="Arial" w:hAnsi="Arial"/>
          <w:sz w:val="22"/>
          <w:szCs w:val="22"/>
          <w:b w:val="1"/>
          <w:bCs w:val="1"/>
          <w:i w:val="1"/>
          <w:iCs w:val="1"/>
          <w:color w:val="auto"/>
        </w:rPr>
        <w:t>WHAT ARE THE TIME LIMITS FOR LEGAL PROCEEDINGS?</w:t>
      </w:r>
    </w:p>
    <w:p>
      <w:pPr>
        <w:spacing w:after="0" w:line="41" w:lineRule="exact"/>
        <w:rPr>
          <w:sz w:val="20"/>
          <w:szCs w:val="20"/>
          <w:color w:val="auto"/>
        </w:rPr>
      </w:pPr>
    </w:p>
    <w:p>
      <w:pPr>
        <w:ind w:left="340" w:right="100"/>
        <w:spacing w:after="0" w:line="249" w:lineRule="auto"/>
        <w:rPr>
          <w:sz w:val="20"/>
          <w:szCs w:val="20"/>
          <w:color w:val="auto"/>
        </w:rPr>
      </w:pPr>
      <w:r>
        <w:rPr>
          <w:rFonts w:ascii="Arial" w:cs="Arial" w:eastAsia="Arial" w:hAnsi="Arial"/>
          <w:sz w:val="22"/>
          <w:szCs w:val="22"/>
          <w:color w:val="auto"/>
        </w:rPr>
        <w:t>You can start legal action regarding your claim 60 days after proof of claim has been given and up to 3 years from the time proof of claim is required, unless otherwise provided under federal law.</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CAN STATEMENTS MADE IN YOUR APPLICATION FOR THIS COVERAGE BE USED?</w:t>
      </w:r>
    </w:p>
    <w:p>
      <w:pPr>
        <w:spacing w:after="0" w:line="286" w:lineRule="exact"/>
        <w:rPr>
          <w:sz w:val="20"/>
          <w:szCs w:val="20"/>
          <w:color w:val="auto"/>
        </w:rPr>
      </w:pPr>
    </w:p>
    <w:p>
      <w:pPr>
        <w:ind w:left="340" w:right="80"/>
        <w:spacing w:after="0" w:line="246" w:lineRule="auto"/>
        <w:rPr>
          <w:sz w:val="20"/>
          <w:szCs w:val="20"/>
          <w:color w:val="auto"/>
        </w:rPr>
      </w:pPr>
      <w:r>
        <w:rPr>
          <w:rFonts w:ascii="Arial" w:cs="Arial" w:eastAsia="Arial" w:hAnsi="Arial"/>
          <w:sz w:val="22"/>
          <w:szCs w:val="22"/>
          <w:color w:val="auto"/>
        </w:rPr>
        <w:t>Unum considers any statements you or your Employer make in a signed application for coverage a representation and not a warranty. If any of the statements you or your Employer make are not complete and/or not true at the time they are made, we can:</w:t>
      </w:r>
    </w:p>
    <w:p>
      <w:pPr>
        <w:spacing w:after="0" w:line="181" w:lineRule="exact"/>
        <w:rPr>
          <w:sz w:val="20"/>
          <w:szCs w:val="20"/>
          <w:color w:val="auto"/>
        </w:rPr>
      </w:pPr>
    </w:p>
    <w:p>
      <w:pPr>
        <w:ind w:left="520" w:hanging="187"/>
        <w:spacing w:after="0"/>
        <w:tabs>
          <w:tab w:leader="none" w:pos="52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reduce or deny any claim; or</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cancel your coverage from the original effective date.</w:t>
      </w:r>
    </w:p>
    <w:p>
      <w:pPr>
        <w:spacing w:after="0" w:line="233" w:lineRule="exact"/>
        <w:rPr>
          <w:sz w:val="20"/>
          <w:szCs w:val="20"/>
          <w:color w:val="auto"/>
        </w:rPr>
      </w:pPr>
    </w:p>
    <w:p>
      <w:pPr>
        <w:ind w:left="340"/>
        <w:spacing w:after="0" w:line="246" w:lineRule="auto"/>
        <w:rPr>
          <w:sz w:val="20"/>
          <w:szCs w:val="20"/>
          <w:color w:val="auto"/>
        </w:rPr>
      </w:pPr>
      <w:r>
        <w:rPr>
          <w:rFonts w:ascii="Arial" w:cs="Arial" w:eastAsia="Arial" w:hAnsi="Arial"/>
          <w:sz w:val="22"/>
          <w:szCs w:val="22"/>
          <w:color w:val="auto"/>
        </w:rPr>
        <w:t>We will use only statements made in a signed application as a basis for doing this. A copy of the statements will be provided to you, your beneficiary or personal representative. These statements cannot be used to reduce or deny coverage if your coverage has been in force for at least 2 years.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However, if the Employer gives us information about you that is incorrect, we will:</w:t>
      </w:r>
    </w:p>
    <w:p>
      <w:pPr>
        <w:spacing w:after="0" w:line="233" w:lineRule="exact"/>
        <w:rPr>
          <w:sz w:val="20"/>
          <w:szCs w:val="20"/>
          <w:color w:val="auto"/>
        </w:rPr>
      </w:pPr>
    </w:p>
    <w:p>
      <w:pPr>
        <w:ind w:left="520" w:right="360" w:hanging="187"/>
        <w:spacing w:after="0" w:line="243" w:lineRule="auto"/>
        <w:tabs>
          <w:tab w:leader="none" w:pos="52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use the facts to determine if you have coverage under the plan according to the policy provisions and in what amounts; and</w:t>
      </w:r>
    </w:p>
    <w:p>
      <w:pPr>
        <w:ind w:left="520" w:hanging="187"/>
        <w:spacing w:after="0"/>
        <w:tabs>
          <w:tab w:leader="none" w:pos="52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make a fair adjustment of the premium.</w:t>
      </w:r>
    </w:p>
    <w:p>
      <w:pPr>
        <w:spacing w:after="0" w:line="207" w:lineRule="exact"/>
        <w:rPr>
          <w:sz w:val="20"/>
          <w:szCs w:val="20"/>
          <w:color w:val="auto"/>
        </w:rPr>
      </w:pPr>
    </w:p>
    <w:p>
      <w:pPr>
        <w:ind w:right="960"/>
        <w:spacing w:after="0" w:line="274" w:lineRule="auto"/>
        <w:rPr>
          <w:sz w:val="20"/>
          <w:szCs w:val="20"/>
          <w:color w:val="auto"/>
        </w:rPr>
      </w:pPr>
      <w:r>
        <w:rPr>
          <w:rFonts w:ascii="Arial" w:cs="Arial" w:eastAsia="Arial" w:hAnsi="Arial"/>
          <w:sz w:val="22"/>
          <w:szCs w:val="22"/>
          <w:b w:val="1"/>
          <w:bCs w:val="1"/>
          <w:i w:val="1"/>
          <w:iCs w:val="1"/>
          <w:color w:val="auto"/>
        </w:rPr>
        <w:t>DOES THE POLICY REPLACE OR AFFECT ANY WORKERS' COMPENSATION OR STATE DISABILITY INSURANCE?</w:t>
      </w:r>
    </w:p>
    <w:p>
      <w:pPr>
        <w:spacing w:after="0" w:line="218" w:lineRule="exact"/>
        <w:rPr>
          <w:sz w:val="20"/>
          <w:szCs w:val="20"/>
          <w:color w:val="auto"/>
        </w:rPr>
      </w:pPr>
    </w:p>
    <w:p>
      <w:pPr>
        <w:ind w:left="340" w:right="780"/>
        <w:spacing w:after="0" w:line="249" w:lineRule="auto"/>
        <w:rPr>
          <w:sz w:val="20"/>
          <w:szCs w:val="20"/>
          <w:color w:val="auto"/>
        </w:rPr>
      </w:pPr>
      <w:r>
        <w:rPr>
          <w:rFonts w:ascii="Arial" w:cs="Arial" w:eastAsia="Arial" w:hAnsi="Arial"/>
          <w:sz w:val="22"/>
          <w:szCs w:val="22"/>
          <w:color w:val="auto"/>
        </w:rPr>
        <w:t>The policy does not replace or affect the requirements for coverage by any workers' compensation or state disability insurance.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DOES YOUR EMPLOYER ACT AS YOUR AGENT OR UNUM'S AGENT?</w:t>
      </w:r>
    </w:p>
    <w:p>
      <w:pPr>
        <w:sectPr>
          <w:pgSz w:w="11900" w:h="16838" w:orient="portrait"/>
          <w:cols w:equalWidth="0" w:num="1">
            <w:col w:w="11280"/>
          </w:cols>
          <w:pgMar w:left="320" w:top="647" w:right="299" w:bottom="1440" w:gutter="0" w:footer="0" w:header="0"/>
        </w:sectPr>
      </w:pPr>
    </w:p>
    <w:bookmarkStart w:id="187" w:name="page188"/>
    <w:bookmarkEnd w:id="187"/>
    <w:p>
      <w:pPr>
        <w:spacing w:after="0" w:line="249" w:lineRule="auto"/>
        <w:rPr>
          <w:sz w:val="20"/>
          <w:szCs w:val="20"/>
          <w:color w:val="auto"/>
        </w:rPr>
      </w:pPr>
      <w:r>
        <w:rPr>
          <w:rFonts w:ascii="Arial" w:cs="Arial" w:eastAsia="Arial" w:hAnsi="Arial"/>
          <w:sz w:val="22"/>
          <w:szCs w:val="22"/>
          <w:color w:val="auto"/>
        </w:rPr>
        <w:t>For purposes of the policy, your Employer acts on its own behalf and not as your agent. Under no circumstances will your Employer be deemed the agent of Unum.</w:t>
      </w:r>
    </w:p>
    <w:p>
      <w:pPr>
        <w:sectPr>
          <w:pgSz w:w="11900" w:h="16838" w:orient="portrait"/>
          <w:cols w:equalWidth="0" w:num="1">
            <w:col w:w="10720"/>
          </w:cols>
          <w:pgMar w:left="660" w:top="390" w:right="519" w:bottom="1440" w:gutter="0" w:footer="0" w:header="0"/>
        </w:sectPr>
      </w:pPr>
    </w:p>
    <w:bookmarkStart w:id="188" w:name="page189"/>
    <w:bookmarkEnd w:id="188"/>
    <w:p>
      <w:pPr>
        <w:jc w:val="center"/>
        <w:ind w:right="80"/>
        <w:spacing w:after="0"/>
        <w:rPr>
          <w:sz w:val="20"/>
          <w:szCs w:val="20"/>
          <w:color w:val="auto"/>
        </w:rPr>
      </w:pPr>
      <w:r>
        <w:rPr>
          <w:rFonts w:ascii="Arial" w:cs="Arial" w:eastAsia="Arial" w:hAnsi="Arial"/>
          <w:sz w:val="25"/>
          <w:szCs w:val="25"/>
          <w:b w:val="1"/>
          <w:bCs w:val="1"/>
          <w:color w:val="auto"/>
        </w:rPr>
        <w:t>LONG TERM DISABILITY</w:t>
      </w:r>
    </w:p>
    <w:p>
      <w:pPr>
        <w:spacing w:after="0" w:line="293"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BENEFIT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DOES UNUM DEFINE DISABILITY?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You are disabled when Unum determines that:</w:t>
      </w:r>
    </w:p>
    <w:p>
      <w:pPr>
        <w:spacing w:after="0" w:line="167" w:lineRule="exact"/>
        <w:rPr>
          <w:sz w:val="20"/>
          <w:szCs w:val="20"/>
          <w:color w:val="auto"/>
        </w:rPr>
      </w:pPr>
    </w:p>
    <w:p>
      <w:pPr>
        <w:ind w:left="520" w:right="3440" w:hanging="187"/>
        <w:spacing w:after="0" w:line="262" w:lineRule="auto"/>
        <w:tabs>
          <w:tab w:leader="none" w:pos="52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you are </w:t>
      </w:r>
      <w:r>
        <w:rPr>
          <w:rFonts w:ascii="Arial" w:cs="Arial" w:eastAsia="Arial" w:hAnsi="Arial"/>
          <w:sz w:val="22"/>
          <w:szCs w:val="22"/>
          <w:b w:val="1"/>
          <w:bCs w:val="1"/>
          <w:color w:val="auto"/>
        </w:rPr>
        <w:t>limited</w:t>
      </w:r>
      <w:r>
        <w:rPr>
          <w:rFonts w:ascii="Arial" w:cs="Arial" w:eastAsia="Arial" w:hAnsi="Arial"/>
          <w:sz w:val="22"/>
          <w:szCs w:val="22"/>
          <w:color w:val="auto"/>
        </w:rPr>
        <w:t xml:space="preserve"> from performing the </w:t>
      </w:r>
      <w:r>
        <w:rPr>
          <w:rFonts w:ascii="Arial" w:cs="Arial" w:eastAsia="Arial" w:hAnsi="Arial"/>
          <w:sz w:val="22"/>
          <w:szCs w:val="22"/>
          <w:b w:val="1"/>
          <w:bCs w:val="1"/>
          <w:color w:val="auto"/>
        </w:rPr>
        <w:t>material and substantial duties</w:t>
      </w:r>
      <w:r>
        <w:rPr>
          <w:rFonts w:ascii="Arial" w:cs="Arial" w:eastAsia="Arial" w:hAnsi="Arial"/>
          <w:sz w:val="22"/>
          <w:szCs w:val="22"/>
          <w:color w:val="auto"/>
        </w:rPr>
        <w:t xml:space="preserve"> of your </w:t>
      </w:r>
      <w:r>
        <w:rPr>
          <w:rFonts w:ascii="Arial" w:cs="Arial" w:eastAsia="Arial" w:hAnsi="Arial"/>
          <w:sz w:val="22"/>
          <w:szCs w:val="22"/>
          <w:b w:val="1"/>
          <w:bCs w:val="1"/>
          <w:color w:val="auto"/>
        </w:rPr>
        <w:t xml:space="preserve">regular occupation </w:t>
      </w:r>
      <w:r>
        <w:rPr>
          <w:rFonts w:ascii="Arial" w:cs="Arial" w:eastAsia="Arial" w:hAnsi="Arial"/>
          <w:sz w:val="22"/>
          <w:szCs w:val="22"/>
          <w:color w:val="auto"/>
        </w:rPr>
        <w:t>due to your</w:t>
      </w:r>
      <w:r>
        <w:rPr>
          <w:rFonts w:ascii="Arial" w:cs="Arial" w:eastAsia="Arial" w:hAnsi="Arial"/>
          <w:sz w:val="22"/>
          <w:szCs w:val="22"/>
          <w:b w:val="1"/>
          <w:bCs w:val="1"/>
          <w:color w:val="auto"/>
        </w:rPr>
        <w:t xml:space="preserve"> sickness </w:t>
      </w:r>
      <w:r>
        <w:rPr>
          <w:rFonts w:ascii="Arial" w:cs="Arial" w:eastAsia="Arial" w:hAnsi="Arial"/>
          <w:sz w:val="22"/>
          <w:szCs w:val="22"/>
          <w:color w:val="auto"/>
        </w:rPr>
        <w:t>or</w:t>
      </w:r>
      <w:r>
        <w:rPr>
          <w:rFonts w:ascii="Arial" w:cs="Arial" w:eastAsia="Arial" w:hAnsi="Arial"/>
          <w:sz w:val="22"/>
          <w:szCs w:val="22"/>
          <w:b w:val="1"/>
          <w:bCs w:val="1"/>
          <w:color w:val="auto"/>
        </w:rPr>
        <w:t xml:space="preserve"> injury</w:t>
      </w:r>
      <w:r>
        <w:rPr>
          <w:rFonts w:ascii="Arial" w:cs="Arial" w:eastAsia="Arial" w:hAnsi="Arial"/>
          <w:sz w:val="22"/>
          <w:szCs w:val="22"/>
          <w:color w:val="auto"/>
        </w:rPr>
        <w:t>; and</w:t>
      </w:r>
    </w:p>
    <w:p>
      <w:pPr>
        <w:ind w:left="520" w:hanging="187"/>
        <w:spacing w:after="0"/>
        <w:tabs>
          <w:tab w:leader="none" w:pos="52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you have a 20% or more loss in your </w:t>
      </w:r>
      <w:r>
        <w:rPr>
          <w:rFonts w:ascii="Arial" w:cs="Arial" w:eastAsia="Arial" w:hAnsi="Arial"/>
          <w:sz w:val="22"/>
          <w:szCs w:val="22"/>
          <w:b w:val="1"/>
          <w:bCs w:val="1"/>
          <w:color w:val="auto"/>
        </w:rPr>
        <w:t>indexed monthly earnings</w:t>
      </w:r>
      <w:r>
        <w:rPr>
          <w:rFonts w:ascii="Arial" w:cs="Arial" w:eastAsia="Arial" w:hAnsi="Arial"/>
          <w:sz w:val="22"/>
          <w:szCs w:val="22"/>
          <w:color w:val="auto"/>
        </w:rPr>
        <w:t xml:space="preserve"> due to the same sickness or injury.</w:t>
      </w:r>
    </w:p>
    <w:p>
      <w:pPr>
        <w:spacing w:after="0" w:line="260" w:lineRule="exact"/>
        <w:rPr>
          <w:sz w:val="20"/>
          <w:szCs w:val="20"/>
          <w:color w:val="auto"/>
        </w:rPr>
      </w:pPr>
    </w:p>
    <w:p>
      <w:pPr>
        <w:ind w:left="340" w:right="200"/>
        <w:spacing w:after="0" w:line="246" w:lineRule="auto"/>
        <w:rPr>
          <w:sz w:val="20"/>
          <w:szCs w:val="20"/>
          <w:color w:val="auto"/>
        </w:rPr>
      </w:pPr>
      <w:r>
        <w:rPr>
          <w:rFonts w:ascii="Arial" w:cs="Arial" w:eastAsia="Arial" w:hAnsi="Arial"/>
          <w:sz w:val="22"/>
          <w:szCs w:val="22"/>
          <w:color w:val="auto"/>
        </w:rPr>
        <w:t xml:space="preserve">After 24 months of payments, you are disabled when Unum determines that due to the same sickness or injury, you are unable to perform the duties of any </w:t>
      </w:r>
      <w:r>
        <w:rPr>
          <w:rFonts w:ascii="Arial" w:cs="Arial" w:eastAsia="Arial" w:hAnsi="Arial"/>
          <w:sz w:val="22"/>
          <w:szCs w:val="22"/>
          <w:b w:val="1"/>
          <w:bCs w:val="1"/>
          <w:color w:val="auto"/>
        </w:rPr>
        <w:t>gainful occupation</w:t>
      </w:r>
      <w:r>
        <w:rPr>
          <w:rFonts w:ascii="Arial" w:cs="Arial" w:eastAsia="Arial" w:hAnsi="Arial"/>
          <w:sz w:val="22"/>
          <w:szCs w:val="22"/>
          <w:color w:val="auto"/>
        </w:rPr>
        <w:t xml:space="preserve"> for which you are reasonably fitted by education, training or experience.</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loss of a professional or occupational license or certification does not, in itself, constitute disability.</w:t>
      </w:r>
    </w:p>
    <w:p>
      <w:pPr>
        <w:spacing w:after="0" w:line="260" w:lineRule="exact"/>
        <w:rPr>
          <w:sz w:val="20"/>
          <w:szCs w:val="20"/>
          <w:color w:val="auto"/>
        </w:rPr>
      </w:pPr>
    </w:p>
    <w:p>
      <w:pPr>
        <w:ind w:left="340" w:right="360"/>
        <w:spacing w:after="0" w:line="246" w:lineRule="auto"/>
        <w:rPr>
          <w:sz w:val="20"/>
          <w:szCs w:val="20"/>
          <w:color w:val="auto"/>
        </w:rPr>
      </w:pPr>
      <w:r>
        <w:rPr>
          <w:rFonts w:ascii="Arial" w:cs="Arial" w:eastAsia="Arial" w:hAnsi="Arial"/>
          <w:sz w:val="22"/>
          <w:szCs w:val="22"/>
          <w:color w:val="auto"/>
        </w:rPr>
        <w:t>We may require you to be examined by a physician, other medical practitioner and/or vocational expert of our choice. Unum will pay for this examination. We can require an examination as often as it is reasonable to do so. We may also require you to be interviewed by an authorized Unum Representative.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LONG MUST YOU BE DISABLED BEFORE YOU ARE ELIGIBLE TO RECEIVE BENEFITS?</w:t>
      </w:r>
    </w:p>
    <w:p>
      <w:pPr>
        <w:spacing w:after="0" w:line="260" w:lineRule="exact"/>
        <w:rPr>
          <w:sz w:val="20"/>
          <w:szCs w:val="20"/>
          <w:color w:val="auto"/>
        </w:rPr>
      </w:pPr>
    </w:p>
    <w:p>
      <w:pPr>
        <w:ind w:left="340" w:right="20"/>
        <w:spacing w:after="0" w:line="258" w:lineRule="auto"/>
        <w:rPr>
          <w:sz w:val="20"/>
          <w:szCs w:val="20"/>
          <w:color w:val="auto"/>
        </w:rPr>
      </w:pPr>
      <w:r>
        <w:rPr>
          <w:rFonts w:ascii="Arial" w:cs="Arial" w:eastAsia="Arial" w:hAnsi="Arial"/>
          <w:sz w:val="22"/>
          <w:szCs w:val="22"/>
          <w:color w:val="auto"/>
        </w:rPr>
        <w:t xml:space="preserve">You must be continuously disabled through your </w:t>
      </w:r>
      <w:r>
        <w:rPr>
          <w:rFonts w:ascii="Arial" w:cs="Arial" w:eastAsia="Arial" w:hAnsi="Arial"/>
          <w:sz w:val="22"/>
          <w:szCs w:val="22"/>
          <w:b w:val="1"/>
          <w:bCs w:val="1"/>
          <w:color w:val="auto"/>
        </w:rPr>
        <w:t>elimination period</w:t>
      </w:r>
      <w:r>
        <w:rPr>
          <w:rFonts w:ascii="Arial" w:cs="Arial" w:eastAsia="Arial" w:hAnsi="Arial"/>
          <w:sz w:val="22"/>
          <w:szCs w:val="22"/>
          <w:color w:val="auto"/>
        </w:rPr>
        <w:t>. Unum will treat your disability as continuous if your disability stops for 30 days or less during the elimination period. The days that you are not disabled will not count toward your elimination period.</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Your elimination period is 6 months.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CAN YOU SATISFY YOUR ELIMINATION PERIOD IF YOU ARE WORKING?</w:t>
      </w:r>
    </w:p>
    <w:p>
      <w:pPr>
        <w:spacing w:after="0" w:line="259" w:lineRule="exact"/>
        <w:rPr>
          <w:sz w:val="20"/>
          <w:szCs w:val="20"/>
          <w:color w:val="auto"/>
        </w:rPr>
      </w:pPr>
    </w:p>
    <w:p>
      <w:pPr>
        <w:ind w:right="100" w:firstLine="324"/>
        <w:spacing w:after="0" w:line="416" w:lineRule="auto"/>
        <w:rPr>
          <w:sz w:val="20"/>
          <w:szCs w:val="20"/>
          <w:color w:val="auto"/>
        </w:rPr>
      </w:pPr>
      <w:r>
        <w:rPr>
          <w:rFonts w:ascii="Arial" w:cs="Arial" w:eastAsia="Arial" w:hAnsi="Arial"/>
          <w:sz w:val="22"/>
          <w:szCs w:val="22"/>
          <w:color w:val="auto"/>
        </w:rPr>
        <w:t xml:space="preserve">Yes. If you are working while you are disabled, the days you are disabled will count toward your elimination period. </w:t>
      </w:r>
      <w:r>
        <w:rPr>
          <w:rFonts w:ascii="Arial" w:cs="Arial" w:eastAsia="Arial" w:hAnsi="Arial"/>
          <w:sz w:val="22"/>
          <w:szCs w:val="22"/>
          <w:b w:val="1"/>
          <w:bCs w:val="1"/>
          <w:i w:val="1"/>
          <w:iCs w:val="1"/>
          <w:color w:val="auto"/>
        </w:rPr>
        <w:t>WHEN WILL YOU BEGIN TO RECEIVE PAYMENTS?</w:t>
      </w:r>
    </w:p>
    <w:p>
      <w:pPr>
        <w:spacing w:after="0" w:line="41" w:lineRule="exact"/>
        <w:rPr>
          <w:sz w:val="20"/>
          <w:szCs w:val="20"/>
          <w:color w:val="auto"/>
        </w:rPr>
      </w:pPr>
    </w:p>
    <w:p>
      <w:pPr>
        <w:ind w:left="340"/>
        <w:spacing w:after="0" w:line="249" w:lineRule="auto"/>
        <w:rPr>
          <w:sz w:val="20"/>
          <w:szCs w:val="20"/>
          <w:color w:val="auto"/>
        </w:rPr>
      </w:pPr>
      <w:r>
        <w:rPr>
          <w:rFonts w:ascii="Arial" w:cs="Arial" w:eastAsia="Arial" w:hAnsi="Arial"/>
          <w:sz w:val="22"/>
          <w:szCs w:val="22"/>
          <w:color w:val="auto"/>
        </w:rPr>
        <w:t>You will begin to receive payments when we approve your claim, providing the elimination period has been met and you are disabled. We will send you a payment monthly for any period for which Unum is liable.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MUCH WILL UNUM PAY YOU IF YOU ARE DISABLED?</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We will follow this process to figure your payment:</w:t>
      </w:r>
    </w:p>
    <w:p>
      <w:pPr>
        <w:spacing w:after="0" w:line="193" w:lineRule="exact"/>
        <w:rPr>
          <w:sz w:val="20"/>
          <w:szCs w:val="20"/>
          <w:color w:val="auto"/>
        </w:rPr>
      </w:pPr>
    </w:p>
    <w:p>
      <w:pPr>
        <w:ind w:left="640" w:hanging="307"/>
        <w:spacing w:after="0"/>
        <w:tabs>
          <w:tab w:leader="none" w:pos="64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Multiply your monthly earnings by 65%.</w:t>
      </w:r>
    </w:p>
    <w:p>
      <w:pPr>
        <w:spacing w:after="0" w:line="6" w:lineRule="exact"/>
        <w:rPr>
          <w:rFonts w:ascii="Arial" w:cs="Arial" w:eastAsia="Arial" w:hAnsi="Arial"/>
          <w:sz w:val="22"/>
          <w:szCs w:val="22"/>
          <w:color w:val="auto"/>
        </w:rPr>
      </w:pPr>
    </w:p>
    <w:p>
      <w:pPr>
        <w:ind w:left="640" w:hanging="307"/>
        <w:spacing w:after="0"/>
        <w:tabs>
          <w:tab w:leader="none" w:pos="64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The maximum </w:t>
      </w:r>
      <w:r>
        <w:rPr>
          <w:rFonts w:ascii="Arial" w:cs="Arial" w:eastAsia="Arial" w:hAnsi="Arial"/>
          <w:sz w:val="22"/>
          <w:szCs w:val="22"/>
          <w:b w:val="1"/>
          <w:bCs w:val="1"/>
          <w:color w:val="auto"/>
        </w:rPr>
        <w:t>monthly benefit</w:t>
      </w:r>
      <w:r>
        <w:rPr>
          <w:rFonts w:ascii="Arial" w:cs="Arial" w:eastAsia="Arial" w:hAnsi="Arial"/>
          <w:sz w:val="22"/>
          <w:szCs w:val="22"/>
          <w:color w:val="auto"/>
        </w:rPr>
        <w:t xml:space="preserve"> is $15,000.</w:t>
      </w:r>
    </w:p>
    <w:p>
      <w:pPr>
        <w:sectPr>
          <w:pgSz w:w="11900" w:h="16838" w:orient="portrait"/>
          <w:cols w:equalWidth="0" w:num="1">
            <w:col w:w="11340"/>
          </w:cols>
          <w:pgMar w:left="320" w:top="528" w:right="239" w:bottom="1440" w:gutter="0" w:footer="0" w:header="0"/>
        </w:sectPr>
      </w:pPr>
    </w:p>
    <w:bookmarkStart w:id="189" w:name="page190"/>
    <w:bookmarkEnd w:id="189"/>
    <w:p>
      <w:pPr>
        <w:ind w:left="640" w:right="280" w:hanging="307"/>
        <w:spacing w:after="0" w:line="249" w:lineRule="auto"/>
        <w:tabs>
          <w:tab w:leader="none" w:pos="622" w:val="left"/>
        </w:tabs>
        <w:numPr>
          <w:ilvl w:val="0"/>
          <w:numId w:val="184"/>
        </w:numPr>
        <w:rPr>
          <w:rFonts w:ascii="Arial" w:cs="Arial" w:eastAsia="Arial" w:hAnsi="Arial"/>
          <w:sz w:val="22"/>
          <w:szCs w:val="22"/>
          <w:color w:val="auto"/>
        </w:rPr>
      </w:pPr>
      <w:r>
        <w:rPr>
          <w:rFonts w:ascii="Arial" w:cs="Arial" w:eastAsia="Arial" w:hAnsi="Arial"/>
          <w:sz w:val="22"/>
          <w:szCs w:val="22"/>
          <w:color w:val="auto"/>
        </w:rPr>
        <w:t xml:space="preserve">Compare the answer from Item 1 with the maximum monthly benefit. The lesser of these two amounts is your </w:t>
      </w:r>
      <w:r>
        <w:rPr>
          <w:rFonts w:ascii="Arial" w:cs="Arial" w:eastAsia="Arial" w:hAnsi="Arial"/>
          <w:sz w:val="22"/>
          <w:szCs w:val="22"/>
          <w:b w:val="1"/>
          <w:bCs w:val="1"/>
          <w:color w:val="auto"/>
        </w:rPr>
        <w:t>gross disability payment</w:t>
      </w:r>
      <w:r>
        <w:rPr>
          <w:rFonts w:ascii="Arial" w:cs="Arial" w:eastAsia="Arial" w:hAnsi="Arial"/>
          <w:sz w:val="22"/>
          <w:szCs w:val="22"/>
          <w:color w:val="auto"/>
        </w:rPr>
        <w:t>.</w:t>
      </w:r>
    </w:p>
    <w:p>
      <w:pPr>
        <w:spacing w:after="0" w:line="340" w:lineRule="exact"/>
        <w:rPr>
          <w:rFonts w:ascii="Arial" w:cs="Arial" w:eastAsia="Arial" w:hAnsi="Arial"/>
          <w:sz w:val="22"/>
          <w:szCs w:val="22"/>
          <w:color w:val="auto"/>
        </w:rPr>
      </w:pPr>
    </w:p>
    <w:p>
      <w:pPr>
        <w:ind w:left="820" w:hanging="487"/>
        <w:spacing w:after="0"/>
        <w:tabs>
          <w:tab w:leader="none" w:pos="82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 xml:space="preserve">Subtract from your gross disability payment any </w:t>
      </w:r>
      <w:r>
        <w:rPr>
          <w:rFonts w:ascii="Arial" w:cs="Arial" w:eastAsia="Arial" w:hAnsi="Arial"/>
          <w:sz w:val="21"/>
          <w:szCs w:val="21"/>
          <w:b w:val="1"/>
          <w:bCs w:val="1"/>
          <w:color w:val="auto"/>
        </w:rPr>
        <w:t>deductible sources of income</w:t>
      </w:r>
      <w:r>
        <w:rPr>
          <w:rFonts w:ascii="Arial" w:cs="Arial" w:eastAsia="Arial" w:hAnsi="Arial"/>
          <w:sz w:val="21"/>
          <w:szCs w:val="21"/>
          <w:color w:val="auto"/>
        </w:rPr>
        <w:t>. The amount figured in Item</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4 is your </w:t>
      </w:r>
      <w:r>
        <w:rPr>
          <w:rFonts w:ascii="Arial" w:cs="Arial" w:eastAsia="Arial" w:hAnsi="Arial"/>
          <w:sz w:val="22"/>
          <w:szCs w:val="22"/>
          <w:b w:val="1"/>
          <w:bCs w:val="1"/>
          <w:color w:val="auto"/>
        </w:rPr>
        <w:t>monthly payment</w:t>
      </w:r>
      <w:r>
        <w:rPr>
          <w:rFonts w:ascii="Arial" w:cs="Arial" w:eastAsia="Arial" w:hAnsi="Arial"/>
          <w:sz w:val="22"/>
          <w:szCs w:val="22"/>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ARE YOUR MONTHLY EARNINGS?</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Base Earnings as represented in the base earnings amount column on the employees pay check</w:t>
      </w:r>
    </w:p>
    <w:p>
      <w:pPr>
        <w:spacing w:after="0" w:line="234" w:lineRule="exact"/>
        <w:rPr>
          <w:sz w:val="20"/>
          <w:szCs w:val="20"/>
          <w:color w:val="auto"/>
        </w:rPr>
      </w:pPr>
    </w:p>
    <w:p>
      <w:pPr>
        <w:ind w:right="40"/>
        <w:spacing w:after="0" w:line="274" w:lineRule="auto"/>
        <w:rPr>
          <w:sz w:val="20"/>
          <w:szCs w:val="20"/>
          <w:color w:val="auto"/>
        </w:rPr>
      </w:pPr>
      <w:r>
        <w:rPr>
          <w:rFonts w:ascii="Arial" w:cs="Arial" w:eastAsia="Arial" w:hAnsi="Arial"/>
          <w:sz w:val="22"/>
          <w:szCs w:val="22"/>
          <w:b w:val="1"/>
          <w:bCs w:val="1"/>
          <w:i w:val="1"/>
          <w:iCs w:val="1"/>
          <w:color w:val="auto"/>
        </w:rPr>
        <w:t>WHAT WILL WE USE FOR MONTHLY EARNINGS IF YOU BECOME DISABLED DURING A COVERED LEAVE OF ABSENCE?</w:t>
      </w:r>
    </w:p>
    <w:p>
      <w:pPr>
        <w:spacing w:after="0" w:line="218" w:lineRule="exact"/>
        <w:rPr>
          <w:sz w:val="20"/>
          <w:szCs w:val="20"/>
          <w:color w:val="auto"/>
        </w:rPr>
      </w:pPr>
    </w:p>
    <w:p>
      <w:pPr>
        <w:ind w:left="340" w:right="120"/>
        <w:spacing w:after="0" w:line="249" w:lineRule="auto"/>
        <w:rPr>
          <w:sz w:val="20"/>
          <w:szCs w:val="20"/>
          <w:color w:val="auto"/>
        </w:rPr>
      </w:pPr>
      <w:r>
        <w:rPr>
          <w:rFonts w:ascii="Arial" w:cs="Arial" w:eastAsia="Arial" w:hAnsi="Arial"/>
          <w:sz w:val="22"/>
          <w:szCs w:val="22"/>
          <w:color w:val="auto"/>
        </w:rPr>
        <w:t>If you become disabled while you are on a covered leave of absence, we will use your monthly earnings from your Employer in effect just prior to the date your absence begins.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MUCH WILL UNUM PAY YOU IF YOU ARE DISABLED AND WORKING?</w:t>
      </w:r>
    </w:p>
    <w:p>
      <w:pPr>
        <w:spacing w:after="0" w:line="233" w:lineRule="exact"/>
        <w:rPr>
          <w:sz w:val="20"/>
          <w:szCs w:val="20"/>
          <w:color w:val="auto"/>
        </w:rPr>
      </w:pPr>
    </w:p>
    <w:p>
      <w:pPr>
        <w:ind w:left="340" w:right="340"/>
        <w:spacing w:after="0" w:line="274" w:lineRule="auto"/>
        <w:rPr>
          <w:sz w:val="20"/>
          <w:szCs w:val="20"/>
          <w:color w:val="auto"/>
        </w:rPr>
      </w:pPr>
      <w:r>
        <w:rPr>
          <w:rFonts w:ascii="Arial" w:cs="Arial" w:eastAsia="Arial" w:hAnsi="Arial"/>
          <w:sz w:val="22"/>
          <w:szCs w:val="22"/>
          <w:color w:val="auto"/>
        </w:rPr>
        <w:t xml:space="preserve">We will send you the monthly payment if you are disabled and your monthly </w:t>
      </w:r>
      <w:r>
        <w:rPr>
          <w:rFonts w:ascii="Arial" w:cs="Arial" w:eastAsia="Arial" w:hAnsi="Arial"/>
          <w:sz w:val="22"/>
          <w:szCs w:val="22"/>
          <w:b w:val="1"/>
          <w:bCs w:val="1"/>
          <w:color w:val="auto"/>
        </w:rPr>
        <w:t>disability earnings</w:t>
      </w:r>
      <w:r>
        <w:rPr>
          <w:rFonts w:ascii="Arial" w:cs="Arial" w:eastAsia="Arial" w:hAnsi="Arial"/>
          <w:sz w:val="22"/>
          <w:szCs w:val="22"/>
          <w:color w:val="auto"/>
        </w:rPr>
        <w:t>, if any, are less than 20% of your indexed monthly earnings, due to the same sickness or injury.</w:t>
      </w:r>
    </w:p>
    <w:p>
      <w:pPr>
        <w:spacing w:after="0" w:line="218" w:lineRule="exact"/>
        <w:rPr>
          <w:sz w:val="20"/>
          <w:szCs w:val="20"/>
          <w:color w:val="auto"/>
        </w:rPr>
      </w:pPr>
    </w:p>
    <w:p>
      <w:pPr>
        <w:ind w:left="340" w:right="120"/>
        <w:spacing w:after="0" w:line="249" w:lineRule="auto"/>
        <w:rPr>
          <w:sz w:val="20"/>
          <w:szCs w:val="20"/>
          <w:color w:val="auto"/>
        </w:rPr>
      </w:pPr>
      <w:r>
        <w:rPr>
          <w:rFonts w:ascii="Arial" w:cs="Arial" w:eastAsia="Arial" w:hAnsi="Arial"/>
          <w:sz w:val="22"/>
          <w:szCs w:val="22"/>
          <w:color w:val="auto"/>
        </w:rPr>
        <w:t>If you are disabled and your monthly disability earnings are 20% or more of your indexed monthly earnings, due to the same sickness or injury, Unum will figure your payment as follows:</w:t>
      </w:r>
    </w:p>
    <w:p>
      <w:pPr>
        <w:spacing w:after="0" w:line="245" w:lineRule="exact"/>
        <w:rPr>
          <w:sz w:val="20"/>
          <w:szCs w:val="20"/>
          <w:color w:val="auto"/>
        </w:rPr>
      </w:pPr>
    </w:p>
    <w:p>
      <w:pPr>
        <w:ind w:left="340" w:right="720"/>
        <w:spacing w:after="0" w:line="272" w:lineRule="auto"/>
        <w:rPr>
          <w:sz w:val="20"/>
          <w:szCs w:val="20"/>
          <w:color w:val="auto"/>
        </w:rPr>
      </w:pPr>
      <w:r>
        <w:rPr>
          <w:rFonts w:ascii="Arial" w:cs="Arial" w:eastAsia="Arial" w:hAnsi="Arial"/>
          <w:sz w:val="21"/>
          <w:szCs w:val="21"/>
          <w:color w:val="auto"/>
        </w:rPr>
        <w:t>During the first 12 months of payments, while working, your monthly payment will not be reduced as long as disability earnings plus the gross disability payment does not exceed 100% of indexed monthly earnings.</w:t>
      </w:r>
    </w:p>
    <w:p>
      <w:pPr>
        <w:spacing w:after="0" w:line="155" w:lineRule="exact"/>
        <w:rPr>
          <w:sz w:val="20"/>
          <w:szCs w:val="20"/>
          <w:color w:val="auto"/>
        </w:rPr>
      </w:pPr>
    </w:p>
    <w:p>
      <w:pPr>
        <w:ind w:left="640" w:hanging="307"/>
        <w:spacing w:after="0"/>
        <w:tabs>
          <w:tab w:leader="none" w:pos="64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Add your monthly disability earnings to your gross disability payment.</w:t>
      </w:r>
    </w:p>
    <w:p>
      <w:pPr>
        <w:spacing w:after="0" w:line="17" w:lineRule="exact"/>
        <w:rPr>
          <w:rFonts w:ascii="Arial" w:cs="Arial" w:eastAsia="Arial" w:hAnsi="Arial"/>
          <w:sz w:val="22"/>
          <w:szCs w:val="22"/>
          <w:color w:val="auto"/>
        </w:rPr>
      </w:pPr>
    </w:p>
    <w:p>
      <w:pPr>
        <w:ind w:left="640" w:hanging="307"/>
        <w:spacing w:after="0"/>
        <w:tabs>
          <w:tab w:leader="none" w:pos="64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Compare the answer in Item 1 to your indexed monthly earnings.</w:t>
      </w:r>
    </w:p>
    <w:p>
      <w:pPr>
        <w:spacing w:after="0" w:line="233" w:lineRule="exact"/>
        <w:rPr>
          <w:sz w:val="20"/>
          <w:szCs w:val="20"/>
          <w:color w:val="auto"/>
        </w:rPr>
      </w:pPr>
    </w:p>
    <w:p>
      <w:pPr>
        <w:ind w:left="340" w:right="440"/>
        <w:spacing w:after="0" w:line="249" w:lineRule="auto"/>
        <w:rPr>
          <w:sz w:val="20"/>
          <w:szCs w:val="20"/>
          <w:color w:val="auto"/>
        </w:rPr>
      </w:pPr>
      <w:r>
        <w:rPr>
          <w:rFonts w:ascii="Arial" w:cs="Arial" w:eastAsia="Arial" w:hAnsi="Arial"/>
          <w:sz w:val="22"/>
          <w:szCs w:val="22"/>
          <w:color w:val="auto"/>
        </w:rPr>
        <w:t>If the answer from Item 1 is less than or equal to 100% of your indexed monthly earnings, Unum will not further reduce your monthly payment.</w:t>
      </w:r>
    </w:p>
    <w:p>
      <w:pPr>
        <w:spacing w:after="0" w:line="245" w:lineRule="exact"/>
        <w:rPr>
          <w:sz w:val="20"/>
          <w:szCs w:val="20"/>
          <w:color w:val="auto"/>
        </w:rPr>
      </w:pPr>
    </w:p>
    <w:p>
      <w:pPr>
        <w:ind w:left="340"/>
        <w:spacing w:after="0" w:line="249" w:lineRule="auto"/>
        <w:rPr>
          <w:sz w:val="20"/>
          <w:szCs w:val="20"/>
          <w:color w:val="auto"/>
        </w:rPr>
      </w:pPr>
      <w:r>
        <w:rPr>
          <w:rFonts w:ascii="Arial" w:cs="Arial" w:eastAsia="Arial" w:hAnsi="Arial"/>
          <w:sz w:val="22"/>
          <w:szCs w:val="22"/>
          <w:color w:val="auto"/>
        </w:rPr>
        <w:t>If the answer from Item 1 is more than 100% of your indexed monthly earnings, Unum will subtract the amount over 100% from your monthly payment.</w:t>
      </w:r>
    </w:p>
    <w:p>
      <w:pPr>
        <w:spacing w:after="0" w:line="245" w:lineRule="exact"/>
        <w:rPr>
          <w:sz w:val="20"/>
          <w:szCs w:val="20"/>
          <w:color w:val="auto"/>
        </w:rPr>
      </w:pPr>
    </w:p>
    <w:p>
      <w:pPr>
        <w:ind w:left="340" w:right="20"/>
        <w:spacing w:after="0" w:line="249" w:lineRule="auto"/>
        <w:rPr>
          <w:sz w:val="20"/>
          <w:szCs w:val="20"/>
          <w:color w:val="auto"/>
        </w:rPr>
      </w:pPr>
      <w:r>
        <w:rPr>
          <w:rFonts w:ascii="Arial" w:cs="Arial" w:eastAsia="Arial" w:hAnsi="Arial"/>
          <w:sz w:val="22"/>
          <w:szCs w:val="22"/>
          <w:color w:val="auto"/>
        </w:rPr>
        <w:t>After 12 months of payments, while working, you will receive payments based on the percentage of income you are losing due to your disability.</w:t>
      </w:r>
    </w:p>
    <w:p>
      <w:pPr>
        <w:spacing w:after="0" w:line="177" w:lineRule="exact"/>
        <w:rPr>
          <w:sz w:val="20"/>
          <w:szCs w:val="20"/>
          <w:color w:val="auto"/>
        </w:rPr>
      </w:pPr>
    </w:p>
    <w:p>
      <w:pPr>
        <w:ind w:left="640" w:hanging="307"/>
        <w:spacing w:after="0"/>
        <w:tabs>
          <w:tab w:leader="none" w:pos="64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Subtract your disability earnings from your indexed monthly earnings.</w:t>
      </w:r>
    </w:p>
    <w:p>
      <w:pPr>
        <w:spacing w:after="0" w:line="17" w:lineRule="exact"/>
        <w:rPr>
          <w:rFonts w:ascii="Arial" w:cs="Arial" w:eastAsia="Arial" w:hAnsi="Arial"/>
          <w:sz w:val="22"/>
          <w:szCs w:val="22"/>
          <w:color w:val="auto"/>
        </w:rPr>
      </w:pPr>
    </w:p>
    <w:p>
      <w:pPr>
        <w:ind w:left="640" w:hanging="307"/>
        <w:spacing w:after="0"/>
        <w:tabs>
          <w:tab w:leader="none" w:pos="64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Divide the answer in Item 1 by your indexed monthly earnings. This is your percentage of lost earnings.</w:t>
      </w:r>
    </w:p>
    <w:p>
      <w:pPr>
        <w:spacing w:after="0" w:line="3" w:lineRule="exact"/>
        <w:rPr>
          <w:rFonts w:ascii="Arial" w:cs="Arial" w:eastAsia="Arial" w:hAnsi="Arial"/>
          <w:sz w:val="22"/>
          <w:szCs w:val="22"/>
          <w:color w:val="auto"/>
        </w:rPr>
      </w:pPr>
    </w:p>
    <w:p>
      <w:pPr>
        <w:ind w:left="640" w:hanging="307"/>
        <w:spacing w:after="0"/>
        <w:tabs>
          <w:tab w:leader="none" w:pos="64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Multiply your monthly payment by the answer in Item 2.</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This is the amount Unum will pay you each month.</w:t>
      </w:r>
    </w:p>
    <w:p>
      <w:pPr>
        <w:spacing w:after="0" w:line="233" w:lineRule="exact"/>
        <w:rPr>
          <w:sz w:val="20"/>
          <w:szCs w:val="20"/>
          <w:color w:val="auto"/>
        </w:rPr>
      </w:pPr>
    </w:p>
    <w:p>
      <w:pPr>
        <w:ind w:left="340" w:right="320"/>
        <w:spacing w:after="0" w:line="249" w:lineRule="auto"/>
        <w:rPr>
          <w:sz w:val="20"/>
          <w:szCs w:val="20"/>
          <w:color w:val="auto"/>
        </w:rPr>
      </w:pPr>
      <w:r>
        <w:rPr>
          <w:rFonts w:ascii="Arial" w:cs="Arial" w:eastAsia="Arial" w:hAnsi="Arial"/>
          <w:sz w:val="22"/>
          <w:szCs w:val="22"/>
          <w:color w:val="auto"/>
        </w:rPr>
        <w:t>During the first 24 months of disability payments, if your monthly disability earnings exceed 80% of your indexed monthly earnings, Unum will stop sending you payments and your claim will end.</w:t>
      </w:r>
    </w:p>
    <w:p>
      <w:pPr>
        <w:spacing w:after="0" w:line="299" w:lineRule="exact"/>
        <w:rPr>
          <w:sz w:val="20"/>
          <w:szCs w:val="20"/>
          <w:color w:val="auto"/>
        </w:rPr>
      </w:pPr>
    </w:p>
    <w:p>
      <w:pPr>
        <w:ind w:left="340" w:right="180"/>
        <w:spacing w:after="0" w:line="249" w:lineRule="auto"/>
        <w:rPr>
          <w:sz w:val="20"/>
          <w:szCs w:val="20"/>
          <w:color w:val="auto"/>
        </w:rPr>
      </w:pPr>
      <w:r>
        <w:rPr>
          <w:rFonts w:ascii="Arial" w:cs="Arial" w:eastAsia="Arial" w:hAnsi="Arial"/>
          <w:sz w:val="22"/>
          <w:szCs w:val="22"/>
          <w:color w:val="auto"/>
        </w:rPr>
        <w:t>Beyond 24 months of disability payments, if your monthly disability earnings exceed 60% of your indexed monthly earnings, Unum will stop sending you payments and your claim will end.</w:t>
      </w:r>
    </w:p>
    <w:p>
      <w:pPr>
        <w:spacing w:after="0" w:line="245" w:lineRule="exact"/>
        <w:rPr>
          <w:sz w:val="20"/>
          <w:szCs w:val="20"/>
          <w:color w:val="auto"/>
        </w:rPr>
      </w:pPr>
    </w:p>
    <w:p>
      <w:pPr>
        <w:ind w:left="340" w:right="620"/>
        <w:spacing w:after="0" w:line="249" w:lineRule="auto"/>
        <w:rPr>
          <w:sz w:val="20"/>
          <w:szCs w:val="20"/>
          <w:color w:val="auto"/>
        </w:rPr>
      </w:pPr>
      <w:r>
        <w:rPr>
          <w:rFonts w:ascii="Arial" w:cs="Arial" w:eastAsia="Arial" w:hAnsi="Arial"/>
          <w:sz w:val="22"/>
          <w:szCs w:val="22"/>
          <w:color w:val="auto"/>
        </w:rPr>
        <w:t>Unum may require you to send proof of your monthly disability earnings at least quarterly. We will adjust your payment based on your quarterly disability earnings.</w:t>
      </w:r>
    </w:p>
    <w:p>
      <w:pPr>
        <w:spacing w:after="0" w:line="245" w:lineRule="exact"/>
        <w:rPr>
          <w:sz w:val="20"/>
          <w:szCs w:val="20"/>
          <w:color w:val="auto"/>
        </w:rPr>
      </w:pPr>
    </w:p>
    <w:p>
      <w:pPr>
        <w:ind w:left="340" w:right="120"/>
        <w:spacing w:after="0" w:line="249" w:lineRule="auto"/>
        <w:rPr>
          <w:sz w:val="20"/>
          <w:szCs w:val="20"/>
          <w:color w:val="auto"/>
        </w:rPr>
      </w:pPr>
      <w:r>
        <w:rPr>
          <w:rFonts w:ascii="Arial" w:cs="Arial" w:eastAsia="Arial" w:hAnsi="Arial"/>
          <w:sz w:val="22"/>
          <w:szCs w:val="22"/>
          <w:color w:val="auto"/>
        </w:rPr>
        <w:t>As part of your proof of disability earnings, we can require that you send us appropriate financial records which we believe are necessary to substantiate your income.</w:t>
      </w:r>
    </w:p>
    <w:p>
      <w:pPr>
        <w:spacing w:after="0" w:line="245" w:lineRule="exact"/>
        <w:rPr>
          <w:sz w:val="20"/>
          <w:szCs w:val="20"/>
          <w:color w:val="auto"/>
        </w:rPr>
      </w:pPr>
    </w:p>
    <w:p>
      <w:pPr>
        <w:ind w:left="340" w:right="380"/>
        <w:spacing w:after="0" w:line="249" w:lineRule="auto"/>
        <w:rPr>
          <w:sz w:val="20"/>
          <w:szCs w:val="20"/>
          <w:color w:val="auto"/>
        </w:rPr>
      </w:pPr>
      <w:r>
        <w:rPr>
          <w:rFonts w:ascii="Arial" w:cs="Arial" w:eastAsia="Arial" w:hAnsi="Arial"/>
          <w:sz w:val="22"/>
          <w:szCs w:val="22"/>
          <w:color w:val="auto"/>
        </w:rPr>
        <w:t>After the elimination period, if you are disabled for less than 1 month, we will send you 1/30 of your payment for each day of disability.</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CAN WE PROTECT YOU IF YOUR DISABILITY EARNINGS FLUCTUATE?</w:t>
      </w:r>
    </w:p>
    <w:p>
      <w:pPr>
        <w:spacing w:after="0" w:line="259" w:lineRule="exact"/>
        <w:rPr>
          <w:sz w:val="20"/>
          <w:szCs w:val="20"/>
          <w:color w:val="auto"/>
        </w:rPr>
      </w:pPr>
    </w:p>
    <w:p>
      <w:pPr>
        <w:ind w:left="340" w:right="780"/>
        <w:spacing w:after="0" w:line="249" w:lineRule="auto"/>
        <w:rPr>
          <w:sz w:val="20"/>
          <w:szCs w:val="20"/>
          <w:color w:val="auto"/>
        </w:rPr>
      </w:pPr>
      <w:r>
        <w:rPr>
          <w:rFonts w:ascii="Arial" w:cs="Arial" w:eastAsia="Arial" w:hAnsi="Arial"/>
          <w:sz w:val="22"/>
          <w:szCs w:val="22"/>
          <w:color w:val="auto"/>
        </w:rPr>
        <w:t>If your disability earnings routinely fluctuate widely from month to month, Unum may average your disability earnings over the most recent 3 months to determine if your claim should continue.</w:t>
      </w:r>
    </w:p>
    <w:p>
      <w:pPr>
        <w:sectPr>
          <w:pgSz w:w="11900" w:h="16838" w:orient="portrait"/>
          <w:cols w:equalWidth="0" w:num="1">
            <w:col w:w="11340"/>
          </w:cols>
          <w:pgMar w:left="320" w:top="390" w:right="239" w:bottom="0" w:gutter="0" w:footer="0" w:header="0"/>
        </w:sectPr>
      </w:pPr>
    </w:p>
    <w:bookmarkStart w:id="190" w:name="page191"/>
    <w:bookmarkEnd w:id="190"/>
    <w:p>
      <w:pPr>
        <w:ind w:left="7"/>
        <w:spacing w:after="0"/>
        <w:rPr>
          <w:sz w:val="20"/>
          <w:szCs w:val="20"/>
          <w:color w:val="auto"/>
        </w:rPr>
      </w:pPr>
      <w:r>
        <w:rPr>
          <w:rFonts w:ascii="Arial" w:cs="Arial" w:eastAsia="Arial" w:hAnsi="Arial"/>
          <w:sz w:val="22"/>
          <w:szCs w:val="22"/>
          <w:color w:val="auto"/>
        </w:rPr>
        <w:t>If Unum averages your disability earnings, we will not terminate your claim unless:</w:t>
      </w:r>
    </w:p>
    <w:p>
      <w:pPr>
        <w:spacing w:after="0" w:line="233" w:lineRule="exact"/>
        <w:rPr>
          <w:sz w:val="20"/>
          <w:szCs w:val="20"/>
          <w:color w:val="auto"/>
        </w:rPr>
      </w:pPr>
    </w:p>
    <w:p>
      <w:pPr>
        <w:ind w:left="187" w:right="200" w:hanging="187"/>
        <w:spacing w:after="0" w:line="243" w:lineRule="auto"/>
        <w:tabs>
          <w:tab w:leader="none" w:pos="187" w:val="left"/>
        </w:tabs>
        <w:numPr>
          <w:ilvl w:val="0"/>
          <w:numId w:val="187"/>
        </w:numPr>
        <w:rPr>
          <w:rFonts w:ascii="Arial" w:cs="Arial" w:eastAsia="Arial" w:hAnsi="Arial"/>
          <w:sz w:val="22"/>
          <w:szCs w:val="22"/>
          <w:color w:val="auto"/>
        </w:rPr>
      </w:pPr>
      <w:r>
        <w:rPr>
          <w:rFonts w:ascii="Arial" w:cs="Arial" w:eastAsia="Arial" w:hAnsi="Arial"/>
          <w:sz w:val="22"/>
          <w:szCs w:val="22"/>
          <w:color w:val="auto"/>
        </w:rPr>
        <w:t>During the first 24 months of disability payments, the average of your disability earnings from the last 3 months exceeds 80% of indexed monthly earnings; or</w:t>
      </w:r>
    </w:p>
    <w:p>
      <w:pPr>
        <w:ind w:left="187" w:hanging="187"/>
        <w:spacing w:after="0" w:line="249" w:lineRule="auto"/>
        <w:tabs>
          <w:tab w:leader="none" w:pos="187" w:val="left"/>
        </w:tabs>
        <w:numPr>
          <w:ilvl w:val="0"/>
          <w:numId w:val="187"/>
        </w:numPr>
        <w:rPr>
          <w:rFonts w:ascii="Arial" w:cs="Arial" w:eastAsia="Arial" w:hAnsi="Arial"/>
          <w:sz w:val="22"/>
          <w:szCs w:val="22"/>
          <w:color w:val="auto"/>
        </w:rPr>
      </w:pPr>
      <w:r>
        <w:rPr>
          <w:rFonts w:ascii="Arial" w:cs="Arial" w:eastAsia="Arial" w:hAnsi="Arial"/>
          <w:sz w:val="22"/>
          <w:szCs w:val="22"/>
          <w:color w:val="auto"/>
        </w:rPr>
        <w:t>Beyond 24 months of disability payments, the average of your disability earnings from the last 3 months exceeds 60% of indexed monthly earnings.</w:t>
      </w:r>
    </w:p>
    <w:p>
      <w:pPr>
        <w:spacing w:after="0" w:line="245" w:lineRule="exact"/>
        <w:rPr>
          <w:sz w:val="20"/>
          <w:szCs w:val="20"/>
          <w:color w:val="auto"/>
        </w:rPr>
      </w:pPr>
    </w:p>
    <w:p>
      <w:pPr>
        <w:jc w:val="center"/>
        <w:ind w:right="293"/>
        <w:spacing w:after="0" w:line="416" w:lineRule="auto"/>
        <w:rPr>
          <w:sz w:val="20"/>
          <w:szCs w:val="20"/>
          <w:color w:val="auto"/>
        </w:rPr>
      </w:pPr>
      <w:r>
        <w:rPr>
          <w:rFonts w:ascii="Arial" w:cs="Arial" w:eastAsia="Arial" w:hAnsi="Arial"/>
          <w:sz w:val="22"/>
          <w:szCs w:val="22"/>
          <w:color w:val="auto"/>
        </w:rPr>
        <w:t xml:space="preserve">We will not pay you for any month during which disability earnings exceed the amount allowable under the plan. </w:t>
      </w:r>
      <w:r>
        <w:rPr>
          <w:rFonts w:ascii="Arial" w:cs="Arial" w:eastAsia="Arial" w:hAnsi="Arial"/>
          <w:sz w:val="22"/>
          <w:szCs w:val="22"/>
          <w:b w:val="1"/>
          <w:bCs w:val="1"/>
          <w:i w:val="1"/>
          <w:iCs w:val="1"/>
          <w:color w:val="auto"/>
        </w:rPr>
        <w:t>WHAT ARE DEDUCTIBLE SOURCES OF INCOME?</w:t>
      </w:r>
    </w:p>
    <w:p>
      <w:pPr>
        <w:spacing w:after="0" w:line="41" w:lineRule="exact"/>
        <w:rPr>
          <w:sz w:val="20"/>
          <w:szCs w:val="20"/>
          <w:color w:val="auto"/>
        </w:rPr>
      </w:pPr>
    </w:p>
    <w:p>
      <w:pPr>
        <w:ind w:left="7"/>
        <w:spacing w:after="0"/>
        <w:rPr>
          <w:sz w:val="20"/>
          <w:szCs w:val="20"/>
          <w:color w:val="auto"/>
        </w:rPr>
      </w:pPr>
      <w:r>
        <w:rPr>
          <w:rFonts w:ascii="Arial" w:cs="Arial" w:eastAsia="Arial" w:hAnsi="Arial"/>
          <w:sz w:val="22"/>
          <w:szCs w:val="22"/>
          <w:color w:val="auto"/>
        </w:rPr>
        <w:t>Unum will subtract from your gross disability payment the following deductible sources of income:</w:t>
      </w:r>
    </w:p>
    <w:p>
      <w:pPr>
        <w:spacing w:after="0" w:line="179" w:lineRule="exact"/>
        <w:rPr>
          <w:sz w:val="20"/>
          <w:szCs w:val="20"/>
          <w:color w:val="auto"/>
        </w:rPr>
      </w:pPr>
    </w:p>
    <w:p>
      <w:pPr>
        <w:ind w:left="327" w:hanging="327"/>
        <w:spacing w:after="0"/>
        <w:tabs>
          <w:tab w:leader="none" w:pos="327"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amount that you receive or are entitled to receive under:</w:t>
      </w:r>
    </w:p>
    <w:p>
      <w:pPr>
        <w:spacing w:after="0" w:line="192" w:lineRule="exact"/>
        <w:rPr>
          <w:rFonts w:ascii="Arial" w:cs="Arial" w:eastAsia="Arial" w:hAnsi="Arial"/>
          <w:sz w:val="22"/>
          <w:szCs w:val="22"/>
          <w:color w:val="auto"/>
        </w:rPr>
      </w:pPr>
    </w:p>
    <w:p>
      <w:pPr>
        <w:ind w:left="507" w:hanging="183"/>
        <w:spacing w:after="0"/>
        <w:tabs>
          <w:tab w:leader="none" w:pos="507"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 workers' compensation law.</w:t>
      </w:r>
    </w:p>
    <w:p>
      <w:pPr>
        <w:spacing w:after="0" w:line="17" w:lineRule="exact"/>
        <w:rPr>
          <w:rFonts w:ascii="Arial" w:cs="Arial" w:eastAsia="Arial" w:hAnsi="Arial"/>
          <w:sz w:val="22"/>
          <w:szCs w:val="22"/>
          <w:color w:val="auto"/>
        </w:rPr>
      </w:pPr>
    </w:p>
    <w:p>
      <w:pPr>
        <w:ind w:left="507" w:hanging="183"/>
        <w:spacing w:after="0"/>
        <w:tabs>
          <w:tab w:leader="none" w:pos="507"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an occupational disease law.</w:t>
      </w:r>
    </w:p>
    <w:p>
      <w:pPr>
        <w:spacing w:after="0" w:line="3" w:lineRule="exact"/>
        <w:rPr>
          <w:rFonts w:ascii="Arial" w:cs="Arial" w:eastAsia="Arial" w:hAnsi="Arial"/>
          <w:sz w:val="22"/>
          <w:szCs w:val="22"/>
          <w:color w:val="auto"/>
        </w:rPr>
      </w:pPr>
    </w:p>
    <w:p>
      <w:pPr>
        <w:ind w:left="507" w:hanging="183"/>
        <w:spacing w:after="0"/>
        <w:tabs>
          <w:tab w:leader="none" w:pos="507" w:val="left"/>
        </w:tabs>
        <w:numPr>
          <w:ilvl w:val="1"/>
          <w:numId w:val="188"/>
        </w:numPr>
        <w:rPr>
          <w:rFonts w:ascii="Arial" w:cs="Arial" w:eastAsia="Arial" w:hAnsi="Arial"/>
          <w:sz w:val="22"/>
          <w:szCs w:val="22"/>
          <w:color w:val="auto"/>
        </w:rPr>
      </w:pPr>
      <w:r>
        <w:rPr>
          <w:rFonts w:ascii="Arial" w:cs="Arial" w:eastAsia="Arial" w:hAnsi="Arial"/>
          <w:sz w:val="22"/>
          <w:szCs w:val="22"/>
          <w:color w:val="auto"/>
        </w:rPr>
        <w:t xml:space="preserve">any other </w:t>
      </w:r>
      <w:r>
        <w:rPr>
          <w:rFonts w:ascii="Arial" w:cs="Arial" w:eastAsia="Arial" w:hAnsi="Arial"/>
          <w:sz w:val="22"/>
          <w:szCs w:val="22"/>
          <w:b w:val="1"/>
          <w:bCs w:val="1"/>
          <w:color w:val="auto"/>
        </w:rPr>
        <w:t>act</w:t>
      </w:r>
      <w:r>
        <w:rPr>
          <w:rFonts w:ascii="Arial" w:cs="Arial" w:eastAsia="Arial" w:hAnsi="Arial"/>
          <w:sz w:val="22"/>
          <w:szCs w:val="22"/>
          <w:color w:val="auto"/>
        </w:rPr>
        <w:t xml:space="preserve"> or </w:t>
      </w:r>
      <w:r>
        <w:rPr>
          <w:rFonts w:ascii="Arial" w:cs="Arial" w:eastAsia="Arial" w:hAnsi="Arial"/>
          <w:sz w:val="22"/>
          <w:szCs w:val="22"/>
          <w:b w:val="1"/>
          <w:bCs w:val="1"/>
          <w:color w:val="auto"/>
        </w:rPr>
        <w:t>law</w:t>
      </w:r>
      <w:r>
        <w:rPr>
          <w:rFonts w:ascii="Arial" w:cs="Arial" w:eastAsia="Arial" w:hAnsi="Arial"/>
          <w:sz w:val="22"/>
          <w:szCs w:val="22"/>
          <w:color w:val="auto"/>
        </w:rPr>
        <w:t xml:space="preserve"> with similar intent.</w:t>
      </w:r>
    </w:p>
    <w:p>
      <w:pPr>
        <w:sectPr>
          <w:pgSz w:w="11900" w:h="16838" w:orient="portrait"/>
          <w:cols w:equalWidth="0" w:num="1">
            <w:col w:w="10947"/>
          </w:cols>
          <w:pgMar w:left="653" w:top="146" w:right="299" w:bottom="1440" w:gutter="0" w:footer="0" w:header="0"/>
        </w:sectPr>
      </w:pPr>
    </w:p>
    <w:bookmarkStart w:id="191" w:name="page192"/>
    <w:bookmarkEnd w:id="191"/>
    <w:p>
      <w:pPr>
        <w:ind w:left="340" w:hanging="327"/>
        <w:spacing w:after="0"/>
        <w:tabs>
          <w:tab w:leader="none" w:pos="34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 amount that you receive or are entitled to receive as disability income payments under any:</w:t>
      </w:r>
    </w:p>
    <w:p>
      <w:pPr>
        <w:spacing w:after="0" w:line="166" w:lineRule="exact"/>
        <w:rPr>
          <w:rFonts w:ascii="Arial" w:cs="Arial" w:eastAsia="Arial" w:hAnsi="Arial"/>
          <w:sz w:val="22"/>
          <w:szCs w:val="22"/>
          <w:color w:val="auto"/>
        </w:rPr>
      </w:pPr>
    </w:p>
    <w:p>
      <w:pPr>
        <w:ind w:left="520" w:hanging="183"/>
        <w:spacing w:after="0"/>
        <w:tabs>
          <w:tab w:leader="none" w:pos="52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 xml:space="preserve">state compulsory benefit </w:t>
      </w:r>
      <w:r>
        <w:rPr>
          <w:rFonts w:ascii="Arial" w:cs="Arial" w:eastAsia="Arial" w:hAnsi="Arial"/>
          <w:sz w:val="22"/>
          <w:szCs w:val="22"/>
          <w:b w:val="1"/>
          <w:bCs w:val="1"/>
          <w:color w:val="auto"/>
        </w:rPr>
        <w:t>act</w:t>
      </w:r>
      <w:r>
        <w:rPr>
          <w:rFonts w:ascii="Arial" w:cs="Arial" w:eastAsia="Arial" w:hAnsi="Arial"/>
          <w:sz w:val="22"/>
          <w:szCs w:val="22"/>
          <w:color w:val="auto"/>
        </w:rPr>
        <w:t xml:space="preserve"> or </w:t>
      </w:r>
      <w:r>
        <w:rPr>
          <w:rFonts w:ascii="Arial" w:cs="Arial" w:eastAsia="Arial" w:hAnsi="Arial"/>
          <w:sz w:val="22"/>
          <w:szCs w:val="22"/>
          <w:b w:val="1"/>
          <w:bCs w:val="1"/>
          <w:color w:val="auto"/>
        </w:rPr>
        <w:t>law</w:t>
      </w:r>
      <w:r>
        <w:rPr>
          <w:rFonts w:ascii="Arial" w:cs="Arial" w:eastAsia="Arial" w:hAnsi="Arial"/>
          <w:sz w:val="22"/>
          <w:szCs w:val="22"/>
          <w:color w:val="auto"/>
        </w:rPr>
        <w:t>.</w:t>
      </w:r>
    </w:p>
    <w:p>
      <w:pPr>
        <w:spacing w:after="0" w:line="43" w:lineRule="exact"/>
        <w:rPr>
          <w:rFonts w:ascii="Arial" w:cs="Arial" w:eastAsia="Arial" w:hAnsi="Arial"/>
          <w:sz w:val="22"/>
          <w:szCs w:val="22"/>
          <w:color w:val="auto"/>
        </w:rPr>
      </w:pPr>
    </w:p>
    <w:p>
      <w:pPr>
        <w:ind w:left="520" w:hanging="183"/>
        <w:spacing w:after="0"/>
        <w:tabs>
          <w:tab w:leader="none" w:pos="52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other group insurance plan.</w:t>
      </w:r>
    </w:p>
    <w:p>
      <w:pPr>
        <w:spacing w:after="0" w:line="3" w:lineRule="exact"/>
        <w:rPr>
          <w:rFonts w:ascii="Arial" w:cs="Arial" w:eastAsia="Arial" w:hAnsi="Arial"/>
          <w:sz w:val="22"/>
          <w:szCs w:val="22"/>
          <w:color w:val="auto"/>
        </w:rPr>
      </w:pPr>
    </w:p>
    <w:p>
      <w:pPr>
        <w:ind w:left="520" w:hanging="183"/>
        <w:spacing w:after="0"/>
        <w:tabs>
          <w:tab w:leader="none" w:pos="52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governmental retirement system as a result of your job with your Employer.</w:t>
      </w:r>
    </w:p>
    <w:p>
      <w:pPr>
        <w:spacing w:after="0" w:line="233" w:lineRule="exact"/>
        <w:rPr>
          <w:rFonts w:ascii="Arial" w:cs="Arial" w:eastAsia="Arial" w:hAnsi="Arial"/>
          <w:sz w:val="22"/>
          <w:szCs w:val="22"/>
          <w:color w:val="auto"/>
        </w:rPr>
      </w:pPr>
    </w:p>
    <w:p>
      <w:pPr>
        <w:ind w:left="340" w:right="540" w:hanging="327"/>
        <w:spacing w:after="0" w:line="249" w:lineRule="auto"/>
        <w:tabs>
          <w:tab w:leader="none" w:pos="34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 amount that you receive or are entitled to receive as disability payments or the amount you receive as retirement payments under:</w:t>
      </w:r>
    </w:p>
    <w:p>
      <w:pPr>
        <w:spacing w:after="0" w:line="177" w:lineRule="exact"/>
        <w:rPr>
          <w:rFonts w:ascii="Arial" w:cs="Arial" w:eastAsia="Arial" w:hAnsi="Arial"/>
          <w:sz w:val="22"/>
          <w:szCs w:val="22"/>
          <w:color w:val="auto"/>
        </w:rPr>
      </w:pPr>
    </w:p>
    <w:p>
      <w:pPr>
        <w:ind w:left="520" w:hanging="183"/>
        <w:spacing w:after="0"/>
        <w:tabs>
          <w:tab w:leader="none" w:pos="52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the United States Social Security Act.</w:t>
      </w:r>
    </w:p>
    <w:p>
      <w:pPr>
        <w:spacing w:after="0" w:line="6" w:lineRule="exact"/>
        <w:rPr>
          <w:rFonts w:ascii="Arial" w:cs="Arial" w:eastAsia="Arial" w:hAnsi="Arial"/>
          <w:sz w:val="22"/>
          <w:szCs w:val="22"/>
          <w:color w:val="auto"/>
        </w:rPr>
      </w:pPr>
    </w:p>
    <w:p>
      <w:pPr>
        <w:ind w:left="520" w:hanging="183"/>
        <w:spacing w:after="0"/>
        <w:tabs>
          <w:tab w:leader="none" w:pos="52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 xml:space="preserve">the Canada Pension </w:t>
      </w:r>
      <w:r>
        <w:rPr>
          <w:rFonts w:ascii="Arial" w:cs="Arial" w:eastAsia="Arial" w:hAnsi="Arial"/>
          <w:sz w:val="22"/>
          <w:szCs w:val="22"/>
          <w:b w:val="1"/>
          <w:bCs w:val="1"/>
          <w:color w:val="auto"/>
        </w:rPr>
        <w:t>Plan</w:t>
      </w:r>
      <w:r>
        <w:rPr>
          <w:rFonts w:ascii="Arial" w:cs="Arial" w:eastAsia="Arial" w:hAnsi="Arial"/>
          <w:sz w:val="22"/>
          <w:szCs w:val="22"/>
          <w:color w:val="auto"/>
        </w:rPr>
        <w:t>.</w:t>
      </w:r>
    </w:p>
    <w:p>
      <w:pPr>
        <w:spacing w:after="0" w:line="14" w:lineRule="exact"/>
        <w:rPr>
          <w:rFonts w:ascii="Arial" w:cs="Arial" w:eastAsia="Arial" w:hAnsi="Arial"/>
          <w:sz w:val="22"/>
          <w:szCs w:val="22"/>
          <w:color w:val="auto"/>
        </w:rPr>
      </w:pPr>
    </w:p>
    <w:p>
      <w:pPr>
        <w:ind w:left="520" w:hanging="183"/>
        <w:spacing w:after="0"/>
        <w:tabs>
          <w:tab w:leader="none" w:pos="52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the Quebec Pension Plan.</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 any similar plan or act.</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22"/>
          <w:szCs w:val="22"/>
          <w:color w:val="auto"/>
        </w:rPr>
        <w:t>We will not offset for any amount received by your spouse or dependents.</w:t>
      </w:r>
    </w:p>
    <w:p>
      <w:pPr>
        <w:spacing w:after="0" w:line="179" w:lineRule="exact"/>
        <w:rPr>
          <w:sz w:val="20"/>
          <w:szCs w:val="20"/>
          <w:color w:val="auto"/>
        </w:rPr>
      </w:pPr>
    </w:p>
    <w:p>
      <w:pPr>
        <w:ind w:left="320" w:hanging="320"/>
        <w:spacing w:after="0"/>
        <w:tabs>
          <w:tab w:leader="none" w:pos="32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amount that you:</w:t>
      </w:r>
    </w:p>
    <w:p>
      <w:pPr>
        <w:spacing w:after="0" w:line="166" w:lineRule="exact"/>
        <w:rPr>
          <w:rFonts w:ascii="Arial" w:cs="Arial" w:eastAsia="Arial" w:hAnsi="Arial"/>
          <w:sz w:val="22"/>
          <w:szCs w:val="22"/>
          <w:color w:val="auto"/>
        </w:rPr>
      </w:pPr>
    </w:p>
    <w:p>
      <w:pPr>
        <w:ind w:left="580" w:hanging="256"/>
        <w:spacing w:after="0"/>
        <w:tabs>
          <w:tab w:leader="none" w:pos="580" w:val="left"/>
        </w:tabs>
        <w:numPr>
          <w:ilvl w:val="1"/>
          <w:numId w:val="190"/>
        </w:numPr>
        <w:rPr>
          <w:rFonts w:ascii="Arial" w:cs="Arial" w:eastAsia="Arial" w:hAnsi="Arial"/>
          <w:sz w:val="22"/>
          <w:szCs w:val="22"/>
          <w:color w:val="auto"/>
        </w:rPr>
      </w:pPr>
      <w:r>
        <w:rPr>
          <w:rFonts w:ascii="Arial" w:cs="Arial" w:eastAsia="Arial" w:hAnsi="Arial"/>
          <w:sz w:val="22"/>
          <w:szCs w:val="22"/>
          <w:color w:val="auto"/>
        </w:rPr>
        <w:t xml:space="preserve">receive as disability payments under your Employer's </w:t>
      </w:r>
      <w:r>
        <w:rPr>
          <w:rFonts w:ascii="Arial" w:cs="Arial" w:eastAsia="Arial" w:hAnsi="Arial"/>
          <w:sz w:val="22"/>
          <w:szCs w:val="22"/>
          <w:b w:val="1"/>
          <w:bCs w:val="1"/>
          <w:color w:val="auto"/>
        </w:rPr>
        <w:t>retirement plan</w:t>
      </w:r>
      <w:r>
        <w:rPr>
          <w:rFonts w:ascii="Arial" w:cs="Arial" w:eastAsia="Arial" w:hAnsi="Arial"/>
          <w:sz w:val="22"/>
          <w:szCs w:val="22"/>
          <w:color w:val="auto"/>
        </w:rPr>
        <w:t>.</w:t>
      </w:r>
    </w:p>
    <w:p>
      <w:pPr>
        <w:spacing w:after="0" w:line="56" w:lineRule="exact"/>
        <w:rPr>
          <w:rFonts w:ascii="Arial" w:cs="Arial" w:eastAsia="Arial" w:hAnsi="Arial"/>
          <w:sz w:val="22"/>
          <w:szCs w:val="22"/>
          <w:color w:val="auto"/>
        </w:rPr>
      </w:pPr>
    </w:p>
    <w:p>
      <w:pPr>
        <w:ind w:left="580" w:hanging="256"/>
        <w:spacing w:after="0"/>
        <w:tabs>
          <w:tab w:leader="none" w:pos="580" w:val="left"/>
        </w:tabs>
        <w:numPr>
          <w:ilvl w:val="1"/>
          <w:numId w:val="190"/>
        </w:numPr>
        <w:rPr>
          <w:rFonts w:ascii="Arial" w:cs="Arial" w:eastAsia="Arial" w:hAnsi="Arial"/>
          <w:sz w:val="22"/>
          <w:szCs w:val="22"/>
          <w:color w:val="auto"/>
        </w:rPr>
      </w:pPr>
      <w:r>
        <w:rPr>
          <w:rFonts w:ascii="Arial" w:cs="Arial" w:eastAsia="Arial" w:hAnsi="Arial"/>
          <w:sz w:val="22"/>
          <w:szCs w:val="22"/>
          <w:color w:val="auto"/>
        </w:rPr>
        <w:t>voluntarily elect to receive as retirement payments under your Employer's retirement plan.</w:t>
      </w:r>
    </w:p>
    <w:p>
      <w:pPr>
        <w:spacing w:after="0" w:line="17" w:lineRule="exact"/>
        <w:rPr>
          <w:rFonts w:ascii="Arial" w:cs="Arial" w:eastAsia="Arial" w:hAnsi="Arial"/>
          <w:sz w:val="22"/>
          <w:szCs w:val="22"/>
          <w:color w:val="auto"/>
        </w:rPr>
      </w:pPr>
    </w:p>
    <w:p>
      <w:pPr>
        <w:ind w:left="320" w:right="280" w:firstLine="4"/>
        <w:spacing w:after="0" w:line="262" w:lineRule="auto"/>
        <w:tabs>
          <w:tab w:leader="none" w:pos="572" w:val="left"/>
        </w:tabs>
        <w:numPr>
          <w:ilvl w:val="1"/>
          <w:numId w:val="190"/>
        </w:numPr>
        <w:rPr>
          <w:rFonts w:ascii="Arial" w:cs="Arial" w:eastAsia="Arial" w:hAnsi="Arial"/>
          <w:sz w:val="22"/>
          <w:szCs w:val="22"/>
          <w:color w:val="auto"/>
        </w:rPr>
      </w:pPr>
      <w:r>
        <w:rPr>
          <w:rFonts w:ascii="Arial" w:cs="Arial" w:eastAsia="Arial" w:hAnsi="Arial"/>
          <w:sz w:val="22"/>
          <w:szCs w:val="22"/>
          <w:color w:val="auto"/>
        </w:rPr>
        <w:t>receive as retirement payments when you reach the later of age 62 or normal retirement age, as defined in your Employer's retirement plan.</w:t>
      </w:r>
    </w:p>
    <w:p>
      <w:pPr>
        <w:spacing w:after="0" w:line="231" w:lineRule="exact"/>
        <w:rPr>
          <w:sz w:val="20"/>
          <w:szCs w:val="20"/>
          <w:color w:val="auto"/>
        </w:rPr>
      </w:pPr>
    </w:p>
    <w:p>
      <w:pPr>
        <w:ind w:left="320"/>
        <w:spacing w:after="0" w:line="245" w:lineRule="auto"/>
        <w:rPr>
          <w:sz w:val="20"/>
          <w:szCs w:val="20"/>
          <w:color w:val="auto"/>
        </w:rPr>
      </w:pPr>
      <w:r>
        <w:rPr>
          <w:rFonts w:ascii="Arial" w:cs="Arial" w:eastAsia="Arial" w:hAnsi="Arial"/>
          <w:sz w:val="22"/>
          <w:szCs w:val="22"/>
          <w:color w:val="auto"/>
        </w:rPr>
        <w:t>Your Employer's retirement plan includes any retirement plan for which your Employer (including any division, subsidiary or affiliated company) assumed financial liability or which was merged into your Employer's (including any division, subsidiary or affiliated company) retirement plan. Unum may obtain additional information from your Employer to determine whether a retirement plan is your Employer's retirement plan.</w:t>
      </w:r>
    </w:p>
    <w:p>
      <w:pPr>
        <w:spacing w:after="0" w:line="250" w:lineRule="exact"/>
        <w:rPr>
          <w:sz w:val="20"/>
          <w:szCs w:val="20"/>
          <w:color w:val="auto"/>
        </w:rPr>
      </w:pPr>
    </w:p>
    <w:p>
      <w:pPr>
        <w:ind w:left="320" w:right="20"/>
        <w:spacing w:after="0" w:line="249" w:lineRule="auto"/>
        <w:rPr>
          <w:sz w:val="20"/>
          <w:szCs w:val="20"/>
          <w:color w:val="auto"/>
        </w:rPr>
      </w:pPr>
      <w:r>
        <w:rPr>
          <w:rFonts w:ascii="Arial" w:cs="Arial" w:eastAsia="Arial" w:hAnsi="Arial"/>
          <w:sz w:val="22"/>
          <w:szCs w:val="22"/>
          <w:color w:val="auto"/>
        </w:rPr>
        <w:t>Disability payments under a retirement plan will be those benefits which are paid due to disability and do not reduce the retirement benefit which would have been paid if the disability had not occurred.</w:t>
      </w:r>
    </w:p>
    <w:p>
      <w:pPr>
        <w:spacing w:after="0" w:line="245" w:lineRule="exact"/>
        <w:rPr>
          <w:sz w:val="20"/>
          <w:szCs w:val="20"/>
          <w:color w:val="auto"/>
        </w:rPr>
      </w:pPr>
    </w:p>
    <w:p>
      <w:pPr>
        <w:ind w:left="320" w:right="440"/>
        <w:spacing w:after="0" w:line="246" w:lineRule="auto"/>
        <w:rPr>
          <w:sz w:val="20"/>
          <w:szCs w:val="20"/>
          <w:color w:val="auto"/>
        </w:rPr>
      </w:pPr>
      <w:r>
        <w:rPr>
          <w:rFonts w:ascii="Arial" w:cs="Arial" w:eastAsia="Arial" w:hAnsi="Arial"/>
          <w:sz w:val="22"/>
          <w:szCs w:val="22"/>
          <w:color w:val="auto"/>
        </w:rPr>
        <w:t>Retirement payments will not include those benefits which are based on your contributions to the retirement plan. Disability benefits which reduce the retirement benefit under the plan will also be considered as a retirement benefit.</w:t>
      </w:r>
    </w:p>
    <w:p>
      <w:pPr>
        <w:spacing w:after="0" w:line="249" w:lineRule="exact"/>
        <w:rPr>
          <w:sz w:val="20"/>
          <w:szCs w:val="20"/>
          <w:color w:val="auto"/>
        </w:rPr>
      </w:pPr>
    </w:p>
    <w:p>
      <w:pPr>
        <w:ind w:left="320" w:right="300"/>
        <w:spacing w:after="0" w:line="249" w:lineRule="auto"/>
        <w:rPr>
          <w:sz w:val="20"/>
          <w:szCs w:val="20"/>
          <w:color w:val="auto"/>
        </w:rPr>
      </w:pPr>
      <w:r>
        <w:rPr>
          <w:rFonts w:ascii="Arial" w:cs="Arial" w:eastAsia="Arial" w:hAnsi="Arial"/>
          <w:sz w:val="22"/>
          <w:szCs w:val="22"/>
          <w:color w:val="auto"/>
        </w:rPr>
        <w:t>Regardless of how the retirement funds from the retirement plan are distributed, Unum will consider your and your Employer's contributions to be distributed simultaneously throughout your lifetime.</w:t>
      </w:r>
    </w:p>
    <w:p>
      <w:pPr>
        <w:spacing w:after="0" w:line="245" w:lineRule="exact"/>
        <w:rPr>
          <w:sz w:val="20"/>
          <w:szCs w:val="20"/>
          <w:color w:val="auto"/>
        </w:rPr>
      </w:pPr>
    </w:p>
    <w:p>
      <w:pPr>
        <w:ind w:left="320" w:right="200"/>
        <w:spacing w:after="0" w:line="249" w:lineRule="auto"/>
        <w:rPr>
          <w:sz w:val="20"/>
          <w:szCs w:val="20"/>
          <w:color w:val="auto"/>
        </w:rPr>
      </w:pPr>
      <w:r>
        <w:rPr>
          <w:rFonts w:ascii="Arial" w:cs="Arial" w:eastAsia="Arial" w:hAnsi="Arial"/>
          <w:sz w:val="22"/>
          <w:szCs w:val="22"/>
          <w:color w:val="auto"/>
        </w:rPr>
        <w:t>Amounts received include amounts rolled over or transferred to any eligible retirement plan. Unum will use the definition of eligible retirement</w:t>
      </w:r>
    </w:p>
    <w:p>
      <w:pPr>
        <w:sectPr>
          <w:pgSz w:w="11900" w:h="16838" w:orient="portrait"/>
          <w:cols w:equalWidth="0" w:num="1">
            <w:col w:w="11020"/>
          </w:cols>
          <w:pgMar w:left="640" w:top="619" w:right="239" w:bottom="1440" w:gutter="0" w:footer="0" w:header="0"/>
        </w:sectPr>
      </w:pPr>
    </w:p>
    <w:bookmarkStart w:id="192" w:name="page193"/>
    <w:bookmarkEnd w:id="192"/>
    <w:p>
      <w:pPr>
        <w:ind w:left="640" w:right="100"/>
        <w:spacing w:after="0" w:line="249" w:lineRule="auto"/>
        <w:rPr>
          <w:sz w:val="20"/>
          <w:szCs w:val="20"/>
          <w:color w:val="auto"/>
        </w:rPr>
      </w:pPr>
      <w:r>
        <w:rPr>
          <w:rFonts w:ascii="Arial" w:cs="Arial" w:eastAsia="Arial" w:hAnsi="Arial"/>
          <w:sz w:val="22"/>
          <w:szCs w:val="22"/>
          <w:color w:val="auto"/>
        </w:rPr>
        <w:t>plan as defined in Section 402 of the Internal Revenue Code including any future amendments which affect the definition.</w:t>
      </w:r>
    </w:p>
    <w:p>
      <w:pPr>
        <w:spacing w:after="0" w:line="245" w:lineRule="exact"/>
        <w:rPr>
          <w:sz w:val="20"/>
          <w:szCs w:val="20"/>
          <w:color w:val="auto"/>
        </w:rPr>
      </w:pPr>
    </w:p>
    <w:p>
      <w:pPr>
        <w:ind w:left="640" w:hanging="320"/>
        <w:spacing w:after="0"/>
        <w:tabs>
          <w:tab w:leader="none" w:pos="64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amount that you receive under Title 46, United States Code Section 688 (The Jones Act).</w:t>
      </w:r>
    </w:p>
    <w:p>
      <w:pPr>
        <w:spacing w:after="0" w:line="234" w:lineRule="exact"/>
        <w:rPr>
          <w:rFonts w:ascii="Arial" w:cs="Arial" w:eastAsia="Arial" w:hAnsi="Arial"/>
          <w:sz w:val="22"/>
          <w:szCs w:val="22"/>
          <w:color w:val="auto"/>
        </w:rPr>
      </w:pPr>
    </w:p>
    <w:p>
      <w:pPr>
        <w:ind w:left="640" w:hanging="320"/>
        <w:spacing w:after="0"/>
        <w:tabs>
          <w:tab w:leader="none" w:pos="64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The amount that you receive under a </w:t>
      </w:r>
      <w:r>
        <w:rPr>
          <w:rFonts w:ascii="Arial" w:cs="Arial" w:eastAsia="Arial" w:hAnsi="Arial"/>
          <w:sz w:val="22"/>
          <w:szCs w:val="22"/>
          <w:b w:val="1"/>
          <w:bCs w:val="1"/>
          <w:color w:val="auto"/>
        </w:rPr>
        <w:t>salary continuation</w:t>
      </w:r>
      <w:r>
        <w:rPr>
          <w:rFonts w:ascii="Arial" w:cs="Arial" w:eastAsia="Arial" w:hAnsi="Arial"/>
          <w:sz w:val="22"/>
          <w:szCs w:val="22"/>
          <w:color w:val="auto"/>
        </w:rPr>
        <w:t xml:space="preserve"> or </w:t>
      </w:r>
      <w:r>
        <w:rPr>
          <w:rFonts w:ascii="Arial" w:cs="Arial" w:eastAsia="Arial" w:hAnsi="Arial"/>
          <w:sz w:val="22"/>
          <w:szCs w:val="22"/>
          <w:b w:val="1"/>
          <w:bCs w:val="1"/>
          <w:color w:val="auto"/>
        </w:rPr>
        <w:t>accumulated sick leave</w:t>
      </w:r>
      <w:r>
        <w:rPr>
          <w:rFonts w:ascii="Arial" w:cs="Arial" w:eastAsia="Arial" w:hAnsi="Arial"/>
          <w:sz w:val="22"/>
          <w:szCs w:val="22"/>
          <w:color w:val="auto"/>
        </w:rPr>
        <w:t xml:space="preserve"> plan.</w:t>
      </w:r>
    </w:p>
    <w:p>
      <w:pPr>
        <w:spacing w:after="0" w:line="286" w:lineRule="exact"/>
        <w:rPr>
          <w:sz w:val="20"/>
          <w:szCs w:val="20"/>
          <w:color w:val="auto"/>
        </w:rPr>
      </w:pPr>
    </w:p>
    <w:p>
      <w:pPr>
        <w:ind w:left="320" w:right="760"/>
        <w:spacing w:after="0" w:line="249" w:lineRule="auto"/>
        <w:rPr>
          <w:sz w:val="20"/>
          <w:szCs w:val="20"/>
          <w:color w:val="auto"/>
        </w:rPr>
      </w:pPr>
      <w:r>
        <w:rPr>
          <w:rFonts w:ascii="Arial" w:cs="Arial" w:eastAsia="Arial" w:hAnsi="Arial"/>
          <w:sz w:val="22"/>
          <w:szCs w:val="22"/>
          <w:color w:val="auto"/>
        </w:rPr>
        <w:t>With the exception of retirement payments, Unum will only subtract deductible sources of income which are payable as a result of the same disability.</w:t>
      </w:r>
    </w:p>
    <w:p>
      <w:pPr>
        <w:spacing w:after="0" w:line="245" w:lineRule="exact"/>
        <w:rPr>
          <w:sz w:val="20"/>
          <w:szCs w:val="20"/>
          <w:color w:val="auto"/>
        </w:rPr>
      </w:pPr>
    </w:p>
    <w:p>
      <w:pPr>
        <w:ind w:left="320" w:right="380"/>
        <w:spacing w:after="0" w:line="249" w:lineRule="auto"/>
        <w:rPr>
          <w:sz w:val="20"/>
          <w:szCs w:val="20"/>
          <w:color w:val="auto"/>
        </w:rPr>
      </w:pPr>
      <w:r>
        <w:rPr>
          <w:rFonts w:ascii="Arial" w:cs="Arial" w:eastAsia="Arial" w:hAnsi="Arial"/>
          <w:sz w:val="22"/>
          <w:szCs w:val="22"/>
          <w:color w:val="auto"/>
        </w:rPr>
        <w:t>We will not reduce your payment by your Social Security retirement income if your disability begins after age 65 and you were already receiving Social Security retirement payments.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ARE NOT DEDUCTIBLE SOURCES OF INCOME?</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21"/>
          <w:szCs w:val="21"/>
          <w:color w:val="auto"/>
        </w:rPr>
        <w:t>Unum will not subtract from your gross disability payment income you receive from, but not limited to, the following:</w:t>
      </w:r>
    </w:p>
    <w:p>
      <w:pPr>
        <w:spacing w:after="0" w:line="204" w:lineRule="exact"/>
        <w:rPr>
          <w:sz w:val="20"/>
          <w:szCs w:val="20"/>
          <w:color w:val="auto"/>
        </w:rPr>
      </w:pPr>
    </w:p>
    <w:p>
      <w:pPr>
        <w:ind w:left="520" w:hanging="187"/>
        <w:spacing w:after="0"/>
        <w:tabs>
          <w:tab w:leader="none" w:pos="5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401(k) plans</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profit sharing plans</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thrift plans</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tax sheltered annuities</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stock ownership plans</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non-qualified plans of deferred compensation</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pension plans for partners</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military pension and disability income plans</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credit disability insurance</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franchise disability income plans</w:t>
      </w:r>
    </w:p>
    <w:p>
      <w:pPr>
        <w:spacing w:after="0" w:line="3" w:lineRule="exact"/>
        <w:rPr>
          <w:rFonts w:ascii="Arial" w:cs="Arial" w:eastAsia="Arial" w:hAnsi="Arial"/>
          <w:sz w:val="22"/>
          <w:szCs w:val="22"/>
          <w:color w:val="auto"/>
        </w:rPr>
      </w:pPr>
    </w:p>
    <w:p>
      <w:pPr>
        <w:ind w:left="520" w:hanging="187"/>
        <w:spacing w:after="0" w:line="243" w:lineRule="auto"/>
        <w:tabs>
          <w:tab w:leader="none" w:pos="5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a retirement plan from another employer, except a retirement plan from another employer for which your Employer (including any division, subsidiary or affiliated company) assumed financial liability or which was merged into your Employer's (including any division, subsidiary or affiliated company) retirement plan. Unum may obtain additional information from your Employer to determine whether a retirement plan is your Employer's retirement plan.</w:t>
      </w:r>
    </w:p>
    <w:p>
      <w:pPr>
        <w:spacing w:after="0" w:line="2" w:lineRule="exact"/>
        <w:rPr>
          <w:rFonts w:ascii="Arial" w:cs="Arial" w:eastAsia="Arial" w:hAnsi="Arial"/>
          <w:sz w:val="22"/>
          <w:szCs w:val="22"/>
          <w:color w:val="auto"/>
        </w:rPr>
      </w:pPr>
    </w:p>
    <w:p>
      <w:pPr>
        <w:ind w:left="520" w:hanging="187"/>
        <w:spacing w:after="0"/>
        <w:tabs>
          <w:tab w:leader="none" w:pos="5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individual retirement accounts (IRA)</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individual disability income plans</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no fault motor vehicle plans</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severance payments</w:t>
      </w:r>
    </w:p>
    <w:p>
      <w:pPr>
        <w:spacing w:after="0" w:line="167" w:lineRule="exact"/>
        <w:rPr>
          <w:sz w:val="20"/>
          <w:szCs w:val="20"/>
          <w:color w:val="auto"/>
        </w:rPr>
      </w:pPr>
    </w:p>
    <w:p>
      <w:pPr>
        <w:ind w:right="3380"/>
        <w:spacing w:after="0" w:line="287" w:lineRule="auto"/>
        <w:rPr>
          <w:sz w:val="20"/>
          <w:szCs w:val="20"/>
          <w:color w:val="auto"/>
        </w:rPr>
      </w:pPr>
      <w:r>
        <w:rPr>
          <w:rFonts w:ascii="Arial" w:cs="Arial" w:eastAsia="Arial" w:hAnsi="Arial"/>
          <w:sz w:val="22"/>
          <w:szCs w:val="22"/>
          <w:b w:val="1"/>
          <w:bCs w:val="1"/>
          <w:i w:val="1"/>
          <w:iCs w:val="1"/>
          <w:color w:val="auto"/>
        </w:rPr>
        <w:t>WHAT IF SUBTRACTING DEDUCTIBLE SOURCES OF INCOME RESULTS IN A ZERO BENEFIT? (Minimum Benefit)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minimum monthly payment is the greater of:</w:t>
      </w:r>
    </w:p>
    <w:p>
      <w:pPr>
        <w:spacing w:after="0" w:line="193" w:lineRule="exact"/>
        <w:rPr>
          <w:sz w:val="20"/>
          <w:szCs w:val="20"/>
          <w:color w:val="auto"/>
        </w:rPr>
      </w:pPr>
    </w:p>
    <w:p>
      <w:pPr>
        <w:ind w:left="460" w:hanging="127"/>
        <w:spacing w:after="0"/>
        <w:tabs>
          <w:tab w:leader="none" w:pos="46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$100; or</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10% of your gross disability payment.</w:t>
      </w:r>
    </w:p>
    <w:p>
      <w:pPr>
        <w:sectPr>
          <w:pgSz w:w="11900" w:h="16838" w:orient="portrait"/>
          <w:cols w:equalWidth="0" w:num="1">
            <w:col w:w="11320"/>
          </w:cols>
          <w:pgMar w:left="320" w:top="390" w:right="259" w:bottom="1440" w:gutter="0" w:footer="0" w:header="0"/>
        </w:sectPr>
      </w:pPr>
    </w:p>
    <w:bookmarkStart w:id="193" w:name="page194"/>
    <w:bookmarkEnd w:id="193"/>
    <w:p>
      <w:pPr>
        <w:ind w:left="340"/>
        <w:spacing w:after="0"/>
        <w:rPr>
          <w:sz w:val="20"/>
          <w:szCs w:val="20"/>
          <w:color w:val="auto"/>
        </w:rPr>
      </w:pPr>
      <w:r>
        <w:rPr>
          <w:rFonts w:ascii="Arial" w:cs="Arial" w:eastAsia="Arial" w:hAnsi="Arial"/>
          <w:sz w:val="22"/>
          <w:szCs w:val="22"/>
          <w:color w:val="auto"/>
        </w:rPr>
        <w:t>Unum may apply this amount toward an outstanding overpayment.</w:t>
      </w:r>
    </w:p>
    <w:p>
      <w:pPr>
        <w:spacing w:after="0" w:line="207" w:lineRule="exact"/>
        <w:rPr>
          <w:sz w:val="20"/>
          <w:szCs w:val="20"/>
          <w:color w:val="auto"/>
        </w:rPr>
      </w:pPr>
    </w:p>
    <w:p>
      <w:pPr>
        <w:ind w:right="500"/>
        <w:spacing w:after="0" w:line="274" w:lineRule="auto"/>
        <w:rPr>
          <w:sz w:val="20"/>
          <w:szCs w:val="20"/>
          <w:color w:val="auto"/>
        </w:rPr>
      </w:pPr>
      <w:r>
        <w:rPr>
          <w:rFonts w:ascii="Arial" w:cs="Arial" w:eastAsia="Arial" w:hAnsi="Arial"/>
          <w:sz w:val="22"/>
          <w:szCs w:val="22"/>
          <w:b w:val="1"/>
          <w:bCs w:val="1"/>
          <w:i w:val="1"/>
          <w:iCs w:val="1"/>
          <w:color w:val="auto"/>
        </w:rPr>
        <w:t>WHAT HAPPENS WHEN YOU RECEIVE A COST OF LIVING INCREASE FROM DEDUCTIBLE SOURCES OF INCOME?</w:t>
      </w:r>
    </w:p>
    <w:p>
      <w:pPr>
        <w:spacing w:after="0" w:line="218" w:lineRule="exact"/>
        <w:rPr>
          <w:sz w:val="20"/>
          <w:szCs w:val="20"/>
          <w:color w:val="auto"/>
        </w:rPr>
      </w:pPr>
    </w:p>
    <w:p>
      <w:pPr>
        <w:ind w:left="340" w:right="460"/>
        <w:spacing w:after="0" w:line="249" w:lineRule="auto"/>
        <w:rPr>
          <w:sz w:val="20"/>
          <w:szCs w:val="20"/>
          <w:color w:val="auto"/>
        </w:rPr>
      </w:pPr>
      <w:r>
        <w:rPr>
          <w:rFonts w:ascii="Arial" w:cs="Arial" w:eastAsia="Arial" w:hAnsi="Arial"/>
          <w:sz w:val="22"/>
          <w:szCs w:val="22"/>
          <w:color w:val="auto"/>
        </w:rPr>
        <w:t>Once Unum has subtracted any deductible source of income from your gross disability payment, Unum will not further reduce your payment due to a cost of living increase from that source.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IF UNUM DETERMINES YOU MAY QUALIFY FOR DEDUCTIBLE INCOME BENEFITS?</w:t>
      </w:r>
    </w:p>
    <w:p>
      <w:pPr>
        <w:spacing w:after="0" w:line="286" w:lineRule="exact"/>
        <w:rPr>
          <w:sz w:val="20"/>
          <w:szCs w:val="20"/>
          <w:color w:val="auto"/>
        </w:rPr>
      </w:pPr>
    </w:p>
    <w:p>
      <w:pPr>
        <w:ind w:left="340" w:right="160"/>
        <w:spacing w:after="0" w:line="246" w:lineRule="auto"/>
        <w:rPr>
          <w:sz w:val="20"/>
          <w:szCs w:val="20"/>
          <w:color w:val="auto"/>
        </w:rPr>
      </w:pPr>
      <w:r>
        <w:rPr>
          <w:rFonts w:ascii="Arial" w:cs="Arial" w:eastAsia="Arial" w:hAnsi="Arial"/>
          <w:sz w:val="22"/>
          <w:szCs w:val="22"/>
          <w:color w:val="auto"/>
        </w:rPr>
        <w:t>When we determine that you may qualify for benefits under Item(s) 1, 2 and 3 in the deductible sources of income section, we will estimate your entitlement to these benefits. We can reduce your payment by the estimated amounts if such benefits:</w:t>
      </w:r>
    </w:p>
    <w:p>
      <w:pPr>
        <w:spacing w:after="0" w:line="181" w:lineRule="exact"/>
        <w:rPr>
          <w:sz w:val="20"/>
          <w:szCs w:val="20"/>
          <w:color w:val="auto"/>
        </w:rPr>
      </w:pPr>
    </w:p>
    <w:p>
      <w:pPr>
        <w:ind w:left="520" w:hanging="187"/>
        <w:spacing w:after="0"/>
        <w:tabs>
          <w:tab w:leader="none" w:pos="52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have not been awarded; and</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have not been denied; or</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have been denied and the denial is being appealed.</w:t>
      </w:r>
    </w:p>
    <w:p>
      <w:pPr>
        <w:spacing w:after="0" w:line="31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Your Long Term Disability payment will NOT be reduced by the estimated amount if you:</w:t>
      </w:r>
    </w:p>
    <w:p>
      <w:pPr>
        <w:spacing w:after="0" w:line="260" w:lineRule="exact"/>
        <w:rPr>
          <w:sz w:val="20"/>
          <w:szCs w:val="20"/>
          <w:color w:val="auto"/>
        </w:rPr>
      </w:pPr>
    </w:p>
    <w:p>
      <w:pPr>
        <w:ind w:left="520" w:right="60" w:hanging="187"/>
        <w:spacing w:after="0" w:line="243" w:lineRule="auto"/>
        <w:tabs>
          <w:tab w:leader="none" w:pos="52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apply for the disability payments under Item(s) 1, 2 and 3 in the deductible sources of income section and appeal your denial to all administrative levels Unum feels are necessary; and</w:t>
      </w:r>
    </w:p>
    <w:p>
      <w:pPr>
        <w:ind w:left="520" w:right="300" w:hanging="187"/>
        <w:spacing w:after="0" w:line="249" w:lineRule="auto"/>
        <w:tabs>
          <w:tab w:leader="none" w:pos="52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sign Unum's payment option form. This form states that you promise to pay us any overpayment caused by an award.</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1"/>
          <w:szCs w:val="21"/>
          <w:color w:val="auto"/>
        </w:rPr>
        <w:t>If your payment has been reduced by an estimated amount, your payment will be adjusted when we receive proof:</w:t>
      </w:r>
    </w:p>
    <w:p>
      <w:pPr>
        <w:spacing w:after="0" w:line="204" w:lineRule="exact"/>
        <w:rPr>
          <w:sz w:val="20"/>
          <w:szCs w:val="20"/>
          <w:color w:val="auto"/>
        </w:rPr>
      </w:pPr>
    </w:p>
    <w:p>
      <w:pPr>
        <w:ind w:left="520" w:hanging="187"/>
        <w:spacing w:after="0"/>
        <w:tabs>
          <w:tab w:leader="none" w:pos="52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of the amount awarded; or</w:t>
      </w:r>
    </w:p>
    <w:p>
      <w:pPr>
        <w:spacing w:after="0" w:line="17" w:lineRule="exact"/>
        <w:rPr>
          <w:rFonts w:ascii="Arial" w:cs="Arial" w:eastAsia="Arial" w:hAnsi="Arial"/>
          <w:sz w:val="22"/>
          <w:szCs w:val="22"/>
          <w:color w:val="auto"/>
        </w:rPr>
      </w:pPr>
    </w:p>
    <w:p>
      <w:pPr>
        <w:ind w:left="520" w:right="200" w:hanging="187"/>
        <w:spacing w:after="0" w:line="249" w:lineRule="auto"/>
        <w:tabs>
          <w:tab w:leader="none" w:pos="52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that benefits have been denied and all appeals Unum feels are necessary have been completed. In this case, a lump sum refund of the estimated amount will be made to you.</w:t>
      </w:r>
    </w:p>
    <w:p>
      <w:pPr>
        <w:spacing w:after="0" w:line="245" w:lineRule="exact"/>
        <w:rPr>
          <w:sz w:val="20"/>
          <w:szCs w:val="20"/>
          <w:color w:val="auto"/>
        </w:rPr>
      </w:pPr>
    </w:p>
    <w:p>
      <w:pPr>
        <w:jc w:val="both"/>
        <w:ind w:left="340"/>
        <w:spacing w:after="0" w:line="246" w:lineRule="auto"/>
        <w:rPr>
          <w:sz w:val="20"/>
          <w:szCs w:val="20"/>
          <w:color w:val="auto"/>
        </w:rPr>
      </w:pPr>
      <w:r>
        <w:rPr>
          <w:rFonts w:ascii="Arial" w:cs="Arial" w:eastAsia="Arial" w:hAnsi="Arial"/>
          <w:sz w:val="22"/>
          <w:szCs w:val="22"/>
          <w:color w:val="auto"/>
        </w:rPr>
        <w:t>If you receive a lump sum payment from any deductible sources of income, the lump sum will be pro-rated on a monthly basis over the time period for which the sum was given. If no time period is stated, we will use a reasonable one.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LONG WILL UNUM CONTINUE TO SEND YOU PAYMENTS?</w:t>
      </w:r>
    </w:p>
    <w:p>
      <w:pPr>
        <w:spacing w:after="0" w:line="233" w:lineRule="exact"/>
        <w:rPr>
          <w:sz w:val="20"/>
          <w:szCs w:val="20"/>
          <w:color w:val="auto"/>
        </w:rPr>
      </w:pPr>
    </w:p>
    <w:p>
      <w:pPr>
        <w:ind w:left="340" w:right="520"/>
        <w:spacing w:after="0" w:line="274" w:lineRule="auto"/>
        <w:rPr>
          <w:sz w:val="20"/>
          <w:szCs w:val="20"/>
          <w:color w:val="auto"/>
        </w:rPr>
      </w:pPr>
      <w:r>
        <w:rPr>
          <w:rFonts w:ascii="Arial" w:cs="Arial" w:eastAsia="Arial" w:hAnsi="Arial"/>
          <w:sz w:val="22"/>
          <w:szCs w:val="22"/>
          <w:color w:val="auto"/>
        </w:rPr>
        <w:t xml:space="preserve">Unum will send you a payment each month up to the </w:t>
      </w:r>
      <w:r>
        <w:rPr>
          <w:rFonts w:ascii="Arial" w:cs="Arial" w:eastAsia="Arial" w:hAnsi="Arial"/>
          <w:sz w:val="22"/>
          <w:szCs w:val="22"/>
          <w:b w:val="1"/>
          <w:bCs w:val="1"/>
          <w:color w:val="auto"/>
        </w:rPr>
        <w:t>maximum period of payment</w:t>
      </w:r>
      <w:r>
        <w:rPr>
          <w:rFonts w:ascii="Arial" w:cs="Arial" w:eastAsia="Arial" w:hAnsi="Arial"/>
          <w:sz w:val="22"/>
          <w:szCs w:val="22"/>
          <w:color w:val="auto"/>
        </w:rPr>
        <w:t>. Your maximum period of payment is based on your age at disability as follows:</w:t>
      </w:r>
    </w:p>
    <w:p>
      <w:pPr>
        <w:sectPr>
          <w:pgSz w:w="11900" w:h="16838" w:orient="portrait"/>
          <w:cols w:equalWidth="0" w:num="1">
            <w:col w:w="11340"/>
          </w:cols>
          <w:pgMar w:left="320" w:top="565" w:right="239" w:bottom="1440" w:gutter="0" w:footer="0" w:header="0"/>
        </w:sectPr>
      </w:pPr>
    </w:p>
    <w:bookmarkStart w:id="194" w:name="page195"/>
    <w:bookmarkEnd w:id="194"/>
    <w:p>
      <w:pPr>
        <w:ind w:left="340"/>
        <w:spacing w:after="0"/>
        <w:tabs>
          <w:tab w:leader="none" w:pos="2100" w:val="left"/>
        </w:tabs>
        <w:rPr>
          <w:sz w:val="20"/>
          <w:szCs w:val="20"/>
          <w:color w:val="auto"/>
        </w:rPr>
      </w:pPr>
      <w:r>
        <w:rPr>
          <w:rFonts w:ascii="Arial" w:cs="Arial" w:eastAsia="Arial" w:hAnsi="Arial"/>
          <w:sz w:val="22"/>
          <w:szCs w:val="22"/>
          <w:u w:val="single" w:color="auto"/>
          <w:color w:val="auto"/>
        </w:rPr>
        <w:t>Age at Disability</w:t>
      </w:r>
      <w:r>
        <w:rPr>
          <w:sz w:val="20"/>
          <w:szCs w:val="20"/>
          <w:color w:val="auto"/>
        </w:rPr>
        <w:tab/>
      </w:r>
      <w:r>
        <w:rPr>
          <w:rFonts w:ascii="Arial" w:cs="Arial" w:eastAsia="Arial" w:hAnsi="Arial"/>
          <w:sz w:val="21"/>
          <w:szCs w:val="21"/>
          <w:u w:val="single" w:color="auto"/>
          <w:color w:val="auto"/>
        </w:rPr>
        <w:t>Maximum Period of Payment</w:t>
      </w:r>
    </w:p>
    <w:p>
      <w:pPr>
        <w:spacing w:after="0" w:line="193" w:lineRule="exact"/>
        <w:rPr>
          <w:sz w:val="20"/>
          <w:szCs w:val="20"/>
          <w:color w:val="auto"/>
        </w:rPr>
      </w:pPr>
    </w:p>
    <w:p>
      <w:pPr>
        <w:ind w:left="340"/>
        <w:spacing w:after="0"/>
        <w:tabs>
          <w:tab w:leader="none" w:pos="2200" w:val="left"/>
        </w:tabs>
        <w:rPr>
          <w:sz w:val="20"/>
          <w:szCs w:val="20"/>
          <w:color w:val="auto"/>
        </w:rPr>
      </w:pPr>
      <w:r>
        <w:rPr>
          <w:rFonts w:ascii="Arial" w:cs="Arial" w:eastAsia="Arial" w:hAnsi="Arial"/>
          <w:sz w:val="22"/>
          <w:szCs w:val="22"/>
          <w:color w:val="auto"/>
        </w:rPr>
        <w:t>Less than age 60</w:t>
      </w:r>
      <w:r>
        <w:rPr>
          <w:sz w:val="20"/>
          <w:szCs w:val="20"/>
          <w:color w:val="auto"/>
        </w:rPr>
        <w:tab/>
      </w:r>
      <w:r>
        <w:rPr>
          <w:rFonts w:ascii="Arial" w:cs="Arial" w:eastAsia="Arial" w:hAnsi="Arial"/>
          <w:sz w:val="21"/>
          <w:szCs w:val="21"/>
          <w:color w:val="auto"/>
        </w:rPr>
        <w:t>To age 65, but not less than 5 years</w:t>
      </w:r>
    </w:p>
    <w:p>
      <w:pPr>
        <w:spacing w:after="0" w:line="17"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22"/>
          <w:szCs w:val="22"/>
          <w:color w:val="auto"/>
        </w:rPr>
        <w:t>Age 60</w:t>
      </w:r>
      <w:r>
        <w:rPr>
          <w:sz w:val="20"/>
          <w:szCs w:val="20"/>
          <w:color w:val="auto"/>
        </w:rPr>
        <w:tab/>
      </w:r>
      <w:r>
        <w:rPr>
          <w:rFonts w:ascii="Arial" w:cs="Arial" w:eastAsia="Arial" w:hAnsi="Arial"/>
          <w:sz w:val="21"/>
          <w:szCs w:val="21"/>
          <w:color w:val="auto"/>
        </w:rPr>
        <w:t>60 months</w:t>
      </w:r>
    </w:p>
    <w:p>
      <w:pPr>
        <w:spacing w:after="0" w:line="4"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22"/>
          <w:szCs w:val="22"/>
          <w:color w:val="auto"/>
        </w:rPr>
        <w:t>Age 61</w:t>
      </w:r>
      <w:r>
        <w:rPr>
          <w:sz w:val="20"/>
          <w:szCs w:val="20"/>
          <w:color w:val="auto"/>
        </w:rPr>
        <w:tab/>
      </w:r>
      <w:r>
        <w:rPr>
          <w:rFonts w:ascii="Arial" w:cs="Arial" w:eastAsia="Arial" w:hAnsi="Arial"/>
          <w:sz w:val="21"/>
          <w:szCs w:val="21"/>
          <w:color w:val="auto"/>
        </w:rPr>
        <w:t>48 months</w:t>
      </w:r>
    </w:p>
    <w:p>
      <w:pPr>
        <w:spacing w:after="0" w:line="4"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22"/>
          <w:szCs w:val="22"/>
          <w:color w:val="auto"/>
        </w:rPr>
        <w:t>Age 62</w:t>
      </w:r>
      <w:r>
        <w:rPr>
          <w:sz w:val="20"/>
          <w:szCs w:val="20"/>
          <w:color w:val="auto"/>
        </w:rPr>
        <w:tab/>
      </w:r>
      <w:r>
        <w:rPr>
          <w:rFonts w:ascii="Arial" w:cs="Arial" w:eastAsia="Arial" w:hAnsi="Arial"/>
          <w:sz w:val="21"/>
          <w:szCs w:val="21"/>
          <w:color w:val="auto"/>
        </w:rPr>
        <w:t>42 months</w:t>
      </w:r>
    </w:p>
    <w:p>
      <w:pPr>
        <w:spacing w:after="0" w:line="4"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22"/>
          <w:szCs w:val="22"/>
          <w:color w:val="auto"/>
        </w:rPr>
        <w:t>Age 63</w:t>
      </w:r>
      <w:r>
        <w:rPr>
          <w:sz w:val="20"/>
          <w:szCs w:val="20"/>
          <w:color w:val="auto"/>
        </w:rPr>
        <w:tab/>
      </w:r>
      <w:r>
        <w:rPr>
          <w:rFonts w:ascii="Arial" w:cs="Arial" w:eastAsia="Arial" w:hAnsi="Arial"/>
          <w:sz w:val="21"/>
          <w:szCs w:val="21"/>
          <w:color w:val="auto"/>
        </w:rPr>
        <w:t>36 months</w:t>
      </w:r>
    </w:p>
    <w:p>
      <w:pPr>
        <w:spacing w:after="0" w:line="4"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22"/>
          <w:szCs w:val="22"/>
          <w:color w:val="auto"/>
        </w:rPr>
        <w:t>Age 64</w:t>
      </w:r>
      <w:r>
        <w:rPr>
          <w:sz w:val="20"/>
          <w:szCs w:val="20"/>
          <w:color w:val="auto"/>
        </w:rPr>
        <w:tab/>
      </w:r>
      <w:r>
        <w:rPr>
          <w:rFonts w:ascii="Arial" w:cs="Arial" w:eastAsia="Arial" w:hAnsi="Arial"/>
          <w:sz w:val="21"/>
          <w:szCs w:val="21"/>
          <w:color w:val="auto"/>
        </w:rPr>
        <w:t>30 months</w:t>
      </w:r>
    </w:p>
    <w:p>
      <w:pPr>
        <w:spacing w:after="0" w:line="4"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22"/>
          <w:szCs w:val="22"/>
          <w:color w:val="auto"/>
        </w:rPr>
        <w:t>Age 65</w:t>
      </w:r>
      <w:r>
        <w:rPr>
          <w:sz w:val="20"/>
          <w:szCs w:val="20"/>
          <w:color w:val="auto"/>
        </w:rPr>
        <w:tab/>
      </w:r>
      <w:r>
        <w:rPr>
          <w:rFonts w:ascii="Arial" w:cs="Arial" w:eastAsia="Arial" w:hAnsi="Arial"/>
          <w:sz w:val="21"/>
          <w:szCs w:val="21"/>
          <w:color w:val="auto"/>
        </w:rPr>
        <w:t>24 months</w:t>
      </w:r>
    </w:p>
    <w:p>
      <w:pPr>
        <w:spacing w:after="0" w:line="4"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22"/>
          <w:szCs w:val="22"/>
          <w:color w:val="auto"/>
        </w:rPr>
        <w:t>Age 66</w:t>
      </w:r>
      <w:r>
        <w:rPr>
          <w:sz w:val="20"/>
          <w:szCs w:val="20"/>
          <w:color w:val="auto"/>
        </w:rPr>
        <w:tab/>
      </w:r>
      <w:r>
        <w:rPr>
          <w:rFonts w:ascii="Arial" w:cs="Arial" w:eastAsia="Arial" w:hAnsi="Arial"/>
          <w:sz w:val="21"/>
          <w:szCs w:val="21"/>
          <w:color w:val="auto"/>
        </w:rPr>
        <w:t>21 months</w:t>
      </w:r>
    </w:p>
    <w:p>
      <w:pPr>
        <w:spacing w:after="0" w:line="4"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22"/>
          <w:szCs w:val="22"/>
          <w:color w:val="auto"/>
        </w:rPr>
        <w:t>Age 67</w:t>
      </w:r>
      <w:r>
        <w:rPr>
          <w:sz w:val="20"/>
          <w:szCs w:val="20"/>
          <w:color w:val="auto"/>
        </w:rPr>
        <w:tab/>
      </w:r>
      <w:r>
        <w:rPr>
          <w:rFonts w:ascii="Arial" w:cs="Arial" w:eastAsia="Arial" w:hAnsi="Arial"/>
          <w:sz w:val="21"/>
          <w:szCs w:val="21"/>
          <w:color w:val="auto"/>
        </w:rPr>
        <w:t>18 months</w:t>
      </w:r>
    </w:p>
    <w:p>
      <w:pPr>
        <w:spacing w:after="0" w:line="4"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22"/>
          <w:szCs w:val="22"/>
          <w:color w:val="auto"/>
        </w:rPr>
        <w:t>Age 68</w:t>
      </w:r>
      <w:r>
        <w:rPr>
          <w:sz w:val="20"/>
          <w:szCs w:val="20"/>
          <w:color w:val="auto"/>
        </w:rPr>
        <w:tab/>
      </w:r>
      <w:r>
        <w:rPr>
          <w:rFonts w:ascii="Arial" w:cs="Arial" w:eastAsia="Arial" w:hAnsi="Arial"/>
          <w:sz w:val="21"/>
          <w:szCs w:val="21"/>
          <w:color w:val="auto"/>
        </w:rPr>
        <w:t>15 months</w:t>
      </w:r>
    </w:p>
    <w:p>
      <w:pPr>
        <w:spacing w:after="0" w:line="4" w:lineRule="exact"/>
        <w:rPr>
          <w:sz w:val="20"/>
          <w:szCs w:val="20"/>
          <w:color w:val="auto"/>
        </w:rPr>
      </w:pPr>
    </w:p>
    <w:p>
      <w:pPr>
        <w:ind w:left="340"/>
        <w:spacing w:after="0"/>
        <w:tabs>
          <w:tab w:leader="none" w:pos="2140" w:val="left"/>
        </w:tabs>
        <w:rPr>
          <w:sz w:val="20"/>
          <w:szCs w:val="20"/>
          <w:color w:val="auto"/>
        </w:rPr>
      </w:pPr>
      <w:r>
        <w:rPr>
          <w:rFonts w:ascii="Arial" w:cs="Arial" w:eastAsia="Arial" w:hAnsi="Arial"/>
          <w:sz w:val="22"/>
          <w:szCs w:val="22"/>
          <w:color w:val="auto"/>
        </w:rPr>
        <w:t>Age 69 and over</w:t>
      </w:r>
      <w:r>
        <w:rPr>
          <w:sz w:val="20"/>
          <w:szCs w:val="20"/>
          <w:color w:val="auto"/>
        </w:rPr>
        <w:tab/>
      </w:r>
      <w:r>
        <w:rPr>
          <w:rFonts w:ascii="Arial" w:cs="Arial" w:eastAsia="Arial" w:hAnsi="Arial"/>
          <w:sz w:val="21"/>
          <w:szCs w:val="21"/>
          <w:color w:val="auto"/>
        </w:rPr>
        <w:t>12 months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WHEN WILL PAYMENTS STOP?</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We will stop sending you payments and your claim will end on the earliest of the following:</w:t>
      </w:r>
    </w:p>
    <w:p>
      <w:pPr>
        <w:spacing w:after="0" w:line="234" w:lineRule="exact"/>
        <w:rPr>
          <w:sz w:val="20"/>
          <w:szCs w:val="20"/>
          <w:color w:val="auto"/>
        </w:rPr>
      </w:pPr>
    </w:p>
    <w:p>
      <w:pPr>
        <w:ind w:left="520" w:right="400" w:hanging="187"/>
        <w:spacing w:after="0" w:line="255" w:lineRule="auto"/>
        <w:tabs>
          <w:tab w:leader="none" w:pos="52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 xml:space="preserve">during the first 24 months of payments, when you are able to work in your regular occupation on a </w:t>
      </w:r>
      <w:r>
        <w:rPr>
          <w:rFonts w:ascii="Arial" w:cs="Arial" w:eastAsia="Arial" w:hAnsi="Arial"/>
          <w:sz w:val="22"/>
          <w:szCs w:val="22"/>
          <w:b w:val="1"/>
          <w:bCs w:val="1"/>
          <w:color w:val="auto"/>
        </w:rPr>
        <w:t>part-time</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basis </w:t>
      </w:r>
      <w:r>
        <w:rPr>
          <w:rFonts w:ascii="Arial" w:cs="Arial" w:eastAsia="Arial" w:hAnsi="Arial"/>
          <w:sz w:val="22"/>
          <w:szCs w:val="22"/>
          <w:color w:val="auto"/>
        </w:rPr>
        <w:t>but you choose not to;</w:t>
      </w:r>
    </w:p>
    <w:p>
      <w:pPr>
        <w:spacing w:after="0" w:line="1" w:lineRule="exact"/>
        <w:rPr>
          <w:rFonts w:ascii="Arial" w:cs="Arial" w:eastAsia="Arial" w:hAnsi="Arial"/>
          <w:sz w:val="22"/>
          <w:szCs w:val="22"/>
          <w:color w:val="auto"/>
        </w:rPr>
      </w:pPr>
    </w:p>
    <w:p>
      <w:pPr>
        <w:ind w:left="520" w:right="200" w:hanging="187"/>
        <w:spacing w:after="0" w:line="243" w:lineRule="auto"/>
        <w:tabs>
          <w:tab w:leader="none" w:pos="52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after 24 months of payments, when you are able to work in any gainful occupation on a part-time basis but you choose not to;</w:t>
      </w:r>
    </w:p>
    <w:p>
      <w:pPr>
        <w:ind w:left="520" w:hanging="187"/>
        <w:spacing w:after="0"/>
        <w:tabs>
          <w:tab w:leader="none" w:pos="52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end of the maximum period of payment;</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date you are no longer disabled under the terms of the plan;</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date you fail to submit proof of continuing disability;</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date your disability earnings exceed the amount allowable under the plan;</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date you die.</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DISABILITIES HAVE A LIMITED PAY PERIOD UNDER YOUR PLAN?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Disabilities due to </w:t>
      </w:r>
      <w:r>
        <w:rPr>
          <w:rFonts w:ascii="Arial" w:cs="Arial" w:eastAsia="Arial" w:hAnsi="Arial"/>
          <w:sz w:val="22"/>
          <w:szCs w:val="22"/>
          <w:b w:val="1"/>
          <w:bCs w:val="1"/>
          <w:color w:val="auto"/>
        </w:rPr>
        <w:t>mental illness</w:t>
      </w:r>
      <w:r>
        <w:rPr>
          <w:rFonts w:ascii="Arial" w:cs="Arial" w:eastAsia="Arial" w:hAnsi="Arial"/>
          <w:sz w:val="22"/>
          <w:szCs w:val="22"/>
          <w:color w:val="auto"/>
        </w:rPr>
        <w:t>, alcoholism or drug abuse have a limited pay period up to 24 months.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21"/>
          <w:szCs w:val="21"/>
          <w:color w:val="auto"/>
        </w:rPr>
        <w:t>Unum will continue to send you payments beyond the 24 month period if you meet one or both of these conditions:</w:t>
      </w:r>
    </w:p>
    <w:p>
      <w:pPr>
        <w:spacing w:after="0" w:line="246" w:lineRule="exact"/>
        <w:rPr>
          <w:sz w:val="20"/>
          <w:szCs w:val="20"/>
          <w:color w:val="auto"/>
        </w:rPr>
      </w:pPr>
    </w:p>
    <w:p>
      <w:pPr>
        <w:ind w:left="660" w:right="200" w:hanging="327"/>
        <w:spacing w:after="0" w:line="274" w:lineRule="auto"/>
        <w:tabs>
          <w:tab w:leader="none" w:pos="642" w:val="left"/>
        </w:tabs>
        <w:numPr>
          <w:ilvl w:val="0"/>
          <w:numId w:val="198"/>
        </w:numPr>
        <w:rPr>
          <w:rFonts w:ascii="Arial" w:cs="Arial" w:eastAsia="Arial" w:hAnsi="Arial"/>
          <w:sz w:val="22"/>
          <w:szCs w:val="22"/>
          <w:color w:val="auto"/>
        </w:rPr>
      </w:pPr>
      <w:r>
        <w:rPr>
          <w:rFonts w:ascii="Arial" w:cs="Arial" w:eastAsia="Arial" w:hAnsi="Arial"/>
          <w:sz w:val="22"/>
          <w:szCs w:val="22"/>
          <w:color w:val="auto"/>
        </w:rPr>
        <w:t xml:space="preserve">If you are confined to a </w:t>
      </w:r>
      <w:r>
        <w:rPr>
          <w:rFonts w:ascii="Arial" w:cs="Arial" w:eastAsia="Arial" w:hAnsi="Arial"/>
          <w:sz w:val="22"/>
          <w:szCs w:val="22"/>
          <w:b w:val="1"/>
          <w:bCs w:val="1"/>
          <w:color w:val="auto"/>
        </w:rPr>
        <w:t>hospital or institution</w:t>
      </w:r>
      <w:r>
        <w:rPr>
          <w:rFonts w:ascii="Arial" w:cs="Arial" w:eastAsia="Arial" w:hAnsi="Arial"/>
          <w:sz w:val="22"/>
          <w:szCs w:val="22"/>
          <w:color w:val="auto"/>
        </w:rPr>
        <w:t xml:space="preserve"> at the end of the 24 month period, Unum will continue to send you payments during your confinement.</w:t>
      </w:r>
    </w:p>
    <w:p>
      <w:pPr>
        <w:spacing w:after="0" w:line="218" w:lineRule="exact"/>
        <w:rPr>
          <w:rFonts w:ascii="Arial" w:cs="Arial" w:eastAsia="Arial" w:hAnsi="Arial"/>
          <w:sz w:val="22"/>
          <w:szCs w:val="22"/>
          <w:color w:val="auto"/>
        </w:rPr>
      </w:pPr>
    </w:p>
    <w:p>
      <w:pPr>
        <w:ind w:left="640" w:right="200"/>
        <w:spacing w:after="0" w:line="249" w:lineRule="auto"/>
        <w:rPr>
          <w:rFonts w:ascii="Arial" w:cs="Arial" w:eastAsia="Arial" w:hAnsi="Arial"/>
          <w:sz w:val="22"/>
          <w:szCs w:val="22"/>
          <w:color w:val="auto"/>
        </w:rPr>
      </w:pPr>
      <w:r>
        <w:rPr>
          <w:rFonts w:ascii="Arial" w:cs="Arial" w:eastAsia="Arial" w:hAnsi="Arial"/>
          <w:sz w:val="22"/>
          <w:szCs w:val="22"/>
          <w:color w:val="auto"/>
        </w:rPr>
        <w:t>If you are still disabled when you are discharged, Unum will send you payments for a recovery period of up to 90 days.</w:t>
      </w:r>
    </w:p>
    <w:p>
      <w:pPr>
        <w:spacing w:after="0" w:line="244" w:lineRule="exact"/>
        <w:rPr>
          <w:rFonts w:ascii="Arial" w:cs="Arial" w:eastAsia="Arial" w:hAnsi="Arial"/>
          <w:sz w:val="22"/>
          <w:szCs w:val="22"/>
          <w:color w:val="auto"/>
        </w:rPr>
      </w:pPr>
    </w:p>
    <w:p>
      <w:pPr>
        <w:jc w:val="both"/>
        <w:ind w:left="640" w:right="160"/>
        <w:spacing w:after="0" w:line="246" w:lineRule="auto"/>
        <w:rPr>
          <w:rFonts w:ascii="Arial" w:cs="Arial" w:eastAsia="Arial" w:hAnsi="Arial"/>
          <w:sz w:val="22"/>
          <w:szCs w:val="22"/>
          <w:color w:val="auto"/>
        </w:rPr>
      </w:pPr>
      <w:r>
        <w:rPr>
          <w:rFonts w:ascii="Arial" w:cs="Arial" w:eastAsia="Arial" w:hAnsi="Arial"/>
          <w:sz w:val="22"/>
          <w:szCs w:val="22"/>
          <w:color w:val="auto"/>
        </w:rPr>
        <w:t>If you become reconfined at any time during the recovery period and remain confined for at least 14 days in a row, Unum will send payments during that additional confinement and for one additional recovery period up to 90 more days.</w:t>
      </w:r>
    </w:p>
    <w:p>
      <w:pPr>
        <w:sectPr>
          <w:pgSz w:w="11900" w:h="16838" w:orient="portrait"/>
          <w:cols w:equalWidth="0" w:num="1">
            <w:col w:w="11260"/>
          </w:cols>
          <w:pgMar w:left="320" w:top="390" w:right="319" w:bottom="1440" w:gutter="0" w:footer="0" w:header="0"/>
        </w:sectPr>
      </w:pPr>
    </w:p>
    <w:bookmarkStart w:id="195" w:name="page196"/>
    <w:bookmarkEnd w:id="195"/>
    <w:p>
      <w:pPr>
        <w:ind w:left="660" w:right="220" w:hanging="327"/>
        <w:spacing w:after="0" w:line="246" w:lineRule="auto"/>
        <w:tabs>
          <w:tab w:leader="none" w:pos="642" w:val="left"/>
        </w:tabs>
        <w:numPr>
          <w:ilvl w:val="0"/>
          <w:numId w:val="199"/>
        </w:numPr>
        <w:rPr>
          <w:rFonts w:ascii="Arial" w:cs="Arial" w:eastAsia="Arial" w:hAnsi="Arial"/>
          <w:sz w:val="22"/>
          <w:szCs w:val="22"/>
          <w:color w:val="auto"/>
        </w:rPr>
      </w:pPr>
      <w:r>
        <w:rPr>
          <w:rFonts w:ascii="Arial" w:cs="Arial" w:eastAsia="Arial" w:hAnsi="Arial"/>
          <w:sz w:val="22"/>
          <w:szCs w:val="22"/>
          <w:color w:val="auto"/>
        </w:rPr>
        <w:t>In addition to Item 1, if, after the 24 month period for which you have received payments, you continue to be disabled and subsequently become confined to a hospital or institution for at least 14 days in a row, Unum will send payments during the length of the reconfinement.</w:t>
      </w:r>
    </w:p>
    <w:p>
      <w:pPr>
        <w:spacing w:after="0" w:line="249" w:lineRule="exact"/>
        <w:rPr>
          <w:sz w:val="20"/>
          <w:szCs w:val="20"/>
          <w:color w:val="auto"/>
        </w:rPr>
      </w:pPr>
    </w:p>
    <w:p>
      <w:pPr>
        <w:ind w:left="340"/>
        <w:spacing w:after="0" w:line="249" w:lineRule="auto"/>
        <w:rPr>
          <w:sz w:val="20"/>
          <w:szCs w:val="20"/>
          <w:color w:val="auto"/>
        </w:rPr>
      </w:pPr>
      <w:r>
        <w:rPr>
          <w:rFonts w:ascii="Arial" w:cs="Arial" w:eastAsia="Arial" w:hAnsi="Arial"/>
          <w:sz w:val="22"/>
          <w:szCs w:val="22"/>
          <w:color w:val="auto"/>
        </w:rPr>
        <w:t>Unum will not pay beyond the limited pay period as indicated above, or the maximum period of payment, whichever occurs first.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Unum will not apply the mental illness limitation to dementia if it is a result of:</w:t>
      </w:r>
    </w:p>
    <w:p>
      <w:pPr>
        <w:spacing w:after="0" w:line="193" w:lineRule="exact"/>
        <w:rPr>
          <w:sz w:val="20"/>
          <w:szCs w:val="20"/>
          <w:color w:val="auto"/>
        </w:rPr>
      </w:pPr>
    </w:p>
    <w:p>
      <w:pPr>
        <w:ind w:left="520" w:hanging="187"/>
        <w:spacing w:after="0"/>
        <w:tabs>
          <w:tab w:leader="none" w:pos="52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stroke;</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trauma;</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viral infection;</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Alzheimer's disease; or</w:t>
      </w:r>
    </w:p>
    <w:p>
      <w:pPr>
        <w:spacing w:after="0" w:line="3" w:lineRule="exact"/>
        <w:rPr>
          <w:rFonts w:ascii="Arial" w:cs="Arial" w:eastAsia="Arial" w:hAnsi="Arial"/>
          <w:sz w:val="22"/>
          <w:szCs w:val="22"/>
          <w:color w:val="auto"/>
        </w:rPr>
      </w:pPr>
    </w:p>
    <w:p>
      <w:pPr>
        <w:ind w:left="520" w:right="380" w:hanging="187"/>
        <w:spacing w:after="0" w:line="249" w:lineRule="auto"/>
        <w:tabs>
          <w:tab w:leader="none" w:pos="52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other conditions not listed which are not usually treated by a mental health provider or other qualified provider using psychotherapy, psychotropic drugs, or other similar methods of treatment.</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DISABILITIES ARE NOT COVERED UNDER YOUR PLAN?</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Your plan does not cover any disabilities caused by, contributed to by, or resulting from your:</w:t>
      </w:r>
    </w:p>
    <w:p>
      <w:pPr>
        <w:spacing w:after="0" w:line="193" w:lineRule="exact"/>
        <w:rPr>
          <w:sz w:val="20"/>
          <w:szCs w:val="20"/>
          <w:color w:val="auto"/>
        </w:rPr>
      </w:pPr>
    </w:p>
    <w:p>
      <w:pPr>
        <w:ind w:left="520" w:hanging="187"/>
        <w:spacing w:after="0"/>
        <w:tabs>
          <w:tab w:leader="none" w:pos="52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intentionally self-inflicted injuries.</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active participation in a riot.</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loss of a professional license, occupational license or certification.</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commission of a crime for which you have been convicted under state or federal law.</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pre-existing condition.</w:t>
      </w:r>
    </w:p>
    <w:p>
      <w:pPr>
        <w:spacing w:after="0" w:line="233" w:lineRule="exact"/>
        <w:rPr>
          <w:sz w:val="20"/>
          <w:szCs w:val="20"/>
          <w:color w:val="auto"/>
        </w:rPr>
      </w:pPr>
    </w:p>
    <w:p>
      <w:pPr>
        <w:ind w:left="340" w:right="40"/>
        <w:spacing w:after="0" w:line="249" w:lineRule="auto"/>
        <w:rPr>
          <w:sz w:val="20"/>
          <w:szCs w:val="20"/>
          <w:color w:val="auto"/>
        </w:rPr>
      </w:pPr>
      <w:r>
        <w:rPr>
          <w:rFonts w:ascii="Arial" w:cs="Arial" w:eastAsia="Arial" w:hAnsi="Arial"/>
          <w:sz w:val="22"/>
          <w:szCs w:val="22"/>
          <w:color w:val="auto"/>
        </w:rPr>
        <w:t>Your plan will not cover a disability due to war, declared or undeclared, or any act of war unless there is an express written approval by Unum.</w:t>
      </w:r>
    </w:p>
    <w:p>
      <w:pPr>
        <w:spacing w:after="0" w:line="29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Unum will not pay a benefit for any period of disability during which you are incarcerated.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IS A PRE-EXISTING CONDITION?</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You have a pre-existing condition if:</w:t>
      </w:r>
    </w:p>
    <w:p>
      <w:pPr>
        <w:spacing w:after="0" w:line="233" w:lineRule="exact"/>
        <w:rPr>
          <w:sz w:val="20"/>
          <w:szCs w:val="20"/>
          <w:color w:val="auto"/>
        </w:rPr>
      </w:pPr>
    </w:p>
    <w:p>
      <w:pPr>
        <w:ind w:left="520" w:right="20" w:hanging="187"/>
        <w:spacing w:after="0" w:line="243" w:lineRule="auto"/>
        <w:tabs>
          <w:tab w:leader="none" w:pos="52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you received medical treatment, consultation, care or services including diagnostic measures, or took prescribed drugs or medicines in the 3 months just prior to your effective date of coverage; and</w:t>
      </w:r>
    </w:p>
    <w:p>
      <w:pPr>
        <w:ind w:left="520" w:hanging="187"/>
        <w:spacing w:after="0"/>
        <w:tabs>
          <w:tab w:leader="none" w:pos="52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disability begins in the first 12 months after your effective date of coverage.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HAPPENS IF YOU RETURN TO WORK FULL TIME AND YOUR DISABILITY OCCURS AGAIN?</w:t>
      </w:r>
    </w:p>
    <w:p>
      <w:pPr>
        <w:sectPr>
          <w:pgSz w:w="11900" w:h="16838" w:orient="portrait"/>
          <w:cols w:equalWidth="0" w:num="1">
            <w:col w:w="11340"/>
          </w:cols>
          <w:pgMar w:left="320" w:top="390" w:right="239" w:bottom="1440" w:gutter="0" w:footer="0" w:header="0"/>
        </w:sectPr>
      </w:pPr>
    </w:p>
    <w:bookmarkStart w:id="196" w:name="page197"/>
    <w:bookmarkEnd w:id="196"/>
    <w:p>
      <w:pPr>
        <w:ind w:left="7"/>
        <w:spacing w:after="0" w:line="274" w:lineRule="auto"/>
        <w:rPr>
          <w:sz w:val="20"/>
          <w:szCs w:val="20"/>
          <w:color w:val="auto"/>
        </w:rPr>
      </w:pPr>
      <w:r>
        <w:rPr>
          <w:rFonts w:ascii="Arial" w:cs="Arial" w:eastAsia="Arial" w:hAnsi="Arial"/>
          <w:sz w:val="22"/>
          <w:szCs w:val="22"/>
          <w:color w:val="auto"/>
        </w:rPr>
        <w:t xml:space="preserve">If you have a </w:t>
      </w:r>
      <w:r>
        <w:rPr>
          <w:rFonts w:ascii="Arial" w:cs="Arial" w:eastAsia="Arial" w:hAnsi="Arial"/>
          <w:sz w:val="22"/>
          <w:szCs w:val="22"/>
          <w:b w:val="1"/>
          <w:bCs w:val="1"/>
          <w:color w:val="auto"/>
        </w:rPr>
        <w:t>recurrent disability</w:t>
      </w:r>
      <w:r>
        <w:rPr>
          <w:rFonts w:ascii="Arial" w:cs="Arial" w:eastAsia="Arial" w:hAnsi="Arial"/>
          <w:sz w:val="22"/>
          <w:szCs w:val="22"/>
          <w:color w:val="auto"/>
        </w:rPr>
        <w:t>, Unum will treat your disability as part of your prior claim and you will not have to complete another elimination period if:</w:t>
      </w:r>
    </w:p>
    <w:p>
      <w:pPr>
        <w:spacing w:after="0" w:line="218" w:lineRule="exact"/>
        <w:rPr>
          <w:sz w:val="20"/>
          <w:szCs w:val="20"/>
          <w:color w:val="auto"/>
        </w:rPr>
      </w:pPr>
    </w:p>
    <w:p>
      <w:pPr>
        <w:ind w:left="187" w:right="860" w:hanging="187"/>
        <w:spacing w:after="0" w:line="243" w:lineRule="auto"/>
        <w:tabs>
          <w:tab w:leader="none" w:pos="187" w:val="left"/>
        </w:tabs>
        <w:numPr>
          <w:ilvl w:val="0"/>
          <w:numId w:val="203"/>
        </w:numPr>
        <w:rPr>
          <w:rFonts w:ascii="Arial" w:cs="Arial" w:eastAsia="Arial" w:hAnsi="Arial"/>
          <w:sz w:val="22"/>
          <w:szCs w:val="22"/>
          <w:color w:val="auto"/>
        </w:rPr>
      </w:pPr>
      <w:r>
        <w:rPr>
          <w:rFonts w:ascii="Arial" w:cs="Arial" w:eastAsia="Arial" w:hAnsi="Arial"/>
          <w:sz w:val="22"/>
          <w:szCs w:val="22"/>
          <w:color w:val="auto"/>
        </w:rPr>
        <w:t>you were continuously insured under the plan for the period between your prior claim and your recurrent disability; and</w:t>
      </w:r>
    </w:p>
    <w:p>
      <w:pPr>
        <w:ind w:left="187" w:hanging="187"/>
        <w:spacing w:after="0"/>
        <w:tabs>
          <w:tab w:leader="none" w:pos="187" w:val="left"/>
        </w:tabs>
        <w:numPr>
          <w:ilvl w:val="0"/>
          <w:numId w:val="203"/>
        </w:numPr>
        <w:rPr>
          <w:rFonts w:ascii="Arial" w:cs="Arial" w:eastAsia="Arial" w:hAnsi="Arial"/>
          <w:sz w:val="22"/>
          <w:szCs w:val="22"/>
          <w:color w:val="auto"/>
        </w:rPr>
      </w:pPr>
      <w:r>
        <w:rPr>
          <w:rFonts w:ascii="Arial" w:cs="Arial" w:eastAsia="Arial" w:hAnsi="Arial"/>
          <w:sz w:val="22"/>
          <w:szCs w:val="22"/>
          <w:color w:val="auto"/>
        </w:rPr>
        <w:t>your recurrent disability occurs within 6 months of the end of your prior claim.</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22"/>
          <w:szCs w:val="22"/>
          <w:color w:val="auto"/>
        </w:rPr>
        <w:t>Your recurrent disability will be subject to the same terms of this plan as your prior claim.</w:t>
      </w:r>
    </w:p>
    <w:p>
      <w:pPr>
        <w:spacing w:after="0" w:line="260" w:lineRule="exact"/>
        <w:rPr>
          <w:sz w:val="20"/>
          <w:szCs w:val="20"/>
          <w:color w:val="auto"/>
        </w:rPr>
      </w:pPr>
    </w:p>
    <w:p>
      <w:pPr>
        <w:ind w:left="7" w:right="60"/>
        <w:spacing w:after="0" w:line="249" w:lineRule="auto"/>
        <w:rPr>
          <w:sz w:val="20"/>
          <w:szCs w:val="20"/>
          <w:color w:val="auto"/>
        </w:rPr>
      </w:pPr>
      <w:r>
        <w:rPr>
          <w:rFonts w:ascii="Arial" w:cs="Arial" w:eastAsia="Arial" w:hAnsi="Arial"/>
          <w:sz w:val="22"/>
          <w:szCs w:val="22"/>
          <w:color w:val="auto"/>
        </w:rPr>
        <w:t>Any disability which occurs after 6 months from the date your prior claim ended will be treated as a new claim. The new claim will be subject to all of the policy provisions.</w:t>
      </w:r>
    </w:p>
    <w:p>
      <w:pPr>
        <w:spacing w:after="0" w:line="245" w:lineRule="exact"/>
        <w:rPr>
          <w:sz w:val="20"/>
          <w:szCs w:val="20"/>
          <w:color w:val="auto"/>
        </w:rPr>
      </w:pPr>
    </w:p>
    <w:p>
      <w:pPr>
        <w:ind w:left="7" w:right="580"/>
        <w:spacing w:after="0" w:line="249" w:lineRule="auto"/>
        <w:rPr>
          <w:sz w:val="20"/>
          <w:szCs w:val="20"/>
          <w:color w:val="auto"/>
        </w:rPr>
      </w:pPr>
      <w:r>
        <w:rPr>
          <w:rFonts w:ascii="Arial" w:cs="Arial" w:eastAsia="Arial" w:hAnsi="Arial"/>
          <w:sz w:val="22"/>
          <w:szCs w:val="22"/>
          <w:color w:val="auto"/>
        </w:rPr>
        <w:t>If you become entitled to payments under any other group long term disability plan, you will not be eligible for payments under the Unum plan.</w:t>
      </w:r>
    </w:p>
    <w:p>
      <w:pPr>
        <w:sectPr>
          <w:pgSz w:w="11900" w:h="16838" w:orient="portrait"/>
          <w:cols w:equalWidth="0" w:num="1">
            <w:col w:w="10967"/>
          </w:cols>
          <w:pgMar w:left="653" w:top="364" w:right="279" w:bottom="1440" w:gutter="0" w:footer="0" w:header="0"/>
        </w:sectPr>
      </w:pPr>
    </w:p>
    <w:bookmarkStart w:id="197" w:name="page198"/>
    <w:bookmarkEnd w:id="197"/>
    <w:p>
      <w:pPr>
        <w:ind w:left="2720"/>
        <w:spacing w:after="0"/>
        <w:rPr>
          <w:sz w:val="20"/>
          <w:szCs w:val="20"/>
          <w:color w:val="auto"/>
        </w:rPr>
      </w:pPr>
      <w:r>
        <w:rPr>
          <w:rFonts w:ascii="Arial" w:cs="Arial" w:eastAsia="Arial" w:hAnsi="Arial"/>
          <w:sz w:val="25"/>
          <w:szCs w:val="25"/>
          <w:b w:val="1"/>
          <w:bCs w:val="1"/>
          <w:color w:val="auto"/>
        </w:rPr>
        <w:t>LONG TERM DISABILITY OTHER BENEFIT FEATURES</w:t>
      </w:r>
    </w:p>
    <w:p>
      <w:pPr>
        <w:spacing w:after="0" w:line="129" w:lineRule="exact"/>
        <w:rPr>
          <w:sz w:val="20"/>
          <w:szCs w:val="20"/>
          <w:color w:val="auto"/>
        </w:rPr>
      </w:pPr>
    </w:p>
    <w:p>
      <w:pPr>
        <w:ind w:right="3180"/>
        <w:spacing w:after="0" w:line="274" w:lineRule="auto"/>
        <w:rPr>
          <w:sz w:val="20"/>
          <w:szCs w:val="20"/>
          <w:color w:val="auto"/>
        </w:rPr>
      </w:pPr>
      <w:r>
        <w:rPr>
          <w:rFonts w:ascii="Arial" w:cs="Arial" w:eastAsia="Arial" w:hAnsi="Arial"/>
          <w:sz w:val="22"/>
          <w:szCs w:val="22"/>
          <w:b w:val="1"/>
          <w:bCs w:val="1"/>
          <w:i w:val="1"/>
          <w:iCs w:val="1"/>
          <w:color w:val="auto"/>
        </w:rPr>
        <w:t>WHAT BENEFITS WILL BE PROVIDED TO YOUR FAMILY IF YOU DIE? (Survivor Benefit)</w:t>
      </w:r>
    </w:p>
    <w:p>
      <w:pPr>
        <w:spacing w:after="0" w:line="165" w:lineRule="exact"/>
        <w:rPr>
          <w:sz w:val="20"/>
          <w:szCs w:val="20"/>
          <w:color w:val="auto"/>
        </w:rPr>
      </w:pPr>
    </w:p>
    <w:p>
      <w:pPr>
        <w:ind w:left="340" w:right="260"/>
        <w:spacing w:after="0" w:line="274" w:lineRule="auto"/>
        <w:rPr>
          <w:sz w:val="20"/>
          <w:szCs w:val="20"/>
          <w:color w:val="auto"/>
        </w:rPr>
      </w:pPr>
      <w:r>
        <w:rPr>
          <w:rFonts w:ascii="Arial" w:cs="Arial" w:eastAsia="Arial" w:hAnsi="Arial"/>
          <w:sz w:val="22"/>
          <w:szCs w:val="22"/>
          <w:color w:val="auto"/>
        </w:rPr>
        <w:t xml:space="preserve">When Unum receives proof that you have died, we will pay your </w:t>
      </w:r>
      <w:r>
        <w:rPr>
          <w:rFonts w:ascii="Arial" w:cs="Arial" w:eastAsia="Arial" w:hAnsi="Arial"/>
          <w:sz w:val="22"/>
          <w:szCs w:val="22"/>
          <w:b w:val="1"/>
          <w:bCs w:val="1"/>
          <w:color w:val="auto"/>
        </w:rPr>
        <w:t>eligible survivor</w:t>
      </w:r>
      <w:r>
        <w:rPr>
          <w:rFonts w:ascii="Arial" w:cs="Arial" w:eastAsia="Arial" w:hAnsi="Arial"/>
          <w:sz w:val="22"/>
          <w:szCs w:val="22"/>
          <w:color w:val="auto"/>
        </w:rPr>
        <w:t xml:space="preserve"> a lump sum benefit equal to 3 months of your gross disability payment if, on the date of your death:</w:t>
      </w:r>
    </w:p>
    <w:p>
      <w:pPr>
        <w:spacing w:after="0" w:line="151" w:lineRule="exact"/>
        <w:rPr>
          <w:sz w:val="20"/>
          <w:szCs w:val="20"/>
          <w:color w:val="auto"/>
        </w:rPr>
      </w:pPr>
    </w:p>
    <w:p>
      <w:pPr>
        <w:ind w:left="520" w:hanging="187"/>
        <w:spacing w:after="0"/>
        <w:tabs>
          <w:tab w:leader="none" w:pos="52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your disability had continued for 180 or more consecutive days; and</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you were receiving or were entitled to receive payments under the plan.</w:t>
      </w:r>
    </w:p>
    <w:p>
      <w:pPr>
        <w:spacing w:after="0" w:line="233" w:lineRule="exact"/>
        <w:rPr>
          <w:sz w:val="20"/>
          <w:szCs w:val="20"/>
          <w:color w:val="auto"/>
        </w:rPr>
      </w:pPr>
    </w:p>
    <w:p>
      <w:pPr>
        <w:ind w:left="340" w:right="740"/>
        <w:spacing w:after="0" w:line="249" w:lineRule="auto"/>
        <w:rPr>
          <w:sz w:val="20"/>
          <w:szCs w:val="20"/>
          <w:color w:val="auto"/>
        </w:rPr>
      </w:pPr>
      <w:r>
        <w:rPr>
          <w:rFonts w:ascii="Arial" w:cs="Arial" w:eastAsia="Arial" w:hAnsi="Arial"/>
          <w:sz w:val="22"/>
          <w:szCs w:val="22"/>
          <w:color w:val="auto"/>
        </w:rPr>
        <w:t>If you have no eligible survivors, payment will be made to your estate, unless there is none. In this case, no payment will be made.</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However, we will first apply the survivor benefit to any overpayment which may exist on your claim.</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IF YOU ARE NOT IN ACTIVE EMPLOYMENT WHEN YOUR EMPLOYER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INSURANCE CARRIERS TO UNUM? (Continuity of Coverage)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When the plan becomes effective, Unum will provide coverage for you if:</w:t>
      </w:r>
    </w:p>
    <w:p>
      <w:pPr>
        <w:spacing w:after="0" w:line="193" w:lineRule="exact"/>
        <w:rPr>
          <w:sz w:val="20"/>
          <w:szCs w:val="20"/>
          <w:color w:val="auto"/>
        </w:rPr>
      </w:pPr>
    </w:p>
    <w:p>
      <w:pPr>
        <w:ind w:left="520" w:hanging="187"/>
        <w:spacing w:after="0"/>
        <w:tabs>
          <w:tab w:leader="none" w:pos="52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you are not in active employment because of a sickness or injury; and</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you were covered by the prior policy.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Your coverage is subject to payment of premium.</w:t>
      </w:r>
    </w:p>
    <w:p>
      <w:pPr>
        <w:spacing w:after="0" w:line="233" w:lineRule="exact"/>
        <w:rPr>
          <w:sz w:val="20"/>
          <w:szCs w:val="20"/>
          <w:color w:val="auto"/>
        </w:rPr>
      </w:pPr>
    </w:p>
    <w:p>
      <w:pPr>
        <w:ind w:left="340" w:right="280"/>
        <w:spacing w:after="0" w:line="249" w:lineRule="auto"/>
        <w:rPr>
          <w:sz w:val="20"/>
          <w:szCs w:val="20"/>
          <w:color w:val="auto"/>
        </w:rPr>
      </w:pPr>
      <w:r>
        <w:rPr>
          <w:rFonts w:ascii="Arial" w:cs="Arial" w:eastAsia="Arial" w:hAnsi="Arial"/>
          <w:sz w:val="22"/>
          <w:szCs w:val="22"/>
          <w:color w:val="auto"/>
        </w:rPr>
        <w:t>Your payment will be limited to the amount that would have been paid by the prior carrier. Unum will reduce your payment by any amount for which your prior carrier is liable.</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WHAT IF YOU HAVE A DISABILITY DUE TO A PRE-EXISTING CONDITION WHEN YOUR EMPLOYER CHANGES</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INSURANCE CARRIERS TO UNUM? (Continuity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Coverage)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Unum may send a payment if your disability results from a pre-existing condition if, you were:</w:t>
      </w:r>
    </w:p>
    <w:p>
      <w:pPr>
        <w:spacing w:after="0" w:line="193" w:lineRule="exact"/>
        <w:rPr>
          <w:sz w:val="20"/>
          <w:szCs w:val="20"/>
          <w:color w:val="auto"/>
        </w:rPr>
      </w:pPr>
    </w:p>
    <w:p>
      <w:pPr>
        <w:ind w:left="520" w:hanging="187"/>
        <w:spacing w:after="0"/>
        <w:tabs>
          <w:tab w:leader="none" w:pos="52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in active employment and insured under the plan on its effective date; and</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insured by the prior policy at the time of change.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 order to receive a payment you must satisfy the pre-existing condition provision under:</w:t>
      </w:r>
    </w:p>
    <w:p>
      <w:pPr>
        <w:spacing w:after="0" w:line="193" w:lineRule="exact"/>
        <w:rPr>
          <w:sz w:val="20"/>
          <w:szCs w:val="20"/>
          <w:color w:val="auto"/>
        </w:rPr>
      </w:pPr>
    </w:p>
    <w:p>
      <w:pPr>
        <w:ind w:left="640" w:hanging="307"/>
        <w:spacing w:after="0"/>
        <w:tabs>
          <w:tab w:leader="none" w:pos="64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Unum plan; or</w:t>
      </w:r>
    </w:p>
    <w:p>
      <w:pPr>
        <w:spacing w:after="0" w:line="17" w:lineRule="exact"/>
        <w:rPr>
          <w:rFonts w:ascii="Arial" w:cs="Arial" w:eastAsia="Arial" w:hAnsi="Arial"/>
          <w:sz w:val="22"/>
          <w:szCs w:val="22"/>
          <w:color w:val="auto"/>
        </w:rPr>
      </w:pPr>
    </w:p>
    <w:p>
      <w:pPr>
        <w:ind w:left="640" w:hanging="307"/>
        <w:spacing w:after="0"/>
        <w:tabs>
          <w:tab w:leader="none" w:pos="64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prior carrier's plan, if benefits would have been paid had that policy remained in force.</w:t>
      </w:r>
    </w:p>
    <w:p>
      <w:pPr>
        <w:sectPr>
          <w:pgSz w:w="11900" w:h="16838" w:orient="portrait"/>
          <w:cols w:equalWidth="0" w:num="1">
            <w:col w:w="11300"/>
          </w:cols>
          <w:pgMar w:left="320" w:top="528" w:right="279" w:bottom="1440" w:gutter="0" w:footer="0" w:header="0"/>
        </w:sectPr>
      </w:pPr>
    </w:p>
    <w:bookmarkStart w:id="198" w:name="page199"/>
    <w:bookmarkEnd w:id="198"/>
    <w:p>
      <w:pPr>
        <w:ind w:left="20"/>
        <w:spacing w:after="0"/>
        <w:rPr>
          <w:sz w:val="20"/>
          <w:szCs w:val="20"/>
          <w:color w:val="auto"/>
        </w:rPr>
      </w:pPr>
      <w:r>
        <w:rPr>
          <w:rFonts w:ascii="Arial" w:cs="Arial" w:eastAsia="Arial" w:hAnsi="Arial"/>
          <w:sz w:val="22"/>
          <w:szCs w:val="22"/>
          <w:color w:val="auto"/>
        </w:rPr>
        <w:t>If you do not satisfy Item 1 or 2 above, Unum will not make any payments.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If you satisfy Item 1, we will determine your payments according to the Unum plan provisions.</w:t>
      </w:r>
    </w:p>
    <w:p>
      <w:pPr>
        <w:spacing w:after="0" w:line="260" w:lineRule="exact"/>
        <w:rPr>
          <w:sz w:val="20"/>
          <w:szCs w:val="20"/>
          <w:color w:val="auto"/>
        </w:rPr>
      </w:pPr>
    </w:p>
    <w:p>
      <w:pPr>
        <w:ind w:right="500"/>
        <w:spacing w:after="0" w:line="249" w:lineRule="auto"/>
        <w:rPr>
          <w:sz w:val="20"/>
          <w:szCs w:val="20"/>
          <w:color w:val="auto"/>
        </w:rPr>
      </w:pPr>
      <w:r>
        <w:rPr>
          <w:rFonts w:ascii="Arial" w:cs="Arial" w:eastAsia="Arial" w:hAnsi="Arial"/>
          <w:sz w:val="22"/>
          <w:szCs w:val="22"/>
          <w:color w:val="auto"/>
        </w:rPr>
        <w:t>If you only satisfy Item 2, we will administer your claim according to the Unum plan provisions. However, your payment will be the lesser of:</w:t>
      </w:r>
    </w:p>
    <w:p>
      <w:pPr>
        <w:spacing w:after="0" w:line="245" w:lineRule="exact"/>
        <w:rPr>
          <w:sz w:val="20"/>
          <w:szCs w:val="20"/>
          <w:color w:val="auto"/>
        </w:rPr>
      </w:pPr>
    </w:p>
    <w:p>
      <w:pPr>
        <w:ind w:left="280" w:hanging="280"/>
        <w:spacing w:after="0"/>
        <w:tabs>
          <w:tab w:leader="none" w:pos="280" w:val="left"/>
        </w:tabs>
        <w:numPr>
          <w:ilvl w:val="0"/>
          <w:numId w:val="208"/>
        </w:numPr>
        <w:rPr>
          <w:rFonts w:ascii="Arial" w:cs="Arial" w:eastAsia="Arial" w:hAnsi="Arial"/>
          <w:sz w:val="21"/>
          <w:szCs w:val="21"/>
          <w:color w:val="auto"/>
        </w:rPr>
      </w:pPr>
      <w:r>
        <w:rPr>
          <w:rFonts w:ascii="Arial" w:cs="Arial" w:eastAsia="Arial" w:hAnsi="Arial"/>
          <w:sz w:val="21"/>
          <w:szCs w:val="21"/>
          <w:color w:val="auto"/>
        </w:rPr>
        <w:t>the monthly benefit that would have been payable under the terms of the prior plan if it had remained inforce; or</w:t>
      </w:r>
    </w:p>
    <w:p>
      <w:pPr>
        <w:spacing w:after="0" w:line="15" w:lineRule="exact"/>
        <w:rPr>
          <w:rFonts w:ascii="Arial" w:cs="Arial" w:eastAsia="Arial" w:hAnsi="Arial"/>
          <w:sz w:val="21"/>
          <w:szCs w:val="21"/>
          <w:color w:val="auto"/>
        </w:rPr>
      </w:pPr>
    </w:p>
    <w:p>
      <w:pPr>
        <w:ind w:left="280" w:hanging="280"/>
        <w:spacing w:after="0"/>
        <w:tabs>
          <w:tab w:leader="none" w:pos="28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monthly payment under the Unum plan.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Your benefits will end on the earlier of the following dates:</w:t>
      </w:r>
    </w:p>
    <w:p>
      <w:pPr>
        <w:spacing w:after="0" w:line="193" w:lineRule="exact"/>
        <w:rPr>
          <w:sz w:val="20"/>
          <w:szCs w:val="20"/>
          <w:color w:val="auto"/>
        </w:rPr>
      </w:pPr>
    </w:p>
    <w:p>
      <w:pPr>
        <w:ind w:left="280" w:hanging="280"/>
        <w:spacing w:after="0"/>
        <w:tabs>
          <w:tab w:leader="none" w:pos="2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end of the maximum benefit period under the plan; or</w:t>
      </w:r>
    </w:p>
    <w:p>
      <w:pPr>
        <w:spacing w:after="0" w:line="17" w:lineRule="exact"/>
        <w:rPr>
          <w:rFonts w:ascii="Arial" w:cs="Arial" w:eastAsia="Arial" w:hAnsi="Arial"/>
          <w:sz w:val="22"/>
          <w:szCs w:val="22"/>
          <w:color w:val="auto"/>
        </w:rPr>
      </w:pPr>
    </w:p>
    <w:p>
      <w:pPr>
        <w:ind w:left="280" w:hanging="280"/>
        <w:spacing w:after="0"/>
        <w:tabs>
          <w:tab w:leader="none" w:pos="2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date benefits would have ended under the prior plan if it had remained in force.</w:t>
      </w:r>
    </w:p>
    <w:p>
      <w:pPr>
        <w:sectPr>
          <w:pgSz w:w="11900" w:h="16838" w:orient="portrait"/>
          <w:cols w:equalWidth="0" w:num="1">
            <w:col w:w="10920"/>
          </w:cols>
          <w:pgMar w:left="640" w:top="565" w:right="339" w:bottom="1440" w:gutter="0" w:footer="0" w:header="0"/>
        </w:sectPr>
      </w:pPr>
    </w:p>
    <w:bookmarkStart w:id="199" w:name="page200"/>
    <w:bookmarkEnd w:id="199"/>
    <w:p>
      <w:pPr>
        <w:jc w:val="center"/>
        <w:ind w:right="60"/>
        <w:spacing w:after="0"/>
        <w:rPr>
          <w:sz w:val="20"/>
          <w:szCs w:val="20"/>
          <w:color w:val="auto"/>
        </w:rPr>
      </w:pPr>
      <w:r>
        <w:rPr>
          <w:rFonts w:ascii="Arial" w:cs="Arial" w:eastAsia="Arial" w:hAnsi="Arial"/>
          <w:sz w:val="25"/>
          <w:szCs w:val="25"/>
          <w:b w:val="1"/>
          <w:bCs w:val="1"/>
          <w:color w:val="auto"/>
        </w:rPr>
        <w:t>OTHER SERVICES</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These services are also available from us as part of your Unum Long Term Disability plan.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CAN UNUM HELP YOUR EMPLOYER IDENTIFY AND PROVIDE WORKSITE MODIFICATION?</w:t>
      </w:r>
    </w:p>
    <w:p>
      <w:pPr>
        <w:spacing w:after="0" w:line="286" w:lineRule="exact"/>
        <w:rPr>
          <w:sz w:val="20"/>
          <w:szCs w:val="20"/>
          <w:color w:val="auto"/>
        </w:rPr>
      </w:pPr>
    </w:p>
    <w:p>
      <w:pPr>
        <w:ind w:left="340" w:right="80"/>
        <w:spacing w:after="0" w:line="245" w:lineRule="auto"/>
        <w:rPr>
          <w:sz w:val="20"/>
          <w:szCs w:val="20"/>
          <w:color w:val="auto"/>
        </w:rPr>
      </w:pPr>
      <w:r>
        <w:rPr>
          <w:rFonts w:ascii="Arial" w:cs="Arial" w:eastAsia="Arial" w:hAnsi="Arial"/>
          <w:sz w:val="22"/>
          <w:szCs w:val="22"/>
          <w:color w:val="auto"/>
        </w:rPr>
        <w:t>A worksite modification might be what is needed to allow you to perform the material and substantial duties of your regular occupation with your Employer. One of our designated professionals will assist you and your Employer to identify a modification we agree is likely to help you remain at work or return to work. This agreement will be in writing and must be signed by you, your Employer and Unum.</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When this occurs, Unum will reimburse your Employer for the cost of the modification, up to the greater of:</w:t>
      </w:r>
    </w:p>
    <w:p>
      <w:pPr>
        <w:spacing w:after="0" w:line="193" w:lineRule="exact"/>
        <w:rPr>
          <w:sz w:val="20"/>
          <w:szCs w:val="20"/>
          <w:color w:val="auto"/>
        </w:rPr>
      </w:pPr>
    </w:p>
    <w:p>
      <w:pPr>
        <w:ind w:left="460" w:hanging="127"/>
        <w:spacing w:after="0"/>
        <w:tabs>
          <w:tab w:leader="none" w:pos="46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$1,000; or</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the equivalent of 2 months of your monthly benefit.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This benefit is available to you on a one time only basis.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CAN UNUM'S REHABILITATION SERVICE HELP YOU RETURN TO WORK?</w:t>
      </w:r>
    </w:p>
    <w:p>
      <w:pPr>
        <w:spacing w:after="0" w:line="259" w:lineRule="exact"/>
        <w:rPr>
          <w:sz w:val="20"/>
          <w:szCs w:val="20"/>
          <w:color w:val="auto"/>
        </w:rPr>
      </w:pPr>
    </w:p>
    <w:p>
      <w:pPr>
        <w:ind w:left="340"/>
        <w:spacing w:after="0" w:line="249" w:lineRule="auto"/>
        <w:rPr>
          <w:sz w:val="20"/>
          <w:szCs w:val="20"/>
          <w:color w:val="auto"/>
        </w:rPr>
      </w:pPr>
      <w:r>
        <w:rPr>
          <w:rFonts w:ascii="Arial" w:cs="Arial" w:eastAsia="Arial" w:hAnsi="Arial"/>
          <w:sz w:val="22"/>
          <w:szCs w:val="22"/>
          <w:color w:val="auto"/>
        </w:rPr>
        <w:t>Unum has a vocational rehabilitation program available to assist you to return to work. This program is offered as a service, and is voluntary on your part and on Unum's part.</w:t>
      </w:r>
    </w:p>
    <w:p>
      <w:pPr>
        <w:spacing w:after="0" w:line="245" w:lineRule="exact"/>
        <w:rPr>
          <w:sz w:val="20"/>
          <w:szCs w:val="20"/>
          <w:color w:val="auto"/>
        </w:rPr>
      </w:pPr>
    </w:p>
    <w:p>
      <w:pPr>
        <w:ind w:left="340" w:right="40"/>
        <w:spacing w:after="0" w:line="245" w:lineRule="auto"/>
        <w:rPr>
          <w:sz w:val="20"/>
          <w:szCs w:val="20"/>
          <w:color w:val="auto"/>
        </w:rPr>
      </w:pPr>
      <w:r>
        <w:rPr>
          <w:rFonts w:ascii="Arial" w:cs="Arial" w:eastAsia="Arial" w:hAnsi="Arial"/>
          <w:sz w:val="22"/>
          <w:szCs w:val="22"/>
          <w:color w:val="auto"/>
        </w:rPr>
        <w:t>In addition to referrals made to the rehabilitation program by our claims paying personnel, you may request to have your claim file reviewed by one of Unum's rehabilitation professionals. As your file is reviewed, medical and vocational information will be analyzed to determine if rehabilitation services might help you return to gainful employment.</w:t>
      </w:r>
    </w:p>
    <w:p>
      <w:pPr>
        <w:spacing w:after="0" w:line="250" w:lineRule="exact"/>
        <w:rPr>
          <w:sz w:val="20"/>
          <w:szCs w:val="20"/>
          <w:color w:val="auto"/>
        </w:rPr>
      </w:pPr>
    </w:p>
    <w:p>
      <w:pPr>
        <w:ind w:left="340" w:right="460"/>
        <w:spacing w:after="0" w:line="249" w:lineRule="auto"/>
        <w:rPr>
          <w:sz w:val="20"/>
          <w:szCs w:val="20"/>
          <w:color w:val="auto"/>
        </w:rPr>
      </w:pPr>
      <w:r>
        <w:rPr>
          <w:rFonts w:ascii="Arial" w:cs="Arial" w:eastAsia="Arial" w:hAnsi="Arial"/>
          <w:sz w:val="22"/>
          <w:szCs w:val="22"/>
          <w:color w:val="auto"/>
        </w:rPr>
        <w:t>Once the initial review is completed, Unum may elect to offer you a return-to-work program. The return-to-work program may include, but is not limited to, the following services:</w:t>
      </w:r>
    </w:p>
    <w:p>
      <w:pPr>
        <w:spacing w:after="0" w:line="177" w:lineRule="exact"/>
        <w:rPr>
          <w:sz w:val="20"/>
          <w:szCs w:val="20"/>
          <w:color w:val="auto"/>
        </w:rPr>
      </w:pPr>
    </w:p>
    <w:p>
      <w:pPr>
        <w:ind w:left="520" w:hanging="187"/>
        <w:spacing w:after="0"/>
        <w:tabs>
          <w:tab w:leader="none" w:pos="52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coordination with your Employer to assist you to return to work;</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evaluation of adaptive equipment to allow you to return to work;</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vocational evaluation to determine how your disability may impact your employment options;</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job placement services;</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resume preparation;</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job seeking skills training; or</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retraining for a new occupation.</w:t>
      </w:r>
    </w:p>
    <w:p>
      <w:pPr>
        <w:spacing w:after="0" w:line="207" w:lineRule="exact"/>
        <w:rPr>
          <w:sz w:val="20"/>
          <w:szCs w:val="20"/>
          <w:color w:val="auto"/>
        </w:rPr>
      </w:pPr>
    </w:p>
    <w:p>
      <w:pPr>
        <w:ind w:right="440"/>
        <w:spacing w:after="0" w:line="274" w:lineRule="auto"/>
        <w:rPr>
          <w:sz w:val="20"/>
          <w:szCs w:val="20"/>
          <w:color w:val="auto"/>
        </w:rPr>
      </w:pPr>
      <w:r>
        <w:rPr>
          <w:rFonts w:ascii="Arial" w:cs="Arial" w:eastAsia="Arial" w:hAnsi="Arial"/>
          <w:sz w:val="22"/>
          <w:szCs w:val="22"/>
          <w:b w:val="1"/>
          <w:bCs w:val="1"/>
          <w:i w:val="1"/>
          <w:iCs w:val="1"/>
          <w:color w:val="auto"/>
        </w:rPr>
        <w:t>HOW CAN UNUM'S SOCIAL SECURITY CLAIMANT ADVOCACY PROGRAM ASSIST YOU WITH OBTAINING SOCIAL SECURITY DISABILITY BENEFITS?</w:t>
      </w:r>
    </w:p>
    <w:p>
      <w:pPr>
        <w:sectPr>
          <w:pgSz w:w="11900" w:h="16838" w:orient="portrait"/>
          <w:cols w:equalWidth="0" w:num="1">
            <w:col w:w="11340"/>
          </w:cols>
          <w:pgMar w:left="320" w:top="406" w:right="239" w:bottom="1440" w:gutter="0" w:footer="0" w:header="0"/>
        </w:sectPr>
      </w:pPr>
    </w:p>
    <w:bookmarkStart w:id="200" w:name="page201"/>
    <w:bookmarkEnd w:id="200"/>
    <w:p>
      <w:pPr>
        <w:ind w:left="20"/>
        <w:spacing w:after="0" w:line="246" w:lineRule="auto"/>
        <w:rPr>
          <w:sz w:val="20"/>
          <w:szCs w:val="20"/>
          <w:color w:val="auto"/>
        </w:rPr>
      </w:pPr>
      <w:r>
        <w:rPr>
          <w:rFonts w:ascii="Arial" w:cs="Arial" w:eastAsia="Arial" w:hAnsi="Arial"/>
          <w:sz w:val="22"/>
          <w:szCs w:val="22"/>
          <w:color w:val="auto"/>
        </w:rPr>
        <w:t>In order to be eligible for assistance from Unum's Social Security claimant advocacy program, you must be receiving monthly payments from us. Unum can provide expert advice regarding your claim and assist you with your application or appeal.</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Receiving Social Security benefits may enable:</w:t>
      </w:r>
    </w:p>
    <w:p>
      <w:pPr>
        <w:spacing w:after="0" w:line="193" w:lineRule="exact"/>
        <w:rPr>
          <w:sz w:val="20"/>
          <w:szCs w:val="20"/>
          <w:color w:val="auto"/>
        </w:rPr>
      </w:pPr>
    </w:p>
    <w:p>
      <w:pPr>
        <w:ind w:left="180" w:hanging="180"/>
        <w:spacing w:after="0"/>
        <w:tabs>
          <w:tab w:leader="none" w:pos="18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you to receive Medicare after 24 months of disability payments;</w:t>
      </w:r>
    </w:p>
    <w:p>
      <w:pPr>
        <w:spacing w:after="0" w:line="17" w:lineRule="exact"/>
        <w:rPr>
          <w:rFonts w:ascii="Arial" w:cs="Arial" w:eastAsia="Arial" w:hAnsi="Arial"/>
          <w:sz w:val="22"/>
          <w:szCs w:val="22"/>
          <w:color w:val="auto"/>
        </w:rPr>
      </w:pPr>
    </w:p>
    <w:p>
      <w:pPr>
        <w:ind w:left="180" w:hanging="180"/>
        <w:spacing w:after="0"/>
        <w:tabs>
          <w:tab w:leader="none" w:pos="18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you to protect your retirement benefits; and</w:t>
      </w:r>
    </w:p>
    <w:p>
      <w:pPr>
        <w:spacing w:after="0" w:line="3" w:lineRule="exact"/>
        <w:rPr>
          <w:rFonts w:ascii="Arial" w:cs="Arial" w:eastAsia="Arial" w:hAnsi="Arial"/>
          <w:sz w:val="22"/>
          <w:szCs w:val="22"/>
          <w:color w:val="auto"/>
        </w:rPr>
      </w:pPr>
    </w:p>
    <w:p>
      <w:pPr>
        <w:ind w:left="180" w:hanging="180"/>
        <w:spacing w:after="0"/>
        <w:tabs>
          <w:tab w:leader="none" w:pos="18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your family to be eligible for Social Security benefits.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We can assist you in obtaining Social Security disability benefits by:</w:t>
      </w:r>
    </w:p>
    <w:p>
      <w:pPr>
        <w:spacing w:after="0" w:line="193" w:lineRule="exact"/>
        <w:rPr>
          <w:sz w:val="20"/>
          <w:szCs w:val="20"/>
          <w:color w:val="auto"/>
        </w:rPr>
      </w:pPr>
    </w:p>
    <w:p>
      <w:pPr>
        <w:ind w:left="180" w:hanging="180"/>
        <w:spacing w:after="0"/>
        <w:tabs>
          <w:tab w:leader="none" w:pos="18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helping you find appropriate legal representation;</w:t>
      </w:r>
    </w:p>
    <w:p>
      <w:pPr>
        <w:spacing w:after="0" w:line="17" w:lineRule="exact"/>
        <w:rPr>
          <w:rFonts w:ascii="Arial" w:cs="Arial" w:eastAsia="Arial" w:hAnsi="Arial"/>
          <w:sz w:val="22"/>
          <w:szCs w:val="22"/>
          <w:color w:val="auto"/>
        </w:rPr>
      </w:pPr>
    </w:p>
    <w:p>
      <w:pPr>
        <w:ind w:left="180" w:hanging="180"/>
        <w:spacing w:after="0"/>
        <w:tabs>
          <w:tab w:leader="none" w:pos="18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obtaining medical and vocational evidence; and</w:t>
      </w:r>
    </w:p>
    <w:p>
      <w:pPr>
        <w:spacing w:after="0" w:line="3" w:lineRule="exact"/>
        <w:rPr>
          <w:rFonts w:ascii="Arial" w:cs="Arial" w:eastAsia="Arial" w:hAnsi="Arial"/>
          <w:sz w:val="22"/>
          <w:szCs w:val="22"/>
          <w:color w:val="auto"/>
        </w:rPr>
      </w:pPr>
    </w:p>
    <w:p>
      <w:pPr>
        <w:ind w:left="180" w:hanging="180"/>
        <w:spacing w:after="0"/>
        <w:tabs>
          <w:tab w:leader="none" w:pos="18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reimbursing pre-approved case management expenses.</w:t>
      </w:r>
    </w:p>
    <w:p>
      <w:pPr>
        <w:sectPr>
          <w:pgSz w:w="11900" w:h="16838" w:orient="portrait"/>
          <w:cols w:equalWidth="0" w:num="1">
            <w:col w:w="10600"/>
          </w:cols>
          <w:pgMar w:left="640" w:top="619" w:right="659" w:bottom="1440" w:gutter="0" w:footer="0" w:header="0"/>
        </w:sectPr>
      </w:pPr>
    </w:p>
    <w:bookmarkStart w:id="201" w:name="page202"/>
    <w:bookmarkEnd w:id="201"/>
    <w:p>
      <w:pPr>
        <w:jc w:val="center"/>
        <w:ind w:right="80"/>
        <w:spacing w:after="0"/>
        <w:rPr>
          <w:sz w:val="20"/>
          <w:szCs w:val="20"/>
          <w:color w:val="auto"/>
        </w:rPr>
      </w:pPr>
      <w:r>
        <w:rPr>
          <w:rFonts w:ascii="Arial" w:cs="Arial" w:eastAsia="Arial" w:hAnsi="Arial"/>
          <w:sz w:val="25"/>
          <w:szCs w:val="25"/>
          <w:b w:val="1"/>
          <w:bCs w:val="1"/>
          <w:color w:val="auto"/>
        </w:rPr>
        <w:t>GLOSSARY</w:t>
      </w:r>
    </w:p>
    <w:p>
      <w:pPr>
        <w:spacing w:after="0" w:line="332" w:lineRule="exact"/>
        <w:rPr>
          <w:sz w:val="20"/>
          <w:szCs w:val="20"/>
          <w:color w:val="auto"/>
        </w:rPr>
      </w:pPr>
    </w:p>
    <w:p>
      <w:pPr>
        <w:ind w:right="300"/>
        <w:spacing w:after="0" w:line="258" w:lineRule="auto"/>
        <w:rPr>
          <w:sz w:val="20"/>
          <w:szCs w:val="20"/>
          <w:color w:val="auto"/>
        </w:rPr>
      </w:pPr>
      <w:r>
        <w:rPr>
          <w:rFonts w:ascii="Arial" w:cs="Arial" w:eastAsia="Arial" w:hAnsi="Arial"/>
          <w:sz w:val="22"/>
          <w:szCs w:val="22"/>
          <w:b w:val="1"/>
          <w:bCs w:val="1"/>
          <w:color w:val="auto"/>
        </w:rPr>
        <w:t xml:space="preserve">ACTIVE EMPLOYMENT </w:t>
      </w:r>
      <w:r>
        <w:rPr>
          <w:rFonts w:ascii="Arial" w:cs="Arial" w:eastAsia="Arial" w:hAnsi="Arial"/>
          <w:sz w:val="22"/>
          <w:szCs w:val="22"/>
          <w:color w:val="auto"/>
        </w:rPr>
        <w:t>means you are working for your Employer for earnings that are paid regularly and that you</w:t>
      </w:r>
      <w:r>
        <w:rPr>
          <w:rFonts w:ascii="Arial" w:cs="Arial" w:eastAsia="Arial" w:hAnsi="Arial"/>
          <w:sz w:val="22"/>
          <w:szCs w:val="22"/>
          <w:b w:val="1"/>
          <w:bCs w:val="1"/>
          <w:color w:val="auto"/>
        </w:rPr>
        <w:t xml:space="preserve"> </w:t>
      </w:r>
      <w:r>
        <w:rPr>
          <w:rFonts w:ascii="Arial" w:cs="Arial" w:eastAsia="Arial" w:hAnsi="Arial"/>
          <w:sz w:val="22"/>
          <w:szCs w:val="22"/>
          <w:color w:val="auto"/>
        </w:rPr>
        <w:t>are performing the material and substantial duties of your regular occupation. You must be working at least the minimum number of hours as described under Eligible Group(s) in each plan.</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Your work site must be:</w:t>
      </w:r>
    </w:p>
    <w:p>
      <w:pPr>
        <w:spacing w:after="0" w:line="193" w:lineRule="exact"/>
        <w:rPr>
          <w:sz w:val="20"/>
          <w:szCs w:val="20"/>
          <w:color w:val="auto"/>
        </w:rPr>
      </w:pPr>
    </w:p>
    <w:p>
      <w:pPr>
        <w:ind w:left="580" w:hanging="571"/>
        <w:spacing w:after="0"/>
        <w:tabs>
          <w:tab w:leader="none" w:pos="58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your Employer's usual place of business;</w:t>
      </w:r>
    </w:p>
    <w:p>
      <w:pPr>
        <w:spacing w:after="0" w:line="17" w:lineRule="exact"/>
        <w:rPr>
          <w:rFonts w:ascii="Arial" w:cs="Arial" w:eastAsia="Arial" w:hAnsi="Arial"/>
          <w:sz w:val="22"/>
          <w:szCs w:val="22"/>
          <w:color w:val="auto"/>
        </w:rPr>
      </w:pPr>
    </w:p>
    <w:p>
      <w:pPr>
        <w:ind w:left="580" w:hanging="571"/>
        <w:spacing w:after="0"/>
        <w:tabs>
          <w:tab w:leader="none" w:pos="58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an alternative work site at the direction of your Employer, including your home; or</w:t>
      </w:r>
    </w:p>
    <w:p>
      <w:pPr>
        <w:spacing w:after="0" w:line="3" w:lineRule="exact"/>
        <w:rPr>
          <w:rFonts w:ascii="Arial" w:cs="Arial" w:eastAsia="Arial" w:hAnsi="Arial"/>
          <w:sz w:val="22"/>
          <w:szCs w:val="22"/>
          <w:color w:val="auto"/>
        </w:rPr>
      </w:pPr>
    </w:p>
    <w:p>
      <w:pPr>
        <w:ind w:left="580" w:hanging="571"/>
        <w:spacing w:after="0"/>
        <w:tabs>
          <w:tab w:leader="none" w:pos="58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 location to which your job requires you to travel.</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Normal vacation is considered active employment.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Temporary and seasonal workers are excluded from coverage.</w:t>
      </w:r>
    </w:p>
    <w:p>
      <w:pPr>
        <w:spacing w:after="0" w:line="207" w:lineRule="exact"/>
        <w:rPr>
          <w:sz w:val="20"/>
          <w:szCs w:val="20"/>
          <w:color w:val="auto"/>
        </w:rPr>
      </w:pPr>
    </w:p>
    <w:p>
      <w:pPr>
        <w:ind w:right="60"/>
        <w:spacing w:after="0" w:line="274" w:lineRule="auto"/>
        <w:rPr>
          <w:sz w:val="20"/>
          <w:szCs w:val="20"/>
          <w:color w:val="auto"/>
        </w:rPr>
      </w:pPr>
      <w:r>
        <w:rPr>
          <w:rFonts w:ascii="Arial" w:cs="Arial" w:eastAsia="Arial" w:hAnsi="Arial"/>
          <w:sz w:val="22"/>
          <w:szCs w:val="22"/>
          <w:b w:val="1"/>
          <w:bCs w:val="1"/>
          <w:color w:val="auto"/>
        </w:rPr>
        <w:t xml:space="preserve">DEDUCTIBLE SOURCES OF INCOME </w:t>
      </w:r>
      <w:r>
        <w:rPr>
          <w:rFonts w:ascii="Arial" w:cs="Arial" w:eastAsia="Arial" w:hAnsi="Arial"/>
          <w:sz w:val="22"/>
          <w:szCs w:val="22"/>
          <w:color w:val="auto"/>
        </w:rPr>
        <w:t>means income from deductible sources listed in the plan which you receive or</w:t>
      </w:r>
      <w:r>
        <w:rPr>
          <w:rFonts w:ascii="Arial" w:cs="Arial" w:eastAsia="Arial" w:hAnsi="Arial"/>
          <w:sz w:val="22"/>
          <w:szCs w:val="22"/>
          <w:b w:val="1"/>
          <w:bCs w:val="1"/>
          <w:color w:val="auto"/>
        </w:rPr>
        <w:t xml:space="preserve"> </w:t>
      </w:r>
      <w:r>
        <w:rPr>
          <w:rFonts w:ascii="Arial" w:cs="Arial" w:eastAsia="Arial" w:hAnsi="Arial"/>
          <w:sz w:val="22"/>
          <w:szCs w:val="22"/>
          <w:color w:val="auto"/>
        </w:rPr>
        <w:t>are entitled to receive while you are disabled. This income will be subtracted from your gross disability payment.</w:t>
      </w:r>
    </w:p>
    <w:p>
      <w:pPr>
        <w:spacing w:after="0" w:line="192" w:lineRule="exact"/>
        <w:rPr>
          <w:sz w:val="20"/>
          <w:szCs w:val="20"/>
          <w:color w:val="auto"/>
        </w:rPr>
      </w:pPr>
    </w:p>
    <w:p>
      <w:pPr>
        <w:spacing w:after="0" w:line="274" w:lineRule="auto"/>
        <w:rPr>
          <w:sz w:val="20"/>
          <w:szCs w:val="20"/>
          <w:color w:val="auto"/>
        </w:rPr>
      </w:pPr>
      <w:r>
        <w:rPr>
          <w:rFonts w:ascii="Arial" w:cs="Arial" w:eastAsia="Arial" w:hAnsi="Arial"/>
          <w:sz w:val="22"/>
          <w:szCs w:val="22"/>
          <w:b w:val="1"/>
          <w:bCs w:val="1"/>
          <w:color w:val="auto"/>
        </w:rPr>
        <w:t xml:space="preserve">DISABILITY EARNINGS </w:t>
      </w:r>
      <w:r>
        <w:rPr>
          <w:rFonts w:ascii="Arial" w:cs="Arial" w:eastAsia="Arial" w:hAnsi="Arial"/>
          <w:sz w:val="22"/>
          <w:szCs w:val="22"/>
          <w:color w:val="auto"/>
        </w:rPr>
        <w:t>means the earnings which you receive while you are disabled and working, plus the earnings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you could receive if you were working to your </w:t>
      </w:r>
      <w:r>
        <w:rPr>
          <w:rFonts w:ascii="Arial" w:cs="Arial" w:eastAsia="Arial" w:hAnsi="Arial"/>
          <w:sz w:val="22"/>
          <w:szCs w:val="22"/>
          <w:b w:val="1"/>
          <w:bCs w:val="1"/>
          <w:color w:val="auto"/>
        </w:rPr>
        <w:t>maximum capacity</w:t>
      </w:r>
      <w:r>
        <w:rPr>
          <w:rFonts w:ascii="Arial" w:cs="Arial" w:eastAsia="Arial" w:hAnsi="Arial"/>
          <w:sz w:val="22"/>
          <w:szCs w:val="22"/>
          <w:color w:val="auto"/>
        </w:rPr>
        <w:t>.</w:t>
      </w:r>
    </w:p>
    <w:p>
      <w:pPr>
        <w:spacing w:after="0" w:line="192" w:lineRule="exact"/>
        <w:rPr>
          <w:sz w:val="20"/>
          <w:szCs w:val="20"/>
          <w:color w:val="auto"/>
        </w:rPr>
      </w:pPr>
    </w:p>
    <w:p>
      <w:pPr>
        <w:ind w:right="560"/>
        <w:spacing w:after="0" w:line="274" w:lineRule="auto"/>
        <w:rPr>
          <w:sz w:val="20"/>
          <w:szCs w:val="20"/>
          <w:color w:val="auto"/>
        </w:rPr>
      </w:pPr>
      <w:r>
        <w:rPr>
          <w:rFonts w:ascii="Arial" w:cs="Arial" w:eastAsia="Arial" w:hAnsi="Arial"/>
          <w:sz w:val="22"/>
          <w:szCs w:val="22"/>
          <w:b w:val="1"/>
          <w:bCs w:val="1"/>
          <w:color w:val="auto"/>
        </w:rPr>
        <w:t xml:space="preserve">ELIMINATION PERIOD </w:t>
      </w:r>
      <w:r>
        <w:rPr>
          <w:rFonts w:ascii="Arial" w:cs="Arial" w:eastAsia="Arial" w:hAnsi="Arial"/>
          <w:sz w:val="22"/>
          <w:szCs w:val="22"/>
          <w:color w:val="auto"/>
        </w:rPr>
        <w:t>means a period of continuous disability which must be satisfied before you are eligible to</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benefits from Unum.</w:t>
      </w:r>
    </w:p>
    <w:p>
      <w:pPr>
        <w:spacing w:after="0" w:line="192" w:lineRule="exact"/>
        <w:rPr>
          <w:sz w:val="20"/>
          <w:szCs w:val="20"/>
          <w:color w:val="auto"/>
        </w:rPr>
      </w:pPr>
    </w:p>
    <w:p>
      <w:pPr>
        <w:ind w:right="20"/>
        <w:spacing w:after="0" w:line="274" w:lineRule="auto"/>
        <w:rPr>
          <w:sz w:val="20"/>
          <w:szCs w:val="20"/>
          <w:color w:val="auto"/>
        </w:rPr>
      </w:pPr>
      <w:r>
        <w:rPr>
          <w:rFonts w:ascii="Arial" w:cs="Arial" w:eastAsia="Arial" w:hAnsi="Arial"/>
          <w:sz w:val="22"/>
          <w:szCs w:val="22"/>
          <w:b w:val="1"/>
          <w:bCs w:val="1"/>
          <w:color w:val="auto"/>
        </w:rPr>
        <w:t xml:space="preserve">EMPLOYEE </w:t>
      </w:r>
      <w:r>
        <w:rPr>
          <w:rFonts w:ascii="Arial" w:cs="Arial" w:eastAsia="Arial" w:hAnsi="Arial"/>
          <w:sz w:val="22"/>
          <w:szCs w:val="22"/>
          <w:color w:val="auto"/>
        </w:rPr>
        <w:t>means a citizen or permanent resident of the United States or Canada who is in active employment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United States with the Employer unless an exception is applied for and approved in writing by Unum.</w:t>
      </w:r>
    </w:p>
    <w:p>
      <w:pPr>
        <w:spacing w:after="0" w:line="192" w:lineRule="exact"/>
        <w:rPr>
          <w:sz w:val="20"/>
          <w:szCs w:val="20"/>
          <w:color w:val="auto"/>
        </w:rPr>
      </w:pPr>
    </w:p>
    <w:p>
      <w:pPr>
        <w:ind w:right="280"/>
        <w:spacing w:after="0" w:line="274" w:lineRule="auto"/>
        <w:rPr>
          <w:sz w:val="20"/>
          <w:szCs w:val="20"/>
          <w:color w:val="auto"/>
        </w:rPr>
      </w:pPr>
      <w:r>
        <w:rPr>
          <w:rFonts w:ascii="Arial" w:cs="Arial" w:eastAsia="Arial" w:hAnsi="Arial"/>
          <w:sz w:val="22"/>
          <w:szCs w:val="22"/>
          <w:b w:val="1"/>
          <w:bCs w:val="1"/>
          <w:color w:val="auto"/>
        </w:rPr>
        <w:t xml:space="preserve">EMPLOYER </w:t>
      </w:r>
      <w:r>
        <w:rPr>
          <w:rFonts w:ascii="Arial" w:cs="Arial" w:eastAsia="Arial" w:hAnsi="Arial"/>
          <w:sz w:val="22"/>
          <w:szCs w:val="22"/>
          <w:color w:val="auto"/>
        </w:rPr>
        <w:t>means the Policyholder, and includes any division, subsidiary or affiliated company as described in the</w:t>
      </w:r>
      <w:r>
        <w:rPr>
          <w:rFonts w:ascii="Arial" w:cs="Arial" w:eastAsia="Arial" w:hAnsi="Arial"/>
          <w:sz w:val="22"/>
          <w:szCs w:val="22"/>
          <w:b w:val="1"/>
          <w:bCs w:val="1"/>
          <w:color w:val="auto"/>
        </w:rPr>
        <w:t xml:space="preserve"> EMPLOYER </w:t>
      </w:r>
      <w:r>
        <w:rPr>
          <w:rFonts w:ascii="Arial" w:cs="Arial" w:eastAsia="Arial" w:hAnsi="Arial"/>
          <w:sz w:val="22"/>
          <w:szCs w:val="22"/>
          <w:color w:val="auto"/>
        </w:rPr>
        <w:t>pages of the policy.</w:t>
      </w:r>
    </w:p>
    <w:p>
      <w:pPr>
        <w:spacing w:after="0" w:line="192" w:lineRule="exact"/>
        <w:rPr>
          <w:sz w:val="20"/>
          <w:szCs w:val="20"/>
          <w:color w:val="auto"/>
        </w:rPr>
      </w:pPr>
    </w:p>
    <w:p>
      <w:pPr>
        <w:ind w:right="20"/>
        <w:spacing w:after="0" w:line="274" w:lineRule="auto"/>
        <w:rPr>
          <w:sz w:val="20"/>
          <w:szCs w:val="20"/>
          <w:color w:val="auto"/>
        </w:rPr>
      </w:pPr>
      <w:r>
        <w:rPr>
          <w:rFonts w:ascii="Arial" w:cs="Arial" w:eastAsia="Arial" w:hAnsi="Arial"/>
          <w:sz w:val="22"/>
          <w:szCs w:val="22"/>
          <w:b w:val="1"/>
          <w:bCs w:val="1"/>
          <w:color w:val="auto"/>
        </w:rPr>
        <w:t xml:space="preserve">GAINFUL OCCUPATION </w:t>
      </w:r>
      <w:r>
        <w:rPr>
          <w:rFonts w:ascii="Arial" w:cs="Arial" w:eastAsia="Arial" w:hAnsi="Arial"/>
          <w:sz w:val="22"/>
          <w:szCs w:val="22"/>
          <w:color w:val="auto"/>
        </w:rPr>
        <w:t>means an occupation that is or can be expected to provide you with an income at least</w:t>
      </w:r>
      <w:r>
        <w:rPr>
          <w:rFonts w:ascii="Arial" w:cs="Arial" w:eastAsia="Arial" w:hAnsi="Arial"/>
          <w:sz w:val="22"/>
          <w:szCs w:val="22"/>
          <w:b w:val="1"/>
          <w:bCs w:val="1"/>
          <w:color w:val="auto"/>
        </w:rPr>
        <w:t xml:space="preserve"> </w:t>
      </w:r>
      <w:r>
        <w:rPr>
          <w:rFonts w:ascii="Arial" w:cs="Arial" w:eastAsia="Arial" w:hAnsi="Arial"/>
          <w:sz w:val="22"/>
          <w:szCs w:val="22"/>
          <w:color w:val="auto"/>
        </w:rPr>
        <w:t>equal to 60% of your indexed monthly earnings within 12 months of your return to work.</w:t>
      </w:r>
    </w:p>
    <w:p>
      <w:pPr>
        <w:spacing w:after="0" w:line="192" w:lineRule="exact"/>
        <w:rPr>
          <w:sz w:val="20"/>
          <w:szCs w:val="20"/>
          <w:color w:val="auto"/>
        </w:rPr>
      </w:pPr>
    </w:p>
    <w:p>
      <w:pPr>
        <w:ind w:right="340"/>
        <w:spacing w:after="0" w:line="274" w:lineRule="auto"/>
        <w:rPr>
          <w:sz w:val="20"/>
          <w:szCs w:val="20"/>
          <w:color w:val="auto"/>
        </w:rPr>
      </w:pPr>
      <w:r>
        <w:rPr>
          <w:rFonts w:ascii="Arial" w:cs="Arial" w:eastAsia="Arial" w:hAnsi="Arial"/>
          <w:sz w:val="22"/>
          <w:szCs w:val="22"/>
          <w:b w:val="1"/>
          <w:bCs w:val="1"/>
          <w:color w:val="auto"/>
        </w:rPr>
        <w:t xml:space="preserve">GRACE PERIOD </w:t>
      </w:r>
      <w:r>
        <w:rPr>
          <w:rFonts w:ascii="Arial" w:cs="Arial" w:eastAsia="Arial" w:hAnsi="Arial"/>
          <w:sz w:val="22"/>
          <w:szCs w:val="22"/>
          <w:color w:val="auto"/>
        </w:rPr>
        <w:t>means the period of time following the premium due date during which premium payment may be</w:t>
      </w:r>
      <w:r>
        <w:rPr>
          <w:rFonts w:ascii="Arial" w:cs="Arial" w:eastAsia="Arial" w:hAnsi="Arial"/>
          <w:sz w:val="22"/>
          <w:szCs w:val="22"/>
          <w:b w:val="1"/>
          <w:bCs w:val="1"/>
          <w:color w:val="auto"/>
        </w:rPr>
        <w:t xml:space="preserve"> </w:t>
      </w:r>
      <w:r>
        <w:rPr>
          <w:rFonts w:ascii="Arial" w:cs="Arial" w:eastAsia="Arial" w:hAnsi="Arial"/>
          <w:sz w:val="22"/>
          <w:szCs w:val="22"/>
          <w:color w:val="auto"/>
        </w:rPr>
        <w:t>made.</w:t>
      </w:r>
    </w:p>
    <w:p>
      <w:pPr>
        <w:spacing w:after="0" w:line="192" w:lineRule="exact"/>
        <w:rPr>
          <w:sz w:val="20"/>
          <w:szCs w:val="20"/>
          <w:color w:val="auto"/>
        </w:rPr>
      </w:pPr>
    </w:p>
    <w:p>
      <w:pPr>
        <w:ind w:right="120"/>
        <w:spacing w:after="0" w:line="274" w:lineRule="auto"/>
        <w:rPr>
          <w:sz w:val="20"/>
          <w:szCs w:val="20"/>
          <w:color w:val="auto"/>
        </w:rPr>
      </w:pPr>
      <w:r>
        <w:rPr>
          <w:rFonts w:ascii="Arial" w:cs="Arial" w:eastAsia="Arial" w:hAnsi="Arial"/>
          <w:sz w:val="22"/>
          <w:szCs w:val="22"/>
          <w:b w:val="1"/>
          <w:bCs w:val="1"/>
          <w:color w:val="auto"/>
        </w:rPr>
        <w:t xml:space="preserve">GROSS DISABILITY PAYMENT </w:t>
      </w:r>
      <w:r>
        <w:rPr>
          <w:rFonts w:ascii="Arial" w:cs="Arial" w:eastAsia="Arial" w:hAnsi="Arial"/>
          <w:sz w:val="22"/>
          <w:szCs w:val="22"/>
          <w:color w:val="auto"/>
        </w:rPr>
        <w:t>means the benefit amount before Unum subtracts deductible sources of income and</w:t>
      </w:r>
      <w:r>
        <w:rPr>
          <w:rFonts w:ascii="Arial" w:cs="Arial" w:eastAsia="Arial" w:hAnsi="Arial"/>
          <w:sz w:val="22"/>
          <w:szCs w:val="22"/>
          <w:b w:val="1"/>
          <w:bCs w:val="1"/>
          <w:color w:val="auto"/>
        </w:rPr>
        <w:t xml:space="preserve"> </w:t>
      </w:r>
      <w:r>
        <w:rPr>
          <w:rFonts w:ascii="Arial" w:cs="Arial" w:eastAsia="Arial" w:hAnsi="Arial"/>
          <w:sz w:val="22"/>
          <w:szCs w:val="22"/>
          <w:color w:val="auto"/>
        </w:rPr>
        <w:t>disability earnings.</w:t>
      </w:r>
    </w:p>
    <w:p>
      <w:pPr>
        <w:spacing w:after="0" w:line="192" w:lineRule="exact"/>
        <w:rPr>
          <w:sz w:val="20"/>
          <w:szCs w:val="20"/>
          <w:color w:val="auto"/>
        </w:rPr>
      </w:pPr>
    </w:p>
    <w:p>
      <w:pPr>
        <w:ind w:right="400"/>
        <w:spacing w:after="0" w:line="274" w:lineRule="auto"/>
        <w:rPr>
          <w:sz w:val="20"/>
          <w:szCs w:val="20"/>
          <w:color w:val="auto"/>
        </w:rPr>
      </w:pPr>
      <w:r>
        <w:rPr>
          <w:rFonts w:ascii="Arial" w:cs="Arial" w:eastAsia="Arial" w:hAnsi="Arial"/>
          <w:sz w:val="22"/>
          <w:szCs w:val="22"/>
          <w:b w:val="1"/>
          <w:bCs w:val="1"/>
          <w:color w:val="auto"/>
        </w:rPr>
        <w:t xml:space="preserve">HOSPITAL OR INSTITUTION </w:t>
      </w:r>
      <w:r>
        <w:rPr>
          <w:rFonts w:ascii="Arial" w:cs="Arial" w:eastAsia="Arial" w:hAnsi="Arial"/>
          <w:sz w:val="22"/>
          <w:szCs w:val="22"/>
          <w:color w:val="auto"/>
        </w:rPr>
        <w:t>means an accredited facility licensed to provide care and treatment for the condition</w:t>
      </w:r>
      <w:r>
        <w:rPr>
          <w:rFonts w:ascii="Arial" w:cs="Arial" w:eastAsia="Arial" w:hAnsi="Arial"/>
          <w:sz w:val="22"/>
          <w:szCs w:val="22"/>
          <w:b w:val="1"/>
          <w:bCs w:val="1"/>
          <w:color w:val="auto"/>
        </w:rPr>
        <w:t xml:space="preserve"> </w:t>
      </w:r>
      <w:r>
        <w:rPr>
          <w:rFonts w:ascii="Arial" w:cs="Arial" w:eastAsia="Arial" w:hAnsi="Arial"/>
          <w:sz w:val="22"/>
          <w:szCs w:val="22"/>
          <w:color w:val="auto"/>
        </w:rPr>
        <w:t>causing your disability.</w:t>
      </w:r>
    </w:p>
    <w:p>
      <w:pPr>
        <w:sectPr>
          <w:pgSz w:w="11900" w:h="16838" w:orient="portrait"/>
          <w:cols w:equalWidth="0" w:num="1">
            <w:col w:w="11340"/>
          </w:cols>
          <w:pgMar w:left="320" w:top="406" w:right="239" w:bottom="1440" w:gutter="0" w:footer="0" w:header="0"/>
        </w:sectPr>
      </w:pPr>
    </w:p>
    <w:bookmarkStart w:id="202" w:name="page203"/>
    <w:bookmarkEnd w:id="202"/>
    <w:p>
      <w:pPr>
        <w:ind w:right="40"/>
        <w:spacing w:after="0" w:line="258" w:lineRule="auto"/>
        <w:rPr>
          <w:sz w:val="20"/>
          <w:szCs w:val="20"/>
          <w:color w:val="auto"/>
        </w:rPr>
      </w:pPr>
      <w:r>
        <w:rPr>
          <w:rFonts w:ascii="Arial" w:cs="Arial" w:eastAsia="Arial" w:hAnsi="Arial"/>
          <w:sz w:val="22"/>
          <w:szCs w:val="22"/>
          <w:b w:val="1"/>
          <w:bCs w:val="1"/>
          <w:color w:val="auto"/>
        </w:rPr>
        <w:t xml:space="preserve">INDEXED MONTHLY EARNINGS </w:t>
      </w:r>
      <w:r>
        <w:rPr>
          <w:rFonts w:ascii="Arial" w:cs="Arial" w:eastAsia="Arial" w:hAnsi="Arial"/>
          <w:sz w:val="22"/>
          <w:szCs w:val="22"/>
          <w:color w:val="auto"/>
        </w:rPr>
        <w:t>means your monthly earnings adjusted on each anniversary of benefit payments by</w:t>
      </w:r>
      <w:r>
        <w:rPr>
          <w:rFonts w:ascii="Arial" w:cs="Arial" w:eastAsia="Arial" w:hAnsi="Arial"/>
          <w:sz w:val="22"/>
          <w:szCs w:val="22"/>
          <w:b w:val="1"/>
          <w:bCs w:val="1"/>
          <w:color w:val="auto"/>
        </w:rPr>
        <w:t xml:space="preserve"> </w:t>
      </w:r>
      <w:r>
        <w:rPr>
          <w:rFonts w:ascii="Arial" w:cs="Arial" w:eastAsia="Arial" w:hAnsi="Arial"/>
          <w:sz w:val="22"/>
          <w:szCs w:val="22"/>
          <w:color w:val="auto"/>
        </w:rPr>
        <w:t>the lesser of 10% or the current annual percentage increase in the Consumer Price Index. Your indexed monthly earnings may increase or remain the same, but will never decrease.</w:t>
      </w:r>
    </w:p>
    <w:p>
      <w:pPr>
        <w:spacing w:after="0" w:line="291" w:lineRule="exact"/>
        <w:rPr>
          <w:sz w:val="20"/>
          <w:szCs w:val="20"/>
          <w:color w:val="auto"/>
        </w:rPr>
      </w:pPr>
    </w:p>
    <w:p>
      <w:pPr>
        <w:ind w:right="460"/>
        <w:spacing w:after="0" w:line="249" w:lineRule="auto"/>
        <w:rPr>
          <w:sz w:val="20"/>
          <w:szCs w:val="20"/>
          <w:color w:val="auto"/>
        </w:rPr>
      </w:pPr>
      <w:r>
        <w:rPr>
          <w:rFonts w:ascii="Arial" w:cs="Arial" w:eastAsia="Arial" w:hAnsi="Arial"/>
          <w:sz w:val="22"/>
          <w:szCs w:val="22"/>
          <w:color w:val="auto"/>
        </w:rPr>
        <w:t>The Consumer Price Index (CPI-W) is published by the U.S. Department of Labor. Unum reserves the right to use some other similar measurement if the Department of Labor changes or stops publishing the CPI-W.</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Indexing is only used to determine your percentage of lost earnings while you are disabled and working.</w:t>
      </w:r>
    </w:p>
    <w:p>
      <w:pPr>
        <w:spacing w:after="0" w:line="234" w:lineRule="exact"/>
        <w:rPr>
          <w:sz w:val="20"/>
          <w:szCs w:val="20"/>
          <w:color w:val="auto"/>
        </w:rPr>
      </w:pPr>
    </w:p>
    <w:p>
      <w:pPr>
        <w:spacing w:after="0" w:line="274" w:lineRule="auto"/>
        <w:rPr>
          <w:sz w:val="20"/>
          <w:szCs w:val="20"/>
          <w:color w:val="auto"/>
        </w:rPr>
      </w:pPr>
      <w:r>
        <w:rPr>
          <w:rFonts w:ascii="Arial" w:cs="Arial" w:eastAsia="Arial" w:hAnsi="Arial"/>
          <w:sz w:val="22"/>
          <w:szCs w:val="22"/>
          <w:b w:val="1"/>
          <w:bCs w:val="1"/>
          <w:color w:val="auto"/>
        </w:rPr>
        <w:t xml:space="preserve">INJURY </w:t>
      </w:r>
      <w:r>
        <w:rPr>
          <w:rFonts w:ascii="Arial" w:cs="Arial" w:eastAsia="Arial" w:hAnsi="Arial"/>
          <w:sz w:val="22"/>
          <w:szCs w:val="22"/>
          <w:color w:val="auto"/>
        </w:rPr>
        <w:t>means a bodily injury that is the direct result of an accident and not related to any other cause. Disability must</w:t>
      </w:r>
      <w:r>
        <w:rPr>
          <w:rFonts w:ascii="Arial" w:cs="Arial" w:eastAsia="Arial" w:hAnsi="Arial"/>
          <w:sz w:val="22"/>
          <w:szCs w:val="22"/>
          <w:b w:val="1"/>
          <w:bCs w:val="1"/>
          <w:color w:val="auto"/>
        </w:rPr>
        <w:t xml:space="preserve"> </w:t>
      </w:r>
      <w:r>
        <w:rPr>
          <w:rFonts w:ascii="Arial" w:cs="Arial" w:eastAsia="Arial" w:hAnsi="Arial"/>
          <w:sz w:val="22"/>
          <w:szCs w:val="22"/>
          <w:color w:val="auto"/>
        </w:rPr>
        <w:t>begin while you are covered under the plan.</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INSURED </w:t>
      </w:r>
      <w:r>
        <w:rPr>
          <w:rFonts w:ascii="Arial" w:cs="Arial" w:eastAsia="Arial" w:hAnsi="Arial"/>
          <w:sz w:val="22"/>
          <w:szCs w:val="22"/>
          <w:color w:val="auto"/>
        </w:rPr>
        <w:t>means any person covered under a plan.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LAW, PLAN OR ACT </w:t>
      </w:r>
      <w:r>
        <w:rPr>
          <w:rFonts w:ascii="Arial" w:cs="Arial" w:eastAsia="Arial" w:hAnsi="Arial"/>
          <w:sz w:val="22"/>
          <w:szCs w:val="22"/>
          <w:color w:val="auto"/>
        </w:rPr>
        <w:t>means the original enactments of the law, plan or act and all amendments.</w:t>
      </w:r>
    </w:p>
    <w:p>
      <w:pPr>
        <w:spacing w:after="0" w:line="260" w:lineRule="exact"/>
        <w:rPr>
          <w:sz w:val="20"/>
          <w:szCs w:val="20"/>
          <w:color w:val="auto"/>
        </w:rPr>
      </w:pPr>
    </w:p>
    <w:p>
      <w:pPr>
        <w:ind w:right="220"/>
        <w:spacing w:after="0" w:line="274" w:lineRule="auto"/>
        <w:rPr>
          <w:sz w:val="20"/>
          <w:szCs w:val="20"/>
          <w:color w:val="auto"/>
        </w:rPr>
      </w:pPr>
      <w:r>
        <w:rPr>
          <w:rFonts w:ascii="Arial" w:cs="Arial" w:eastAsia="Arial" w:hAnsi="Arial"/>
          <w:sz w:val="22"/>
          <w:szCs w:val="22"/>
          <w:b w:val="1"/>
          <w:bCs w:val="1"/>
          <w:color w:val="auto"/>
        </w:rPr>
        <w:t xml:space="preserve">LEAVE OF ABSENCE </w:t>
      </w:r>
      <w:r>
        <w:rPr>
          <w:rFonts w:ascii="Arial" w:cs="Arial" w:eastAsia="Arial" w:hAnsi="Arial"/>
          <w:sz w:val="22"/>
          <w:szCs w:val="22"/>
          <w:color w:val="auto"/>
        </w:rPr>
        <w:t>means you are temporarily absent from active employment for a period of time that has been</w:t>
      </w:r>
      <w:r>
        <w:rPr>
          <w:rFonts w:ascii="Arial" w:cs="Arial" w:eastAsia="Arial" w:hAnsi="Arial"/>
          <w:sz w:val="22"/>
          <w:szCs w:val="22"/>
          <w:b w:val="1"/>
          <w:bCs w:val="1"/>
          <w:color w:val="auto"/>
        </w:rPr>
        <w:t xml:space="preserve"> </w:t>
      </w:r>
      <w:r>
        <w:rPr>
          <w:rFonts w:ascii="Arial" w:cs="Arial" w:eastAsia="Arial" w:hAnsi="Arial"/>
          <w:sz w:val="22"/>
          <w:szCs w:val="22"/>
          <w:color w:val="auto"/>
        </w:rPr>
        <w:t>agreed to in advance in writing by your Employer.</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Your normal vacation time or any period of disability is not considered a leave of absence.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LIMITED </w:t>
      </w:r>
      <w:r>
        <w:rPr>
          <w:rFonts w:ascii="Arial" w:cs="Arial" w:eastAsia="Arial" w:hAnsi="Arial"/>
          <w:sz w:val="22"/>
          <w:szCs w:val="22"/>
          <w:color w:val="auto"/>
        </w:rPr>
        <w:t>means what you cannot or are unable to do.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MATERIAL AND SUBSTANTIAL DUTIES </w:t>
      </w:r>
      <w:r>
        <w:rPr>
          <w:rFonts w:ascii="Arial" w:cs="Arial" w:eastAsia="Arial" w:hAnsi="Arial"/>
          <w:sz w:val="22"/>
          <w:szCs w:val="22"/>
          <w:color w:val="auto"/>
        </w:rPr>
        <w:t>means duties that:</w:t>
      </w:r>
    </w:p>
    <w:p>
      <w:pPr>
        <w:spacing w:after="0" w:line="219" w:lineRule="exact"/>
        <w:rPr>
          <w:sz w:val="20"/>
          <w:szCs w:val="20"/>
          <w:color w:val="auto"/>
        </w:rPr>
      </w:pPr>
    </w:p>
    <w:p>
      <w:pPr>
        <w:ind w:left="580" w:hanging="571"/>
        <w:spacing w:after="0"/>
        <w:tabs>
          <w:tab w:leader="none" w:pos="5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are normally required for the performance of your regular occupation; and</w:t>
      </w:r>
    </w:p>
    <w:p>
      <w:pPr>
        <w:spacing w:after="0" w:line="17" w:lineRule="exact"/>
        <w:rPr>
          <w:rFonts w:ascii="Arial" w:cs="Arial" w:eastAsia="Arial" w:hAnsi="Arial"/>
          <w:sz w:val="22"/>
          <w:szCs w:val="22"/>
          <w:color w:val="auto"/>
        </w:rPr>
      </w:pPr>
    </w:p>
    <w:p>
      <w:pPr>
        <w:ind w:left="580" w:right="40" w:hanging="571"/>
        <w:spacing w:after="0" w:line="246" w:lineRule="auto"/>
        <w:tabs>
          <w:tab w:leader="none" w:pos="5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cannot be reasonably omitted or modified, except that if you are required to work on average in excess of 40 hours per week, Unum will consider you able to perform that requirement if you are working or have the capacity to work 40 hours per week.</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MAXIMUM CAPACITY </w:t>
      </w:r>
      <w:r>
        <w:rPr>
          <w:rFonts w:ascii="Arial" w:cs="Arial" w:eastAsia="Arial" w:hAnsi="Arial"/>
          <w:sz w:val="22"/>
          <w:szCs w:val="22"/>
          <w:color w:val="auto"/>
        </w:rPr>
        <w:t>means, based on your restrictions and limitations:</w:t>
      </w:r>
    </w:p>
    <w:p>
      <w:pPr>
        <w:spacing w:after="0" w:line="259" w:lineRule="exact"/>
        <w:rPr>
          <w:sz w:val="20"/>
          <w:szCs w:val="20"/>
          <w:color w:val="auto"/>
        </w:rPr>
      </w:pPr>
    </w:p>
    <w:p>
      <w:pPr>
        <w:ind w:left="580" w:right="120" w:hanging="571"/>
        <w:spacing w:after="0" w:line="243" w:lineRule="auto"/>
        <w:tabs>
          <w:tab w:leader="none" w:pos="58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during the first 24 months of disability, the greatest extent of work you are able to do in your regular occupation, that is reasonably available.</w:t>
      </w:r>
    </w:p>
    <w:p>
      <w:pPr>
        <w:ind w:left="580" w:right="960" w:hanging="571"/>
        <w:spacing w:after="0" w:line="249" w:lineRule="auto"/>
        <w:tabs>
          <w:tab w:leader="none" w:pos="58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beyond 24 months of disability, the greatest extent of work you are able to do in any occupation, that is reasonably available, for which you are reasonably fitted by education, training or experience.</w:t>
      </w:r>
    </w:p>
    <w:p>
      <w:pPr>
        <w:spacing w:after="0" w:line="219" w:lineRule="exact"/>
        <w:rPr>
          <w:sz w:val="20"/>
          <w:szCs w:val="20"/>
          <w:color w:val="auto"/>
        </w:rPr>
      </w:pPr>
    </w:p>
    <w:p>
      <w:pPr>
        <w:ind w:right="360"/>
        <w:spacing w:after="0" w:line="274" w:lineRule="auto"/>
        <w:rPr>
          <w:sz w:val="20"/>
          <w:szCs w:val="20"/>
          <w:color w:val="auto"/>
        </w:rPr>
      </w:pPr>
      <w:r>
        <w:rPr>
          <w:rFonts w:ascii="Arial" w:cs="Arial" w:eastAsia="Arial" w:hAnsi="Arial"/>
          <w:sz w:val="22"/>
          <w:szCs w:val="22"/>
          <w:b w:val="1"/>
          <w:bCs w:val="1"/>
          <w:color w:val="auto"/>
        </w:rPr>
        <w:t xml:space="preserve">MAXIMUM PERIOD OF PAYMENT </w:t>
      </w:r>
      <w:r>
        <w:rPr>
          <w:rFonts w:ascii="Arial" w:cs="Arial" w:eastAsia="Arial" w:hAnsi="Arial"/>
          <w:sz w:val="22"/>
          <w:szCs w:val="22"/>
          <w:color w:val="auto"/>
        </w:rPr>
        <w:t>means the longest period of time Unum will make payments to you for any one</w:t>
      </w:r>
      <w:r>
        <w:rPr>
          <w:rFonts w:ascii="Arial" w:cs="Arial" w:eastAsia="Arial" w:hAnsi="Arial"/>
          <w:sz w:val="22"/>
          <w:szCs w:val="22"/>
          <w:b w:val="1"/>
          <w:bCs w:val="1"/>
          <w:color w:val="auto"/>
        </w:rPr>
        <w:t xml:space="preserve"> </w:t>
      </w:r>
      <w:r>
        <w:rPr>
          <w:rFonts w:ascii="Arial" w:cs="Arial" w:eastAsia="Arial" w:hAnsi="Arial"/>
          <w:sz w:val="22"/>
          <w:szCs w:val="22"/>
          <w:color w:val="auto"/>
        </w:rPr>
        <w:t>period of disability.</w:t>
      </w:r>
    </w:p>
    <w:p>
      <w:pPr>
        <w:spacing w:after="0" w:line="192" w:lineRule="exact"/>
        <w:rPr>
          <w:sz w:val="20"/>
          <w:szCs w:val="20"/>
          <w:color w:val="auto"/>
        </w:rPr>
      </w:pPr>
    </w:p>
    <w:p>
      <w:pPr>
        <w:ind w:right="380"/>
        <w:spacing w:after="0" w:line="258" w:lineRule="auto"/>
        <w:rPr>
          <w:sz w:val="20"/>
          <w:szCs w:val="20"/>
          <w:color w:val="auto"/>
        </w:rPr>
      </w:pPr>
      <w:r>
        <w:rPr>
          <w:rFonts w:ascii="Arial" w:cs="Arial" w:eastAsia="Arial" w:hAnsi="Arial"/>
          <w:sz w:val="22"/>
          <w:szCs w:val="22"/>
          <w:b w:val="1"/>
          <w:bCs w:val="1"/>
          <w:color w:val="auto"/>
        </w:rPr>
        <w:t xml:space="preserve">MENTAL ILLNESS </w:t>
      </w:r>
      <w:r>
        <w:rPr>
          <w:rFonts w:ascii="Arial" w:cs="Arial" w:eastAsia="Arial" w:hAnsi="Arial"/>
          <w:sz w:val="22"/>
          <w:szCs w:val="22"/>
          <w:color w:val="auto"/>
        </w:rPr>
        <w:t>means a psychiatric or psychological condition regardless of cause such as schizophrenia,</w:t>
      </w:r>
      <w:r>
        <w:rPr>
          <w:rFonts w:ascii="Arial" w:cs="Arial" w:eastAsia="Arial" w:hAnsi="Arial"/>
          <w:sz w:val="22"/>
          <w:szCs w:val="22"/>
          <w:b w:val="1"/>
          <w:bCs w:val="1"/>
          <w:color w:val="auto"/>
        </w:rPr>
        <w:t xml:space="preserve"> </w:t>
      </w:r>
      <w:r>
        <w:rPr>
          <w:rFonts w:ascii="Arial" w:cs="Arial" w:eastAsia="Arial" w:hAnsi="Arial"/>
          <w:sz w:val="22"/>
          <w:szCs w:val="22"/>
          <w:color w:val="auto"/>
        </w:rPr>
        <w:t>depression, manic depressive or bipolar illness, anxiety, personality disorders and/or adjustment disorders or other conditions. These conditions</w:t>
      </w:r>
    </w:p>
    <w:p>
      <w:pPr>
        <w:sectPr>
          <w:pgSz w:w="11900" w:h="16838" w:orient="portrait"/>
          <w:cols w:equalWidth="0" w:num="1">
            <w:col w:w="11320"/>
          </w:cols>
          <w:pgMar w:left="320" w:top="364" w:right="259" w:bottom="1440" w:gutter="0" w:footer="0" w:header="0"/>
        </w:sectPr>
      </w:pPr>
    </w:p>
    <w:bookmarkStart w:id="203" w:name="page204"/>
    <w:bookmarkEnd w:id="203"/>
    <w:p>
      <w:pPr>
        <w:spacing w:after="0" w:line="249" w:lineRule="auto"/>
        <w:rPr>
          <w:sz w:val="20"/>
          <w:szCs w:val="20"/>
          <w:color w:val="auto"/>
        </w:rPr>
      </w:pPr>
      <w:r>
        <w:rPr>
          <w:rFonts w:ascii="Arial" w:cs="Arial" w:eastAsia="Arial" w:hAnsi="Arial"/>
          <w:sz w:val="22"/>
          <w:szCs w:val="22"/>
          <w:color w:val="auto"/>
        </w:rPr>
        <w:t>are usually treated by a mental health provider or other qualified provider using psychotherapy, psychotropic drugs, or other similar methods of treatment.</w:t>
      </w:r>
    </w:p>
    <w:p>
      <w:pPr>
        <w:spacing w:after="0" w:line="219" w:lineRule="exact"/>
        <w:rPr>
          <w:sz w:val="20"/>
          <w:szCs w:val="20"/>
          <w:color w:val="auto"/>
        </w:rPr>
      </w:pPr>
    </w:p>
    <w:p>
      <w:pPr>
        <w:ind w:right="140"/>
        <w:spacing w:after="0" w:line="274" w:lineRule="auto"/>
        <w:rPr>
          <w:sz w:val="20"/>
          <w:szCs w:val="20"/>
          <w:color w:val="auto"/>
        </w:rPr>
      </w:pPr>
      <w:r>
        <w:rPr>
          <w:rFonts w:ascii="Arial" w:cs="Arial" w:eastAsia="Arial" w:hAnsi="Arial"/>
          <w:sz w:val="22"/>
          <w:szCs w:val="22"/>
          <w:b w:val="1"/>
          <w:bCs w:val="1"/>
          <w:color w:val="auto"/>
        </w:rPr>
        <w:t xml:space="preserve">MONTHLY BENEFIT </w:t>
      </w:r>
      <w:r>
        <w:rPr>
          <w:rFonts w:ascii="Arial" w:cs="Arial" w:eastAsia="Arial" w:hAnsi="Arial"/>
          <w:sz w:val="22"/>
          <w:szCs w:val="22"/>
          <w:color w:val="auto"/>
        </w:rPr>
        <w:t>means the total benefit amount for which an employee is insured under this plan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maximum benefit.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MONTHLY EARNINGS </w:t>
      </w:r>
      <w:r>
        <w:rPr>
          <w:rFonts w:ascii="Arial" w:cs="Arial" w:eastAsia="Arial" w:hAnsi="Arial"/>
          <w:sz w:val="22"/>
          <w:szCs w:val="22"/>
          <w:color w:val="auto"/>
        </w:rPr>
        <w:t>means your monthly base pay as determined by your business unit.</w:t>
      </w:r>
    </w:p>
    <w:p>
      <w:pPr>
        <w:spacing w:after="0" w:line="341" w:lineRule="exact"/>
        <w:rPr>
          <w:sz w:val="20"/>
          <w:szCs w:val="20"/>
          <w:color w:val="auto"/>
        </w:rPr>
      </w:pPr>
    </w:p>
    <w:p>
      <w:pPr>
        <w:ind w:right="160"/>
        <w:spacing w:after="0" w:line="274" w:lineRule="auto"/>
        <w:rPr>
          <w:sz w:val="20"/>
          <w:szCs w:val="20"/>
          <w:color w:val="auto"/>
        </w:rPr>
      </w:pPr>
      <w:r>
        <w:rPr>
          <w:rFonts w:ascii="Arial" w:cs="Arial" w:eastAsia="Arial" w:hAnsi="Arial"/>
          <w:sz w:val="22"/>
          <w:szCs w:val="22"/>
          <w:b w:val="1"/>
          <w:bCs w:val="1"/>
          <w:color w:val="auto"/>
        </w:rPr>
        <w:t xml:space="preserve">MONTHLY PAYMENT </w:t>
      </w:r>
      <w:r>
        <w:rPr>
          <w:rFonts w:ascii="Arial" w:cs="Arial" w:eastAsia="Arial" w:hAnsi="Arial"/>
          <w:sz w:val="22"/>
          <w:szCs w:val="22"/>
          <w:color w:val="auto"/>
        </w:rPr>
        <w:t>means your payment after any deductible sources of income have been subtracted from your</w:t>
      </w:r>
      <w:r>
        <w:rPr>
          <w:rFonts w:ascii="Arial" w:cs="Arial" w:eastAsia="Arial" w:hAnsi="Arial"/>
          <w:sz w:val="22"/>
          <w:szCs w:val="22"/>
          <w:b w:val="1"/>
          <w:bCs w:val="1"/>
          <w:color w:val="auto"/>
        </w:rPr>
        <w:t xml:space="preserve"> </w:t>
      </w:r>
      <w:r>
        <w:rPr>
          <w:rFonts w:ascii="Arial" w:cs="Arial" w:eastAsia="Arial" w:hAnsi="Arial"/>
          <w:sz w:val="22"/>
          <w:szCs w:val="22"/>
          <w:color w:val="auto"/>
        </w:rPr>
        <w:t>gross disability payment.</w:t>
      </w:r>
    </w:p>
    <w:p>
      <w:pPr>
        <w:spacing w:after="0" w:line="192" w:lineRule="exact"/>
        <w:rPr>
          <w:sz w:val="20"/>
          <w:szCs w:val="20"/>
          <w:color w:val="auto"/>
        </w:rPr>
      </w:pPr>
    </w:p>
    <w:p>
      <w:pPr>
        <w:ind w:right="520"/>
        <w:spacing w:after="0" w:line="298" w:lineRule="auto"/>
        <w:rPr>
          <w:sz w:val="20"/>
          <w:szCs w:val="20"/>
          <w:color w:val="auto"/>
        </w:rPr>
      </w:pPr>
      <w:r>
        <w:rPr>
          <w:rFonts w:ascii="Arial" w:cs="Arial" w:eastAsia="Arial" w:hAnsi="Arial"/>
          <w:sz w:val="21"/>
          <w:szCs w:val="21"/>
          <w:b w:val="1"/>
          <w:bCs w:val="1"/>
          <w:color w:val="auto"/>
        </w:rPr>
        <w:t xml:space="preserve">NON-REGISTERED DOMESTIC PARTNER </w:t>
      </w:r>
      <w:r>
        <w:rPr>
          <w:rFonts w:ascii="Arial" w:cs="Arial" w:eastAsia="Arial" w:hAnsi="Arial"/>
          <w:sz w:val="21"/>
          <w:szCs w:val="21"/>
          <w:color w:val="auto"/>
        </w:rPr>
        <w:t>means an adult of the same or opposite sex who has an emotional,</w:t>
      </w:r>
      <w:r>
        <w:rPr>
          <w:rFonts w:ascii="Arial" w:cs="Arial" w:eastAsia="Arial" w:hAnsi="Arial"/>
          <w:sz w:val="21"/>
          <w:szCs w:val="21"/>
          <w:b w:val="1"/>
          <w:bCs w:val="1"/>
          <w:color w:val="auto"/>
        </w:rPr>
        <w:t xml:space="preserve"> </w:t>
      </w:r>
      <w:r>
        <w:rPr>
          <w:rFonts w:ascii="Arial" w:cs="Arial" w:eastAsia="Arial" w:hAnsi="Arial"/>
          <w:sz w:val="21"/>
          <w:szCs w:val="21"/>
          <w:color w:val="auto"/>
        </w:rPr>
        <w:t>physical and financial relationship to you, similar to that of a spouse, as evidenced by the following facts:</w:t>
      </w:r>
    </w:p>
    <w:p>
      <w:pPr>
        <w:spacing w:after="0" w:line="196" w:lineRule="exact"/>
        <w:rPr>
          <w:sz w:val="20"/>
          <w:szCs w:val="20"/>
          <w:color w:val="auto"/>
        </w:rPr>
      </w:pPr>
    </w:p>
    <w:p>
      <w:pPr>
        <w:ind w:left="580" w:right="500" w:hanging="571"/>
        <w:spacing w:after="0" w:line="243" w:lineRule="auto"/>
        <w:tabs>
          <w:tab w:leader="none" w:pos="5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you and your domestic partner share financial responsibility for a joint household and intend to continue an exclusive relationship indefinitely;</w:t>
      </w:r>
    </w:p>
    <w:p>
      <w:pPr>
        <w:ind w:left="580" w:hanging="571"/>
        <w:spacing w:after="0"/>
        <w:tabs>
          <w:tab w:leader="none" w:pos="5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you and your domestic partner each are at least eighteen (18) years of age;</w:t>
      </w:r>
    </w:p>
    <w:p>
      <w:pPr>
        <w:spacing w:after="0" w:line="3" w:lineRule="exact"/>
        <w:rPr>
          <w:rFonts w:ascii="Arial" w:cs="Arial" w:eastAsia="Arial" w:hAnsi="Arial"/>
          <w:sz w:val="22"/>
          <w:szCs w:val="22"/>
          <w:color w:val="auto"/>
        </w:rPr>
      </w:pPr>
    </w:p>
    <w:p>
      <w:pPr>
        <w:ind w:left="580" w:hanging="571"/>
        <w:spacing w:after="0"/>
        <w:tabs>
          <w:tab w:leader="none" w:pos="5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you and your domestic partner are both mentally competent to enter into a binding contract;</w:t>
      </w:r>
    </w:p>
    <w:p>
      <w:pPr>
        <w:spacing w:after="0" w:line="3" w:lineRule="exact"/>
        <w:rPr>
          <w:rFonts w:ascii="Arial" w:cs="Arial" w:eastAsia="Arial" w:hAnsi="Arial"/>
          <w:sz w:val="22"/>
          <w:szCs w:val="22"/>
          <w:color w:val="auto"/>
        </w:rPr>
      </w:pPr>
    </w:p>
    <w:p>
      <w:pPr>
        <w:ind w:left="580" w:hanging="571"/>
        <w:spacing w:after="0"/>
        <w:tabs>
          <w:tab w:leader="none" w:pos="5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you and your domestic partner share a residence and have done so for at least 6 months;</w:t>
      </w:r>
    </w:p>
    <w:p>
      <w:pPr>
        <w:spacing w:after="0" w:line="3" w:lineRule="exact"/>
        <w:rPr>
          <w:rFonts w:ascii="Arial" w:cs="Arial" w:eastAsia="Arial" w:hAnsi="Arial"/>
          <w:sz w:val="22"/>
          <w:szCs w:val="22"/>
          <w:color w:val="auto"/>
        </w:rPr>
      </w:pPr>
    </w:p>
    <w:p>
      <w:pPr>
        <w:ind w:left="580" w:hanging="571"/>
        <w:spacing w:after="0"/>
        <w:tabs>
          <w:tab w:leader="none" w:pos="5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neither you nor your domestic partner are married to, or legally separated from anyone else;</w:t>
      </w:r>
    </w:p>
    <w:p>
      <w:pPr>
        <w:spacing w:after="0" w:line="3" w:lineRule="exact"/>
        <w:rPr>
          <w:rFonts w:ascii="Arial" w:cs="Arial" w:eastAsia="Arial" w:hAnsi="Arial"/>
          <w:sz w:val="22"/>
          <w:szCs w:val="22"/>
          <w:color w:val="auto"/>
        </w:rPr>
      </w:pPr>
    </w:p>
    <w:p>
      <w:pPr>
        <w:ind w:left="580" w:hanging="571"/>
        <w:spacing w:after="0"/>
        <w:tabs>
          <w:tab w:leader="none" w:pos="5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you and your domestic partner are not related to one another by blood closer than would bar marriage; and</w:t>
      </w:r>
    </w:p>
    <w:p>
      <w:pPr>
        <w:spacing w:after="0" w:line="3" w:lineRule="exact"/>
        <w:rPr>
          <w:rFonts w:ascii="Arial" w:cs="Arial" w:eastAsia="Arial" w:hAnsi="Arial"/>
          <w:sz w:val="22"/>
          <w:szCs w:val="22"/>
          <w:color w:val="auto"/>
        </w:rPr>
      </w:pPr>
    </w:p>
    <w:p>
      <w:pPr>
        <w:ind w:left="580" w:hanging="571"/>
        <w:spacing w:after="0"/>
        <w:tabs>
          <w:tab w:leader="none" w:pos="5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neither you nor your domestic partner is a domestic partner of anyone else.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PART-TIME BASIS </w:t>
      </w:r>
      <w:r>
        <w:rPr>
          <w:rFonts w:ascii="Arial" w:cs="Arial" w:eastAsia="Arial" w:hAnsi="Arial"/>
          <w:sz w:val="22"/>
          <w:szCs w:val="22"/>
          <w:color w:val="auto"/>
        </w:rPr>
        <w:t>means the ability to work and earn 20% or more of your indexed monthly earnings.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PAYABLE CLAIM </w:t>
      </w:r>
      <w:r>
        <w:rPr>
          <w:rFonts w:ascii="Arial" w:cs="Arial" w:eastAsia="Arial" w:hAnsi="Arial"/>
          <w:sz w:val="22"/>
          <w:szCs w:val="22"/>
          <w:color w:val="auto"/>
        </w:rPr>
        <w:t>means a claim for which Unum is liable under the terms of the policy.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PHYSICIAN </w:t>
      </w:r>
      <w:r>
        <w:rPr>
          <w:rFonts w:ascii="Arial" w:cs="Arial" w:eastAsia="Arial" w:hAnsi="Arial"/>
          <w:sz w:val="22"/>
          <w:szCs w:val="22"/>
          <w:color w:val="auto"/>
        </w:rPr>
        <w:t>means:</w:t>
      </w:r>
    </w:p>
    <w:p>
      <w:pPr>
        <w:spacing w:after="0" w:line="219" w:lineRule="exact"/>
        <w:rPr>
          <w:sz w:val="20"/>
          <w:szCs w:val="20"/>
          <w:color w:val="auto"/>
        </w:rPr>
      </w:pPr>
    </w:p>
    <w:p>
      <w:pPr>
        <w:ind w:left="580" w:hanging="571"/>
        <w:spacing w:after="0"/>
        <w:tabs>
          <w:tab w:leader="none" w:pos="58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 person performing tasks that are within the limits of his or her medical license; and</w:t>
      </w:r>
    </w:p>
    <w:p>
      <w:pPr>
        <w:spacing w:after="0" w:line="17" w:lineRule="exact"/>
        <w:rPr>
          <w:rFonts w:ascii="Arial" w:cs="Arial" w:eastAsia="Arial" w:hAnsi="Arial"/>
          <w:sz w:val="22"/>
          <w:szCs w:val="22"/>
          <w:color w:val="auto"/>
        </w:rPr>
      </w:pPr>
    </w:p>
    <w:p>
      <w:pPr>
        <w:ind w:left="580" w:hanging="571"/>
        <w:spacing w:after="0"/>
        <w:tabs>
          <w:tab w:leader="none" w:pos="58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 person who is licensed to practice medicine and prescribe and administer drugs or to perform surgery; or</w:t>
      </w:r>
    </w:p>
    <w:p>
      <w:pPr>
        <w:spacing w:after="0" w:line="3" w:lineRule="exact"/>
        <w:rPr>
          <w:rFonts w:ascii="Arial" w:cs="Arial" w:eastAsia="Arial" w:hAnsi="Arial"/>
          <w:sz w:val="22"/>
          <w:szCs w:val="22"/>
          <w:color w:val="auto"/>
        </w:rPr>
      </w:pPr>
    </w:p>
    <w:p>
      <w:pPr>
        <w:ind w:left="580" w:hanging="571"/>
        <w:spacing w:after="0"/>
        <w:tabs>
          <w:tab w:leader="none" w:pos="58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a person with a doctoral degree in Psychology (Ph.D. or Psy.D.) whose primary practice is treating patients; or</w:t>
      </w:r>
    </w:p>
    <w:p>
      <w:pPr>
        <w:spacing w:after="0" w:line="15" w:lineRule="exact"/>
        <w:rPr>
          <w:rFonts w:ascii="Arial" w:cs="Arial" w:eastAsia="Arial" w:hAnsi="Arial"/>
          <w:sz w:val="21"/>
          <w:szCs w:val="21"/>
          <w:color w:val="auto"/>
        </w:rPr>
      </w:pPr>
    </w:p>
    <w:p>
      <w:pPr>
        <w:ind w:left="580" w:right="260" w:hanging="571"/>
        <w:spacing w:after="0" w:line="249" w:lineRule="auto"/>
        <w:tabs>
          <w:tab w:leader="none" w:pos="58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 person who is a legally qualified medical practitioner according to the laws and regulations of the governing jurisdiction.</w:t>
      </w:r>
    </w:p>
    <w:p>
      <w:pPr>
        <w:spacing w:after="0" w:line="245" w:lineRule="exact"/>
        <w:rPr>
          <w:sz w:val="20"/>
          <w:szCs w:val="20"/>
          <w:color w:val="auto"/>
        </w:rPr>
      </w:pPr>
    </w:p>
    <w:p>
      <w:pPr>
        <w:ind w:right="140"/>
        <w:spacing w:after="0" w:line="249" w:lineRule="auto"/>
        <w:rPr>
          <w:sz w:val="20"/>
          <w:szCs w:val="20"/>
          <w:color w:val="auto"/>
        </w:rPr>
      </w:pPr>
      <w:r>
        <w:rPr>
          <w:rFonts w:ascii="Arial" w:cs="Arial" w:eastAsia="Arial" w:hAnsi="Arial"/>
          <w:sz w:val="22"/>
          <w:szCs w:val="22"/>
          <w:color w:val="auto"/>
        </w:rPr>
        <w:t>Unum will not recognize you, or your spouse, children, parents or siblings as a physician for a claim that you send to us.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means a line of coverage under the policy.</w:t>
      </w:r>
    </w:p>
    <w:p>
      <w:pPr>
        <w:sectPr>
          <w:pgSz w:w="11900" w:h="16838" w:orient="portrait"/>
          <w:cols w:equalWidth="0" w:num="1">
            <w:col w:w="11240"/>
          </w:cols>
          <w:pgMar w:left="320" w:top="390" w:right="33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b w:val="1"/>
          <w:bCs w:val="1"/>
          <w:color w:val="auto"/>
        </w:rPr>
        <w:t xml:space="preserve">POLICYHOLDER </w:t>
      </w:r>
      <w:r>
        <w:rPr>
          <w:rFonts w:ascii="Arial" w:cs="Arial" w:eastAsia="Arial" w:hAnsi="Arial"/>
          <w:sz w:val="22"/>
          <w:szCs w:val="22"/>
          <w:color w:val="auto"/>
        </w:rPr>
        <w:t>means the Employer to whom the policy is issued.</w:t>
      </w:r>
    </w:p>
    <w:p>
      <w:pPr>
        <w:spacing w:after="0" w:line="233" w:lineRule="exact"/>
        <w:rPr>
          <w:sz w:val="20"/>
          <w:szCs w:val="20"/>
          <w:color w:val="auto"/>
        </w:rPr>
      </w:pPr>
    </w:p>
    <w:p>
      <w:pPr>
        <w:ind w:right="520"/>
        <w:spacing w:after="0" w:line="258" w:lineRule="auto"/>
        <w:rPr>
          <w:sz w:val="20"/>
          <w:szCs w:val="20"/>
          <w:color w:val="auto"/>
        </w:rPr>
      </w:pPr>
      <w:r>
        <w:rPr>
          <w:rFonts w:ascii="Arial" w:cs="Arial" w:eastAsia="Arial" w:hAnsi="Arial"/>
          <w:sz w:val="22"/>
          <w:szCs w:val="22"/>
          <w:b w:val="1"/>
          <w:bCs w:val="1"/>
          <w:color w:val="auto"/>
        </w:rPr>
        <w:t xml:space="preserve">PRE-EXISTING CONDITION </w:t>
      </w:r>
      <w:r>
        <w:rPr>
          <w:rFonts w:ascii="Arial" w:cs="Arial" w:eastAsia="Arial" w:hAnsi="Arial"/>
          <w:sz w:val="22"/>
          <w:szCs w:val="22"/>
          <w:color w:val="auto"/>
        </w:rPr>
        <w:t>means a condition for which you received medical treatment, consultation, care or</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including diagnostic measures, or took prescribed drugs or medicines for your condition during the given period of time as stated in the plan.</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RECURRENT DISABILITY </w:t>
      </w:r>
      <w:r>
        <w:rPr>
          <w:rFonts w:ascii="Arial" w:cs="Arial" w:eastAsia="Arial" w:hAnsi="Arial"/>
          <w:sz w:val="22"/>
          <w:szCs w:val="22"/>
          <w:color w:val="auto"/>
        </w:rPr>
        <w:t>means a disability which is:</w:t>
      </w:r>
    </w:p>
    <w:p>
      <w:pPr>
        <w:spacing w:after="0" w:line="219" w:lineRule="exact"/>
        <w:rPr>
          <w:sz w:val="20"/>
          <w:szCs w:val="20"/>
          <w:color w:val="auto"/>
        </w:rPr>
      </w:pPr>
    </w:p>
    <w:p>
      <w:pPr>
        <w:ind w:left="580" w:hanging="571"/>
        <w:spacing w:after="0"/>
        <w:tabs>
          <w:tab w:leader="none" w:pos="58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caused by a worsening in your condition; and</w:t>
      </w:r>
    </w:p>
    <w:p>
      <w:pPr>
        <w:spacing w:after="0" w:line="17" w:lineRule="exact"/>
        <w:rPr>
          <w:rFonts w:ascii="Arial" w:cs="Arial" w:eastAsia="Arial" w:hAnsi="Arial"/>
          <w:sz w:val="22"/>
          <w:szCs w:val="22"/>
          <w:color w:val="auto"/>
        </w:rPr>
      </w:pPr>
    </w:p>
    <w:p>
      <w:pPr>
        <w:ind w:left="580" w:hanging="571"/>
        <w:spacing w:after="0"/>
        <w:tabs>
          <w:tab w:leader="none" w:pos="58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due to the same cause(s) as your prior disability for which Unum made a Long Term Disability payment.</w:t>
      </w:r>
    </w:p>
    <w:p>
      <w:pPr>
        <w:spacing w:after="0" w:line="288" w:lineRule="exact"/>
        <w:rPr>
          <w:sz w:val="20"/>
          <w:szCs w:val="20"/>
          <w:color w:val="auto"/>
        </w:rPr>
      </w:pPr>
    </w:p>
    <w:p>
      <w:pPr>
        <w:ind w:right="340"/>
        <w:spacing w:after="0" w:line="274" w:lineRule="auto"/>
        <w:rPr>
          <w:sz w:val="20"/>
          <w:szCs w:val="20"/>
          <w:color w:val="auto"/>
        </w:rPr>
      </w:pPr>
      <w:r>
        <w:rPr>
          <w:rFonts w:ascii="Arial" w:cs="Arial" w:eastAsia="Arial" w:hAnsi="Arial"/>
          <w:sz w:val="22"/>
          <w:szCs w:val="22"/>
          <w:b w:val="1"/>
          <w:bCs w:val="1"/>
          <w:color w:val="auto"/>
        </w:rPr>
        <w:t xml:space="preserve">REGISTERED DOMESTIC PARTNER </w:t>
      </w:r>
      <w:r>
        <w:rPr>
          <w:rFonts w:ascii="Arial" w:cs="Arial" w:eastAsia="Arial" w:hAnsi="Arial"/>
          <w:sz w:val="22"/>
          <w:szCs w:val="22"/>
          <w:color w:val="auto"/>
        </w:rPr>
        <w:t>means the person named in your declaration of domestic partnership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registered with a governmental body pursuant to state or local law authorizing such registration.</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REGULAR CARE </w:t>
      </w:r>
      <w:r>
        <w:rPr>
          <w:rFonts w:ascii="Arial" w:cs="Arial" w:eastAsia="Arial" w:hAnsi="Arial"/>
          <w:sz w:val="22"/>
          <w:szCs w:val="22"/>
          <w:color w:val="auto"/>
        </w:rPr>
        <w:t>means:</w:t>
      </w:r>
    </w:p>
    <w:p>
      <w:pPr>
        <w:spacing w:after="0" w:line="259" w:lineRule="exact"/>
        <w:rPr>
          <w:sz w:val="20"/>
          <w:szCs w:val="20"/>
          <w:color w:val="auto"/>
        </w:rPr>
      </w:pPr>
    </w:p>
    <w:p>
      <w:pPr>
        <w:ind w:left="580" w:right="180" w:hanging="571"/>
        <w:spacing w:after="0" w:line="243" w:lineRule="auto"/>
        <w:tabs>
          <w:tab w:leader="none" w:pos="58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you personally visit a physician as frequently as is medically required, according to generally accepted medical standards, to effectively manage and treat your disabling condition(s); and</w:t>
      </w:r>
    </w:p>
    <w:p>
      <w:pPr>
        <w:ind w:left="580" w:right="220" w:hanging="571"/>
        <w:spacing w:after="0" w:line="246" w:lineRule="auto"/>
        <w:tabs>
          <w:tab w:leader="none" w:pos="58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you are receiving the most appropriate treatment and care which conforms with generally accepted medical standards, for your disabling condition(s) by a physician whose specialty or experience is the most appropriate for your disabling condition(s), according to generally accepted medical standards.</w:t>
      </w:r>
    </w:p>
    <w:p>
      <w:pPr>
        <w:spacing w:after="0" w:line="223" w:lineRule="exact"/>
        <w:rPr>
          <w:sz w:val="20"/>
          <w:szCs w:val="20"/>
          <w:color w:val="auto"/>
        </w:rPr>
      </w:pPr>
    </w:p>
    <w:p>
      <w:pPr>
        <w:ind w:right="140"/>
        <w:spacing w:after="0" w:line="258" w:lineRule="auto"/>
        <w:rPr>
          <w:sz w:val="20"/>
          <w:szCs w:val="20"/>
          <w:color w:val="auto"/>
        </w:rPr>
      </w:pPr>
      <w:r>
        <w:rPr>
          <w:rFonts w:ascii="Arial" w:cs="Arial" w:eastAsia="Arial" w:hAnsi="Arial"/>
          <w:sz w:val="22"/>
          <w:szCs w:val="22"/>
          <w:b w:val="1"/>
          <w:bCs w:val="1"/>
          <w:color w:val="auto"/>
        </w:rPr>
        <w:t xml:space="preserve">REGULAR OCCUPATION </w:t>
      </w:r>
      <w:r>
        <w:rPr>
          <w:rFonts w:ascii="Arial" w:cs="Arial" w:eastAsia="Arial" w:hAnsi="Arial"/>
          <w:sz w:val="22"/>
          <w:szCs w:val="22"/>
          <w:color w:val="auto"/>
        </w:rPr>
        <w:t>means the occupation you are routinely performing when your disability begins. Unum will</w:t>
      </w:r>
      <w:r>
        <w:rPr>
          <w:rFonts w:ascii="Arial" w:cs="Arial" w:eastAsia="Arial" w:hAnsi="Arial"/>
          <w:sz w:val="22"/>
          <w:szCs w:val="22"/>
          <w:b w:val="1"/>
          <w:bCs w:val="1"/>
          <w:color w:val="auto"/>
        </w:rPr>
        <w:t xml:space="preserve"> </w:t>
      </w:r>
      <w:r>
        <w:rPr>
          <w:rFonts w:ascii="Arial" w:cs="Arial" w:eastAsia="Arial" w:hAnsi="Arial"/>
          <w:sz w:val="22"/>
          <w:szCs w:val="22"/>
          <w:color w:val="auto"/>
        </w:rPr>
        <w:t>look at your occupation as it is normally performed in the national economy, instead of how the work tasks are performed for a specific employer or at a specific location.</w:t>
      </w:r>
    </w:p>
    <w:p>
      <w:pPr>
        <w:spacing w:after="0" w:line="211" w:lineRule="exact"/>
        <w:rPr>
          <w:sz w:val="20"/>
          <w:szCs w:val="20"/>
          <w:color w:val="auto"/>
        </w:rPr>
      </w:pPr>
    </w:p>
    <w:p>
      <w:pPr>
        <w:ind w:right="100"/>
        <w:spacing w:after="0" w:line="258" w:lineRule="auto"/>
        <w:rPr>
          <w:sz w:val="20"/>
          <w:szCs w:val="20"/>
          <w:color w:val="auto"/>
        </w:rPr>
      </w:pPr>
      <w:r>
        <w:rPr>
          <w:rFonts w:ascii="Arial" w:cs="Arial" w:eastAsia="Arial" w:hAnsi="Arial"/>
          <w:sz w:val="22"/>
          <w:szCs w:val="22"/>
          <w:b w:val="1"/>
          <w:bCs w:val="1"/>
          <w:color w:val="auto"/>
        </w:rPr>
        <w:t xml:space="preserve">RETIREMENT PLAN </w:t>
      </w:r>
      <w:r>
        <w:rPr>
          <w:rFonts w:ascii="Arial" w:cs="Arial" w:eastAsia="Arial" w:hAnsi="Arial"/>
          <w:sz w:val="22"/>
          <w:szCs w:val="22"/>
          <w:color w:val="auto"/>
        </w:rPr>
        <w:t>means a defined contribution plan or defined benefit plan. These are plans which provide</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benefits to employees and are not funded entirely by employee contributions. Retirement Plan includes but is not limited to any plan which is part of any federal, state, county, municipal or association retirement system.</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SALARY CONTINUATION OR ACCUMULATED SICK LEAVE </w:t>
      </w:r>
      <w:r>
        <w:rPr>
          <w:rFonts w:ascii="Arial" w:cs="Arial" w:eastAsia="Arial" w:hAnsi="Arial"/>
          <w:sz w:val="22"/>
          <w:szCs w:val="22"/>
          <w:color w:val="auto"/>
        </w:rPr>
        <w:t>means continued</w:t>
      </w:r>
    </w:p>
    <w:p>
      <w:pPr>
        <w:spacing w:after="0" w:line="43"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payments to you by your Employer of all or part of your monthly earnings, after you become disabled as defined by the Policy. This continued payment must be part of an established plan maintained by your Employer for the benefit of all employees covered under the Policy. Salary continuation or accumulated sick leave does not include compensation paid to you by your Employer for work you actually perform after your disability begins. Such compensation is considered disability earnings, and would be taken into account in calculating your monthly payment.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SICKNESS </w:t>
      </w:r>
      <w:r>
        <w:rPr>
          <w:rFonts w:ascii="Arial" w:cs="Arial" w:eastAsia="Arial" w:hAnsi="Arial"/>
          <w:sz w:val="22"/>
          <w:szCs w:val="22"/>
          <w:color w:val="auto"/>
        </w:rPr>
        <w:t>means an illness or disease. Disability must begin while you are covered under the plan.</w:t>
      </w:r>
    </w:p>
    <w:p>
      <w:pPr>
        <w:sectPr>
          <w:pgSz w:w="11900" w:h="16838" w:orient="portrait"/>
          <w:cols w:equalWidth="0" w:num="1">
            <w:col w:w="11320"/>
          </w:cols>
          <w:pgMar w:left="320" w:top="364" w:right="259" w:bottom="1440" w:gutter="0" w:footer="0" w:header="0"/>
        </w:sectPr>
      </w:pPr>
    </w:p>
    <w:bookmarkStart w:id="205" w:name="page206"/>
    <w:bookmarkEnd w:id="205"/>
    <w:p>
      <w:pPr>
        <w:ind w:right="380"/>
        <w:spacing w:after="0" w:line="274" w:lineRule="auto"/>
        <w:rPr>
          <w:sz w:val="20"/>
          <w:szCs w:val="20"/>
          <w:color w:val="auto"/>
        </w:rPr>
      </w:pPr>
      <w:r>
        <w:rPr>
          <w:rFonts w:ascii="Arial" w:cs="Arial" w:eastAsia="Arial" w:hAnsi="Arial"/>
          <w:sz w:val="22"/>
          <w:szCs w:val="22"/>
          <w:b w:val="1"/>
          <w:bCs w:val="1"/>
          <w:color w:val="auto"/>
        </w:rPr>
        <w:t xml:space="preserve">SURVIVOR, ELIGIBLE </w:t>
      </w:r>
      <w:r>
        <w:rPr>
          <w:rFonts w:ascii="Arial" w:cs="Arial" w:eastAsia="Arial" w:hAnsi="Arial"/>
          <w:sz w:val="22"/>
          <w:szCs w:val="22"/>
          <w:color w:val="auto"/>
        </w:rPr>
        <w:t>means your spouse, your</w:t>
      </w:r>
      <w:r>
        <w:rPr>
          <w:rFonts w:ascii="Arial" w:cs="Arial" w:eastAsia="Arial" w:hAnsi="Arial"/>
          <w:sz w:val="22"/>
          <w:szCs w:val="22"/>
          <w:b w:val="1"/>
          <w:bCs w:val="1"/>
          <w:color w:val="auto"/>
        </w:rPr>
        <w:t xml:space="preserve"> registered domestic partner </w:t>
      </w:r>
      <w:r>
        <w:rPr>
          <w:rFonts w:ascii="Arial" w:cs="Arial" w:eastAsia="Arial" w:hAnsi="Arial"/>
          <w:sz w:val="22"/>
          <w:szCs w:val="22"/>
          <w:color w:val="auto"/>
        </w:rPr>
        <w:t>or your</w:t>
      </w:r>
      <w:r>
        <w:rPr>
          <w:rFonts w:ascii="Arial" w:cs="Arial" w:eastAsia="Arial" w:hAnsi="Arial"/>
          <w:sz w:val="22"/>
          <w:szCs w:val="22"/>
          <w:b w:val="1"/>
          <w:bCs w:val="1"/>
          <w:color w:val="auto"/>
        </w:rPr>
        <w:t xml:space="preserve"> non-registered domestic partner</w:t>
      </w:r>
      <w:r>
        <w:rPr>
          <w:rFonts w:ascii="Arial" w:cs="Arial" w:eastAsia="Arial" w:hAnsi="Arial"/>
          <w:sz w:val="22"/>
          <w:szCs w:val="22"/>
          <w:color w:val="auto"/>
        </w:rPr>
        <w:t>, if living; otherwise your children under age 25 equally.</w:t>
      </w:r>
    </w:p>
    <w:p>
      <w:pPr>
        <w:spacing w:after="0" w:line="192" w:lineRule="exact"/>
        <w:rPr>
          <w:sz w:val="20"/>
          <w:szCs w:val="20"/>
          <w:color w:val="auto"/>
        </w:rPr>
      </w:pPr>
    </w:p>
    <w:p>
      <w:pPr>
        <w:spacing w:after="0" w:line="274" w:lineRule="auto"/>
        <w:rPr>
          <w:sz w:val="20"/>
          <w:szCs w:val="20"/>
          <w:color w:val="auto"/>
        </w:rPr>
      </w:pPr>
      <w:r>
        <w:rPr>
          <w:rFonts w:ascii="Arial" w:cs="Arial" w:eastAsia="Arial" w:hAnsi="Arial"/>
          <w:sz w:val="22"/>
          <w:szCs w:val="22"/>
          <w:b w:val="1"/>
          <w:bCs w:val="1"/>
          <w:color w:val="auto"/>
        </w:rPr>
        <w:t xml:space="preserve">TOTAL COVERED PAYROLL </w:t>
      </w:r>
      <w:r>
        <w:rPr>
          <w:rFonts w:ascii="Arial" w:cs="Arial" w:eastAsia="Arial" w:hAnsi="Arial"/>
          <w:sz w:val="22"/>
          <w:szCs w:val="22"/>
          <w:color w:val="auto"/>
        </w:rPr>
        <w:t>means the total amount of monthly earnings for which employees are insured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plan.</w:t>
      </w:r>
    </w:p>
    <w:p>
      <w:pPr>
        <w:spacing w:after="0" w:line="192" w:lineRule="exact"/>
        <w:rPr>
          <w:sz w:val="20"/>
          <w:szCs w:val="20"/>
          <w:color w:val="auto"/>
        </w:rPr>
      </w:pPr>
    </w:p>
    <w:p>
      <w:pPr>
        <w:ind w:right="180"/>
        <w:spacing w:after="0" w:line="274" w:lineRule="auto"/>
        <w:rPr>
          <w:sz w:val="20"/>
          <w:szCs w:val="20"/>
          <w:color w:val="auto"/>
        </w:rPr>
      </w:pPr>
      <w:r>
        <w:rPr>
          <w:rFonts w:ascii="Arial" w:cs="Arial" w:eastAsia="Arial" w:hAnsi="Arial"/>
          <w:sz w:val="22"/>
          <w:szCs w:val="22"/>
          <w:b w:val="1"/>
          <w:bCs w:val="1"/>
          <w:color w:val="auto"/>
        </w:rPr>
        <w:t xml:space="preserve">WAITING PERIOD </w:t>
      </w:r>
      <w:r>
        <w:rPr>
          <w:rFonts w:ascii="Arial" w:cs="Arial" w:eastAsia="Arial" w:hAnsi="Arial"/>
          <w:sz w:val="22"/>
          <w:szCs w:val="22"/>
          <w:color w:val="auto"/>
        </w:rPr>
        <w:t>means the continuous period of time (shown in each plan) that you must be in active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in an eligible group before you are eligible for coverage under a plan.</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w:t>
      </w:r>
      <w:r>
        <w:rPr>
          <w:rFonts w:ascii="Arial" w:cs="Arial" w:eastAsia="Arial" w:hAnsi="Arial"/>
          <w:sz w:val="22"/>
          <w:szCs w:val="22"/>
          <w:color w:val="auto"/>
        </w:rPr>
        <w:t>,</w:t>
      </w:r>
      <w:r>
        <w:rPr>
          <w:rFonts w:ascii="Arial" w:cs="Arial" w:eastAsia="Arial" w:hAnsi="Arial"/>
          <w:sz w:val="22"/>
          <w:szCs w:val="22"/>
          <w:b w:val="1"/>
          <w:bCs w:val="1"/>
          <w:color w:val="auto"/>
        </w:rPr>
        <w:t xml:space="preserve"> US </w:t>
      </w:r>
      <w:r>
        <w:rPr>
          <w:rFonts w:ascii="Arial" w:cs="Arial" w:eastAsia="Arial" w:hAnsi="Arial"/>
          <w:sz w:val="22"/>
          <w:szCs w:val="22"/>
          <w:color w:val="auto"/>
        </w:rPr>
        <w:t>and</w:t>
      </w:r>
      <w:r>
        <w:rPr>
          <w:rFonts w:ascii="Arial" w:cs="Arial" w:eastAsia="Arial" w:hAnsi="Arial"/>
          <w:sz w:val="22"/>
          <w:szCs w:val="22"/>
          <w:b w:val="1"/>
          <w:bCs w:val="1"/>
          <w:color w:val="auto"/>
        </w:rPr>
        <w:t xml:space="preserve"> OUR </w:t>
      </w:r>
      <w:r>
        <w:rPr>
          <w:rFonts w:ascii="Arial" w:cs="Arial" w:eastAsia="Arial" w:hAnsi="Arial"/>
          <w:sz w:val="22"/>
          <w:szCs w:val="22"/>
          <w:color w:val="auto"/>
        </w:rPr>
        <w:t>means Unum Life Insurance Company of America.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YOU </w:t>
      </w:r>
      <w:r>
        <w:rPr>
          <w:rFonts w:ascii="Arial" w:cs="Arial" w:eastAsia="Arial" w:hAnsi="Arial"/>
          <w:sz w:val="22"/>
          <w:szCs w:val="22"/>
          <w:color w:val="auto"/>
        </w:rPr>
        <w:t>means an employee who is eligible for Unum coverage.</w:t>
      </w:r>
    </w:p>
    <w:p>
      <w:pPr>
        <w:sectPr>
          <w:pgSz w:w="11900" w:h="16838" w:orient="portrait"/>
          <w:cols w:equalWidth="0" w:num="1">
            <w:col w:w="11340"/>
          </w:cols>
          <w:pgMar w:left="320" w:top="364"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25"/>
          <w:szCs w:val="25"/>
          <w:b w:val="1"/>
          <w:bCs w:val="1"/>
          <w:color w:val="auto"/>
        </w:rPr>
        <w:t>ERISA</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Summary Plan Description Information</w:t>
      </w:r>
    </w:p>
    <w:p>
      <w:pPr>
        <w:spacing w:after="0" w:line="259" w:lineRule="exact"/>
        <w:rPr>
          <w:sz w:val="20"/>
          <w:szCs w:val="20"/>
          <w:color w:val="auto"/>
        </w:rPr>
      </w:pPr>
    </w:p>
    <w:p>
      <w:pPr>
        <w:ind w:right="120"/>
        <w:spacing w:after="0" w:line="261" w:lineRule="auto"/>
        <w:rPr>
          <w:sz w:val="20"/>
          <w:szCs w:val="20"/>
          <w:color w:val="auto"/>
        </w:rPr>
      </w:pPr>
      <w:r>
        <w:rPr>
          <w:rFonts w:ascii="Arial" w:cs="Arial" w:eastAsia="Arial" w:hAnsi="Arial"/>
          <w:sz w:val="21"/>
          <w:szCs w:val="21"/>
          <w:color w:val="auto"/>
        </w:rPr>
        <w:t>If the policy provides benefits under a Plan which is subject to the Employee Retirement Income Security Act of 1974 (ERISA), the following provisions apply. These provisions, together with your certificate of coverage, constitute the summary plan description. The summary plan description and the policy constitute the Plan. Benefit determinations are controlled exclusively by the policy, your certificate of coverage and the information contained in this document.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Name and Number:</w:t>
      </w:r>
    </w:p>
    <w:p>
      <w:pPr>
        <w:spacing w:after="0" w:line="43" w:lineRule="exact"/>
        <w:rPr>
          <w:sz w:val="20"/>
          <w:szCs w:val="20"/>
          <w:color w:val="auto"/>
        </w:rPr>
      </w:pPr>
    </w:p>
    <w:p>
      <w:pPr>
        <w:ind w:left="660" w:right="420"/>
        <w:spacing w:after="0" w:line="249" w:lineRule="auto"/>
        <w:rPr>
          <w:sz w:val="20"/>
          <w:szCs w:val="20"/>
          <w:color w:val="auto"/>
        </w:rPr>
      </w:pPr>
      <w:r>
        <w:rPr>
          <w:rFonts w:ascii="Arial" w:cs="Arial" w:eastAsia="Arial" w:hAnsi="Arial"/>
          <w:sz w:val="22"/>
          <w:szCs w:val="22"/>
          <w:color w:val="auto"/>
        </w:rPr>
        <w:t>The Northrop Grumman Health Plan is a component plan under the Northrop Grumman Corporation Group Benefits Plan; plan 501</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Employer/Plan Sponsor:</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Northrop Grumman Corporation 2980 Fairview Park Drive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Falls Church, Virginia 22042</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Employer Identification Number (EIN):</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80-0640469</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Welfare Plan:</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Welfare Benefit Plan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Administration:</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Insured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Benefit Plan Year:</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January 1 to December 31</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ERISA Plan Year Ends: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December 31</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Administrator:</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Employee Welfare Benefits Committee Northrop Grumman Corporation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7201 Hewitt Associates Drive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P.O. Box 8000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Charlotte, North Carolina 28262-8000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1-800-894-4194</w:t>
      </w:r>
    </w:p>
    <w:p>
      <w:pPr>
        <w:spacing w:after="0" w:line="233" w:lineRule="exact"/>
        <w:rPr>
          <w:sz w:val="20"/>
          <w:szCs w:val="20"/>
          <w:color w:val="auto"/>
        </w:rPr>
      </w:pPr>
    </w:p>
    <w:p>
      <w:pPr>
        <w:ind w:left="660"/>
        <w:spacing w:after="0" w:line="246" w:lineRule="auto"/>
        <w:rPr>
          <w:sz w:val="20"/>
          <w:szCs w:val="20"/>
          <w:color w:val="auto"/>
        </w:rPr>
      </w:pPr>
      <w:r>
        <w:rPr>
          <w:rFonts w:ascii="Arial" w:cs="Arial" w:eastAsia="Arial" w:hAnsi="Arial"/>
          <w:sz w:val="22"/>
          <w:szCs w:val="22"/>
          <w:color w:val="auto"/>
        </w:rPr>
        <w:t>Northrop Grumman Corporation is the Plan Administrator and named fiduciary of the Plan, with authority to delegate its duties. The Plan Administrator may designate Trustees of the Plan, in which case the Administrator will advise you separately of the name, title and address of each Trustee.</w:t>
      </w:r>
    </w:p>
    <w:p>
      <w:pPr>
        <w:sectPr>
          <w:pgSz w:w="11900" w:h="16838" w:orient="portrait"/>
          <w:cols w:equalWidth="0" w:num="1">
            <w:col w:w="11280"/>
          </w:cols>
          <w:pgMar w:left="320" w:top="406" w:right="29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b w:val="1"/>
          <w:bCs w:val="1"/>
          <w:color w:val="auto"/>
        </w:rPr>
        <w:t>Agent for Service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Process on the Plan:</w:t>
      </w:r>
    </w:p>
    <w:p>
      <w:pPr>
        <w:spacing w:after="0" w:line="14" w:lineRule="exact"/>
        <w:rPr>
          <w:sz w:val="20"/>
          <w:szCs w:val="20"/>
          <w:color w:val="auto"/>
        </w:rPr>
      </w:pPr>
    </w:p>
    <w:p>
      <w:pPr>
        <w:ind w:left="660" w:right="180"/>
        <w:spacing w:after="0" w:line="243" w:lineRule="auto"/>
        <w:rPr>
          <w:sz w:val="20"/>
          <w:szCs w:val="20"/>
          <w:color w:val="auto"/>
        </w:rPr>
      </w:pPr>
      <w:r>
        <w:rPr>
          <w:rFonts w:ascii="Arial" w:cs="Arial" w:eastAsia="Arial" w:hAnsi="Arial"/>
          <w:sz w:val="22"/>
          <w:szCs w:val="22"/>
          <w:color w:val="auto"/>
        </w:rPr>
        <w:t>Northrop Grumman Corporation c/o Corporate Secretary Northrop Grumman Corporation 2980 Fairview Park Drive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Falls Church, Virginia 22042</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Service of process may also be made to the plan trustee or the plan administrator.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Funding and Contributions:</w:t>
      </w:r>
    </w:p>
    <w:p>
      <w:pPr>
        <w:spacing w:after="0" w:line="43" w:lineRule="exact"/>
        <w:rPr>
          <w:sz w:val="20"/>
          <w:szCs w:val="20"/>
          <w:color w:val="auto"/>
        </w:rPr>
      </w:pPr>
    </w:p>
    <w:p>
      <w:pPr>
        <w:ind w:left="660" w:right="60"/>
        <w:spacing w:after="0" w:line="245" w:lineRule="auto"/>
        <w:rPr>
          <w:sz w:val="20"/>
          <w:szCs w:val="20"/>
          <w:color w:val="auto"/>
        </w:rPr>
      </w:pPr>
      <w:r>
        <w:rPr>
          <w:rFonts w:ascii="Arial" w:cs="Arial" w:eastAsia="Arial" w:hAnsi="Arial"/>
          <w:sz w:val="22"/>
          <w:szCs w:val="22"/>
          <w:color w:val="auto"/>
        </w:rPr>
        <w:t>Long Term Disability Benefits under the plan are funded on an insured basis under policy number 587628 002, issued by Unum Life Insurance Company of America, 2211 Congress Street, Portland, Maine 04122. Contributions to the Plan are made as stated under "WHO PAYS FOR THE COVERAGE" in the Certificate of Coverage.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EMPLOYER'S RIGHT TO AMEND THE PLAN</w:t>
      </w:r>
    </w:p>
    <w:p>
      <w:pPr>
        <w:spacing w:after="0" w:line="259" w:lineRule="exact"/>
        <w:rPr>
          <w:sz w:val="20"/>
          <w:szCs w:val="20"/>
          <w:color w:val="auto"/>
        </w:rPr>
      </w:pPr>
    </w:p>
    <w:p>
      <w:pPr>
        <w:ind w:left="340" w:right="60"/>
        <w:spacing w:after="0" w:line="245" w:lineRule="auto"/>
        <w:rPr>
          <w:sz w:val="20"/>
          <w:szCs w:val="20"/>
          <w:color w:val="auto"/>
        </w:rPr>
      </w:pPr>
      <w:r>
        <w:rPr>
          <w:rFonts w:ascii="Arial" w:cs="Arial" w:eastAsia="Arial" w:hAnsi="Arial"/>
          <w:sz w:val="22"/>
          <w:szCs w:val="22"/>
          <w:color w:val="auto"/>
        </w:rPr>
        <w:t>The Employer reserves the right, in its sole and absolute discretion, to amend, modify, or terminate, in whole or in part, any or all of the provisions of this Plan (including any related documents and underlying policies), at any time and for any reason or no reason. This includes the right to amend or terminate the long term disability benefits described in the Certificate of Coverage. Any amendment, modification, or termination must be in writing and endorsed on or attached to the Plan.</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EMPLOYER'S RIGHT TO REQUEST POLICY CHANGE</w:t>
      </w:r>
    </w:p>
    <w:p>
      <w:pPr>
        <w:spacing w:after="0" w:line="259" w:lineRule="exact"/>
        <w:rPr>
          <w:sz w:val="20"/>
          <w:szCs w:val="20"/>
          <w:color w:val="auto"/>
        </w:rPr>
      </w:pPr>
    </w:p>
    <w:p>
      <w:pPr>
        <w:ind w:left="340" w:right="640"/>
        <w:spacing w:after="0" w:line="249" w:lineRule="auto"/>
        <w:rPr>
          <w:sz w:val="20"/>
          <w:szCs w:val="20"/>
          <w:color w:val="auto"/>
        </w:rPr>
      </w:pPr>
      <w:r>
        <w:rPr>
          <w:rFonts w:ascii="Arial" w:cs="Arial" w:eastAsia="Arial" w:hAnsi="Arial"/>
          <w:sz w:val="22"/>
          <w:szCs w:val="22"/>
          <w:color w:val="auto"/>
        </w:rPr>
        <w:t>The Employer can request a policy change. Only an officer or registrar of Unum can approve a change. The change must be in writing and endorsed on or attached to the policy.</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CANCELLING THE POLICY OR A PLAN UNDER THE POLICY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policy or a plan under the policy can be cancelled:</w:t>
      </w:r>
    </w:p>
    <w:p>
      <w:pPr>
        <w:spacing w:after="0" w:line="193" w:lineRule="exact"/>
        <w:rPr>
          <w:sz w:val="20"/>
          <w:szCs w:val="20"/>
          <w:color w:val="auto"/>
        </w:rPr>
      </w:pPr>
    </w:p>
    <w:p>
      <w:pPr>
        <w:ind w:left="520" w:hanging="187"/>
        <w:spacing w:after="0"/>
        <w:tabs>
          <w:tab w:leader="none" w:pos="52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by Unum; or</w:t>
      </w:r>
    </w:p>
    <w:p>
      <w:pPr>
        <w:spacing w:after="0" w:line="17" w:lineRule="exact"/>
        <w:rPr>
          <w:rFonts w:ascii="Arial" w:cs="Arial" w:eastAsia="Arial" w:hAnsi="Arial"/>
          <w:sz w:val="22"/>
          <w:szCs w:val="22"/>
          <w:color w:val="auto"/>
        </w:rPr>
      </w:pPr>
    </w:p>
    <w:p>
      <w:pPr>
        <w:ind w:left="520" w:hanging="187"/>
        <w:spacing w:after="0"/>
        <w:tabs>
          <w:tab w:leader="none" w:pos="52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by the Policyholder.</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Unum may cancel or offer to modify the policy or a plan if:</w:t>
      </w:r>
    </w:p>
    <w:p>
      <w:pPr>
        <w:spacing w:after="0" w:line="233" w:lineRule="exact"/>
        <w:rPr>
          <w:sz w:val="20"/>
          <w:szCs w:val="20"/>
          <w:color w:val="auto"/>
        </w:rPr>
      </w:pPr>
    </w:p>
    <w:p>
      <w:pPr>
        <w:ind w:left="520" w:hanging="187"/>
        <w:spacing w:after="0"/>
        <w:tabs>
          <w:tab w:leader="none" w:pos="520" w:val="left"/>
        </w:tabs>
        <w:numPr>
          <w:ilvl w:val="0"/>
          <w:numId w:val="222"/>
        </w:numPr>
        <w:rPr>
          <w:rFonts w:ascii="Arial" w:cs="Arial" w:eastAsia="Arial" w:hAnsi="Arial"/>
          <w:sz w:val="21"/>
          <w:szCs w:val="21"/>
          <w:color w:val="auto"/>
        </w:rPr>
      </w:pPr>
      <w:r>
        <w:rPr>
          <w:rFonts w:ascii="Arial" w:cs="Arial" w:eastAsia="Arial" w:hAnsi="Arial"/>
          <w:sz w:val="21"/>
          <w:szCs w:val="21"/>
          <w:color w:val="auto"/>
        </w:rPr>
        <w:t>there is less than 25% participation of those eligible employees who pay all or part of their premium for a plan; or</w:t>
      </w:r>
    </w:p>
    <w:p>
      <w:pPr>
        <w:spacing w:after="0" w:line="15" w:lineRule="exact"/>
        <w:rPr>
          <w:rFonts w:ascii="Arial" w:cs="Arial" w:eastAsia="Arial" w:hAnsi="Arial"/>
          <w:sz w:val="21"/>
          <w:szCs w:val="21"/>
          <w:color w:val="auto"/>
        </w:rPr>
      </w:pPr>
    </w:p>
    <w:p>
      <w:pPr>
        <w:ind w:left="520" w:hanging="187"/>
        <w:spacing w:after="0"/>
        <w:tabs>
          <w:tab w:leader="none" w:pos="52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there is less than 100% participation of those eligible employees for a Policyholder paid plan;</w:t>
      </w:r>
    </w:p>
    <w:p>
      <w:pPr>
        <w:sectPr>
          <w:pgSz w:w="11900" w:h="16838" w:orient="portrait"/>
          <w:cols w:equalWidth="0" w:num="1">
            <w:col w:w="11260"/>
          </w:cols>
          <w:pgMar w:left="320" w:top="661" w:right="319" w:bottom="1440" w:gutter="0" w:footer="0" w:header="0"/>
        </w:sectPr>
      </w:pPr>
    </w:p>
    <w:bookmarkStart w:id="208" w:name="page209"/>
    <w:bookmarkEnd w:id="208"/>
    <w:p>
      <w:pPr>
        <w:ind w:left="520" w:hanging="187"/>
        <w:spacing w:after="0"/>
        <w:tabs>
          <w:tab w:leader="none" w:pos="52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Policyholder does not promptly provide Unum with information that is reasonably required;</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Policyholder fails to perform any of its obligations that relate to the policy;</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fewer than 25 employees are insured under a plan;</w:t>
      </w:r>
    </w:p>
    <w:p>
      <w:pPr>
        <w:spacing w:after="0" w:line="3" w:lineRule="exact"/>
        <w:rPr>
          <w:rFonts w:ascii="Arial" w:cs="Arial" w:eastAsia="Arial" w:hAnsi="Arial"/>
          <w:sz w:val="22"/>
          <w:szCs w:val="22"/>
          <w:color w:val="auto"/>
        </w:rPr>
      </w:pPr>
    </w:p>
    <w:p>
      <w:pPr>
        <w:ind w:left="520" w:hanging="187"/>
        <w:spacing w:after="0"/>
        <w:tabs>
          <w:tab w:leader="none" w:pos="52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Policyholder fails to pay any premium within the 60 day grace period.</w:t>
      </w:r>
    </w:p>
    <w:p>
      <w:pPr>
        <w:spacing w:after="0" w:line="314" w:lineRule="exact"/>
        <w:rPr>
          <w:sz w:val="20"/>
          <w:szCs w:val="20"/>
          <w:color w:val="auto"/>
        </w:rPr>
      </w:pPr>
    </w:p>
    <w:p>
      <w:pPr>
        <w:ind w:left="340" w:right="440"/>
        <w:spacing w:after="0" w:line="249" w:lineRule="auto"/>
        <w:rPr>
          <w:sz w:val="20"/>
          <w:szCs w:val="20"/>
          <w:color w:val="auto"/>
        </w:rPr>
      </w:pPr>
      <w:r>
        <w:rPr>
          <w:rFonts w:ascii="Arial" w:cs="Arial" w:eastAsia="Arial" w:hAnsi="Arial"/>
          <w:sz w:val="22"/>
          <w:szCs w:val="22"/>
          <w:color w:val="auto"/>
        </w:rPr>
        <w:t>If Unum cancels the policy or a plan for reasons other than the Policyholder's failure to pay premium, a written notice will be delivered to the Policyholder at least 120 days prior to the cancellation date.</w:t>
      </w:r>
    </w:p>
    <w:p>
      <w:pPr>
        <w:spacing w:after="0" w:line="245" w:lineRule="exact"/>
        <w:rPr>
          <w:sz w:val="20"/>
          <w:szCs w:val="20"/>
          <w:color w:val="auto"/>
        </w:rPr>
      </w:pPr>
    </w:p>
    <w:p>
      <w:pPr>
        <w:jc w:val="both"/>
        <w:ind w:left="340" w:right="200"/>
        <w:spacing w:after="0" w:line="246" w:lineRule="auto"/>
        <w:rPr>
          <w:sz w:val="20"/>
          <w:szCs w:val="20"/>
          <w:color w:val="auto"/>
        </w:rPr>
      </w:pPr>
      <w:r>
        <w:rPr>
          <w:rFonts w:ascii="Arial" w:cs="Arial" w:eastAsia="Arial" w:hAnsi="Arial"/>
          <w:sz w:val="22"/>
          <w:szCs w:val="22"/>
          <w:color w:val="auto"/>
        </w:rPr>
        <w:t>If the premium is not paid during the grace period, the policy or plan will terminate automatically at the end of the grace period. The Policyholder is liable for premium for coverage during the grace period. The Policyholder must pay Unum all premium due for the full period each plan is in force.</w:t>
      </w:r>
    </w:p>
    <w:p>
      <w:pPr>
        <w:spacing w:after="0" w:line="249" w:lineRule="exact"/>
        <w:rPr>
          <w:sz w:val="20"/>
          <w:szCs w:val="20"/>
          <w:color w:val="auto"/>
        </w:rPr>
      </w:pPr>
    </w:p>
    <w:p>
      <w:pPr>
        <w:ind w:left="340"/>
        <w:spacing w:after="0" w:line="245" w:lineRule="auto"/>
        <w:rPr>
          <w:sz w:val="20"/>
          <w:szCs w:val="20"/>
          <w:color w:val="auto"/>
        </w:rPr>
      </w:pPr>
      <w:r>
        <w:rPr>
          <w:rFonts w:ascii="Arial" w:cs="Arial" w:eastAsia="Arial" w:hAnsi="Arial"/>
          <w:sz w:val="22"/>
          <w:szCs w:val="22"/>
          <w:color w:val="auto"/>
        </w:rPr>
        <w:t>The Policyholder may cancel the policy or a plan by written notice delivered to Unum at least 31 days prior to the cancellation date. When both the Policyholder and Unum agree, the policy or a plan can be cancelled on an earlier date. If Unum or the Policyholder cancels the policy or a plan, coverage will end at 12:00 midnight on the last day of coverage.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If the policy or a plan is cancelled, the cancellation will not affect a payable claim.</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TO FILE A CLAIM</w:t>
      </w:r>
    </w:p>
    <w:p>
      <w:pPr>
        <w:spacing w:after="0" w:line="259" w:lineRule="exact"/>
        <w:rPr>
          <w:sz w:val="20"/>
          <w:szCs w:val="20"/>
          <w:color w:val="auto"/>
        </w:rPr>
      </w:pPr>
    </w:p>
    <w:p>
      <w:pPr>
        <w:ind w:left="340" w:right="220"/>
        <w:spacing w:after="0" w:line="261" w:lineRule="auto"/>
        <w:rPr>
          <w:sz w:val="20"/>
          <w:szCs w:val="20"/>
          <w:color w:val="auto"/>
        </w:rPr>
      </w:pPr>
      <w:r>
        <w:rPr>
          <w:rFonts w:ascii="Arial" w:cs="Arial" w:eastAsia="Arial" w:hAnsi="Arial"/>
          <w:sz w:val="21"/>
          <w:szCs w:val="21"/>
          <w:color w:val="auto"/>
        </w:rPr>
        <w:t>If you wish to file a claim for benefits, you should follow the claim procedures described in your insurance certificate. To complete your claim filing, Unum must receive the claim information it requests from you (or your authorized representative), your attending physician and your Employer. If you or your authorized representative has any questions about what to do, you or your authorized representative should contact Unum directly.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CLAIMS PROCEDURES</w:t>
      </w:r>
    </w:p>
    <w:p>
      <w:pPr>
        <w:spacing w:after="0" w:line="259" w:lineRule="exact"/>
        <w:rPr>
          <w:sz w:val="20"/>
          <w:szCs w:val="20"/>
          <w:color w:val="auto"/>
        </w:rPr>
      </w:pPr>
    </w:p>
    <w:p>
      <w:pPr>
        <w:ind w:left="340" w:right="60"/>
        <w:spacing w:after="0" w:line="244" w:lineRule="auto"/>
        <w:rPr>
          <w:sz w:val="20"/>
          <w:szCs w:val="20"/>
          <w:color w:val="auto"/>
        </w:rPr>
      </w:pPr>
      <w:r>
        <w:rPr>
          <w:rFonts w:ascii="Arial" w:cs="Arial" w:eastAsia="Arial" w:hAnsi="Arial"/>
          <w:sz w:val="22"/>
          <w:szCs w:val="22"/>
          <w:color w:val="auto"/>
        </w:rPr>
        <w:t>Unum will give you notice of the decision no later than 45 days after the claim is filed. This time period may be extended twice by 30 days if Unum both determines that such an extension is necessary due to matters beyond the control of the Plan and notifies you of the circumstances requiring the extension of time and the date by which Unum expects to render a decision. If such an extension is necessary due to your failure to submit the information necessary to decide the claim, the notice of extension will specifically describe the required information, and you will be afforded at least 45 days within which to provide the specified information. If you deliver the requested information within the time specified, any 30 day extension period will begin after you have provided that information. If you fail to deliver the requested information within the time specified, Unum may decide your claim without that information.</w:t>
      </w:r>
    </w:p>
    <w:p>
      <w:pPr>
        <w:spacing w:after="0" w:line="251" w:lineRule="exact"/>
        <w:rPr>
          <w:sz w:val="20"/>
          <w:szCs w:val="20"/>
          <w:color w:val="auto"/>
        </w:rPr>
      </w:pPr>
    </w:p>
    <w:p>
      <w:pPr>
        <w:ind w:left="340" w:right="320"/>
        <w:spacing w:after="0" w:line="249" w:lineRule="auto"/>
        <w:rPr>
          <w:sz w:val="20"/>
          <w:szCs w:val="20"/>
          <w:color w:val="auto"/>
        </w:rPr>
      </w:pPr>
      <w:r>
        <w:rPr>
          <w:rFonts w:ascii="Arial" w:cs="Arial" w:eastAsia="Arial" w:hAnsi="Arial"/>
          <w:sz w:val="22"/>
          <w:szCs w:val="22"/>
          <w:color w:val="auto"/>
        </w:rPr>
        <w:t>If your claim for benefits is wholly or partially denied, the notice of adverse benefit determination under the Plan will:</w:t>
      </w:r>
    </w:p>
    <w:p>
      <w:pPr>
        <w:sectPr>
          <w:pgSz w:w="11900" w:h="16838" w:orient="portrait"/>
          <w:cols w:equalWidth="0" w:num="1">
            <w:col w:w="11260"/>
          </w:cols>
          <w:pgMar w:left="320" w:top="390" w:right="319" w:bottom="1440" w:gutter="0" w:footer="0" w:header="0"/>
        </w:sectPr>
      </w:pPr>
    </w:p>
    <w:bookmarkStart w:id="209" w:name="page210"/>
    <w:bookmarkEnd w:id="209"/>
    <w:p>
      <w:pPr>
        <w:ind w:left="520" w:hanging="187"/>
        <w:spacing w:after="0"/>
        <w:tabs>
          <w:tab w:leader="none" w:pos="52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state the specific reason(s) for the determination;</w:t>
      </w:r>
    </w:p>
    <w:p>
      <w:pPr>
        <w:spacing w:after="0" w:line="179" w:lineRule="exact"/>
        <w:rPr>
          <w:rFonts w:ascii="Arial" w:cs="Arial" w:eastAsia="Arial" w:hAnsi="Arial"/>
          <w:sz w:val="22"/>
          <w:szCs w:val="22"/>
          <w:color w:val="auto"/>
        </w:rPr>
      </w:pPr>
    </w:p>
    <w:p>
      <w:pPr>
        <w:ind w:left="520" w:hanging="187"/>
        <w:spacing w:after="0"/>
        <w:tabs>
          <w:tab w:leader="none" w:pos="52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reference specific Plan provision(s) on which the determination is based;</w:t>
      </w:r>
    </w:p>
    <w:p>
      <w:pPr>
        <w:spacing w:after="0" w:line="233" w:lineRule="exact"/>
        <w:rPr>
          <w:rFonts w:ascii="Arial" w:cs="Arial" w:eastAsia="Arial" w:hAnsi="Arial"/>
          <w:sz w:val="22"/>
          <w:szCs w:val="22"/>
          <w:color w:val="auto"/>
        </w:rPr>
      </w:pPr>
    </w:p>
    <w:p>
      <w:pPr>
        <w:ind w:left="520" w:right="920" w:hanging="187"/>
        <w:spacing w:after="0" w:line="249" w:lineRule="auto"/>
        <w:tabs>
          <w:tab w:leader="none" w:pos="52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describe additional material or information necessary to complete the claim and why such information is necessary;</w:t>
      </w:r>
    </w:p>
    <w:p>
      <w:pPr>
        <w:spacing w:after="0" w:line="217" w:lineRule="exact"/>
        <w:rPr>
          <w:rFonts w:ascii="Arial" w:cs="Arial" w:eastAsia="Arial" w:hAnsi="Arial"/>
          <w:sz w:val="22"/>
          <w:szCs w:val="22"/>
          <w:color w:val="auto"/>
        </w:rPr>
      </w:pPr>
    </w:p>
    <w:p>
      <w:pPr>
        <w:ind w:left="520" w:right="400" w:hanging="187"/>
        <w:spacing w:after="0" w:line="249" w:lineRule="auto"/>
        <w:tabs>
          <w:tab w:leader="none" w:pos="52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describe Plan procedures and time limits for appealing the determination, and your right to obtain information about those procedures and the right to bring a lawsuit</w:t>
      </w:r>
    </w:p>
    <w:p>
      <w:pPr>
        <w:spacing w:after="0" w:line="298"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22"/>
          <w:szCs w:val="22"/>
          <w:color w:val="auto"/>
        </w:rPr>
        <w:t>under Section 502(a) of ERISA following an adverse determination from Unum on appeal; and</w:t>
      </w:r>
    </w:p>
    <w:p>
      <w:pPr>
        <w:spacing w:after="0" w:line="260" w:lineRule="exact"/>
        <w:rPr>
          <w:rFonts w:ascii="Arial" w:cs="Arial" w:eastAsia="Arial" w:hAnsi="Arial"/>
          <w:sz w:val="22"/>
          <w:szCs w:val="22"/>
          <w:color w:val="auto"/>
        </w:rPr>
      </w:pPr>
    </w:p>
    <w:p>
      <w:pPr>
        <w:ind w:left="520" w:right="240" w:hanging="187"/>
        <w:spacing w:after="0" w:line="249" w:lineRule="auto"/>
        <w:tabs>
          <w:tab w:leader="none" w:pos="52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disclose any internal rule, guidelines, protocol or similar criterion relied on in making the adverse determination (or state that such information will be provided free of charge upon request).</w:t>
      </w:r>
    </w:p>
    <w:p>
      <w:pPr>
        <w:spacing w:after="0" w:line="245" w:lineRule="exact"/>
        <w:rPr>
          <w:sz w:val="20"/>
          <w:szCs w:val="20"/>
          <w:color w:val="auto"/>
        </w:rPr>
      </w:pPr>
    </w:p>
    <w:p>
      <w:pPr>
        <w:ind w:left="340" w:right="320"/>
        <w:spacing w:after="0" w:line="249" w:lineRule="auto"/>
        <w:rPr>
          <w:sz w:val="20"/>
          <w:szCs w:val="20"/>
          <w:color w:val="auto"/>
        </w:rPr>
      </w:pPr>
      <w:r>
        <w:rPr>
          <w:rFonts w:ascii="Arial" w:cs="Arial" w:eastAsia="Arial" w:hAnsi="Arial"/>
          <w:sz w:val="22"/>
          <w:szCs w:val="22"/>
          <w:color w:val="auto"/>
        </w:rPr>
        <w:t>Notice of the determination may be provided in written or electronic form. Electronic notices will be provided in a form that complies with any applicable legal requirements.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APPEAL PROCEDURES</w:t>
      </w:r>
    </w:p>
    <w:p>
      <w:pPr>
        <w:spacing w:after="0" w:line="259" w:lineRule="exact"/>
        <w:rPr>
          <w:sz w:val="20"/>
          <w:szCs w:val="20"/>
          <w:color w:val="auto"/>
        </w:rPr>
      </w:pPr>
    </w:p>
    <w:p>
      <w:pPr>
        <w:ind w:left="340" w:right="120"/>
        <w:spacing w:after="0" w:line="245" w:lineRule="auto"/>
        <w:rPr>
          <w:sz w:val="20"/>
          <w:szCs w:val="20"/>
          <w:color w:val="auto"/>
        </w:rPr>
      </w:pPr>
      <w:r>
        <w:rPr>
          <w:rFonts w:ascii="Arial" w:cs="Arial" w:eastAsia="Arial" w:hAnsi="Arial"/>
          <w:sz w:val="22"/>
          <w:szCs w:val="22"/>
          <w:color w:val="auto"/>
        </w:rPr>
        <w:t>You have 180 days from the receipt of notice of an adverse benefit determination to file an appeal. Requests for appeals should be sent to the address specified in the claim denial. A decision on review will be made not later than 45 days following receipt of the written request for review. If Unum determines that special circumstances require an extension of time for a decision on review, the review period may be extended by an additional 45 days (90 days in total). Unum will notify you in writing if an additional 45 day extension is needed.</w:t>
      </w:r>
    </w:p>
    <w:p>
      <w:pPr>
        <w:spacing w:after="0" w:line="248" w:lineRule="exact"/>
        <w:rPr>
          <w:sz w:val="20"/>
          <w:szCs w:val="20"/>
          <w:color w:val="auto"/>
        </w:rPr>
      </w:pPr>
    </w:p>
    <w:p>
      <w:pPr>
        <w:ind w:left="340"/>
        <w:spacing w:after="0" w:line="245" w:lineRule="auto"/>
        <w:rPr>
          <w:sz w:val="20"/>
          <w:szCs w:val="20"/>
          <w:color w:val="auto"/>
        </w:rPr>
      </w:pPr>
      <w:r>
        <w:rPr>
          <w:rFonts w:ascii="Arial" w:cs="Arial" w:eastAsia="Arial" w:hAnsi="Arial"/>
          <w:sz w:val="22"/>
          <w:szCs w:val="22"/>
          <w:color w:val="auto"/>
        </w:rPr>
        <w:t>If an extension is necessary due to your failure to submit the information necessary to decide the appeal, the notice of extension will specifically describe the required information, and you will be afforded at least 45 days to provide the specified information. If you deliver the requested information within the time specified, the 45 day extension of the appeal period will begin after you have provided that information. If you fail to deliver the requested information within the time specified, Unum may decide your appeal without that information.</w:t>
      </w:r>
    </w:p>
    <w:p>
      <w:pPr>
        <w:spacing w:after="0" w:line="248" w:lineRule="exact"/>
        <w:rPr>
          <w:sz w:val="20"/>
          <w:szCs w:val="20"/>
          <w:color w:val="auto"/>
        </w:rPr>
      </w:pPr>
    </w:p>
    <w:p>
      <w:pPr>
        <w:ind w:left="340" w:right="180"/>
        <w:spacing w:after="0" w:line="261" w:lineRule="auto"/>
        <w:rPr>
          <w:sz w:val="20"/>
          <w:szCs w:val="20"/>
          <w:color w:val="auto"/>
        </w:rPr>
      </w:pPr>
      <w:r>
        <w:rPr>
          <w:rFonts w:ascii="Arial" w:cs="Arial" w:eastAsia="Arial" w:hAnsi="Arial"/>
          <w:sz w:val="21"/>
          <w:szCs w:val="21"/>
          <w:color w:val="auto"/>
        </w:rPr>
        <w:t>You will have the opportunity to submit written comments, documents, or other information in support of your appeal. You will have access to all relevant documents as defined by applicable U.S. Department of Labor regulations. The review of the adverse benefit determination will take into account all new information, whether or not presented or available at the initial determination. No deference will be afforded to the initial determination.</w:t>
      </w:r>
    </w:p>
    <w:p>
      <w:pPr>
        <w:spacing w:after="0" w:line="233" w:lineRule="exact"/>
        <w:rPr>
          <w:sz w:val="20"/>
          <w:szCs w:val="20"/>
          <w:color w:val="auto"/>
        </w:rPr>
      </w:pPr>
    </w:p>
    <w:p>
      <w:pPr>
        <w:ind w:left="340" w:right="40"/>
        <w:spacing w:after="0" w:line="249" w:lineRule="auto"/>
        <w:rPr>
          <w:sz w:val="20"/>
          <w:szCs w:val="20"/>
          <w:color w:val="auto"/>
        </w:rPr>
      </w:pPr>
      <w:r>
        <w:rPr>
          <w:rFonts w:ascii="Arial" w:cs="Arial" w:eastAsia="Arial" w:hAnsi="Arial"/>
          <w:sz w:val="22"/>
          <w:szCs w:val="22"/>
          <w:color w:val="auto"/>
        </w:rPr>
        <w:t>The review will be conducted by Unum and will be made by a person different from the person who made the initial determination and such person will not be the</w:t>
      </w:r>
    </w:p>
    <w:p>
      <w:pPr>
        <w:sectPr>
          <w:pgSz w:w="11900" w:h="16838" w:orient="portrait"/>
          <w:cols w:equalWidth="0" w:num="1">
            <w:col w:w="11320"/>
          </w:cols>
          <w:pgMar w:left="320" w:top="565" w:right="259" w:bottom="1440" w:gutter="0" w:footer="0" w:header="0"/>
        </w:sectPr>
      </w:pPr>
    </w:p>
    <w:bookmarkStart w:id="210" w:name="page211"/>
    <w:bookmarkEnd w:id="210"/>
    <w:p>
      <w:pPr>
        <w:ind w:left="340" w:right="40"/>
        <w:spacing w:after="0" w:line="259" w:lineRule="auto"/>
        <w:rPr>
          <w:sz w:val="20"/>
          <w:szCs w:val="20"/>
          <w:color w:val="auto"/>
        </w:rPr>
      </w:pPr>
      <w:r>
        <w:rPr>
          <w:rFonts w:ascii="Arial" w:cs="Arial" w:eastAsia="Arial" w:hAnsi="Arial"/>
          <w:sz w:val="21"/>
          <w:szCs w:val="21"/>
          <w:color w:val="auto"/>
        </w:rPr>
        <w:t>original decision maker's subordinate. In the case of a claim denied on the grounds of a medical judgment, Unum will consult with a health professional with appropriate training and experience. The health care professional who is consulted on appeal will not be the individual who was consulted during the initial determination or a subordinate. If the advice of a medical or vocational expert was obtained by the Plan in connection with the denial of your claim, Unum will provide you with the names of each such expert, regardless of whether the advice was relied upon.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notice that your request on appeal is denied will contain the following information:</w:t>
      </w:r>
    </w:p>
    <w:p>
      <w:pPr>
        <w:spacing w:after="0" w:line="179" w:lineRule="exact"/>
        <w:rPr>
          <w:sz w:val="20"/>
          <w:szCs w:val="20"/>
          <w:color w:val="auto"/>
        </w:rPr>
      </w:pPr>
    </w:p>
    <w:p>
      <w:pPr>
        <w:ind w:left="520" w:hanging="187"/>
        <w:spacing w:after="0"/>
        <w:tabs>
          <w:tab w:leader="none" w:pos="52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specific reason(s) for the determination;</w:t>
      </w:r>
    </w:p>
    <w:p>
      <w:pPr>
        <w:spacing w:after="0" w:line="179" w:lineRule="exact"/>
        <w:rPr>
          <w:rFonts w:ascii="Arial" w:cs="Arial" w:eastAsia="Arial" w:hAnsi="Arial"/>
          <w:sz w:val="22"/>
          <w:szCs w:val="22"/>
          <w:color w:val="auto"/>
        </w:rPr>
      </w:pPr>
    </w:p>
    <w:p>
      <w:pPr>
        <w:ind w:left="520" w:hanging="187"/>
        <w:spacing w:after="0"/>
        <w:tabs>
          <w:tab w:leader="none" w:pos="52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a reference to the specific Plan provision(s) on which the determination is based;</w:t>
      </w:r>
    </w:p>
    <w:p>
      <w:pPr>
        <w:spacing w:after="0" w:line="314" w:lineRule="exact"/>
        <w:rPr>
          <w:rFonts w:ascii="Arial" w:cs="Arial" w:eastAsia="Arial" w:hAnsi="Arial"/>
          <w:sz w:val="22"/>
          <w:szCs w:val="22"/>
          <w:color w:val="auto"/>
        </w:rPr>
      </w:pPr>
    </w:p>
    <w:p>
      <w:pPr>
        <w:ind w:left="520" w:right="280" w:hanging="187"/>
        <w:spacing w:after="0" w:line="249" w:lineRule="auto"/>
        <w:tabs>
          <w:tab w:leader="none" w:pos="52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a statement disclosing any internal rule, guidelines, protocol or similar criterion relied on in making the adverse determination (or a statement that such information will be provided free of charge upon request);</w:t>
      </w:r>
    </w:p>
    <w:p>
      <w:pPr>
        <w:spacing w:after="0" w:line="244" w:lineRule="exact"/>
        <w:rPr>
          <w:rFonts w:ascii="Arial" w:cs="Arial" w:eastAsia="Arial" w:hAnsi="Arial"/>
          <w:sz w:val="22"/>
          <w:szCs w:val="22"/>
          <w:color w:val="auto"/>
        </w:rPr>
      </w:pPr>
    </w:p>
    <w:p>
      <w:pPr>
        <w:ind w:left="520" w:right="700" w:hanging="187"/>
        <w:spacing w:after="0" w:line="249" w:lineRule="auto"/>
        <w:tabs>
          <w:tab w:leader="none" w:pos="52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a statement describing your right to bring a lawsuit under Section 502(a) of ERISA if you disagree with the decision;</w:t>
      </w:r>
    </w:p>
    <w:p>
      <w:pPr>
        <w:spacing w:after="0" w:line="244" w:lineRule="exact"/>
        <w:rPr>
          <w:rFonts w:ascii="Arial" w:cs="Arial" w:eastAsia="Arial" w:hAnsi="Arial"/>
          <w:sz w:val="22"/>
          <w:szCs w:val="22"/>
          <w:color w:val="auto"/>
        </w:rPr>
      </w:pPr>
    </w:p>
    <w:p>
      <w:pPr>
        <w:ind w:left="520" w:right="180" w:hanging="187"/>
        <w:spacing w:after="0" w:line="249" w:lineRule="auto"/>
        <w:tabs>
          <w:tab w:leader="none" w:pos="52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statement that you are entitled to receive upon request, and without charge, reasonable access to or copies of all documents, records or other information relevant to the determination; and</w:t>
      </w:r>
    </w:p>
    <w:p>
      <w:pPr>
        <w:spacing w:after="0" w:line="244" w:lineRule="exact"/>
        <w:rPr>
          <w:rFonts w:ascii="Arial" w:cs="Arial" w:eastAsia="Arial" w:hAnsi="Arial"/>
          <w:sz w:val="22"/>
          <w:szCs w:val="22"/>
          <w:color w:val="auto"/>
        </w:rPr>
      </w:pPr>
    </w:p>
    <w:p>
      <w:pPr>
        <w:jc w:val="both"/>
        <w:ind w:left="520" w:hanging="187"/>
        <w:spacing w:after="0" w:line="246" w:lineRule="auto"/>
        <w:tabs>
          <w:tab w:leader="none" w:pos="52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statement that "You or your Plan may have other voluntary alternative dispute resolution options, such as mediation. One way to find out what may be available is to contact your local U.S. Department of Labor Office and your State insurance regulatory agency".</w:t>
      </w:r>
    </w:p>
    <w:p>
      <w:pPr>
        <w:spacing w:after="0" w:line="249" w:lineRule="exact"/>
        <w:rPr>
          <w:sz w:val="20"/>
          <w:szCs w:val="20"/>
          <w:color w:val="auto"/>
        </w:rPr>
      </w:pPr>
    </w:p>
    <w:p>
      <w:pPr>
        <w:ind w:left="340" w:right="340"/>
        <w:spacing w:after="0" w:line="249" w:lineRule="auto"/>
        <w:rPr>
          <w:sz w:val="20"/>
          <w:szCs w:val="20"/>
          <w:color w:val="auto"/>
        </w:rPr>
      </w:pPr>
      <w:r>
        <w:rPr>
          <w:rFonts w:ascii="Arial" w:cs="Arial" w:eastAsia="Arial" w:hAnsi="Arial"/>
          <w:sz w:val="22"/>
          <w:szCs w:val="22"/>
          <w:color w:val="auto"/>
        </w:rPr>
        <w:t>Notice of the determination may be provided in written or electronic form. Electronic notices will be provided in a form that complies with any applicable legal requirements.</w:t>
      </w:r>
    </w:p>
    <w:p>
      <w:pPr>
        <w:spacing w:after="0" w:line="245" w:lineRule="exact"/>
        <w:rPr>
          <w:sz w:val="20"/>
          <w:szCs w:val="20"/>
          <w:color w:val="auto"/>
        </w:rPr>
      </w:pPr>
    </w:p>
    <w:p>
      <w:pPr>
        <w:ind w:left="340" w:right="320"/>
        <w:spacing w:after="0" w:line="249" w:lineRule="auto"/>
        <w:rPr>
          <w:sz w:val="20"/>
          <w:szCs w:val="20"/>
          <w:color w:val="auto"/>
        </w:rPr>
      </w:pPr>
      <w:r>
        <w:rPr>
          <w:rFonts w:ascii="Arial" w:cs="Arial" w:eastAsia="Arial" w:hAnsi="Arial"/>
          <w:sz w:val="22"/>
          <w:szCs w:val="22"/>
          <w:color w:val="auto"/>
        </w:rPr>
        <w:t>Unless there are special circumstances, this administrative appeal process must be completed before you begin any legal action regarding your claim.</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YOUR RIGHTS UNDER ERISA</w:t>
      </w:r>
    </w:p>
    <w:p>
      <w:pPr>
        <w:spacing w:after="0" w:line="259" w:lineRule="exact"/>
        <w:rPr>
          <w:sz w:val="20"/>
          <w:szCs w:val="20"/>
          <w:color w:val="auto"/>
        </w:rPr>
      </w:pPr>
    </w:p>
    <w:p>
      <w:pPr>
        <w:ind w:left="340" w:right="20"/>
        <w:spacing w:after="0" w:line="249" w:lineRule="auto"/>
        <w:rPr>
          <w:sz w:val="20"/>
          <w:szCs w:val="20"/>
          <w:color w:val="auto"/>
        </w:rPr>
      </w:pPr>
      <w:r>
        <w:rPr>
          <w:rFonts w:ascii="Arial" w:cs="Arial" w:eastAsia="Arial" w:hAnsi="Arial"/>
          <w:sz w:val="22"/>
          <w:szCs w:val="22"/>
          <w:color w:val="auto"/>
        </w:rPr>
        <w:t>As a participant in the Plan you are entitled to certain rights and protections under the Employee Retirement Income Security Act of 1974 (ERISA). ERISA provides that all Plan participants shall be entitled to:</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Receive Information About Your Plan and Benefits</w:t>
      </w:r>
    </w:p>
    <w:p>
      <w:pPr>
        <w:spacing w:after="0" w:line="233" w:lineRule="exact"/>
        <w:rPr>
          <w:sz w:val="20"/>
          <w:szCs w:val="20"/>
          <w:color w:val="auto"/>
        </w:rPr>
      </w:pPr>
    </w:p>
    <w:p>
      <w:pPr>
        <w:ind w:left="340" w:right="240"/>
        <w:spacing w:after="0" w:line="246" w:lineRule="auto"/>
        <w:rPr>
          <w:sz w:val="20"/>
          <w:szCs w:val="20"/>
          <w:color w:val="auto"/>
        </w:rPr>
      </w:pPr>
      <w:r>
        <w:rPr>
          <w:rFonts w:ascii="Arial" w:cs="Arial" w:eastAsia="Arial" w:hAnsi="Arial"/>
          <w:sz w:val="22"/>
          <w:szCs w:val="22"/>
          <w:color w:val="auto"/>
        </w:rPr>
        <w:t>Examine, without charge, at the Plan Administrator's office and at other specified locations, all documents governing the Plan, including insurance contracts, and a copy of the latest annual report (Form 5500 Series) filed by the Plan with the U.S.</w:t>
      </w:r>
    </w:p>
    <w:p>
      <w:pPr>
        <w:sectPr>
          <w:pgSz w:w="11900" w:h="16838" w:orient="portrait"/>
          <w:cols w:equalWidth="0" w:num="1">
            <w:col w:w="11340"/>
          </w:cols>
          <w:pgMar w:left="320" w:top="390" w:right="239" w:bottom="1440" w:gutter="0" w:footer="0" w:header="0"/>
        </w:sectPr>
      </w:pPr>
    </w:p>
    <w:bookmarkStart w:id="211" w:name="page212"/>
    <w:bookmarkEnd w:id="211"/>
    <w:p>
      <w:pPr>
        <w:ind w:right="1360"/>
        <w:spacing w:after="0" w:line="249" w:lineRule="auto"/>
        <w:rPr>
          <w:sz w:val="20"/>
          <w:szCs w:val="20"/>
          <w:color w:val="auto"/>
        </w:rPr>
      </w:pPr>
      <w:r>
        <w:rPr>
          <w:rFonts w:ascii="Arial" w:cs="Arial" w:eastAsia="Arial" w:hAnsi="Arial"/>
          <w:sz w:val="22"/>
          <w:szCs w:val="22"/>
          <w:color w:val="auto"/>
        </w:rPr>
        <w:t>Department of Labor and available at the Public Disclosure Room of the Employee Benefits Security Administration.</w:t>
      </w:r>
    </w:p>
    <w:p>
      <w:pPr>
        <w:spacing w:after="0" w:line="245" w:lineRule="exact"/>
        <w:rPr>
          <w:sz w:val="20"/>
          <w:szCs w:val="20"/>
          <w:color w:val="auto"/>
        </w:rPr>
      </w:pPr>
    </w:p>
    <w:p>
      <w:pPr>
        <w:ind w:right="220"/>
        <w:spacing w:after="0" w:line="246" w:lineRule="auto"/>
        <w:rPr>
          <w:sz w:val="20"/>
          <w:szCs w:val="20"/>
          <w:color w:val="auto"/>
        </w:rPr>
      </w:pPr>
      <w:r>
        <w:rPr>
          <w:rFonts w:ascii="Arial" w:cs="Arial" w:eastAsia="Arial" w:hAnsi="Arial"/>
          <w:sz w:val="22"/>
          <w:szCs w:val="22"/>
          <w:color w:val="auto"/>
        </w:rPr>
        <w:t>Obtain, upon written request to the Plan Administrator, copies of documents governing the operation of the Plan, including insurance contracts, and copies of the latest annual report (Form 5500 Series) and updated summary plan description. The Plan Administrator may make a reasonable charge for the copies.</w:t>
      </w:r>
    </w:p>
    <w:p>
      <w:pPr>
        <w:spacing w:after="0" w:line="249" w:lineRule="exact"/>
        <w:rPr>
          <w:sz w:val="20"/>
          <w:szCs w:val="20"/>
          <w:color w:val="auto"/>
        </w:rPr>
      </w:pPr>
    </w:p>
    <w:p>
      <w:pPr>
        <w:ind w:right="60"/>
        <w:spacing w:after="0" w:line="249" w:lineRule="auto"/>
        <w:rPr>
          <w:sz w:val="20"/>
          <w:szCs w:val="20"/>
          <w:color w:val="auto"/>
        </w:rPr>
      </w:pPr>
      <w:r>
        <w:rPr>
          <w:rFonts w:ascii="Arial" w:cs="Arial" w:eastAsia="Arial" w:hAnsi="Arial"/>
          <w:sz w:val="22"/>
          <w:szCs w:val="22"/>
          <w:color w:val="auto"/>
        </w:rPr>
        <w:t>Receive a summary of the Plan's annual financial report. The Plan Administrator is required by law to furnish each participant with a copy of this summary annual report.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Prudent Actions by Plan Fiduciaries</w:t>
      </w:r>
    </w:p>
    <w:p>
      <w:pPr>
        <w:spacing w:after="0" w:line="233" w:lineRule="exact"/>
        <w:rPr>
          <w:sz w:val="20"/>
          <w:szCs w:val="20"/>
          <w:color w:val="auto"/>
        </w:rPr>
      </w:pPr>
    </w:p>
    <w:p>
      <w:pPr>
        <w:ind w:right="120"/>
        <w:spacing w:after="0" w:line="245" w:lineRule="auto"/>
        <w:rPr>
          <w:sz w:val="20"/>
          <w:szCs w:val="20"/>
          <w:color w:val="auto"/>
        </w:rPr>
      </w:pPr>
      <w:r>
        <w:rPr>
          <w:rFonts w:ascii="Arial" w:cs="Arial" w:eastAsia="Arial" w:hAnsi="Arial"/>
          <w:sz w:val="22"/>
          <w:szCs w:val="22"/>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 No one, including your Employer or any other person, may fire you or otherwise</w:t>
      </w:r>
    </w:p>
    <w:p>
      <w:pPr>
        <w:spacing w:after="0" w:line="304" w:lineRule="exact"/>
        <w:rPr>
          <w:sz w:val="20"/>
          <w:szCs w:val="20"/>
          <w:color w:val="auto"/>
        </w:rPr>
      </w:pPr>
    </w:p>
    <w:p>
      <w:pPr>
        <w:ind w:right="40"/>
        <w:spacing w:after="0" w:line="416" w:lineRule="auto"/>
        <w:rPr>
          <w:sz w:val="20"/>
          <w:szCs w:val="20"/>
          <w:color w:val="auto"/>
        </w:rPr>
      </w:pPr>
      <w:r>
        <w:rPr>
          <w:rFonts w:ascii="Arial" w:cs="Arial" w:eastAsia="Arial" w:hAnsi="Arial"/>
          <w:sz w:val="22"/>
          <w:szCs w:val="22"/>
          <w:color w:val="auto"/>
        </w:rPr>
        <w:t xml:space="preserve">discriminate against you in any way to prevent you from obtaining a benefit or exercising your rights under ERISA. </w:t>
      </w:r>
      <w:r>
        <w:rPr>
          <w:rFonts w:ascii="Arial" w:cs="Arial" w:eastAsia="Arial" w:hAnsi="Arial"/>
          <w:sz w:val="22"/>
          <w:szCs w:val="22"/>
          <w:u w:val="single" w:color="auto"/>
          <w:color w:val="auto"/>
        </w:rPr>
        <w:t>Enforce Your Rights</w:t>
      </w:r>
    </w:p>
    <w:p>
      <w:pPr>
        <w:spacing w:after="0" w:line="4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If your claim for a benefit is denied or ignored, in whole or in part, you have a right to know why this was done, to obtain copies of documents relating to the decision without charge, and to appeal any denial, all within certain time schedules.</w:t>
      </w:r>
    </w:p>
    <w:p>
      <w:pPr>
        <w:spacing w:after="0" w:line="249"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248"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If you have a claim for benefits that is denied or ignored, in whole or in part, you may file suit in a state or federal court if you have exhausted your administrative appeal rights .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if, for example, it finds your claim is frivolous.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Assistance with Your Questions</w:t>
      </w:r>
    </w:p>
    <w:p>
      <w:pPr>
        <w:sectPr>
          <w:pgSz w:w="11900" w:h="16838" w:orient="portrait"/>
          <w:cols w:equalWidth="0" w:num="1">
            <w:col w:w="10920"/>
          </w:cols>
          <w:pgMar w:left="660" w:top="390" w:right="319" w:bottom="1440" w:gutter="0" w:footer="0" w:header="0"/>
        </w:sectPr>
      </w:pPr>
    </w:p>
    <w:bookmarkStart w:id="212" w:name="page213"/>
    <w:bookmarkEnd w:id="212"/>
    <w:p>
      <w:pPr>
        <w:ind w:left="340" w:right="60"/>
        <w:spacing w:after="0" w:line="244" w:lineRule="auto"/>
        <w:rPr>
          <w:sz w:val="20"/>
          <w:szCs w:val="20"/>
          <w:color w:val="auto"/>
        </w:rPr>
      </w:pPr>
      <w:r>
        <w:rPr>
          <w:rFonts w:ascii="Arial" w:cs="Arial" w:eastAsia="Arial" w:hAnsi="Arial"/>
          <w:sz w:val="22"/>
          <w:szCs w:val="22"/>
          <w:color w:val="auto"/>
        </w:rPr>
        <w:t>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RIGHTS</w:t>
      </w:r>
    </w:p>
    <w:p>
      <w:pPr>
        <w:spacing w:after="0" w:line="259" w:lineRule="exact"/>
        <w:rPr>
          <w:sz w:val="20"/>
          <w:szCs w:val="20"/>
          <w:color w:val="auto"/>
        </w:rPr>
      </w:pPr>
    </w:p>
    <w:p>
      <w:pPr>
        <w:ind w:left="340" w:right="180"/>
        <w:spacing w:after="0" w:line="259" w:lineRule="auto"/>
        <w:rPr>
          <w:sz w:val="20"/>
          <w:szCs w:val="20"/>
          <w:color w:val="auto"/>
        </w:rPr>
      </w:pPr>
      <w:r>
        <w:rPr>
          <w:rFonts w:ascii="Arial" w:cs="Arial" w:eastAsia="Arial" w:hAnsi="Arial"/>
          <w:sz w:val="21"/>
          <w:szCs w:val="21"/>
          <w:color w:val="auto"/>
        </w:rPr>
        <w:t>Unum, for itself and as claims fiduciary for the Plan, is entitled to legal and equitable relief to enforce its right to recover any benefit overpayments caused by your receipt of disability earnings or deductible sources of income from a third party. This right of recovery is enforceable even if the amount you receive from the third party is less than the actual loss suffered by you but will not exceed the benefits paid you under the policy. Unum and the Plan have an equitable lien over such sources of income until any benefit overpayments have been recovered in full.</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DISCRETIONARY ACTS</w:t>
      </w:r>
    </w:p>
    <w:p>
      <w:pPr>
        <w:spacing w:after="0" w:line="259" w:lineRule="exact"/>
        <w:rPr>
          <w:sz w:val="20"/>
          <w:szCs w:val="20"/>
          <w:color w:val="auto"/>
        </w:rPr>
      </w:pPr>
    </w:p>
    <w:p>
      <w:pPr>
        <w:jc w:val="both"/>
        <w:ind w:left="340"/>
        <w:spacing w:after="0" w:line="246" w:lineRule="auto"/>
        <w:rPr>
          <w:sz w:val="20"/>
          <w:szCs w:val="20"/>
          <w:color w:val="auto"/>
        </w:rPr>
      </w:pPr>
      <w:r>
        <w:rPr>
          <w:rFonts w:ascii="Arial" w:cs="Arial" w:eastAsia="Arial" w:hAnsi="Arial"/>
          <w:sz w:val="22"/>
          <w:szCs w:val="22"/>
          <w:color w:val="auto"/>
        </w:rPr>
        <w:t>The Plan, acting through the Plan Administrator, delegates to Unum and its affiliate Unum Group discretionary authority to make benefit determinations under the Plan. Unum and Unum Group may act directly or through their employees and agents or</w:t>
      </w:r>
    </w:p>
    <w:p>
      <w:pPr>
        <w:spacing w:after="0" w:line="303" w:lineRule="exact"/>
        <w:rPr>
          <w:sz w:val="20"/>
          <w:szCs w:val="20"/>
          <w:color w:val="auto"/>
        </w:rPr>
      </w:pPr>
    </w:p>
    <w:p>
      <w:pPr>
        <w:ind w:left="320" w:right="300"/>
        <w:spacing w:after="0" w:line="245" w:lineRule="auto"/>
        <w:rPr>
          <w:sz w:val="20"/>
          <w:szCs w:val="20"/>
          <w:color w:val="auto"/>
        </w:rPr>
      </w:pPr>
      <w:r>
        <w:rPr>
          <w:rFonts w:ascii="Arial" w:cs="Arial" w:eastAsia="Arial" w:hAnsi="Arial"/>
          <w:sz w:val="22"/>
          <w:szCs w:val="22"/>
          <w:color w:val="auto"/>
        </w:rPr>
        <w:t>further delegate their authority through contracts, letters or other documentation or procedures to other affiliates, persons or entities. Benefit determinations include determining eligibility for benefits and the amount of any benefits, resolving factual disputes, and interpreting and enforcing the provisions of the Plan. All benefit determinations must be reasonable and based on the terms of the Plan and the facts and circumstances of each claim.</w:t>
      </w:r>
    </w:p>
    <w:p>
      <w:pPr>
        <w:spacing w:after="0" w:line="248" w:lineRule="exact"/>
        <w:rPr>
          <w:sz w:val="20"/>
          <w:szCs w:val="20"/>
          <w:color w:val="auto"/>
        </w:rPr>
      </w:pPr>
    </w:p>
    <w:p>
      <w:pPr>
        <w:jc w:val="both"/>
        <w:ind w:left="320" w:right="680"/>
        <w:spacing w:after="0" w:line="246" w:lineRule="auto"/>
        <w:rPr>
          <w:sz w:val="20"/>
          <w:szCs w:val="20"/>
          <w:color w:val="auto"/>
        </w:rPr>
      </w:pPr>
      <w:r>
        <w:rPr>
          <w:rFonts w:ascii="Arial" w:cs="Arial" w:eastAsia="Arial" w:hAnsi="Arial"/>
          <w:sz w:val="22"/>
          <w:szCs w:val="22"/>
          <w:color w:val="auto"/>
        </w:rPr>
        <w:t>Once you are deemed to have exhausted your appeal rights under the Plan, you have the right to seek court review under Section 502(a) of ERISA of any benefit determinations with which you disagree. The court will determine the standard of review it will apply in evaluating those decisions.</w:t>
      </w:r>
    </w:p>
    <w:p>
      <w:pPr>
        <w:sectPr>
          <w:pgSz w:w="11900" w:h="16838" w:orient="portrait"/>
          <w:cols w:equalWidth="0" w:num="1">
            <w:col w:w="11340"/>
          </w:cols>
          <w:pgMar w:left="320" w:top="390" w:right="239" w:bottom="1440" w:gutter="0" w:footer="0" w:header="0"/>
        </w:sectPr>
      </w:pPr>
    </w:p>
    <w:bookmarkStart w:id="213" w:name="page214"/>
    <w:bookmarkEnd w:id="213"/>
    <w:p>
      <w:pPr>
        <w:ind w:left="2540"/>
        <w:spacing w:after="0"/>
        <w:rPr>
          <w:sz w:val="20"/>
          <w:szCs w:val="20"/>
          <w:color w:val="auto"/>
        </w:rPr>
      </w:pPr>
      <w:r>
        <w:rPr>
          <w:rFonts w:ascii="Arial" w:cs="Arial" w:eastAsia="Arial" w:hAnsi="Arial"/>
          <w:sz w:val="25"/>
          <w:szCs w:val="25"/>
          <w:b w:val="1"/>
          <w:bCs w:val="1"/>
          <w:color w:val="auto"/>
        </w:rPr>
        <w:t>Our Commitment to Privacy</w:t>
      </w:r>
    </w:p>
    <w:p>
      <w:pPr>
        <w:spacing w:after="0" w:line="277" w:lineRule="exact"/>
        <w:rPr>
          <w:sz w:val="20"/>
          <w:szCs w:val="20"/>
          <w:color w:val="auto"/>
        </w:rPr>
      </w:pPr>
    </w:p>
    <w:p>
      <w:pPr>
        <w:ind w:right="240"/>
        <w:spacing w:after="0" w:line="246" w:lineRule="auto"/>
        <w:rPr>
          <w:sz w:val="20"/>
          <w:szCs w:val="20"/>
          <w:color w:val="auto"/>
        </w:rPr>
      </w:pPr>
      <w:r>
        <w:rPr>
          <w:rFonts w:ascii="Arial" w:cs="Arial" w:eastAsia="Arial" w:hAnsi="Arial"/>
          <w:sz w:val="22"/>
          <w:szCs w:val="22"/>
          <w:color w:val="auto"/>
        </w:rPr>
        <w:t>We understand your privacy is important. We value our relationship with you and are committed to protecting the confidentiality of nonpublic personal information (NPI). This notice explains why we collect NPI, what we do with NPI and how we protect your privacy.</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COLLECTING INFORMATION</w:t>
      </w:r>
    </w:p>
    <w:p>
      <w:pPr>
        <w:spacing w:after="0" w:line="4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We collect NPI about our customers to provide them with insurance products and services. This may include telephone number, address, date of birth, occupation, income and health history. We may receive NPI from your applications and forms, medical providers, other insurers, employers, insurance support organizations and service providers.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SHARING INFORMATION</w:t>
      </w:r>
    </w:p>
    <w:p>
      <w:pPr>
        <w:spacing w:after="0" w:line="43" w:lineRule="exact"/>
        <w:rPr>
          <w:sz w:val="20"/>
          <w:szCs w:val="20"/>
          <w:color w:val="auto"/>
        </w:rPr>
      </w:pPr>
    </w:p>
    <w:p>
      <w:pPr>
        <w:ind w:right="140"/>
        <w:spacing w:after="0" w:line="257" w:lineRule="auto"/>
        <w:rPr>
          <w:sz w:val="20"/>
          <w:szCs w:val="20"/>
          <w:color w:val="auto"/>
        </w:rPr>
      </w:pPr>
      <w:r>
        <w:rPr>
          <w:rFonts w:ascii="Arial" w:cs="Arial" w:eastAsia="Arial" w:hAnsi="Arial"/>
          <w:sz w:val="21"/>
          <w:szCs w:val="21"/>
          <w:color w:val="auto"/>
        </w:rPr>
        <w:t>We share the types of NPI described above primarily with people who perform insurance, business and professional services for us, such as helping us pay claims and detect fraud. We may share NPI with medical providers for insurance and treatment purposes. We may share NPI with an insurance support organization. The organization may retain the NPI and disclose it to others for whom it performs services. In certain cases, we may share NPI with group policyholders for reporting and auditing purposes. We may share NPI with parties to a proposed or final sale of insurance business or for study purposes. We may also share NPI when otherwise required or permitted by law, such as sharing with governmental or other legal authorities. When legally necessary, we ask your permission before sharing NPI about you. Our practices apply to our former, current and future customers.</w:t>
      </w:r>
    </w:p>
    <w:p>
      <w:pPr>
        <w:spacing w:after="0" w:line="160"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Please be assured we do not share your health NPI to market any product or service. We also do not share any NPI to market non-financial products and services. For example, we do not sell your name to catalog companies.</w:t>
      </w:r>
    </w:p>
    <w:p>
      <w:pPr>
        <w:spacing w:after="0" w:line="164"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The law allows us to share NPI as described above (except health information) with affiliates to market financial products and services. The law does not allow you to restrict these disclosures. We may also share with companies that help us market our insurance products and services, such as vendors that provide mailing services to us. We may share with other financial institutions to jointly market financial products and services. When required by law, we ask your permission before we share NPI for marketing purposes</w:t>
      </w:r>
      <w:r>
        <w:rPr>
          <w:rFonts w:ascii="Arial" w:cs="Arial" w:eastAsia="Arial" w:hAnsi="Arial"/>
          <w:sz w:val="22"/>
          <w:szCs w:val="22"/>
          <w:i w:val="1"/>
          <w:iCs w:val="1"/>
          <w:color w:val="auto"/>
        </w:rPr>
        <w:t>.</w:t>
      </w:r>
    </w:p>
    <w:p>
      <w:pPr>
        <w:spacing w:after="0" w:line="167"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When other companies help us conduct business, we expect them to follow applicable privacy laws. We do not authorize them to use or share NPI except when necessary to conduct the work they are performing for us or to meet regulatory or other governmental requirements.</w:t>
      </w:r>
    </w:p>
    <w:p>
      <w:pPr>
        <w:spacing w:after="0" w:line="167"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Unum companies, including insurers and insurance service providers, may share NPI about you with each other. The NPI might not be directly related to our transaction or experience with you. It may include financial or other personal information such as employment history. Consistent with the Fair Credit Reporting Act, we ask your permission before sharing NPI that is not directly related to our transaction or experience with you.</w:t>
      </w:r>
    </w:p>
    <w:p>
      <w:pPr>
        <w:sectPr>
          <w:pgSz w:w="11900" w:h="16838" w:orient="portrait"/>
          <w:cols w:equalWidth="0" w:num="1">
            <w:col w:w="11340"/>
          </w:cols>
          <w:pgMar w:left="320" w:top="406" w:right="2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b w:val="1"/>
          <w:bCs w:val="1"/>
          <w:color w:val="auto"/>
        </w:rPr>
        <w:t>COVERAGE DECISIONS</w:t>
      </w:r>
    </w:p>
    <w:p>
      <w:pPr>
        <w:spacing w:after="0" w:line="43" w:lineRule="exact"/>
        <w:rPr>
          <w:sz w:val="20"/>
          <w:szCs w:val="20"/>
          <w:color w:val="auto"/>
        </w:rPr>
      </w:pPr>
    </w:p>
    <w:p>
      <w:pPr>
        <w:ind w:right="120"/>
        <w:spacing w:after="0" w:line="249" w:lineRule="auto"/>
        <w:rPr>
          <w:sz w:val="20"/>
          <w:szCs w:val="20"/>
          <w:color w:val="auto"/>
        </w:rPr>
      </w:pPr>
      <w:r>
        <w:rPr>
          <w:rFonts w:ascii="Arial" w:cs="Arial" w:eastAsia="Arial" w:hAnsi="Arial"/>
          <w:sz w:val="22"/>
          <w:szCs w:val="22"/>
          <w:color w:val="auto"/>
        </w:rPr>
        <w:t>If we decide not to issue coverage to you, we will provide you with the specific reason(s) for our decision. We will also tell you how to access and correct certain NPI.</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ACCESS TO INFORMATION</w:t>
      </w:r>
    </w:p>
    <w:p>
      <w:pPr>
        <w:spacing w:after="0" w:line="43"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You may request access to certain NPI we collect to provide you with insurance products and services. You must make your request in writing and send it to the address below. The letter should include your full name, address, telephone number and policy number if we have issued a policy. If you request, we will send copies of the NPI to you. If the NPI includes health information, we may provide the health information to you through a health care provider you designate. We will also send you information related to disclosures. We may charge a reasonable fee to cover our copying costs.</w:t>
      </w:r>
    </w:p>
    <w:p>
      <w:pPr>
        <w:spacing w:after="0" w:line="172" w:lineRule="exact"/>
        <w:rPr>
          <w:sz w:val="20"/>
          <w:szCs w:val="20"/>
          <w:color w:val="auto"/>
        </w:rPr>
      </w:pPr>
    </w:p>
    <w:p>
      <w:pPr>
        <w:ind w:right="200"/>
        <w:spacing w:after="0" w:line="249" w:lineRule="auto"/>
        <w:rPr>
          <w:sz w:val="20"/>
          <w:szCs w:val="20"/>
          <w:color w:val="auto"/>
        </w:rPr>
      </w:pPr>
      <w:r>
        <w:rPr>
          <w:rFonts w:ascii="Arial" w:cs="Arial" w:eastAsia="Arial" w:hAnsi="Arial"/>
          <w:sz w:val="22"/>
          <w:szCs w:val="22"/>
          <w:color w:val="auto"/>
        </w:rPr>
        <w:t>This section applies to NPI we collect to provide you with coverage. It does not apply to NPI we collect in anticipation of a claim or civil or criminal proceeding.</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CORRECTION OF INFORMATION</w:t>
      </w:r>
    </w:p>
    <w:p>
      <w:pPr>
        <w:spacing w:after="0" w:line="43"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If you believe the NPI we have about you is incorrect, please write to us. Your letter should include your full name, address, telephone number and policy number if we have issued a policy. Your letter should also explain why you believe the NPI is inaccurate. If we agree with you, we will correct the NPI and notify you of the correction. We will also notify any person who may have received the incorrect NPI from us in the past two years if you ask us to contact that person.</w:t>
      </w:r>
    </w:p>
    <w:p>
      <w:pPr>
        <w:spacing w:after="0" w:line="167" w:lineRule="exact"/>
        <w:rPr>
          <w:sz w:val="20"/>
          <w:szCs w:val="20"/>
          <w:color w:val="auto"/>
        </w:rPr>
      </w:pPr>
    </w:p>
    <w:p>
      <w:pPr>
        <w:jc w:val="both"/>
        <w:ind w:right="20"/>
        <w:spacing w:after="0" w:line="255" w:lineRule="auto"/>
        <w:rPr>
          <w:sz w:val="20"/>
          <w:szCs w:val="20"/>
          <w:color w:val="auto"/>
        </w:rPr>
      </w:pPr>
      <w:r>
        <w:rPr>
          <w:rFonts w:ascii="Arial" w:cs="Arial" w:eastAsia="Arial" w:hAnsi="Arial"/>
          <w:sz w:val="21"/>
          <w:szCs w:val="21"/>
          <w:color w:val="auto"/>
        </w:rPr>
        <w:t>If we disagree with you, we will tell you we are not going to make the correction. We will give you the reason(s) for our refusal. We will also tell you that you may submit a statement to us. Your statement should include the NPI you believe is correct. It should also include the reason(s) why you disagree with our decision not to correct the NPI in our files.</w:t>
      </w:r>
    </w:p>
    <w:p>
      <w:pPr>
        <w:jc w:val="both"/>
        <w:ind w:right="340"/>
        <w:spacing w:after="0" w:line="246" w:lineRule="auto"/>
        <w:rPr>
          <w:sz w:val="20"/>
          <w:szCs w:val="20"/>
          <w:color w:val="auto"/>
        </w:rPr>
      </w:pPr>
      <w:r>
        <w:rPr>
          <w:rFonts w:ascii="Arial" w:cs="Arial" w:eastAsia="Arial" w:hAnsi="Arial"/>
          <w:sz w:val="22"/>
          <w:szCs w:val="22"/>
          <w:color w:val="auto"/>
        </w:rPr>
        <w:t>We will file your statement with the disputed NPI. We will include your statement any time we disclose the disputed NPI. We will also give the statement to any person designated by you if we may have disclosed the disputed NPI to that person in the past two years.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SAFEGUARDING INFORMATION</w:t>
      </w:r>
    </w:p>
    <w:p>
      <w:pPr>
        <w:spacing w:after="0" w:line="43" w:lineRule="exact"/>
        <w:rPr>
          <w:sz w:val="20"/>
          <w:szCs w:val="20"/>
          <w:color w:val="auto"/>
        </w:rPr>
      </w:pPr>
    </w:p>
    <w:p>
      <w:pPr>
        <w:ind w:right="320"/>
        <w:spacing w:after="0" w:line="249" w:lineRule="auto"/>
        <w:rPr>
          <w:sz w:val="20"/>
          <w:szCs w:val="20"/>
          <w:color w:val="auto"/>
        </w:rPr>
      </w:pPr>
      <w:r>
        <w:rPr>
          <w:rFonts w:ascii="Arial" w:cs="Arial" w:eastAsia="Arial" w:hAnsi="Arial"/>
          <w:sz w:val="22"/>
          <w:szCs w:val="22"/>
          <w:color w:val="auto"/>
        </w:rPr>
        <w:t>We have physical, electronic and procedural safeguards that protect the confidentiality and security of NPI. We give access only to employees who need to know the NPI to provide insurance products or services to you.</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CONTACTING US</w:t>
      </w:r>
    </w:p>
    <w:p>
      <w:pPr>
        <w:spacing w:after="0" w:line="43"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 xml:space="preserve">For additional information about Unum's commitment to privacy and to view a copy of our HIPAA Privacy Notice, please visit </w:t>
      </w:r>
      <w:r>
        <w:rPr>
          <w:rFonts w:ascii="Arial" w:cs="Arial" w:eastAsia="Arial" w:hAnsi="Arial"/>
          <w:sz w:val="22"/>
          <w:szCs w:val="22"/>
          <w:u w:val="single" w:color="auto"/>
          <w:color w:val="auto"/>
        </w:rPr>
        <w:t>unum.com/privacy</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coloniallife.com</w:t>
      </w:r>
      <w:r>
        <w:rPr>
          <w:rFonts w:ascii="Arial" w:cs="Arial" w:eastAsia="Arial" w:hAnsi="Arial"/>
          <w:sz w:val="22"/>
          <w:szCs w:val="22"/>
          <w:color w:val="auto"/>
        </w:rPr>
        <w:t>. You may also write to: Privacy Officer, Unum, 2211 Congress Street, C476, Portland, Maine 04122.</w:t>
      </w:r>
    </w:p>
    <w:p>
      <w:pPr>
        <w:spacing w:after="0" w:line="227" w:lineRule="exact"/>
        <w:rPr>
          <w:sz w:val="20"/>
          <w:szCs w:val="20"/>
          <w:color w:val="auto"/>
        </w:rPr>
      </w:pPr>
    </w:p>
    <w:p>
      <w:pPr>
        <w:ind w:right="320"/>
        <w:spacing w:after="0" w:line="270" w:lineRule="auto"/>
        <w:rPr>
          <w:sz w:val="20"/>
          <w:szCs w:val="20"/>
          <w:color w:val="auto"/>
        </w:rPr>
      </w:pPr>
      <w:r>
        <w:rPr>
          <w:rFonts w:ascii="Arial" w:cs="Arial" w:eastAsia="Arial" w:hAnsi="Arial"/>
          <w:sz w:val="22"/>
          <w:szCs w:val="22"/>
          <w:i w:val="1"/>
          <w:iCs w:val="1"/>
          <w:color w:val="auto"/>
        </w:rPr>
        <w:t>We reserve the right to modify this notice. We will provide you with a new notice if we make material changes to our privacy practices.</w:t>
      </w:r>
    </w:p>
    <w:p>
      <w:pPr>
        <w:sectPr>
          <w:pgSz w:w="11900" w:h="16838" w:orient="portrait"/>
          <w:cols w:equalWidth="0" w:num="1">
            <w:col w:w="11340"/>
          </w:cols>
          <w:pgMar w:left="320" w:top="553" w:right="239" w:bottom="1440" w:gutter="0" w:footer="0" w:header="0"/>
        </w:sectPr>
      </w:pPr>
    </w:p>
    <w:bookmarkStart w:id="215" w:name="page216"/>
    <w:bookmarkEnd w:id="215"/>
    <w:p>
      <w:pPr>
        <w:spacing w:after="0" w:line="226" w:lineRule="auto"/>
        <w:rPr>
          <w:sz w:val="20"/>
          <w:szCs w:val="20"/>
          <w:color w:val="auto"/>
        </w:rPr>
      </w:pPr>
      <w:r>
        <w:rPr>
          <w:rFonts w:ascii="Arial" w:cs="Arial" w:eastAsia="Arial" w:hAnsi="Arial"/>
          <w:sz w:val="18"/>
          <w:szCs w:val="18"/>
          <w:i w:val="1"/>
          <w:iCs w:val="1"/>
          <w:color w:val="auto"/>
        </w:rPr>
        <w:t>Unum is providing this notice to you on behalf of the following insuring companies: Unum Life Insurance Company of America, Unum Insurance Company, First Unum Life Insurance Company, Provident Life and Accident Insurance Company, Provident Life and Casualty Insurance Company, Colonial Life &amp; Accident Insurance Company and The Paul Revere Life Insurance Company.</w:t>
      </w:r>
    </w:p>
    <w:p>
      <w:pPr>
        <w:spacing w:after="0" w:line="31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Copyright 2015 Unum Group. All rights reserved. Unum is a registered trademark and marketing brand of Unum Group and its insuring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MK-1883 (09/15)</w:t>
      </w:r>
    </w:p>
    <w:p>
      <w:pPr>
        <w:sectPr>
          <w:pgSz w:w="11900" w:h="16838" w:orient="portrait"/>
          <w:cols w:equalWidth="0" w:num="1">
            <w:col w:w="10820"/>
          </w:cols>
          <w:pgMar w:left="320" w:top="350" w:right="759" w:bottom="1440" w:gutter="0" w:footer="0" w:header="0"/>
        </w:sectPr>
      </w:pPr>
    </w:p>
    <w:bookmarkStart w:id="216" w:name="page217"/>
    <w:bookmarkEnd w:id="216"/>
    <w:p>
      <w:pPr>
        <w:jc w:val="center"/>
        <w:ind w:left="2080"/>
        <w:spacing w:after="0"/>
        <w:rPr>
          <w:sz w:val="20"/>
          <w:szCs w:val="20"/>
          <w:color w:val="auto"/>
        </w:rPr>
      </w:pPr>
      <w:r>
        <w:rPr>
          <w:rFonts w:ascii="Arial" w:cs="Arial" w:eastAsia="Arial" w:hAnsi="Arial"/>
          <w:sz w:val="22"/>
          <w:szCs w:val="22"/>
          <w:b w:val="1"/>
          <w:bCs w:val="1"/>
          <w:color w:val="auto"/>
        </w:rPr>
        <w:t>NOTICE OF PROTECTION PROVIDED BY VIRGINIA LIFE, ACCIDENT AND SICKNESS</w:t>
      </w:r>
    </w:p>
    <w:p>
      <w:pPr>
        <w:spacing w:after="0" w:line="30" w:lineRule="exact"/>
        <w:rPr>
          <w:sz w:val="20"/>
          <w:szCs w:val="20"/>
          <w:color w:val="auto"/>
        </w:rPr>
      </w:pPr>
    </w:p>
    <w:p>
      <w:pPr>
        <w:jc w:val="center"/>
        <w:ind w:left="2080"/>
        <w:spacing w:after="0"/>
        <w:rPr>
          <w:sz w:val="20"/>
          <w:szCs w:val="20"/>
          <w:color w:val="auto"/>
        </w:rPr>
      </w:pPr>
      <w:r>
        <w:rPr>
          <w:rFonts w:ascii="Arial" w:cs="Arial" w:eastAsia="Arial" w:hAnsi="Arial"/>
          <w:sz w:val="22"/>
          <w:szCs w:val="22"/>
          <w:b w:val="1"/>
          <w:bCs w:val="1"/>
          <w:color w:val="auto"/>
        </w:rPr>
        <w:t>INSURANCE GUARANTY ASSOCIATION</w:t>
      </w:r>
    </w:p>
    <w:p>
      <w:pPr>
        <w:spacing w:after="0" w:line="234" w:lineRule="exact"/>
        <w:rPr>
          <w:sz w:val="20"/>
          <w:szCs w:val="20"/>
          <w:color w:val="auto"/>
        </w:rPr>
      </w:pPr>
    </w:p>
    <w:p>
      <w:pPr>
        <w:jc w:val="both"/>
        <w:ind w:right="440"/>
        <w:spacing w:after="0" w:line="258" w:lineRule="auto"/>
        <w:rPr>
          <w:sz w:val="20"/>
          <w:szCs w:val="20"/>
          <w:color w:val="auto"/>
        </w:rPr>
      </w:pPr>
      <w:r>
        <w:rPr>
          <w:rFonts w:ascii="Arial" w:cs="Arial" w:eastAsia="Arial" w:hAnsi="Arial"/>
          <w:sz w:val="22"/>
          <w:szCs w:val="22"/>
          <w:color w:val="auto"/>
        </w:rPr>
        <w:t xml:space="preserve">This notice provides a </w:t>
      </w:r>
      <w:r>
        <w:rPr>
          <w:rFonts w:ascii="Arial" w:cs="Arial" w:eastAsia="Arial" w:hAnsi="Arial"/>
          <w:sz w:val="22"/>
          <w:szCs w:val="22"/>
          <w:b w:val="1"/>
          <w:bCs w:val="1"/>
          <w:color w:val="auto"/>
        </w:rPr>
        <w:t>brief summary</w:t>
      </w:r>
      <w:r>
        <w:rPr>
          <w:rFonts w:ascii="Arial" w:cs="Arial" w:eastAsia="Arial" w:hAnsi="Arial"/>
          <w:sz w:val="22"/>
          <w:szCs w:val="22"/>
          <w:color w:val="auto"/>
        </w:rPr>
        <w:t xml:space="preserve"> of the Virginia Life, Accident and Sickness Insurance Guaranty Association ("the Association") and the protection it provides for policyholders. This safety net was created under Virginia law, which determines who and what is covered and the amounts of coverage.</w:t>
      </w:r>
    </w:p>
    <w:p>
      <w:pPr>
        <w:spacing w:after="0" w:line="156"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The Association was established to provide protection in the unlikely event that a life, annuity or health insurance company licensed in the Commonwealth of Virginia becomes financially unable to meet its obligations and is taken over by its Insurance Department. If this should happen, the Association will typically arrange to continue coverage and pay claims, in accordance with Virginia law, with funding from assessments paid by other life and health insurance companies licensed in the Commonwealth of Virginia.</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auto"/>
        </w:rPr>
        <w:t>The basic protections provided by the Association are:</w:t>
      </w:r>
    </w:p>
    <w:p>
      <w:pPr>
        <w:spacing w:after="0" w:line="17" w:lineRule="exact"/>
        <w:rPr>
          <w:sz w:val="20"/>
          <w:szCs w:val="20"/>
          <w:color w:val="auto"/>
        </w:rPr>
      </w:pPr>
    </w:p>
    <w:p>
      <w:pPr>
        <w:ind w:left="200" w:hanging="191"/>
        <w:spacing w:after="0"/>
        <w:tabs>
          <w:tab w:leader="none" w:pos="20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Life Insurance</w:t>
      </w:r>
    </w:p>
    <w:p>
      <w:pPr>
        <w:spacing w:after="0" w:line="17" w:lineRule="exact"/>
        <w:rPr>
          <w:rFonts w:ascii="Arial" w:cs="Arial" w:eastAsia="Arial" w:hAnsi="Arial"/>
          <w:sz w:val="22"/>
          <w:szCs w:val="22"/>
          <w:color w:val="auto"/>
        </w:rPr>
      </w:pPr>
    </w:p>
    <w:p>
      <w:pPr>
        <w:ind w:left="360" w:hanging="202"/>
        <w:spacing w:after="0"/>
        <w:tabs>
          <w:tab w:leader="none" w:pos="360" w:val="left"/>
        </w:tabs>
        <w:numPr>
          <w:ilvl w:val="1"/>
          <w:numId w:val="226"/>
        </w:numPr>
        <w:rPr>
          <w:rFonts w:ascii="Arial" w:cs="Arial" w:eastAsia="Arial" w:hAnsi="Arial"/>
          <w:sz w:val="22"/>
          <w:szCs w:val="22"/>
          <w:color w:val="auto"/>
        </w:rPr>
      </w:pPr>
      <w:r>
        <w:rPr>
          <w:rFonts w:ascii="Arial" w:cs="Arial" w:eastAsia="Arial" w:hAnsi="Arial"/>
          <w:sz w:val="22"/>
          <w:szCs w:val="22"/>
          <w:color w:val="auto"/>
        </w:rPr>
        <w:t>$300,000 in death benefits</w:t>
      </w:r>
    </w:p>
    <w:p>
      <w:pPr>
        <w:spacing w:after="0" w:line="17" w:lineRule="exact"/>
        <w:rPr>
          <w:rFonts w:ascii="Arial" w:cs="Arial" w:eastAsia="Arial" w:hAnsi="Arial"/>
          <w:sz w:val="22"/>
          <w:szCs w:val="22"/>
          <w:color w:val="auto"/>
        </w:rPr>
      </w:pPr>
    </w:p>
    <w:p>
      <w:pPr>
        <w:ind w:left="360" w:hanging="202"/>
        <w:spacing w:after="0"/>
        <w:tabs>
          <w:tab w:leader="none" w:pos="360" w:val="left"/>
        </w:tabs>
        <w:numPr>
          <w:ilvl w:val="1"/>
          <w:numId w:val="226"/>
        </w:numPr>
        <w:rPr>
          <w:rFonts w:ascii="Arial" w:cs="Arial" w:eastAsia="Arial" w:hAnsi="Arial"/>
          <w:sz w:val="22"/>
          <w:szCs w:val="22"/>
          <w:color w:val="auto"/>
        </w:rPr>
      </w:pPr>
      <w:r>
        <w:rPr>
          <w:rFonts w:ascii="Arial" w:cs="Arial" w:eastAsia="Arial" w:hAnsi="Arial"/>
          <w:sz w:val="22"/>
          <w:szCs w:val="22"/>
          <w:color w:val="auto"/>
        </w:rPr>
        <w:t>$100,000 in cash surrender or withdrawal values</w:t>
      </w:r>
    </w:p>
    <w:p>
      <w:pPr>
        <w:spacing w:after="0" w:line="138" w:lineRule="exact"/>
        <w:rPr>
          <w:rFonts w:ascii="Arial" w:cs="Arial" w:eastAsia="Arial" w:hAnsi="Arial"/>
          <w:sz w:val="22"/>
          <w:szCs w:val="22"/>
          <w:color w:val="auto"/>
        </w:rPr>
      </w:pPr>
    </w:p>
    <w:p>
      <w:pPr>
        <w:ind w:left="200" w:hanging="191"/>
        <w:spacing w:after="0"/>
        <w:tabs>
          <w:tab w:leader="none" w:pos="20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Health Insurance</w:t>
      </w:r>
    </w:p>
    <w:p>
      <w:pPr>
        <w:spacing w:after="0" w:line="17" w:lineRule="exact"/>
        <w:rPr>
          <w:rFonts w:ascii="Arial" w:cs="Arial" w:eastAsia="Arial" w:hAnsi="Arial"/>
          <w:sz w:val="22"/>
          <w:szCs w:val="22"/>
          <w:color w:val="auto"/>
        </w:rPr>
      </w:pPr>
    </w:p>
    <w:p>
      <w:pPr>
        <w:ind w:left="360" w:hanging="202"/>
        <w:spacing w:after="0"/>
        <w:tabs>
          <w:tab w:leader="none" w:pos="360" w:val="left"/>
        </w:tabs>
        <w:numPr>
          <w:ilvl w:val="1"/>
          <w:numId w:val="226"/>
        </w:numPr>
        <w:rPr>
          <w:rFonts w:ascii="Arial" w:cs="Arial" w:eastAsia="Arial" w:hAnsi="Arial"/>
          <w:sz w:val="22"/>
          <w:szCs w:val="22"/>
          <w:color w:val="auto"/>
        </w:rPr>
      </w:pPr>
      <w:r>
        <w:rPr>
          <w:rFonts w:ascii="Arial" w:cs="Arial" w:eastAsia="Arial" w:hAnsi="Arial"/>
          <w:sz w:val="22"/>
          <w:szCs w:val="22"/>
          <w:color w:val="auto"/>
        </w:rPr>
        <w:t>$500,000 in hospital, medical and surgical insurance benefits</w:t>
      </w:r>
    </w:p>
    <w:p>
      <w:pPr>
        <w:spacing w:after="0" w:line="17" w:lineRule="exact"/>
        <w:rPr>
          <w:rFonts w:ascii="Arial" w:cs="Arial" w:eastAsia="Arial" w:hAnsi="Arial"/>
          <w:sz w:val="22"/>
          <w:szCs w:val="22"/>
          <w:color w:val="auto"/>
        </w:rPr>
      </w:pPr>
    </w:p>
    <w:p>
      <w:pPr>
        <w:ind w:left="360" w:hanging="202"/>
        <w:spacing w:after="0"/>
        <w:tabs>
          <w:tab w:leader="none" w:pos="360" w:val="left"/>
        </w:tabs>
        <w:numPr>
          <w:ilvl w:val="1"/>
          <w:numId w:val="226"/>
        </w:numPr>
        <w:rPr>
          <w:rFonts w:ascii="Arial" w:cs="Arial" w:eastAsia="Arial" w:hAnsi="Arial"/>
          <w:sz w:val="22"/>
          <w:szCs w:val="22"/>
          <w:color w:val="auto"/>
        </w:rPr>
      </w:pPr>
      <w:r>
        <w:rPr>
          <w:rFonts w:ascii="Arial" w:cs="Arial" w:eastAsia="Arial" w:hAnsi="Arial"/>
          <w:sz w:val="22"/>
          <w:szCs w:val="22"/>
          <w:color w:val="auto"/>
        </w:rPr>
        <w:t>$300,000 in disability income insurance benefits</w:t>
      </w:r>
    </w:p>
    <w:p>
      <w:pPr>
        <w:spacing w:after="0" w:line="3" w:lineRule="exact"/>
        <w:rPr>
          <w:rFonts w:ascii="Arial" w:cs="Arial" w:eastAsia="Arial" w:hAnsi="Arial"/>
          <w:sz w:val="22"/>
          <w:szCs w:val="22"/>
          <w:color w:val="auto"/>
        </w:rPr>
      </w:pPr>
    </w:p>
    <w:p>
      <w:pPr>
        <w:ind w:left="360" w:hanging="202"/>
        <w:spacing w:after="0"/>
        <w:tabs>
          <w:tab w:leader="none" w:pos="360" w:val="left"/>
        </w:tabs>
        <w:numPr>
          <w:ilvl w:val="1"/>
          <w:numId w:val="226"/>
        </w:numPr>
        <w:rPr>
          <w:rFonts w:ascii="Arial" w:cs="Arial" w:eastAsia="Arial" w:hAnsi="Arial"/>
          <w:sz w:val="22"/>
          <w:szCs w:val="22"/>
          <w:color w:val="auto"/>
        </w:rPr>
      </w:pPr>
      <w:r>
        <w:rPr>
          <w:rFonts w:ascii="Arial" w:cs="Arial" w:eastAsia="Arial" w:hAnsi="Arial"/>
          <w:sz w:val="22"/>
          <w:szCs w:val="22"/>
          <w:color w:val="auto"/>
        </w:rPr>
        <w:t>$300,000 in long-term care insurance benefits</w:t>
      </w:r>
    </w:p>
    <w:p>
      <w:pPr>
        <w:spacing w:after="0" w:line="3" w:lineRule="exact"/>
        <w:rPr>
          <w:rFonts w:ascii="Arial" w:cs="Arial" w:eastAsia="Arial" w:hAnsi="Arial"/>
          <w:sz w:val="22"/>
          <w:szCs w:val="22"/>
          <w:color w:val="auto"/>
        </w:rPr>
      </w:pPr>
    </w:p>
    <w:p>
      <w:pPr>
        <w:ind w:left="360" w:hanging="202"/>
        <w:spacing w:after="0"/>
        <w:tabs>
          <w:tab w:leader="none" w:pos="360" w:val="left"/>
        </w:tabs>
        <w:numPr>
          <w:ilvl w:val="1"/>
          <w:numId w:val="226"/>
        </w:numPr>
        <w:rPr>
          <w:rFonts w:ascii="Arial" w:cs="Arial" w:eastAsia="Arial" w:hAnsi="Arial"/>
          <w:sz w:val="22"/>
          <w:szCs w:val="22"/>
          <w:color w:val="auto"/>
        </w:rPr>
      </w:pPr>
      <w:r>
        <w:rPr>
          <w:rFonts w:ascii="Arial" w:cs="Arial" w:eastAsia="Arial" w:hAnsi="Arial"/>
          <w:sz w:val="22"/>
          <w:szCs w:val="22"/>
          <w:color w:val="auto"/>
        </w:rPr>
        <w:t>$100,000 in other types of health insurance benefits</w:t>
      </w:r>
    </w:p>
    <w:p>
      <w:pPr>
        <w:spacing w:after="0" w:line="138" w:lineRule="exact"/>
        <w:rPr>
          <w:rFonts w:ascii="Arial" w:cs="Arial" w:eastAsia="Arial" w:hAnsi="Arial"/>
          <w:sz w:val="22"/>
          <w:szCs w:val="22"/>
          <w:color w:val="auto"/>
        </w:rPr>
      </w:pPr>
    </w:p>
    <w:p>
      <w:pPr>
        <w:ind w:left="200" w:hanging="191"/>
        <w:spacing w:after="0"/>
        <w:tabs>
          <w:tab w:leader="none" w:pos="20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Annuities</w:t>
      </w:r>
    </w:p>
    <w:p>
      <w:pPr>
        <w:spacing w:after="0" w:line="17" w:lineRule="exact"/>
        <w:rPr>
          <w:rFonts w:ascii="Arial" w:cs="Arial" w:eastAsia="Arial" w:hAnsi="Arial"/>
          <w:sz w:val="22"/>
          <w:szCs w:val="22"/>
          <w:color w:val="auto"/>
        </w:rPr>
      </w:pPr>
    </w:p>
    <w:p>
      <w:pPr>
        <w:ind w:left="360" w:hanging="202"/>
        <w:spacing w:after="0"/>
        <w:tabs>
          <w:tab w:leader="none" w:pos="360" w:val="left"/>
        </w:tabs>
        <w:numPr>
          <w:ilvl w:val="1"/>
          <w:numId w:val="226"/>
        </w:numPr>
        <w:rPr>
          <w:rFonts w:ascii="Arial" w:cs="Arial" w:eastAsia="Arial" w:hAnsi="Arial"/>
          <w:sz w:val="22"/>
          <w:szCs w:val="22"/>
          <w:color w:val="auto"/>
        </w:rPr>
      </w:pPr>
      <w:r>
        <w:rPr>
          <w:rFonts w:ascii="Arial" w:cs="Arial" w:eastAsia="Arial" w:hAnsi="Arial"/>
          <w:sz w:val="22"/>
          <w:szCs w:val="22"/>
          <w:color w:val="auto"/>
        </w:rPr>
        <w:t>$250,000 in withdrawal and cash values</w:t>
      </w:r>
    </w:p>
    <w:p>
      <w:pPr>
        <w:spacing w:after="0" w:line="193" w:lineRule="exact"/>
        <w:rPr>
          <w:sz w:val="20"/>
          <w:szCs w:val="20"/>
          <w:color w:val="auto"/>
        </w:rPr>
      </w:pPr>
    </w:p>
    <w:p>
      <w:pPr>
        <w:ind w:right="60"/>
        <w:spacing w:after="0" w:line="249" w:lineRule="auto"/>
        <w:rPr>
          <w:sz w:val="20"/>
          <w:szCs w:val="20"/>
          <w:color w:val="auto"/>
        </w:rPr>
      </w:pPr>
      <w:r>
        <w:rPr>
          <w:rFonts w:ascii="Arial" w:cs="Arial" w:eastAsia="Arial" w:hAnsi="Arial"/>
          <w:sz w:val="22"/>
          <w:szCs w:val="22"/>
          <w:color w:val="auto"/>
        </w:rPr>
        <w:t>The maximum amount of protection for each individual, regardless of the number of policies or contracts, is $350,000, except for hospital, medical and surgical insurance benefits, for which the limit is increased to $500,000.</w:t>
      </w:r>
    </w:p>
    <w:p>
      <w:pPr>
        <w:spacing w:after="0" w:line="138"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b w:val="1"/>
          <w:bCs w:val="1"/>
          <w:color w:val="auto"/>
        </w:rPr>
        <w:t xml:space="preserve">NOTE: Certain policies and contracts may not be covered or fully covered. </w:t>
      </w:r>
      <w:r>
        <w:rPr>
          <w:rFonts w:ascii="Arial" w:cs="Arial" w:eastAsia="Arial" w:hAnsi="Arial"/>
          <w:sz w:val="22"/>
          <w:szCs w:val="22"/>
          <w:color w:val="auto"/>
        </w:rPr>
        <w:t>For example, coverage does not</w:t>
      </w:r>
      <w:r>
        <w:rPr>
          <w:rFonts w:ascii="Arial" w:cs="Arial" w:eastAsia="Arial" w:hAnsi="Arial"/>
          <w:sz w:val="22"/>
          <w:szCs w:val="22"/>
          <w:b w:val="1"/>
          <w:bCs w:val="1"/>
          <w:color w:val="auto"/>
        </w:rPr>
        <w:t xml:space="preserve"> </w:t>
      </w:r>
      <w:r>
        <w:rPr>
          <w:rFonts w:ascii="Arial" w:cs="Arial" w:eastAsia="Arial" w:hAnsi="Arial"/>
          <w:sz w:val="22"/>
          <w:szCs w:val="22"/>
          <w:color w:val="auto"/>
        </w:rPr>
        <w:t>extend to any portion(s) of a policy or contract that the insurer does not guarantee, such as certain investment additions to the account value of a variable life insurance policy or a variable annuity contract. There are also various residency requirements and other limitations under Virginia law.</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To learn more about the above protections, please visit the Association's website at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www.valifega.org</w:t>
      </w:r>
      <w:r>
        <w:rPr>
          <w:rFonts w:ascii="Arial" w:cs="Arial" w:eastAsia="Arial" w:hAnsi="Arial"/>
          <w:sz w:val="22"/>
          <w:szCs w:val="22"/>
          <w:color w:val="0000FF"/>
        </w:rPr>
        <w:t xml:space="preserve"> </w:t>
      </w:r>
      <w:r>
        <w:rPr>
          <w:rFonts w:ascii="Arial" w:cs="Arial" w:eastAsia="Arial" w:hAnsi="Arial"/>
          <w:sz w:val="22"/>
          <w:szCs w:val="22"/>
          <w:color w:val="000000"/>
        </w:rPr>
        <w:t>or contact:</w:t>
      </w:r>
    </w:p>
    <w:p>
      <w:pPr>
        <w:spacing w:after="0" w:line="166" w:lineRule="exact"/>
        <w:rPr>
          <w:sz w:val="20"/>
          <w:szCs w:val="20"/>
          <w:color w:val="auto"/>
        </w:rPr>
      </w:pPr>
    </w:p>
    <w:p>
      <w:pPr>
        <w:ind w:right="2820"/>
        <w:spacing w:after="0" w:line="243" w:lineRule="auto"/>
        <w:rPr>
          <w:sz w:val="20"/>
          <w:szCs w:val="20"/>
          <w:color w:val="auto"/>
        </w:rPr>
      </w:pPr>
      <w:r>
        <w:rPr>
          <w:rFonts w:ascii="Arial" w:cs="Arial" w:eastAsia="Arial" w:hAnsi="Arial"/>
          <w:sz w:val="22"/>
          <w:szCs w:val="22"/>
          <w:color w:val="auto"/>
        </w:rPr>
        <w:t>VIRGINIA LIFE, ACCIDENT AND SICKNESS INSURANCE GUARANTY ASSOCIATION c/o APM Management Services, Inc. 1503 Santa Rosa Road, Suite 101 Henrico, VA 23229-5105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804-282-2240</w:t>
      </w:r>
    </w:p>
    <w:p>
      <w:pPr>
        <w:sectPr>
          <w:pgSz w:w="11900" w:h="16838" w:orient="portrait"/>
          <w:cols w:equalWidth="0" w:num="1">
            <w:col w:w="11300"/>
          </w:cols>
          <w:pgMar w:left="320" w:top="445" w:right="27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STATE CORPORATION COMMISSION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Bureau of Insurance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P.O. Box 1157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Richmond, VA 23218-1157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804-371-9741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Toll Free Virginia only: 1-800-552-7945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www.scc.virginia.gov/boi/index.aspx</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22"/>
          <w:szCs w:val="22"/>
          <w:b w:val="1"/>
          <w:bCs w:val="1"/>
          <w:color w:val="auto"/>
        </w:rPr>
        <w:t>Insurance companies and agents are not allowed by Virginia law to use the existence of the Association or its coverage to encourage you to purchase any form of insurance. When selecting an insurance company, you should not rely on Association coverage. If there is any inconsistency between this notice and Virginia law, then Virginia law will control.</w:t>
      </w:r>
    </w:p>
    <w:p>
      <w:pPr>
        <w:sectPr>
          <w:pgSz w:w="11900" w:h="16838" w:orient="portrait"/>
          <w:cols w:equalWidth="0" w:num="1">
            <w:col w:w="11260"/>
          </w:cols>
          <w:pgMar w:left="320" w:top="687" w:right="31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10(z)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06362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6">
                      <a:extLst>
                        <a:ext uri="{28A0092B-C50C-407E-A947-70E740481C1C}"/>
                      </a:extLst>
                    </a:blip>
                    <a:srcRect/>
                    <a:stretch>
                      <a:fillRect/>
                    </a:stretch>
                  </pic:blipFill>
                  <pic:spPr bwMode="auto">
                    <a:xfrm>
                      <a:off x="0" y="0"/>
                      <a:ext cx="10636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Coverage underwritten by the following subsidiary of Unum</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Provident Life and Accident Insurance Company</w:t>
      </w:r>
    </w:p>
    <w:p>
      <w:pPr>
        <w:spacing w:after="0" w:line="201" w:lineRule="auto"/>
        <w:rPr>
          <w:sz w:val="20"/>
          <w:szCs w:val="20"/>
          <w:color w:val="auto"/>
        </w:rPr>
      </w:pPr>
      <w:r>
        <w:rPr>
          <w:rFonts w:ascii="Arial" w:cs="Arial" w:eastAsia="Arial" w:hAnsi="Arial"/>
          <w:sz w:val="14"/>
          <w:szCs w:val="14"/>
          <w:color w:val="auto"/>
        </w:rPr>
        <w:t>1 Fountain Square</w:t>
      </w:r>
    </w:p>
    <w:p>
      <w:pPr>
        <w:spacing w:after="0"/>
        <w:rPr>
          <w:sz w:val="20"/>
          <w:szCs w:val="20"/>
          <w:color w:val="auto"/>
        </w:rPr>
      </w:pPr>
      <w:r>
        <w:rPr>
          <w:rFonts w:ascii="Arial" w:cs="Arial" w:eastAsia="Arial" w:hAnsi="Arial"/>
          <w:sz w:val="14"/>
          <w:szCs w:val="14"/>
          <w:color w:val="auto"/>
        </w:rPr>
        <w:t>Chattanooga, TN 37402</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Unum Life Insurance Company of America</w:t>
      </w:r>
    </w:p>
    <w:p>
      <w:pPr>
        <w:spacing w:after="0" w:line="201" w:lineRule="auto"/>
        <w:rPr>
          <w:sz w:val="20"/>
          <w:szCs w:val="20"/>
          <w:color w:val="auto"/>
        </w:rPr>
      </w:pPr>
      <w:r>
        <w:rPr>
          <w:rFonts w:ascii="Arial" w:cs="Arial" w:eastAsia="Arial" w:hAnsi="Arial"/>
          <w:sz w:val="14"/>
          <w:szCs w:val="14"/>
          <w:color w:val="auto"/>
        </w:rPr>
        <w:t>2211 Congress Street</w:t>
      </w:r>
    </w:p>
    <w:p>
      <w:pPr>
        <w:spacing w:after="0"/>
        <w:rPr>
          <w:sz w:val="20"/>
          <w:szCs w:val="20"/>
          <w:color w:val="auto"/>
        </w:rPr>
      </w:pPr>
      <w:r>
        <w:rPr>
          <w:rFonts w:ascii="Arial" w:cs="Arial" w:eastAsia="Arial" w:hAnsi="Arial"/>
          <w:sz w:val="14"/>
          <w:szCs w:val="14"/>
          <w:color w:val="auto"/>
        </w:rPr>
        <w:t>Portland, ME 04122</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Provident Life and Casualty Insurance Company</w:t>
      </w:r>
    </w:p>
    <w:p>
      <w:pPr>
        <w:spacing w:after="0" w:line="201" w:lineRule="auto"/>
        <w:rPr>
          <w:sz w:val="20"/>
          <w:szCs w:val="20"/>
          <w:color w:val="auto"/>
        </w:rPr>
      </w:pPr>
      <w:r>
        <w:rPr>
          <w:rFonts w:ascii="Arial" w:cs="Arial" w:eastAsia="Arial" w:hAnsi="Arial"/>
          <w:sz w:val="14"/>
          <w:szCs w:val="14"/>
          <w:color w:val="auto"/>
        </w:rPr>
        <w:t>1 Fountain Square</w:t>
      </w:r>
    </w:p>
    <w:p>
      <w:pPr>
        <w:spacing w:after="0"/>
        <w:rPr>
          <w:sz w:val="20"/>
          <w:szCs w:val="20"/>
          <w:color w:val="auto"/>
        </w:rPr>
      </w:pPr>
      <w:r>
        <w:rPr>
          <w:rFonts w:ascii="Arial" w:cs="Arial" w:eastAsia="Arial" w:hAnsi="Arial"/>
          <w:sz w:val="14"/>
          <w:szCs w:val="14"/>
          <w:color w:val="auto"/>
        </w:rPr>
        <w:t>Chattanooga, TN 37402</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www.unum.com</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Unum is a registered trademark and marketing brand of Unum Group and its insuring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15294"/>
        </w:rPr>
        <w:t>Supplemental Individual Disability Insurance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tabs>
          <w:tab w:leader="none" w:pos="3360" w:val="left"/>
        </w:tabs>
        <w:rPr>
          <w:sz w:val="20"/>
          <w:szCs w:val="20"/>
          <w:color w:val="auto"/>
        </w:rPr>
      </w:pPr>
      <w:r>
        <w:rPr>
          <w:rFonts w:ascii="Arial" w:cs="Arial" w:eastAsia="Arial" w:hAnsi="Arial"/>
          <w:sz w:val="25"/>
          <w:szCs w:val="25"/>
          <w:color w:val="015294"/>
        </w:rPr>
        <w:t>Renewal Anniversary Date:</w:t>
      </w:r>
      <w:r>
        <w:rPr>
          <w:sz w:val="20"/>
          <w:szCs w:val="20"/>
          <w:color w:val="auto"/>
        </w:rPr>
        <w:tab/>
      </w:r>
      <w:r>
        <w:rPr>
          <w:rFonts w:ascii="Arial" w:cs="Arial" w:eastAsia="Arial" w:hAnsi="Arial"/>
          <w:sz w:val="22"/>
          <w:szCs w:val="22"/>
          <w:color w:val="auto"/>
        </w:rPr>
        <w:t>June 30, 2014</w:t>
      </w:r>
    </w:p>
    <w:p>
      <w:pPr>
        <w:spacing w:after="0" w:line="361" w:lineRule="exact"/>
        <w:rPr>
          <w:sz w:val="20"/>
          <w:szCs w:val="20"/>
          <w:color w:val="auto"/>
        </w:rPr>
      </w:pPr>
    </w:p>
    <w:p>
      <w:pPr>
        <w:ind w:left="200"/>
        <w:spacing w:after="0"/>
        <w:tabs>
          <w:tab w:leader="none" w:pos="4020" w:val="left"/>
        </w:tabs>
        <w:rPr>
          <w:sz w:val="20"/>
          <w:szCs w:val="20"/>
          <w:color w:val="auto"/>
        </w:rPr>
      </w:pPr>
      <w:r>
        <w:rPr>
          <w:rFonts w:ascii="Arial" w:cs="Arial" w:eastAsia="Arial" w:hAnsi="Arial"/>
          <w:sz w:val="25"/>
          <w:szCs w:val="25"/>
          <w:color w:val="015294"/>
        </w:rPr>
        <w:t>Developed Specifically For:</w:t>
      </w:r>
      <w:r>
        <w:rPr>
          <w:sz w:val="20"/>
          <w:szCs w:val="20"/>
          <w:color w:val="auto"/>
        </w:rPr>
        <w:tab/>
      </w:r>
      <w:r>
        <w:rPr>
          <w:rFonts w:ascii="Arial" w:cs="Arial" w:eastAsia="Arial" w:hAnsi="Arial"/>
          <w:sz w:val="23"/>
          <w:szCs w:val="23"/>
          <w:color w:val="auto"/>
        </w:rPr>
        <w:t>Northrop Grumman</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Case #132219</w:t>
      </w:r>
    </w:p>
    <w:p>
      <w:pPr>
        <w:spacing w:after="0" w:line="328" w:lineRule="exact"/>
        <w:rPr>
          <w:sz w:val="20"/>
          <w:szCs w:val="20"/>
          <w:color w:val="auto"/>
        </w:rPr>
      </w:pPr>
    </w:p>
    <w:p>
      <w:pPr>
        <w:ind w:left="200"/>
        <w:spacing w:after="0"/>
        <w:tabs>
          <w:tab w:leader="none" w:pos="4020" w:val="left"/>
        </w:tabs>
        <w:rPr>
          <w:sz w:val="20"/>
          <w:szCs w:val="20"/>
          <w:color w:val="auto"/>
        </w:rPr>
      </w:pPr>
      <w:r>
        <w:rPr>
          <w:rFonts w:ascii="Arial" w:cs="Arial" w:eastAsia="Arial" w:hAnsi="Arial"/>
          <w:sz w:val="25"/>
          <w:szCs w:val="25"/>
          <w:color w:val="015294"/>
        </w:rPr>
        <w:t>Presented by:</w:t>
      </w:r>
      <w:r>
        <w:rPr>
          <w:sz w:val="20"/>
          <w:szCs w:val="20"/>
          <w:color w:val="auto"/>
        </w:rPr>
        <w:tab/>
      </w:r>
      <w:r>
        <w:rPr>
          <w:rFonts w:ascii="Arial" w:cs="Arial" w:eastAsia="Arial" w:hAnsi="Arial"/>
          <w:sz w:val="22"/>
          <w:szCs w:val="22"/>
          <w:color w:val="auto"/>
        </w:rPr>
        <w:t>Robert S. Combi</w:t>
      </w:r>
    </w:p>
    <w:p>
      <w:pPr>
        <w:spacing w:after="0" w:line="361" w:lineRule="exact"/>
        <w:rPr>
          <w:sz w:val="20"/>
          <w:szCs w:val="20"/>
          <w:color w:val="auto"/>
        </w:rPr>
      </w:pPr>
    </w:p>
    <w:p>
      <w:pPr>
        <w:ind w:left="200"/>
        <w:spacing w:after="0"/>
        <w:tabs>
          <w:tab w:leader="none" w:pos="4020" w:val="left"/>
        </w:tabs>
        <w:rPr>
          <w:sz w:val="20"/>
          <w:szCs w:val="20"/>
          <w:color w:val="auto"/>
        </w:rPr>
      </w:pPr>
      <w:r>
        <w:rPr>
          <w:rFonts w:ascii="Arial" w:cs="Arial" w:eastAsia="Arial" w:hAnsi="Arial"/>
          <w:sz w:val="25"/>
          <w:szCs w:val="25"/>
          <w:color w:val="015294"/>
        </w:rPr>
        <w:t>Prepared by:</w:t>
      </w:r>
      <w:r>
        <w:rPr>
          <w:sz w:val="20"/>
          <w:szCs w:val="20"/>
          <w:color w:val="auto"/>
        </w:rPr>
        <w:tab/>
      </w:r>
      <w:r>
        <w:rPr>
          <w:rFonts w:ascii="Arial" w:cs="Arial" w:eastAsia="Arial" w:hAnsi="Arial"/>
          <w:sz w:val="23"/>
          <w:szCs w:val="23"/>
          <w:color w:val="auto"/>
        </w:rPr>
        <w:t>Paul R. Wickline</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San Francisco Sales Office</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Plan Offering</w:t>
      </w:r>
    </w:p>
    <w:p>
      <w:pPr>
        <w:sectPr>
          <w:pgSz w:w="11900" w:h="16838" w:orient="portrait"/>
          <w:cols w:equalWidth="0" w:num="1">
            <w:col w:w="11420"/>
          </w:cols>
          <w:pgMar w:left="240" w:top="121" w:right="239" w:bottom="0" w:gutter="0" w:footer="0" w:header="0"/>
          <w:type w:val="continuous"/>
        </w:sectPr>
      </w:pPr>
    </w:p>
    <w:bookmarkStart w:id="219" w:name="page220"/>
    <w:bookmarkEnd w:id="219"/>
    <w:p>
      <w:pPr>
        <w:jc w:val="both"/>
        <w:ind w:right="100"/>
        <w:spacing w:after="0" w:line="286" w:lineRule="auto"/>
        <w:rPr>
          <w:sz w:val="20"/>
          <w:szCs w:val="20"/>
          <w:color w:val="auto"/>
        </w:rPr>
      </w:pPr>
      <w:r>
        <w:rPr>
          <w:rFonts w:ascii="Arial" w:cs="Arial" w:eastAsia="Arial" w:hAnsi="Arial"/>
          <w:sz w:val="17"/>
          <w:szCs w:val="17"/>
          <w:color w:val="auto"/>
        </w:rPr>
        <w:t>We recently completed a review of your in-force Supplemental Income Protection insurance plan and are pleased to renew your current offer. Enclosed with your plan offering are detailed plan specifications and an offer request document. It is not necessary to sign or return this document to us. Unum is pleased to partner with you to provide these benefits for your employees. Specifically, your customized plan design includes: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015294"/>
        </w:rPr>
        <w:t>Guaranteed Standard Issue (GSI) Supplemental Individual Disability Insurance Plan Summary</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80" w:type="dxa"/>
            <w:vAlign w:val="bottom"/>
            <w:tcBorders>
              <w:top w:val="single" w:sz="8" w:color="015294"/>
              <w:left w:val="single" w:sz="8" w:color="015294"/>
              <w:right w:val="single" w:sz="8" w:color="015294"/>
            </w:tcBorders>
          </w:tcPr>
          <w:p>
            <w:pPr>
              <w:spacing w:after="0"/>
              <w:rPr>
                <w:sz w:val="22"/>
                <w:szCs w:val="22"/>
                <w:color w:val="auto"/>
              </w:rPr>
            </w:pPr>
          </w:p>
        </w:tc>
        <w:tc>
          <w:tcPr>
            <w:tcW w:w="3860" w:type="dxa"/>
            <w:vAlign w:val="bottom"/>
            <w:tcBorders>
              <w:top w:val="single" w:sz="8" w:color="015294"/>
              <w:right w:val="single" w:sz="8" w:color="015294"/>
            </w:tcBorders>
          </w:tcPr>
          <w:p>
            <w:pPr>
              <w:ind w:left="1680"/>
              <w:spacing w:after="0"/>
              <w:rPr>
                <w:sz w:val="20"/>
                <w:szCs w:val="20"/>
                <w:color w:val="auto"/>
              </w:rPr>
            </w:pPr>
            <w:r>
              <w:rPr>
                <w:rFonts w:ascii="Arial" w:cs="Arial" w:eastAsia="Arial" w:hAnsi="Arial"/>
                <w:sz w:val="18"/>
                <w:szCs w:val="18"/>
                <w:b w:val="1"/>
                <w:bCs w:val="1"/>
                <w:color w:val="auto"/>
              </w:rPr>
              <w:t>Tier 1</w:t>
            </w:r>
          </w:p>
        </w:tc>
        <w:tc>
          <w:tcPr>
            <w:tcW w:w="3840" w:type="dxa"/>
            <w:vAlign w:val="bottom"/>
            <w:tcBorders>
              <w:top w:val="single" w:sz="8" w:color="015294"/>
              <w:right w:val="single" w:sz="8" w:color="015294"/>
            </w:tcBorders>
          </w:tcPr>
          <w:p>
            <w:pPr>
              <w:ind w:left="1680"/>
              <w:spacing w:after="0"/>
              <w:rPr>
                <w:sz w:val="20"/>
                <w:szCs w:val="20"/>
                <w:color w:val="auto"/>
              </w:rPr>
            </w:pPr>
            <w:r>
              <w:rPr>
                <w:rFonts w:ascii="Arial" w:cs="Arial" w:eastAsia="Arial" w:hAnsi="Arial"/>
                <w:sz w:val="18"/>
                <w:szCs w:val="18"/>
                <w:b w:val="1"/>
                <w:bCs w:val="1"/>
                <w:color w:val="auto"/>
              </w:rPr>
              <w:t>Tier 2</w:t>
            </w: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r>
        <w:trPr>
          <w:trHeight w:val="222"/>
        </w:trPr>
        <w:tc>
          <w:tcPr>
            <w:tcW w:w="2480" w:type="dxa"/>
            <w:vAlign w:val="bottom"/>
            <w:tcBorders>
              <w:left w:val="single" w:sz="8" w:color="015294"/>
              <w:right w:val="single" w:sz="8" w:color="015294"/>
            </w:tcBorders>
          </w:tcPr>
          <w:p>
            <w:pPr>
              <w:ind w:left="40"/>
              <w:spacing w:after="0"/>
              <w:rPr>
                <w:sz w:val="20"/>
                <w:szCs w:val="20"/>
                <w:color w:val="auto"/>
              </w:rPr>
            </w:pPr>
            <w:r>
              <w:rPr>
                <w:rFonts w:ascii="Arial" w:cs="Arial" w:eastAsia="Arial" w:hAnsi="Arial"/>
                <w:sz w:val="18"/>
                <w:szCs w:val="18"/>
                <w:color w:val="auto"/>
              </w:rPr>
              <w:t>Eligibility</w:t>
            </w: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All Newly Hired/Eligible, Full-Time Executives</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All Newly Hired/Eligible, Full-Time Executives</w:t>
            </w:r>
          </w:p>
        </w:tc>
      </w:tr>
      <w:tr>
        <w:trPr>
          <w:trHeight w:val="230"/>
        </w:trPr>
        <w:tc>
          <w:tcPr>
            <w:tcW w:w="2480" w:type="dxa"/>
            <w:vAlign w:val="bottom"/>
            <w:tcBorders>
              <w:left w:val="single" w:sz="8" w:color="015294"/>
              <w:right w:val="single" w:sz="8" w:color="015294"/>
            </w:tcBorders>
          </w:tcPr>
          <w:p>
            <w:pPr>
              <w:spacing w:after="0"/>
              <w:rPr>
                <w:sz w:val="20"/>
                <w:szCs w:val="20"/>
                <w:color w:val="auto"/>
              </w:rPr>
            </w:pP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Residing in California</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Residing Outside of California</w:t>
            </w: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r>
        <w:trPr>
          <w:trHeight w:val="237"/>
        </w:trPr>
        <w:tc>
          <w:tcPr>
            <w:tcW w:w="2480" w:type="dxa"/>
            <w:vAlign w:val="bottom"/>
            <w:tcBorders>
              <w:left w:val="single" w:sz="8" w:color="015294"/>
              <w:right w:val="single" w:sz="8" w:color="015294"/>
            </w:tcBorders>
          </w:tcPr>
          <w:p>
            <w:pPr>
              <w:ind w:left="40"/>
              <w:spacing w:after="0"/>
              <w:rPr>
                <w:sz w:val="20"/>
                <w:szCs w:val="20"/>
                <w:color w:val="auto"/>
              </w:rPr>
            </w:pPr>
            <w:r>
              <w:rPr>
                <w:rFonts w:ascii="Arial" w:cs="Arial" w:eastAsia="Arial" w:hAnsi="Arial"/>
                <w:sz w:val="18"/>
                <w:szCs w:val="18"/>
                <w:color w:val="auto"/>
              </w:rPr>
              <w:t>Insurable Income</w:t>
            </w: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Base Salary</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Base Salary</w:t>
            </w: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r>
        <w:trPr>
          <w:trHeight w:val="222"/>
        </w:trPr>
        <w:tc>
          <w:tcPr>
            <w:tcW w:w="2480" w:type="dxa"/>
            <w:vAlign w:val="bottom"/>
            <w:tcBorders>
              <w:left w:val="single" w:sz="8" w:color="015294"/>
              <w:right w:val="single" w:sz="8" w:color="015294"/>
            </w:tcBorders>
          </w:tcPr>
          <w:p>
            <w:pPr>
              <w:ind w:left="40"/>
              <w:spacing w:after="0"/>
              <w:rPr>
                <w:sz w:val="20"/>
                <w:szCs w:val="20"/>
                <w:color w:val="auto"/>
              </w:rPr>
            </w:pPr>
            <w:r>
              <w:rPr>
                <w:rFonts w:ascii="Arial" w:cs="Arial" w:eastAsia="Arial" w:hAnsi="Arial"/>
                <w:sz w:val="18"/>
                <w:szCs w:val="18"/>
                <w:color w:val="auto"/>
              </w:rPr>
              <w:t>Plan Design</w:t>
            </w: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75% of monthly insurable income less LTD to</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75% of monthly insurable income less LTD to</w:t>
            </w:r>
          </w:p>
        </w:tc>
      </w:tr>
      <w:tr>
        <w:trPr>
          <w:trHeight w:val="230"/>
        </w:trPr>
        <w:tc>
          <w:tcPr>
            <w:tcW w:w="2480" w:type="dxa"/>
            <w:vAlign w:val="bottom"/>
            <w:tcBorders>
              <w:left w:val="single" w:sz="8" w:color="015294"/>
              <w:right w:val="single" w:sz="8" w:color="015294"/>
            </w:tcBorders>
          </w:tcPr>
          <w:p>
            <w:pPr>
              <w:spacing w:after="0"/>
              <w:rPr>
                <w:sz w:val="20"/>
                <w:szCs w:val="20"/>
                <w:color w:val="auto"/>
              </w:rPr>
            </w:pP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amount of the GSI offer</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amount of the GSI offer</w:t>
            </w: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r>
        <w:trPr>
          <w:trHeight w:val="222"/>
        </w:trPr>
        <w:tc>
          <w:tcPr>
            <w:tcW w:w="2480" w:type="dxa"/>
            <w:vAlign w:val="bottom"/>
            <w:tcBorders>
              <w:left w:val="single" w:sz="8" w:color="015294"/>
              <w:right w:val="single" w:sz="8" w:color="015294"/>
            </w:tcBorders>
          </w:tcPr>
          <w:p>
            <w:pPr>
              <w:ind w:left="40"/>
              <w:spacing w:after="0"/>
              <w:rPr>
                <w:sz w:val="20"/>
                <w:szCs w:val="20"/>
                <w:color w:val="auto"/>
              </w:rPr>
            </w:pPr>
            <w:r>
              <w:rPr>
                <w:rFonts w:ascii="Arial" w:cs="Arial" w:eastAsia="Arial" w:hAnsi="Arial"/>
                <w:sz w:val="18"/>
                <w:szCs w:val="18"/>
                <w:color w:val="auto"/>
              </w:rPr>
              <w:t>LTD Plan</w:t>
            </w: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Unum: 65% of Base Salary to a maximum of</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Unum: 65% of Base Salary to a maximum of</w:t>
            </w:r>
          </w:p>
        </w:tc>
      </w:tr>
      <w:tr>
        <w:trPr>
          <w:trHeight w:val="230"/>
        </w:trPr>
        <w:tc>
          <w:tcPr>
            <w:tcW w:w="2480" w:type="dxa"/>
            <w:vAlign w:val="bottom"/>
            <w:tcBorders>
              <w:left w:val="single" w:sz="8" w:color="015294"/>
              <w:right w:val="single" w:sz="8" w:color="015294"/>
            </w:tcBorders>
          </w:tcPr>
          <w:p>
            <w:pPr>
              <w:spacing w:after="0"/>
              <w:rPr>
                <w:sz w:val="20"/>
                <w:szCs w:val="20"/>
                <w:color w:val="auto"/>
              </w:rPr>
            </w:pP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$15,000, 100% Employer Paid</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$15,000, 100% Employer Paid</w:t>
            </w: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r>
        <w:trPr>
          <w:trHeight w:val="237"/>
        </w:trPr>
        <w:tc>
          <w:tcPr>
            <w:tcW w:w="2480" w:type="dxa"/>
            <w:vAlign w:val="bottom"/>
            <w:tcBorders>
              <w:left w:val="single" w:sz="8" w:color="015294"/>
              <w:right w:val="single" w:sz="8" w:color="015294"/>
            </w:tcBorders>
          </w:tcPr>
          <w:p>
            <w:pPr>
              <w:ind w:left="40"/>
              <w:spacing w:after="0"/>
              <w:rPr>
                <w:sz w:val="20"/>
                <w:szCs w:val="20"/>
                <w:color w:val="auto"/>
              </w:rPr>
            </w:pPr>
            <w:r>
              <w:rPr>
                <w:rFonts w:ascii="Arial" w:cs="Arial" w:eastAsia="Arial" w:hAnsi="Arial"/>
                <w:sz w:val="18"/>
                <w:szCs w:val="18"/>
                <w:color w:val="auto"/>
              </w:rPr>
              <w:t>GSI Benefit Maximum</w:t>
            </w: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$10,000</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$10,000</w:t>
            </w: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r>
        <w:trPr>
          <w:trHeight w:val="237"/>
        </w:trPr>
        <w:tc>
          <w:tcPr>
            <w:tcW w:w="2480" w:type="dxa"/>
            <w:vAlign w:val="bottom"/>
            <w:tcBorders>
              <w:left w:val="single" w:sz="8" w:color="015294"/>
              <w:right w:val="single" w:sz="8" w:color="015294"/>
            </w:tcBorders>
          </w:tcPr>
          <w:p>
            <w:pPr>
              <w:ind w:left="40"/>
              <w:spacing w:after="0"/>
              <w:rPr>
                <w:sz w:val="20"/>
                <w:szCs w:val="20"/>
                <w:color w:val="auto"/>
              </w:rPr>
            </w:pPr>
            <w:r>
              <w:rPr>
                <w:rFonts w:ascii="Arial" w:cs="Arial" w:eastAsia="Arial" w:hAnsi="Arial"/>
                <w:sz w:val="18"/>
                <w:szCs w:val="18"/>
                <w:color w:val="auto"/>
              </w:rPr>
              <w:t>Elimination Period</w:t>
            </w: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180 days</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180 days</w:t>
            </w: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r>
        <w:trPr>
          <w:trHeight w:val="237"/>
        </w:trPr>
        <w:tc>
          <w:tcPr>
            <w:tcW w:w="2480" w:type="dxa"/>
            <w:vAlign w:val="bottom"/>
            <w:tcBorders>
              <w:left w:val="single" w:sz="8" w:color="015294"/>
              <w:right w:val="single" w:sz="8" w:color="015294"/>
            </w:tcBorders>
          </w:tcPr>
          <w:p>
            <w:pPr>
              <w:ind w:left="40"/>
              <w:spacing w:after="0"/>
              <w:rPr>
                <w:sz w:val="20"/>
                <w:szCs w:val="20"/>
                <w:color w:val="auto"/>
              </w:rPr>
            </w:pPr>
            <w:r>
              <w:rPr>
                <w:rFonts w:ascii="Arial" w:cs="Arial" w:eastAsia="Arial" w:hAnsi="Arial"/>
                <w:sz w:val="18"/>
                <w:szCs w:val="18"/>
                <w:color w:val="auto"/>
              </w:rPr>
              <w:t>Benefit Period</w:t>
            </w: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To Age 65</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To Age 65</w:t>
            </w: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r>
        <w:trPr>
          <w:trHeight w:val="222"/>
        </w:trPr>
        <w:tc>
          <w:tcPr>
            <w:tcW w:w="2480" w:type="dxa"/>
            <w:vAlign w:val="bottom"/>
            <w:tcBorders>
              <w:left w:val="single" w:sz="8" w:color="015294"/>
              <w:right w:val="single" w:sz="8" w:color="015294"/>
            </w:tcBorders>
          </w:tcPr>
          <w:p>
            <w:pPr>
              <w:ind w:left="40"/>
              <w:spacing w:after="0"/>
              <w:rPr>
                <w:sz w:val="20"/>
                <w:szCs w:val="20"/>
                <w:color w:val="auto"/>
              </w:rPr>
            </w:pPr>
            <w:r>
              <w:rPr>
                <w:rFonts w:ascii="Arial" w:cs="Arial" w:eastAsia="Arial" w:hAnsi="Arial"/>
                <w:sz w:val="18"/>
                <w:szCs w:val="18"/>
                <w:color w:val="auto"/>
              </w:rPr>
              <w:t>Contract Type</w:t>
            </w: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California Income Series 675/Non-Cancellable</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Income Series 750</w:t>
            </w:r>
          </w:p>
        </w:tc>
      </w:tr>
      <w:tr>
        <w:trPr>
          <w:trHeight w:val="230"/>
        </w:trPr>
        <w:tc>
          <w:tcPr>
            <w:tcW w:w="2480" w:type="dxa"/>
            <w:vAlign w:val="bottom"/>
            <w:tcBorders>
              <w:left w:val="single" w:sz="8" w:color="015294"/>
              <w:right w:val="single" w:sz="8" w:color="015294"/>
            </w:tcBorders>
          </w:tcPr>
          <w:p>
            <w:pPr>
              <w:spacing w:after="0"/>
              <w:rPr>
                <w:sz w:val="20"/>
                <w:szCs w:val="20"/>
                <w:color w:val="auto"/>
              </w:rPr>
            </w:pP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Contract</w:t>
            </w:r>
          </w:p>
        </w:tc>
        <w:tc>
          <w:tcPr>
            <w:tcW w:w="3840" w:type="dxa"/>
            <w:vAlign w:val="bottom"/>
            <w:tcBorders>
              <w:right w:val="single" w:sz="8" w:color="015294"/>
            </w:tcBorders>
          </w:tcPr>
          <w:p>
            <w:pPr>
              <w:spacing w:after="0"/>
              <w:rPr>
                <w:sz w:val="20"/>
                <w:szCs w:val="20"/>
                <w:color w:val="auto"/>
              </w:rPr>
            </w:pP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r>
        <w:trPr>
          <w:trHeight w:val="237"/>
        </w:trPr>
        <w:tc>
          <w:tcPr>
            <w:tcW w:w="2480" w:type="dxa"/>
            <w:vAlign w:val="bottom"/>
            <w:tcBorders>
              <w:left w:val="single" w:sz="8" w:color="015294"/>
              <w:right w:val="single" w:sz="8" w:color="015294"/>
            </w:tcBorders>
          </w:tcPr>
          <w:p>
            <w:pPr>
              <w:ind w:left="40"/>
              <w:spacing w:after="0"/>
              <w:rPr>
                <w:sz w:val="20"/>
                <w:szCs w:val="20"/>
                <w:color w:val="auto"/>
              </w:rPr>
            </w:pPr>
            <w:r>
              <w:rPr>
                <w:rFonts w:ascii="Arial" w:cs="Arial" w:eastAsia="Arial" w:hAnsi="Arial"/>
                <w:sz w:val="18"/>
                <w:szCs w:val="18"/>
                <w:color w:val="auto"/>
              </w:rPr>
              <w:t>Contributory Status</w:t>
            </w: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Employer Paid</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Employer Paid</w:t>
            </w: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r>
        <w:trPr>
          <w:trHeight w:val="237"/>
        </w:trPr>
        <w:tc>
          <w:tcPr>
            <w:tcW w:w="2480" w:type="dxa"/>
            <w:vAlign w:val="bottom"/>
            <w:tcBorders>
              <w:left w:val="single" w:sz="8" w:color="015294"/>
              <w:right w:val="single" w:sz="8" w:color="015294"/>
            </w:tcBorders>
          </w:tcPr>
          <w:p>
            <w:pPr>
              <w:ind w:left="40"/>
              <w:spacing w:after="0"/>
              <w:rPr>
                <w:sz w:val="20"/>
                <w:szCs w:val="20"/>
                <w:color w:val="auto"/>
              </w:rPr>
            </w:pPr>
            <w:r>
              <w:rPr>
                <w:rFonts w:ascii="Arial" w:cs="Arial" w:eastAsia="Arial" w:hAnsi="Arial"/>
                <w:sz w:val="18"/>
                <w:szCs w:val="18"/>
                <w:color w:val="auto"/>
              </w:rPr>
              <w:t>Participation Requirement</w:t>
            </w: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100% (of all eligible lives)</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100% (of all eligible lives)</w:t>
            </w: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r>
        <w:trPr>
          <w:trHeight w:val="237"/>
        </w:trPr>
        <w:tc>
          <w:tcPr>
            <w:tcW w:w="2480" w:type="dxa"/>
            <w:vAlign w:val="bottom"/>
            <w:tcBorders>
              <w:left w:val="single" w:sz="8" w:color="015294"/>
              <w:right w:val="single" w:sz="8" w:color="015294"/>
            </w:tcBorders>
          </w:tcPr>
          <w:p>
            <w:pPr>
              <w:ind w:left="40"/>
              <w:spacing w:after="0"/>
              <w:rPr>
                <w:sz w:val="20"/>
                <w:szCs w:val="20"/>
                <w:color w:val="auto"/>
              </w:rPr>
            </w:pPr>
            <w:r>
              <w:rPr>
                <w:rFonts w:ascii="Arial" w:cs="Arial" w:eastAsia="Arial" w:hAnsi="Arial"/>
                <w:sz w:val="18"/>
                <w:szCs w:val="18"/>
                <w:color w:val="auto"/>
              </w:rPr>
              <w:t>Discount</w:t>
            </w: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35% Large Case</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35% Large Case</w:t>
            </w: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r>
        <w:trPr>
          <w:trHeight w:val="222"/>
        </w:trPr>
        <w:tc>
          <w:tcPr>
            <w:tcW w:w="2480" w:type="dxa"/>
            <w:vAlign w:val="bottom"/>
            <w:tcBorders>
              <w:left w:val="single" w:sz="8" w:color="015294"/>
              <w:right w:val="single" w:sz="8" w:color="015294"/>
            </w:tcBorders>
          </w:tcPr>
          <w:p>
            <w:pPr>
              <w:ind w:left="40"/>
              <w:spacing w:after="0"/>
              <w:rPr>
                <w:sz w:val="20"/>
                <w:szCs w:val="20"/>
                <w:color w:val="auto"/>
              </w:rPr>
            </w:pPr>
            <w:r>
              <w:rPr>
                <w:rFonts w:ascii="Arial" w:cs="Arial" w:eastAsia="Arial" w:hAnsi="Arial"/>
                <w:sz w:val="18"/>
                <w:szCs w:val="18"/>
                <w:color w:val="auto"/>
              </w:rPr>
              <w:t>Optional Additional Benefits: *</w:t>
            </w: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w w:val="97"/>
              </w:rPr>
              <w:t>Catastrophic Disability Benefit - 25% of insurable</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w w:val="97"/>
              </w:rPr>
              <w:t>Catastrophic Disability Benefit - 25% of insurable</w:t>
            </w:r>
          </w:p>
        </w:tc>
      </w:tr>
      <w:tr>
        <w:trPr>
          <w:trHeight w:val="216"/>
        </w:trPr>
        <w:tc>
          <w:tcPr>
            <w:tcW w:w="2480" w:type="dxa"/>
            <w:vAlign w:val="bottom"/>
            <w:tcBorders>
              <w:left w:val="single" w:sz="8" w:color="015294"/>
              <w:right w:val="single" w:sz="8" w:color="015294"/>
            </w:tcBorders>
          </w:tcPr>
          <w:p>
            <w:pPr>
              <w:spacing w:after="0"/>
              <w:rPr>
                <w:sz w:val="18"/>
                <w:szCs w:val="18"/>
                <w:color w:val="auto"/>
              </w:rPr>
            </w:pP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income to $8,000 (not to exceed 100% income</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income to $8,000 (not to exceed 100% income</w:t>
            </w:r>
          </w:p>
        </w:tc>
      </w:tr>
      <w:tr>
        <w:trPr>
          <w:trHeight w:val="230"/>
        </w:trPr>
        <w:tc>
          <w:tcPr>
            <w:tcW w:w="2480" w:type="dxa"/>
            <w:vAlign w:val="bottom"/>
            <w:tcBorders>
              <w:left w:val="single" w:sz="8" w:color="015294"/>
              <w:right w:val="single" w:sz="8" w:color="015294"/>
            </w:tcBorders>
          </w:tcPr>
          <w:p>
            <w:pPr>
              <w:spacing w:after="0"/>
              <w:rPr>
                <w:sz w:val="20"/>
                <w:szCs w:val="20"/>
                <w:color w:val="auto"/>
              </w:rPr>
            </w:pP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replacement)</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replacement)</w:t>
            </w: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r>
        <w:trPr>
          <w:trHeight w:val="222"/>
        </w:trPr>
        <w:tc>
          <w:tcPr>
            <w:tcW w:w="2480" w:type="dxa"/>
            <w:vAlign w:val="bottom"/>
            <w:tcBorders>
              <w:left w:val="single" w:sz="8" w:color="015294"/>
              <w:right w:val="single" w:sz="8" w:color="015294"/>
            </w:tcBorders>
          </w:tcPr>
          <w:p>
            <w:pPr>
              <w:spacing w:after="0"/>
              <w:rPr>
                <w:sz w:val="19"/>
                <w:szCs w:val="19"/>
                <w:color w:val="auto"/>
              </w:rPr>
            </w:pP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w w:val="96"/>
              </w:rPr>
              <w:t>Guaranteed Coverage Increase (GCI) - Annual to</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w w:val="96"/>
              </w:rPr>
              <w:t>Guaranteed Coverage Increase (GCI) - Annual to</w:t>
            </w:r>
          </w:p>
        </w:tc>
      </w:tr>
      <w:tr>
        <w:trPr>
          <w:trHeight w:val="230"/>
        </w:trPr>
        <w:tc>
          <w:tcPr>
            <w:tcW w:w="2480" w:type="dxa"/>
            <w:vAlign w:val="bottom"/>
            <w:tcBorders>
              <w:left w:val="single" w:sz="8" w:color="015294"/>
              <w:right w:val="single" w:sz="8" w:color="015294"/>
            </w:tcBorders>
          </w:tcPr>
          <w:p>
            <w:pPr>
              <w:spacing w:after="0"/>
              <w:rPr>
                <w:sz w:val="20"/>
                <w:szCs w:val="20"/>
                <w:color w:val="auto"/>
              </w:rPr>
            </w:pPr>
          </w:p>
        </w:tc>
        <w:tc>
          <w:tcPr>
            <w:tcW w:w="386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cap of GSI offer</w:t>
            </w: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cap of GSI offer</w:t>
            </w: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r>
        <w:trPr>
          <w:trHeight w:val="237"/>
        </w:trPr>
        <w:tc>
          <w:tcPr>
            <w:tcW w:w="2480" w:type="dxa"/>
            <w:vAlign w:val="bottom"/>
            <w:tcBorders>
              <w:left w:val="single" w:sz="8" w:color="015294"/>
              <w:right w:val="single" w:sz="8" w:color="015294"/>
            </w:tcBorders>
          </w:tcPr>
          <w:p>
            <w:pPr>
              <w:spacing w:after="0"/>
              <w:rPr>
                <w:sz w:val="20"/>
                <w:szCs w:val="20"/>
                <w:color w:val="auto"/>
              </w:rPr>
            </w:pPr>
          </w:p>
        </w:tc>
        <w:tc>
          <w:tcPr>
            <w:tcW w:w="3860" w:type="dxa"/>
            <w:vAlign w:val="bottom"/>
            <w:tcBorders>
              <w:right w:val="single" w:sz="8" w:color="015294"/>
            </w:tcBorders>
          </w:tcPr>
          <w:p>
            <w:pPr>
              <w:spacing w:after="0"/>
              <w:rPr>
                <w:sz w:val="20"/>
                <w:szCs w:val="20"/>
                <w:color w:val="auto"/>
              </w:rPr>
            </w:pP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Work Incentive Benefit - 6 Months</w:t>
            </w: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r>
        <w:trPr>
          <w:trHeight w:val="237"/>
        </w:trPr>
        <w:tc>
          <w:tcPr>
            <w:tcW w:w="2480" w:type="dxa"/>
            <w:vAlign w:val="bottom"/>
            <w:tcBorders>
              <w:left w:val="single" w:sz="8" w:color="015294"/>
              <w:right w:val="single" w:sz="8" w:color="015294"/>
            </w:tcBorders>
          </w:tcPr>
          <w:p>
            <w:pPr>
              <w:spacing w:after="0"/>
              <w:rPr>
                <w:sz w:val="20"/>
                <w:szCs w:val="20"/>
                <w:color w:val="auto"/>
              </w:rPr>
            </w:pPr>
          </w:p>
        </w:tc>
        <w:tc>
          <w:tcPr>
            <w:tcW w:w="3860" w:type="dxa"/>
            <w:vAlign w:val="bottom"/>
            <w:tcBorders>
              <w:right w:val="single" w:sz="8" w:color="015294"/>
            </w:tcBorders>
          </w:tcPr>
          <w:p>
            <w:pPr>
              <w:spacing w:after="0"/>
              <w:rPr>
                <w:sz w:val="20"/>
                <w:szCs w:val="20"/>
                <w:color w:val="auto"/>
              </w:rPr>
            </w:pPr>
          </w:p>
        </w:tc>
        <w:tc>
          <w:tcPr>
            <w:tcW w:w="3840" w:type="dxa"/>
            <w:vAlign w:val="bottom"/>
            <w:tcBorders>
              <w:right w:val="single" w:sz="8" w:color="015294"/>
            </w:tcBorders>
          </w:tcPr>
          <w:p>
            <w:pPr>
              <w:ind w:left="20"/>
              <w:spacing w:after="0"/>
              <w:rPr>
                <w:sz w:val="20"/>
                <w:szCs w:val="20"/>
                <w:color w:val="auto"/>
              </w:rPr>
            </w:pPr>
            <w:r>
              <w:rPr>
                <w:rFonts w:ascii="Arial" w:cs="Arial" w:eastAsia="Arial" w:hAnsi="Arial"/>
                <w:sz w:val="18"/>
                <w:szCs w:val="18"/>
                <w:color w:val="auto"/>
              </w:rPr>
              <w:t>Recovery Benefit - 6 Months</w:t>
            </w:r>
          </w:p>
        </w:tc>
      </w:tr>
      <w:tr>
        <w:trPr>
          <w:trHeight w:val="27"/>
        </w:trPr>
        <w:tc>
          <w:tcPr>
            <w:tcW w:w="2480" w:type="dxa"/>
            <w:vAlign w:val="bottom"/>
            <w:tcBorders>
              <w:left w:val="single" w:sz="8" w:color="015294"/>
              <w:bottom w:val="single" w:sz="8" w:color="015294"/>
              <w:right w:val="single" w:sz="8" w:color="015294"/>
            </w:tcBorders>
          </w:tcPr>
          <w:p>
            <w:pPr>
              <w:spacing w:after="0"/>
              <w:rPr>
                <w:sz w:val="2"/>
                <w:szCs w:val="2"/>
                <w:color w:val="auto"/>
              </w:rPr>
            </w:pPr>
          </w:p>
        </w:tc>
        <w:tc>
          <w:tcPr>
            <w:tcW w:w="3860" w:type="dxa"/>
            <w:vAlign w:val="bottom"/>
            <w:tcBorders>
              <w:bottom w:val="single" w:sz="8" w:color="015294"/>
              <w:right w:val="single" w:sz="8" w:color="015294"/>
            </w:tcBorders>
          </w:tcPr>
          <w:p>
            <w:pPr>
              <w:spacing w:after="0"/>
              <w:rPr>
                <w:sz w:val="2"/>
                <w:szCs w:val="2"/>
                <w:color w:val="auto"/>
              </w:rPr>
            </w:pPr>
          </w:p>
        </w:tc>
        <w:tc>
          <w:tcPr>
            <w:tcW w:w="3840" w:type="dxa"/>
            <w:vAlign w:val="bottom"/>
            <w:tcBorders>
              <w:bottom w:val="single" w:sz="8" w:color="015294"/>
              <w:right w:val="single" w:sz="8" w:color="015294"/>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Lifetime Continuation Option Rider has been removed from the offering effective with the Renewal Anniversary Date noted above.</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41" w:right="239" w:bottom="1440" w:gutter="0" w:footer="0" w:header="0"/>
        </w:sectPr>
      </w:pPr>
    </w:p>
    <w:bookmarkStart w:id="220" w:name="page221"/>
    <w:bookmarkEnd w:id="2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106362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0636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015294"/>
        </w:rPr>
        <w:t>Northrop Grumman</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015294"/>
        </w:rPr>
        <w:t>Supplemental Individual Disability Insurance Plan</w:t>
      </w:r>
    </w:p>
    <w:p>
      <w:pPr>
        <w:sectPr>
          <w:pgSz w:w="11900" w:h="16838" w:orient="portrait"/>
          <w:cols w:equalWidth="0" w:num="1">
            <w:col w:w="9019"/>
          </w:cols>
          <w:pgMar w:left="1440" w:top="1440" w:right="1440" w:bottom="1440" w:gutter="0" w:footer="0" w:header="0"/>
        </w:sectPr>
      </w:pPr>
    </w:p>
    <w:bookmarkStart w:id="221" w:name="page222"/>
    <w:bookmarkEnd w:id="2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Northrop Grumman</w:t>
      </w:r>
    </w:p>
    <w:p>
      <w:pPr>
        <w:spacing w:after="0" w:line="260" w:lineRule="exact"/>
        <w:rPr>
          <w:sz w:val="20"/>
          <w:szCs w:val="20"/>
          <w:color w:val="auto"/>
        </w:rPr>
      </w:pPr>
    </w:p>
    <w:p>
      <w:pPr>
        <w:jc w:val="right"/>
        <w:ind w:right="2319"/>
        <w:spacing w:after="0"/>
        <w:rPr>
          <w:sz w:val="20"/>
          <w:szCs w:val="20"/>
          <w:color w:val="auto"/>
        </w:rPr>
      </w:pPr>
      <w:r>
        <w:rPr>
          <w:rFonts w:ascii="Arial" w:cs="Arial" w:eastAsia="Arial" w:hAnsi="Arial"/>
          <w:sz w:val="22"/>
          <w:szCs w:val="22"/>
          <w:color w:val="auto"/>
        </w:rPr>
        <w:t>Supplemental Individual Disability Insurance Plan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Contract Benefits</w:t>
      </w:r>
    </w:p>
    <w:p>
      <w:pPr>
        <w:spacing w:after="0" w:line="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015294"/>
        </w:rPr>
        <w:t>California Income Series 675</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015294"/>
        </w:rPr>
        <w:t>Non-Cancellable Contract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015294"/>
        </w:rPr>
        <w:t>Tier 1</w:t>
      </w:r>
    </w:p>
    <w:p>
      <w:pPr>
        <w:sectPr>
          <w:pgSz w:w="11900" w:h="16863" w:orient="portrait"/>
          <w:cols w:equalWidth="0" w:num="1">
            <w:col w:w="10219"/>
          </w:cols>
          <w:pgMar w:left="240" w:top="1440" w:right="1440" w:bottom="0" w:gutter="0" w:footer="0" w:header="0"/>
        </w:sect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15294"/>
        </w:rPr>
        <w:t>Benefit Period</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Age 65</w:t>
      </w:r>
    </w:p>
    <w:p>
      <w:pPr>
        <w:ind w:left="40"/>
        <w:spacing w:after="0"/>
        <w:rPr>
          <w:sz w:val="20"/>
          <w:szCs w:val="20"/>
          <w:color w:val="auto"/>
        </w:rPr>
      </w:pPr>
      <w:r>
        <w:rPr>
          <w:rFonts w:ascii="Arial" w:cs="Arial" w:eastAsia="Arial" w:hAnsi="Arial"/>
          <w:sz w:val="22"/>
          <w:szCs w:val="22"/>
          <w:b w:val="1"/>
          <w:bCs w:val="1"/>
          <w:color w:val="015294"/>
        </w:rPr>
        <w:t>Elimination Period</w:t>
      </w:r>
    </w:p>
    <w:p>
      <w:pPr>
        <w:ind w:left="40"/>
        <w:spacing w:after="0"/>
        <w:rPr>
          <w:sz w:val="20"/>
          <w:szCs w:val="20"/>
          <w:color w:val="auto"/>
        </w:rPr>
      </w:pPr>
      <w:r>
        <w:rPr>
          <w:rFonts w:ascii="Arial" w:cs="Arial" w:eastAsia="Arial" w:hAnsi="Arial"/>
          <w:sz w:val="18"/>
          <w:szCs w:val="18"/>
          <w:color w:val="auto"/>
        </w:rPr>
        <w:t>Benefits begin after a waiting period of 180 days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15294"/>
        </w:rPr>
        <w:t>Income Replacement for Total Disability</w:t>
      </w:r>
    </w:p>
    <w:p>
      <w:pPr>
        <w:spacing w:after="0" w:line="17" w:lineRule="exact"/>
        <w:rPr>
          <w:sz w:val="20"/>
          <w:szCs w:val="20"/>
          <w:color w:val="auto"/>
        </w:rPr>
      </w:pPr>
    </w:p>
    <w:p>
      <w:pPr>
        <w:ind w:left="360" w:right="20" w:hanging="325"/>
        <w:spacing w:after="0" w:line="263" w:lineRule="auto"/>
        <w:tabs>
          <w:tab w:leader="none" w:pos="285" w:val="left"/>
        </w:tabs>
        <w:numPr>
          <w:ilvl w:val="0"/>
          <w:numId w:val="227"/>
        </w:numPr>
        <w:rPr>
          <w:rFonts w:ascii="Arial" w:cs="Arial" w:eastAsia="Arial" w:hAnsi="Arial"/>
          <w:sz w:val="19"/>
          <w:szCs w:val="19"/>
          <w:color w:val="auto"/>
        </w:rPr>
      </w:pPr>
      <w:r>
        <w:rPr>
          <w:rFonts w:ascii="Arial" w:cs="Arial" w:eastAsia="Arial" w:hAnsi="Arial"/>
          <w:sz w:val="17"/>
          <w:szCs w:val="17"/>
          <w:b w:val="1"/>
          <w:bCs w:val="1"/>
          <w:color w:val="auto"/>
        </w:rPr>
        <w:t xml:space="preserve">1st Two Years of Disability: </w:t>
      </w:r>
      <w:r>
        <w:rPr>
          <w:rFonts w:ascii="Arial" w:cs="Arial" w:eastAsia="Arial" w:hAnsi="Arial"/>
          <w:sz w:val="17"/>
          <w:szCs w:val="17"/>
          <w:color w:val="auto"/>
        </w:rPr>
        <w:t>a monthly income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paid if you are not able to perform with reasonable continuity the substantial and material acts necessary to perform your usual occupation in the usual and customary way and you choose not to work at any occupation. If you choose to work at any job, you will not be considered to be totally disabled under your policy but you may qualify for partial disability benefits</w:t>
      </w:r>
    </w:p>
    <w:p>
      <w:pPr>
        <w:spacing w:after="0" w:line="4" w:lineRule="exact"/>
        <w:rPr>
          <w:rFonts w:ascii="Arial" w:cs="Arial" w:eastAsia="Arial" w:hAnsi="Arial"/>
          <w:sz w:val="19"/>
          <w:szCs w:val="19"/>
          <w:color w:val="auto"/>
        </w:rPr>
      </w:pPr>
    </w:p>
    <w:p>
      <w:pPr>
        <w:ind w:left="360" w:right="60" w:hanging="325"/>
        <w:spacing w:after="0" w:line="284" w:lineRule="auto"/>
        <w:tabs>
          <w:tab w:leader="none" w:pos="285" w:val="left"/>
        </w:tabs>
        <w:numPr>
          <w:ilvl w:val="0"/>
          <w:numId w:val="227"/>
        </w:numPr>
        <w:rPr>
          <w:rFonts w:ascii="Arial" w:cs="Arial" w:eastAsia="Arial" w:hAnsi="Arial"/>
          <w:sz w:val="18"/>
          <w:szCs w:val="18"/>
          <w:color w:val="auto"/>
        </w:rPr>
      </w:pPr>
      <w:r>
        <w:rPr>
          <w:rFonts w:ascii="Arial" w:cs="Arial" w:eastAsia="Arial" w:hAnsi="Arial"/>
          <w:sz w:val="16"/>
          <w:szCs w:val="16"/>
          <w:b w:val="1"/>
          <w:bCs w:val="1"/>
          <w:color w:val="auto"/>
        </w:rPr>
        <w:t xml:space="preserve">Remainder of Your Benefit Period: </w:t>
      </w:r>
      <w:r>
        <w:rPr>
          <w:rFonts w:ascii="Arial" w:cs="Arial" w:eastAsia="Arial" w:hAnsi="Arial"/>
          <w:sz w:val="16"/>
          <w:szCs w:val="16"/>
          <w:color w:val="auto"/>
        </w:rPr>
        <w:t>a monthly income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will be paid if you are not able to perform with reasonable continuity in any occupation in which You could reasonably be expected to perform satisfactorily in light of your age, education, training, experience, station in life, physical and mental capacity and you choose not to work in any occupation that exists within any of the following locations: (a) a reasonable distance or travel time from your residence in light of the commuting practices of your community; or (b) a distance or travel time equivalent to the distance or travel time you traveled to work before becoming disabled; or (c) the regional</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340" w:right="319" w:hanging="330"/>
        <w:spacing w:after="0" w:line="263" w:lineRule="auto"/>
        <w:tabs>
          <w:tab w:leader="none" w:pos="265" w:val="left"/>
        </w:tabs>
        <w:numPr>
          <w:ilvl w:val="0"/>
          <w:numId w:val="228"/>
        </w:numPr>
        <w:rPr>
          <w:rFonts w:ascii="Arial" w:cs="Arial" w:eastAsia="Arial" w:hAnsi="Arial"/>
          <w:sz w:val="19"/>
          <w:szCs w:val="19"/>
          <w:color w:val="auto"/>
        </w:rPr>
      </w:pPr>
      <w:r>
        <w:rPr>
          <w:rFonts w:ascii="Arial" w:cs="Arial" w:eastAsia="Arial" w:hAnsi="Arial"/>
          <w:sz w:val="17"/>
          <w:szCs w:val="17"/>
          <w:b w:val="1"/>
          <w:bCs w:val="1"/>
          <w:color w:val="auto"/>
        </w:rPr>
        <w:t xml:space="preserve">Work Incentive Benefit: </w:t>
      </w:r>
      <w:r>
        <w:rPr>
          <w:rFonts w:ascii="Arial" w:cs="Arial" w:eastAsia="Arial" w:hAnsi="Arial"/>
          <w:sz w:val="17"/>
          <w:szCs w:val="17"/>
          <w:color w:val="auto"/>
        </w:rPr>
        <w:t>when you initially qualify for</w:t>
      </w:r>
      <w:r>
        <w:rPr>
          <w:rFonts w:ascii="Arial" w:cs="Arial" w:eastAsia="Arial" w:hAnsi="Arial"/>
          <w:sz w:val="17"/>
          <w:szCs w:val="17"/>
          <w:b w:val="1"/>
          <w:bCs w:val="1"/>
          <w:color w:val="auto"/>
        </w:rPr>
        <w:t xml:space="preserve"> </w:t>
      </w:r>
      <w:r>
        <w:rPr>
          <w:rFonts w:ascii="Arial" w:cs="Arial" w:eastAsia="Arial" w:hAnsi="Arial"/>
          <w:sz w:val="17"/>
          <w:szCs w:val="17"/>
          <w:color w:val="auto"/>
        </w:rPr>
        <w:t>Partial Disability or Residual Disability, you will receive a short-term incentive for up to 6 months equal to the difference between your pre-disability income and your current income, for up to 100% income replacement (subject to the maximum benefit amount)</w:t>
      </w:r>
    </w:p>
    <w:p>
      <w:pPr>
        <w:spacing w:after="0" w:line="4" w:lineRule="exact"/>
        <w:rPr>
          <w:rFonts w:ascii="Arial" w:cs="Arial" w:eastAsia="Arial" w:hAnsi="Arial"/>
          <w:sz w:val="19"/>
          <w:szCs w:val="19"/>
          <w:color w:val="auto"/>
        </w:rPr>
      </w:pPr>
    </w:p>
    <w:p>
      <w:pPr>
        <w:ind w:left="340" w:right="239" w:hanging="330"/>
        <w:spacing w:after="0" w:line="250" w:lineRule="auto"/>
        <w:tabs>
          <w:tab w:leader="none" w:pos="265" w:val="left"/>
        </w:tabs>
        <w:numPr>
          <w:ilvl w:val="0"/>
          <w:numId w:val="228"/>
        </w:numPr>
        <w:rPr>
          <w:rFonts w:ascii="Arial" w:cs="Arial" w:eastAsia="Arial" w:hAnsi="Arial"/>
          <w:sz w:val="20"/>
          <w:szCs w:val="20"/>
          <w:color w:val="auto"/>
        </w:rPr>
      </w:pPr>
      <w:r>
        <w:rPr>
          <w:rFonts w:ascii="Arial" w:cs="Arial" w:eastAsia="Arial" w:hAnsi="Arial"/>
          <w:sz w:val="18"/>
          <w:szCs w:val="18"/>
          <w:b w:val="1"/>
          <w:bCs w:val="1"/>
          <w:color w:val="auto"/>
        </w:rPr>
        <w:t xml:space="preserve">Recovery Benefit: </w:t>
      </w:r>
      <w:r>
        <w:rPr>
          <w:rFonts w:ascii="Arial" w:cs="Arial" w:eastAsia="Arial" w:hAnsi="Arial"/>
          <w:sz w:val="18"/>
          <w:szCs w:val="18"/>
          <w:color w:val="auto"/>
        </w:rPr>
        <w:t>paid for up to 6 months after you return</w:t>
      </w:r>
      <w:r>
        <w:rPr>
          <w:rFonts w:ascii="Arial" w:cs="Arial" w:eastAsia="Arial" w:hAnsi="Arial"/>
          <w:sz w:val="18"/>
          <w:szCs w:val="18"/>
          <w:b w:val="1"/>
          <w:bCs w:val="1"/>
          <w:color w:val="auto"/>
        </w:rPr>
        <w:t xml:space="preserve"> </w:t>
      </w:r>
      <w:r>
        <w:rPr>
          <w:rFonts w:ascii="Arial" w:cs="Arial" w:eastAsia="Arial" w:hAnsi="Arial"/>
          <w:sz w:val="18"/>
          <w:szCs w:val="18"/>
          <w:color w:val="auto"/>
        </w:rPr>
        <w:t>to work full time in your own occupation but continue to have a loss of earnings while you rebuild your business or customer business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15294"/>
        </w:rPr>
        <w:t>Optional Benefits</w:t>
      </w:r>
    </w:p>
    <w:p>
      <w:pPr>
        <w:spacing w:after="0" w:line="17" w:lineRule="exact"/>
        <w:rPr>
          <w:sz w:val="20"/>
          <w:szCs w:val="20"/>
          <w:color w:val="auto"/>
        </w:rPr>
      </w:pPr>
    </w:p>
    <w:p>
      <w:pPr>
        <w:ind w:left="340" w:right="279" w:hanging="330"/>
        <w:spacing w:after="0" w:line="247" w:lineRule="auto"/>
        <w:tabs>
          <w:tab w:leader="none" w:pos="265" w:val="left"/>
        </w:tabs>
        <w:numPr>
          <w:ilvl w:val="0"/>
          <w:numId w:val="229"/>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Guaranteed Coverage Increase: </w:t>
      </w:r>
      <w:r>
        <w:rPr>
          <w:rFonts w:ascii="Arial" w:cs="Arial" w:eastAsia="Arial" w:hAnsi="Arial"/>
          <w:sz w:val="18"/>
          <w:szCs w:val="18"/>
          <w:color w:val="auto"/>
        </w:rPr>
        <w:t>allows employer 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to increase monthly benefit without evidence of medical insurability up to the GSI Benefit Maximum as salary increases occur</w:t>
      </w:r>
    </w:p>
    <w:p>
      <w:pPr>
        <w:spacing w:after="0" w:line="2" w:lineRule="exact"/>
        <w:rPr>
          <w:rFonts w:ascii="Arial" w:cs="Arial" w:eastAsia="Arial" w:hAnsi="Arial"/>
          <w:sz w:val="20"/>
          <w:szCs w:val="20"/>
          <w:b w:val="1"/>
          <w:bCs w:val="1"/>
          <w:color w:val="auto"/>
        </w:rPr>
      </w:pPr>
    </w:p>
    <w:p>
      <w:pPr>
        <w:ind w:left="340" w:right="199" w:hanging="330"/>
        <w:spacing w:after="0" w:line="250" w:lineRule="auto"/>
        <w:tabs>
          <w:tab w:leader="none" w:pos="265" w:val="left"/>
        </w:tabs>
        <w:numPr>
          <w:ilvl w:val="0"/>
          <w:numId w:val="229"/>
        </w:numPr>
        <w:rPr>
          <w:rFonts w:ascii="Arial" w:cs="Arial" w:eastAsia="Arial" w:hAnsi="Arial"/>
          <w:sz w:val="20"/>
          <w:szCs w:val="20"/>
          <w:color w:val="auto"/>
        </w:rPr>
      </w:pPr>
      <w:r>
        <w:rPr>
          <w:rFonts w:ascii="Arial" w:cs="Arial" w:eastAsia="Arial" w:hAnsi="Arial"/>
          <w:sz w:val="18"/>
          <w:szCs w:val="18"/>
          <w:b w:val="1"/>
          <w:bCs w:val="1"/>
          <w:color w:val="auto"/>
        </w:rPr>
        <w:t xml:space="preserve">Monthly Catastrophic Benefit: </w:t>
      </w:r>
      <w:r>
        <w:rPr>
          <w:rFonts w:ascii="Arial" w:cs="Arial" w:eastAsia="Arial" w:hAnsi="Arial"/>
          <w:sz w:val="18"/>
          <w:szCs w:val="18"/>
          <w:color w:val="auto"/>
        </w:rPr>
        <w:t>added to your income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replacing up to 100% of your prior income and paying in the event of certain very serious disabilities that are likely to increase your living expenses (your insurance professional can provide information on physical conditions that apply)</w:t>
      </w:r>
    </w:p>
    <w:p>
      <w:pPr>
        <w:sectPr>
          <w:pgSz w:w="11900" w:h="16863" w:orient="portrait"/>
          <w:cols w:equalWidth="0" w:num="2">
            <w:col w:w="4640" w:space="720"/>
            <w:col w:w="4859"/>
          </w:cols>
          <w:pgMar w:left="240" w:top="1440" w:right="1440" w:bottom="0" w:gutter="0" w:footer="0" w:header="0"/>
          <w:type w:val="continuous"/>
        </w:sectPr>
      </w:pPr>
    </w:p>
    <w:bookmarkStart w:id="222" w:name="page223"/>
    <w:bookmarkEnd w:id="222"/>
    <w:p>
      <w:pPr>
        <w:ind w:left="360"/>
        <w:spacing w:after="0"/>
        <w:rPr>
          <w:sz w:val="20"/>
          <w:szCs w:val="20"/>
          <w:color w:val="auto"/>
        </w:rPr>
      </w:pPr>
      <w:r>
        <w:rPr>
          <w:rFonts w:ascii="Arial" w:cs="Arial" w:eastAsia="Arial" w:hAnsi="Arial"/>
          <w:sz w:val="18"/>
          <w:szCs w:val="18"/>
          <w:color w:val="auto"/>
        </w:rPr>
        <w:t>labor market, if you reside or resided prior to becoming</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disabled in a metropolitan area</w:t>
      </w:r>
    </w:p>
    <w:p>
      <w:pPr>
        <w:spacing w:after="0" w:line="8" w:lineRule="exact"/>
        <w:rPr>
          <w:sz w:val="20"/>
          <w:szCs w:val="20"/>
          <w:color w:val="auto"/>
        </w:rPr>
      </w:pPr>
    </w:p>
    <w:p>
      <w:pPr>
        <w:ind w:left="280" w:hanging="245"/>
        <w:spacing w:after="0"/>
        <w:tabs>
          <w:tab w:leader="none" w:pos="280" w:val="left"/>
        </w:tabs>
        <w:numPr>
          <w:ilvl w:val="0"/>
          <w:numId w:val="230"/>
        </w:numPr>
        <w:rPr>
          <w:rFonts w:ascii="Arial" w:cs="Arial" w:eastAsia="Arial" w:hAnsi="Arial"/>
          <w:sz w:val="20"/>
          <w:szCs w:val="20"/>
          <w:color w:val="auto"/>
        </w:rPr>
      </w:pPr>
      <w:r>
        <w:rPr>
          <w:rFonts w:ascii="Arial" w:cs="Arial" w:eastAsia="Arial" w:hAnsi="Arial"/>
          <w:sz w:val="18"/>
          <w:szCs w:val="18"/>
          <w:b w:val="1"/>
          <w:bCs w:val="1"/>
          <w:color w:val="auto"/>
        </w:rPr>
        <w:t>2 Years Mental Disorder Benefit</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15294"/>
        </w:rPr>
        <w:t>Return-To-Work Benefits</w:t>
      </w:r>
    </w:p>
    <w:p>
      <w:pPr>
        <w:spacing w:after="0" w:line="17" w:lineRule="exact"/>
        <w:rPr>
          <w:sz w:val="20"/>
          <w:szCs w:val="20"/>
          <w:color w:val="auto"/>
        </w:rPr>
      </w:pPr>
    </w:p>
    <w:p>
      <w:pPr>
        <w:jc w:val="both"/>
        <w:ind w:left="360" w:right="7000" w:hanging="325"/>
        <w:spacing w:after="0" w:line="250" w:lineRule="auto"/>
        <w:tabs>
          <w:tab w:leader="none" w:pos="285" w:val="left"/>
        </w:tabs>
        <w:numPr>
          <w:ilvl w:val="0"/>
          <w:numId w:val="231"/>
        </w:numPr>
        <w:rPr>
          <w:rFonts w:ascii="Arial" w:cs="Arial" w:eastAsia="Arial" w:hAnsi="Arial"/>
          <w:sz w:val="20"/>
          <w:szCs w:val="20"/>
          <w:color w:val="auto"/>
        </w:rPr>
      </w:pPr>
      <w:r>
        <w:rPr>
          <w:rFonts w:ascii="Arial" w:cs="Arial" w:eastAsia="Arial" w:hAnsi="Arial"/>
          <w:sz w:val="18"/>
          <w:szCs w:val="18"/>
          <w:b w:val="1"/>
          <w:bCs w:val="1"/>
          <w:color w:val="auto"/>
        </w:rPr>
        <w:t xml:space="preserve">Partial Disability Benefits: </w:t>
      </w:r>
      <w:r>
        <w:rPr>
          <w:rFonts w:ascii="Arial" w:cs="Arial" w:eastAsia="Arial" w:hAnsi="Arial"/>
          <w:sz w:val="18"/>
          <w:szCs w:val="18"/>
          <w:color w:val="auto"/>
        </w:rPr>
        <w:t>monthly benefits for less-than-total disability, based on your proportionate loss of income, for the duration of the Benefit Period you chose for your policy</w:t>
      </w:r>
    </w:p>
    <w:p>
      <w:pPr>
        <w:spacing w:after="0" w:line="200" w:lineRule="exact"/>
        <w:rPr>
          <w:sz w:val="20"/>
          <w:szCs w:val="20"/>
          <w:color w:val="auto"/>
        </w:rPr>
      </w:pPr>
    </w:p>
    <w:p>
      <w:pPr>
        <w:spacing w:after="0" w:line="233" w:lineRule="exact"/>
        <w:rPr>
          <w:sz w:val="20"/>
          <w:szCs w:val="20"/>
          <w:color w:val="auto"/>
        </w:rPr>
      </w:pPr>
    </w:p>
    <w:p>
      <w:pPr>
        <w:ind w:right="140"/>
        <w:spacing w:after="0" w:line="257" w:lineRule="auto"/>
        <w:rPr>
          <w:sz w:val="20"/>
          <w:szCs w:val="20"/>
          <w:color w:val="auto"/>
        </w:rPr>
      </w:pPr>
      <w:r>
        <w:rPr>
          <w:rFonts w:ascii="Arial" w:cs="Arial" w:eastAsia="Arial" w:hAnsi="Arial"/>
          <w:sz w:val="14"/>
          <w:szCs w:val="14"/>
          <w:color w:val="auto"/>
        </w:rPr>
        <w:t>This information is not intended to be a complete description of the insurance coverage available. The policy or its provisions may vary or be unavailable in some states. Contract Provisions, Features and Optional Benefits are based on our standard published issue ages. The policy has exclusions and limitations that may affect any benefits payable. For complete details of coverage and availability, please refer to Policy Form 675 and contact your Unum representative.</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25" w:right="239" w:bottom="1440" w:gutter="0" w:footer="0" w:header="0"/>
        </w:sectPr>
      </w:pPr>
    </w:p>
    <w:bookmarkStart w:id="223" w:name="page224"/>
    <w:bookmarkEnd w:id="2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106362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0636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015294"/>
        </w:rPr>
        <w:t>Northrop Grumman</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015294"/>
        </w:rPr>
        <w:t>Supplemental Individual Disability Insurance Plan</w:t>
      </w:r>
    </w:p>
    <w:p>
      <w:pPr>
        <w:sectPr>
          <w:pgSz w:w="11900" w:h="16838" w:orient="portrait"/>
          <w:cols w:equalWidth="0" w:num="1">
            <w:col w:w="9019"/>
          </w:cols>
          <w:pgMar w:left="1440" w:top="1440" w:right="1440" w:bottom="1440" w:gutter="0" w:footer="0" w:header="0"/>
        </w:sectPr>
      </w:pPr>
    </w:p>
    <w:bookmarkStart w:id="224" w:name="page225"/>
    <w:bookmarkEnd w:id="2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Northrop Grumman</w:t>
      </w:r>
    </w:p>
    <w:p>
      <w:pPr>
        <w:spacing w:after="0" w:line="260" w:lineRule="exact"/>
        <w:rPr>
          <w:sz w:val="20"/>
          <w:szCs w:val="20"/>
          <w:color w:val="auto"/>
        </w:rPr>
      </w:pPr>
    </w:p>
    <w:p>
      <w:pPr>
        <w:jc w:val="right"/>
        <w:ind w:right="2319"/>
        <w:spacing w:after="0"/>
        <w:rPr>
          <w:sz w:val="20"/>
          <w:szCs w:val="20"/>
          <w:color w:val="auto"/>
        </w:rPr>
      </w:pPr>
      <w:r>
        <w:rPr>
          <w:rFonts w:ascii="Arial" w:cs="Arial" w:eastAsia="Arial" w:hAnsi="Arial"/>
          <w:sz w:val="22"/>
          <w:szCs w:val="22"/>
          <w:color w:val="auto"/>
        </w:rPr>
        <w:t>Supplemental Individual Disability Insurance Plan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Contrac</w:t>
      </w:r>
      <w:r>
        <w:rPr>
          <w:rFonts w:ascii="Arial" w:cs="Arial" w:eastAsia="Arial" w:hAnsi="Arial"/>
          <w:sz w:val="22"/>
          <w:szCs w:val="22"/>
          <w:color w:val="000000"/>
        </w:rPr>
        <w:t>Plan Specifications</w:t>
      </w:r>
    </w:p>
    <w:p>
      <w:pPr>
        <w:spacing w:after="0" w:line="133"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015294"/>
        </w:rPr>
        <w:t>Income Series 750</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015294"/>
        </w:rPr>
        <w:t>Non-Cancellable Contract</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015294"/>
        </w:rPr>
        <w:t>Tier 2</w:t>
      </w:r>
    </w:p>
    <w:p>
      <w:pPr>
        <w:sectPr>
          <w:pgSz w:w="11900" w:h="16917" w:orient="portrait"/>
          <w:cols w:equalWidth="0" w:num="1">
            <w:col w:w="10219"/>
          </w:cols>
          <w:pgMar w:left="240" w:top="1440" w:right="1440" w:bottom="0" w:gutter="0" w:footer="0" w:header="0"/>
        </w:sectPr>
      </w:pPr>
    </w:p>
    <w:p>
      <w:pPr>
        <w:spacing w:after="0" w:line="1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15294"/>
        </w:rPr>
        <w:t>Benefit Period</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Age 65</w:t>
      </w:r>
    </w:p>
    <w:p>
      <w:pPr>
        <w:ind w:left="40"/>
        <w:spacing w:after="0"/>
        <w:rPr>
          <w:sz w:val="20"/>
          <w:szCs w:val="20"/>
          <w:color w:val="auto"/>
        </w:rPr>
      </w:pPr>
      <w:r>
        <w:rPr>
          <w:rFonts w:ascii="Arial" w:cs="Arial" w:eastAsia="Arial" w:hAnsi="Arial"/>
          <w:sz w:val="22"/>
          <w:szCs w:val="22"/>
          <w:b w:val="1"/>
          <w:bCs w:val="1"/>
          <w:color w:val="015294"/>
        </w:rPr>
        <w:t>Elimination Period</w:t>
      </w:r>
    </w:p>
    <w:p>
      <w:pPr>
        <w:ind w:left="40"/>
        <w:spacing w:after="0"/>
        <w:rPr>
          <w:sz w:val="20"/>
          <w:szCs w:val="20"/>
          <w:color w:val="auto"/>
        </w:rPr>
      </w:pPr>
      <w:r>
        <w:rPr>
          <w:rFonts w:ascii="Arial" w:cs="Arial" w:eastAsia="Arial" w:hAnsi="Arial"/>
          <w:sz w:val="18"/>
          <w:szCs w:val="18"/>
          <w:color w:val="auto"/>
        </w:rPr>
        <w:t>Benefits begin after a waiting period of 180 days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15294"/>
        </w:rPr>
        <w:t>Income Replacement for Total Disability</w:t>
      </w:r>
    </w:p>
    <w:p>
      <w:pPr>
        <w:spacing w:after="0" w:line="17" w:lineRule="exact"/>
        <w:rPr>
          <w:sz w:val="20"/>
          <w:szCs w:val="20"/>
          <w:color w:val="auto"/>
        </w:rPr>
      </w:pPr>
    </w:p>
    <w:p>
      <w:pPr>
        <w:ind w:left="360" w:right="40" w:hanging="325"/>
        <w:spacing w:after="0" w:line="248" w:lineRule="auto"/>
        <w:tabs>
          <w:tab w:leader="none" w:pos="285" w:val="left"/>
        </w:tabs>
        <w:numPr>
          <w:ilvl w:val="0"/>
          <w:numId w:val="232"/>
        </w:numPr>
        <w:rPr>
          <w:rFonts w:ascii="Arial" w:cs="Arial" w:eastAsia="Arial" w:hAnsi="Arial"/>
          <w:sz w:val="20"/>
          <w:szCs w:val="20"/>
          <w:color w:val="auto"/>
        </w:rPr>
      </w:pPr>
      <w:r>
        <w:rPr>
          <w:rFonts w:ascii="Arial" w:cs="Arial" w:eastAsia="Arial" w:hAnsi="Arial"/>
          <w:sz w:val="18"/>
          <w:szCs w:val="18"/>
          <w:b w:val="1"/>
          <w:bCs w:val="1"/>
          <w:color w:val="auto"/>
        </w:rPr>
        <w:t xml:space="preserve">1st Two Years of Disability: </w:t>
      </w:r>
      <w:r>
        <w:rPr>
          <w:rFonts w:ascii="Arial" w:cs="Arial" w:eastAsia="Arial" w:hAnsi="Arial"/>
          <w:sz w:val="18"/>
          <w:szCs w:val="18"/>
          <w:color w:val="auto"/>
        </w:rPr>
        <w:t>a monthly income benefit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paid if you are totally disabled in your occupation, which means you are unable to work in your occupation, not working in any other occupation, and are under the care of a physician</w:t>
      </w:r>
    </w:p>
    <w:p>
      <w:pPr>
        <w:spacing w:after="0" w:line="1" w:lineRule="exact"/>
        <w:rPr>
          <w:rFonts w:ascii="Arial" w:cs="Arial" w:eastAsia="Arial" w:hAnsi="Arial"/>
          <w:sz w:val="20"/>
          <w:szCs w:val="20"/>
          <w:color w:val="auto"/>
        </w:rPr>
      </w:pPr>
    </w:p>
    <w:p>
      <w:pPr>
        <w:ind w:left="360" w:right="80" w:hanging="325"/>
        <w:spacing w:after="0" w:line="281" w:lineRule="auto"/>
        <w:tabs>
          <w:tab w:leader="none" w:pos="285" w:val="left"/>
        </w:tabs>
        <w:numPr>
          <w:ilvl w:val="0"/>
          <w:numId w:val="232"/>
        </w:numPr>
        <w:rPr>
          <w:rFonts w:ascii="Arial" w:cs="Arial" w:eastAsia="Arial" w:hAnsi="Arial"/>
          <w:sz w:val="18"/>
          <w:szCs w:val="18"/>
          <w:color w:val="auto"/>
        </w:rPr>
      </w:pPr>
      <w:r>
        <w:rPr>
          <w:rFonts w:ascii="Arial" w:cs="Arial" w:eastAsia="Arial" w:hAnsi="Arial"/>
          <w:sz w:val="16"/>
          <w:szCs w:val="16"/>
          <w:b w:val="1"/>
          <w:bCs w:val="1"/>
          <w:color w:val="auto"/>
        </w:rPr>
        <w:t xml:space="preserve">Remainder of Your Benefit Period: </w:t>
      </w:r>
      <w:r>
        <w:rPr>
          <w:rFonts w:ascii="Arial" w:cs="Arial" w:eastAsia="Arial" w:hAnsi="Arial"/>
          <w:sz w:val="16"/>
          <w:szCs w:val="16"/>
          <w:color w:val="auto"/>
        </w:rPr>
        <w:t>after Your Occupation</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of 2 years, pays if, due to injuries or sickness, you are unable to perform the material and substantial duties of any occupation, and are under the care of a physician</w:t>
      </w:r>
    </w:p>
    <w:p>
      <w:pPr>
        <w:spacing w:after="0" w:line="2" w:lineRule="exact"/>
        <w:rPr>
          <w:rFonts w:ascii="Arial" w:cs="Arial" w:eastAsia="Arial" w:hAnsi="Arial"/>
          <w:sz w:val="18"/>
          <w:szCs w:val="18"/>
          <w:color w:val="auto"/>
        </w:rPr>
      </w:pPr>
    </w:p>
    <w:p>
      <w:pPr>
        <w:ind w:left="280" w:hanging="245"/>
        <w:spacing w:after="0"/>
        <w:tabs>
          <w:tab w:leader="none" w:pos="280" w:val="left"/>
        </w:tabs>
        <w:numPr>
          <w:ilvl w:val="0"/>
          <w:numId w:val="232"/>
        </w:numPr>
        <w:rPr>
          <w:rFonts w:ascii="Arial" w:cs="Arial" w:eastAsia="Arial" w:hAnsi="Arial"/>
          <w:sz w:val="20"/>
          <w:szCs w:val="20"/>
          <w:color w:val="auto"/>
        </w:rPr>
      </w:pPr>
      <w:r>
        <w:rPr>
          <w:rFonts w:ascii="Arial" w:cs="Arial" w:eastAsia="Arial" w:hAnsi="Arial"/>
          <w:sz w:val="18"/>
          <w:szCs w:val="18"/>
          <w:b w:val="1"/>
          <w:bCs w:val="1"/>
          <w:color w:val="auto"/>
        </w:rPr>
        <w:t>2 Years Mental Disorder Benefit</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15294"/>
        </w:rPr>
        <w:t>Return-To-Work Benefits</w:t>
      </w:r>
    </w:p>
    <w:p>
      <w:pPr>
        <w:spacing w:after="0" w:line="17" w:lineRule="exact"/>
        <w:rPr>
          <w:sz w:val="20"/>
          <w:szCs w:val="20"/>
          <w:color w:val="auto"/>
        </w:rPr>
      </w:pPr>
    </w:p>
    <w:p>
      <w:pPr>
        <w:jc w:val="both"/>
        <w:ind w:left="360" w:right="80" w:hanging="325"/>
        <w:spacing w:after="0" w:line="247" w:lineRule="auto"/>
        <w:tabs>
          <w:tab w:leader="none" w:pos="285" w:val="left"/>
        </w:tabs>
        <w:numPr>
          <w:ilvl w:val="0"/>
          <w:numId w:val="233"/>
        </w:numPr>
        <w:rPr>
          <w:rFonts w:ascii="Arial" w:cs="Arial" w:eastAsia="Arial" w:hAnsi="Arial"/>
          <w:sz w:val="20"/>
          <w:szCs w:val="20"/>
          <w:color w:val="auto"/>
        </w:rPr>
      </w:pPr>
      <w:r>
        <w:rPr>
          <w:rFonts w:ascii="Arial" w:cs="Arial" w:eastAsia="Arial" w:hAnsi="Arial"/>
          <w:sz w:val="18"/>
          <w:szCs w:val="18"/>
          <w:b w:val="1"/>
          <w:bCs w:val="1"/>
          <w:color w:val="auto"/>
        </w:rPr>
        <w:t xml:space="preserve">Rehabilitation Benefit: </w:t>
      </w:r>
      <w:r>
        <w:rPr>
          <w:rFonts w:ascii="Arial" w:cs="Arial" w:eastAsia="Arial" w:hAnsi="Arial"/>
          <w:sz w:val="18"/>
          <w:szCs w:val="18"/>
          <w:color w:val="auto"/>
        </w:rPr>
        <w:t>can help you regain your self-sufficiency as soon as possible. While you are disabled and receiving benefits, we may pay rehabilitation expenses not covered by other benefits</w:t>
      </w:r>
    </w:p>
    <w:p>
      <w:pPr>
        <w:spacing w:after="0" w:line="2" w:lineRule="exact"/>
        <w:rPr>
          <w:rFonts w:ascii="Arial" w:cs="Arial" w:eastAsia="Arial" w:hAnsi="Arial"/>
          <w:sz w:val="20"/>
          <w:szCs w:val="20"/>
          <w:color w:val="auto"/>
        </w:rPr>
      </w:pPr>
    </w:p>
    <w:p>
      <w:pPr>
        <w:ind w:left="360" w:right="60" w:hanging="325"/>
        <w:spacing w:after="0" w:line="267" w:lineRule="auto"/>
        <w:tabs>
          <w:tab w:leader="none" w:pos="285" w:val="left"/>
        </w:tabs>
        <w:numPr>
          <w:ilvl w:val="0"/>
          <w:numId w:val="233"/>
        </w:numPr>
        <w:rPr>
          <w:rFonts w:ascii="Arial" w:cs="Arial" w:eastAsia="Arial" w:hAnsi="Arial"/>
          <w:sz w:val="19"/>
          <w:szCs w:val="19"/>
          <w:color w:val="auto"/>
        </w:rPr>
      </w:pPr>
      <w:r>
        <w:rPr>
          <w:rFonts w:ascii="Arial" w:cs="Arial" w:eastAsia="Arial" w:hAnsi="Arial"/>
          <w:sz w:val="17"/>
          <w:szCs w:val="17"/>
          <w:b w:val="1"/>
          <w:bCs w:val="1"/>
          <w:color w:val="auto"/>
        </w:rPr>
        <w:t xml:space="preserve">Work Incentive Benefit: </w:t>
      </w:r>
      <w:r>
        <w:rPr>
          <w:rFonts w:ascii="Arial" w:cs="Arial" w:eastAsia="Arial" w:hAnsi="Arial"/>
          <w:sz w:val="17"/>
          <w:szCs w:val="17"/>
          <w:color w:val="auto"/>
        </w:rPr>
        <w:t>when you return to work, you</w:t>
      </w:r>
      <w:r>
        <w:rPr>
          <w:rFonts w:ascii="Arial" w:cs="Arial" w:eastAsia="Arial" w:hAnsi="Arial"/>
          <w:sz w:val="17"/>
          <w:szCs w:val="17"/>
          <w:b w:val="1"/>
          <w:bCs w:val="1"/>
          <w:color w:val="auto"/>
        </w:rPr>
        <w:t xml:space="preserve"> </w:t>
      </w:r>
      <w:r>
        <w:rPr>
          <w:rFonts w:ascii="Arial" w:cs="Arial" w:eastAsia="Arial" w:hAnsi="Arial"/>
          <w:sz w:val="17"/>
          <w:szCs w:val="17"/>
          <w:color w:val="auto"/>
        </w:rPr>
        <w:t>will receive a short-term incentive for up to 6 months equal to the difference between your prior income and your current income, for up to 100% income replacement (subject to the maximum benefit amount)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320" w:right="299" w:hanging="316"/>
        <w:spacing w:after="0" w:line="279" w:lineRule="auto"/>
        <w:tabs>
          <w:tab w:leader="none" w:pos="245" w:val="left"/>
        </w:tabs>
        <w:numPr>
          <w:ilvl w:val="0"/>
          <w:numId w:val="234"/>
        </w:numPr>
        <w:rPr>
          <w:rFonts w:ascii="Arial" w:cs="Arial" w:eastAsia="Arial" w:hAnsi="Arial"/>
          <w:sz w:val="18"/>
          <w:szCs w:val="18"/>
          <w:color w:val="auto"/>
        </w:rPr>
      </w:pPr>
      <w:r>
        <w:rPr>
          <w:rFonts w:ascii="Arial" w:cs="Arial" w:eastAsia="Arial" w:hAnsi="Arial"/>
          <w:sz w:val="16"/>
          <w:szCs w:val="16"/>
          <w:b w:val="1"/>
          <w:bCs w:val="1"/>
          <w:color w:val="auto"/>
        </w:rPr>
        <w:t xml:space="preserve">Recovery Benefit: </w:t>
      </w:r>
      <w:r>
        <w:rPr>
          <w:rFonts w:ascii="Arial" w:cs="Arial" w:eastAsia="Arial" w:hAnsi="Arial"/>
          <w:sz w:val="16"/>
          <w:szCs w:val="16"/>
          <w:color w:val="auto"/>
        </w:rPr>
        <w:t>provides a benefit for up to 6 months if</w:t>
      </w:r>
      <w:r>
        <w:rPr>
          <w:rFonts w:ascii="Arial" w:cs="Arial" w:eastAsia="Arial" w:hAnsi="Arial"/>
          <w:sz w:val="16"/>
          <w:szCs w:val="16"/>
          <w:b w:val="1"/>
          <w:bCs w:val="1"/>
          <w:color w:val="auto"/>
        </w:rPr>
        <w:t xml:space="preserve"> </w:t>
      </w:r>
      <w:r>
        <w:rPr>
          <w:rFonts w:ascii="Arial" w:cs="Arial" w:eastAsia="Arial" w:hAnsi="Arial"/>
          <w:sz w:val="16"/>
          <w:szCs w:val="16"/>
          <w:color w:val="auto"/>
        </w:rPr>
        <w:t>you fully recover, return to full-time work in your occupation but you continue to lose earned income due to your prior disability. This provision pays a benefit while you re-establish your earnings base. The amount you get is based on the percentage of earnings you lose</w:t>
      </w:r>
    </w:p>
    <w:p>
      <w:pPr>
        <w:spacing w:after="0" w:line="234" w:lineRule="auto"/>
        <w:rPr>
          <w:sz w:val="20"/>
          <w:szCs w:val="20"/>
          <w:color w:val="auto"/>
        </w:rPr>
      </w:pPr>
      <w:r>
        <w:rPr>
          <w:rFonts w:ascii="Arial" w:cs="Arial" w:eastAsia="Arial" w:hAnsi="Arial"/>
          <w:sz w:val="22"/>
          <w:szCs w:val="22"/>
          <w:b w:val="1"/>
          <w:bCs w:val="1"/>
          <w:color w:val="015294"/>
        </w:rPr>
        <w:t>Other Features</w:t>
      </w:r>
    </w:p>
    <w:p>
      <w:pPr>
        <w:ind w:left="260" w:hanging="256"/>
        <w:spacing w:after="0"/>
        <w:tabs>
          <w:tab w:leader="none" w:pos="260" w:val="left"/>
        </w:tabs>
        <w:numPr>
          <w:ilvl w:val="0"/>
          <w:numId w:val="235"/>
        </w:numPr>
        <w:rPr>
          <w:rFonts w:ascii="Arial" w:cs="Arial" w:eastAsia="Arial" w:hAnsi="Arial"/>
          <w:sz w:val="20"/>
          <w:szCs w:val="20"/>
          <w:color w:val="auto"/>
        </w:rPr>
      </w:pPr>
      <w:r>
        <w:rPr>
          <w:rFonts w:ascii="Arial" w:cs="Arial" w:eastAsia="Arial" w:hAnsi="Arial"/>
          <w:sz w:val="18"/>
          <w:szCs w:val="18"/>
          <w:b w:val="1"/>
          <w:bCs w:val="1"/>
          <w:color w:val="auto"/>
        </w:rPr>
        <w:t>Voluntary Suspension During</w:t>
      </w:r>
    </w:p>
    <w:p>
      <w:pPr>
        <w:spacing w:after="0" w:line="2" w:lineRule="exact"/>
        <w:rPr>
          <w:sz w:val="20"/>
          <w:szCs w:val="20"/>
          <w:color w:val="auto"/>
        </w:rPr>
      </w:pPr>
    </w:p>
    <w:p>
      <w:pPr>
        <w:jc w:val="both"/>
        <w:ind w:left="320" w:right="399"/>
        <w:spacing w:after="0" w:line="301" w:lineRule="auto"/>
        <w:rPr>
          <w:sz w:val="20"/>
          <w:szCs w:val="20"/>
          <w:color w:val="auto"/>
        </w:rPr>
      </w:pPr>
      <w:r>
        <w:rPr>
          <w:rFonts w:ascii="Arial" w:cs="Arial" w:eastAsia="Arial" w:hAnsi="Arial"/>
          <w:sz w:val="16"/>
          <w:szCs w:val="16"/>
          <w:b w:val="1"/>
          <w:bCs w:val="1"/>
          <w:color w:val="auto"/>
        </w:rPr>
        <w:t xml:space="preserve">Unemployment: </w:t>
      </w:r>
      <w:r>
        <w:rPr>
          <w:rFonts w:ascii="Arial" w:cs="Arial" w:eastAsia="Arial" w:hAnsi="Arial"/>
          <w:sz w:val="16"/>
          <w:szCs w:val="16"/>
          <w:color w:val="auto"/>
        </w:rPr>
        <w:t>premium payments can be suspended</w:t>
      </w:r>
      <w:r>
        <w:rPr>
          <w:rFonts w:ascii="Arial" w:cs="Arial" w:eastAsia="Arial" w:hAnsi="Arial"/>
          <w:sz w:val="16"/>
          <w:szCs w:val="16"/>
          <w:b w:val="1"/>
          <w:bCs w:val="1"/>
          <w:color w:val="auto"/>
        </w:rPr>
        <w:t xml:space="preserve"> </w:t>
      </w:r>
      <w:r>
        <w:rPr>
          <w:rFonts w:ascii="Arial" w:cs="Arial" w:eastAsia="Arial" w:hAnsi="Arial"/>
          <w:sz w:val="16"/>
          <w:szCs w:val="16"/>
          <w:color w:val="auto"/>
        </w:rPr>
        <w:t>for up to one year from date of unemployment. Any loss incurred during the suspension period is not covered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15294"/>
        </w:rPr>
        <w:t>Optional Benefits</w:t>
      </w:r>
    </w:p>
    <w:p>
      <w:pPr>
        <w:spacing w:after="0" w:line="17" w:lineRule="exact"/>
        <w:rPr>
          <w:sz w:val="20"/>
          <w:szCs w:val="20"/>
          <w:color w:val="auto"/>
        </w:rPr>
      </w:pPr>
    </w:p>
    <w:p>
      <w:pPr>
        <w:jc w:val="both"/>
        <w:ind w:left="320" w:right="419" w:hanging="316"/>
        <w:spacing w:after="0" w:line="247" w:lineRule="auto"/>
        <w:tabs>
          <w:tab w:leader="none" w:pos="245" w:val="left"/>
        </w:tabs>
        <w:numPr>
          <w:ilvl w:val="0"/>
          <w:numId w:val="236"/>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Guaranteed Coverage Increase: </w:t>
      </w:r>
      <w:r>
        <w:rPr>
          <w:rFonts w:ascii="Arial" w:cs="Arial" w:eastAsia="Arial" w:hAnsi="Arial"/>
          <w:sz w:val="18"/>
          <w:szCs w:val="18"/>
          <w:color w:val="auto"/>
        </w:rPr>
        <w:t>allows employer 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to increase monthly benefit without evidence of medical insurability up to the GSI Benefit Maximum as salary increases occur</w:t>
      </w:r>
    </w:p>
    <w:p>
      <w:pPr>
        <w:spacing w:after="0" w:line="2" w:lineRule="exact"/>
        <w:rPr>
          <w:rFonts w:ascii="Arial" w:cs="Arial" w:eastAsia="Arial" w:hAnsi="Arial"/>
          <w:sz w:val="20"/>
          <w:szCs w:val="20"/>
          <w:b w:val="1"/>
          <w:bCs w:val="1"/>
          <w:color w:val="auto"/>
        </w:rPr>
      </w:pPr>
    </w:p>
    <w:p>
      <w:pPr>
        <w:ind w:left="320" w:right="439" w:hanging="316"/>
        <w:spacing w:after="0" w:line="261" w:lineRule="auto"/>
        <w:tabs>
          <w:tab w:leader="none" w:pos="245" w:val="left"/>
        </w:tabs>
        <w:numPr>
          <w:ilvl w:val="0"/>
          <w:numId w:val="236"/>
        </w:numPr>
        <w:rPr>
          <w:rFonts w:ascii="Arial" w:cs="Arial" w:eastAsia="Arial" w:hAnsi="Arial"/>
          <w:sz w:val="19"/>
          <w:szCs w:val="19"/>
          <w:color w:val="auto"/>
        </w:rPr>
      </w:pPr>
      <w:r>
        <w:rPr>
          <w:rFonts w:ascii="Arial" w:cs="Arial" w:eastAsia="Arial" w:hAnsi="Arial"/>
          <w:sz w:val="17"/>
          <w:szCs w:val="17"/>
          <w:b w:val="1"/>
          <w:bCs w:val="1"/>
          <w:color w:val="auto"/>
        </w:rPr>
        <w:t xml:space="preserve">Catastrophic Benefit:* </w:t>
      </w:r>
      <w:r>
        <w:rPr>
          <w:rFonts w:ascii="Arial" w:cs="Arial" w:eastAsia="Arial" w:hAnsi="Arial"/>
          <w:sz w:val="17"/>
          <w:szCs w:val="17"/>
          <w:color w:val="auto"/>
        </w:rPr>
        <w:t>provides an additional benefit in</w:t>
      </w:r>
      <w:r>
        <w:rPr>
          <w:rFonts w:ascii="Arial" w:cs="Arial" w:eastAsia="Arial" w:hAnsi="Arial"/>
          <w:sz w:val="17"/>
          <w:szCs w:val="17"/>
          <w:b w:val="1"/>
          <w:bCs w:val="1"/>
          <w:color w:val="auto"/>
        </w:rPr>
        <w:t xml:space="preserve"> </w:t>
      </w:r>
      <w:r>
        <w:rPr>
          <w:rFonts w:ascii="Arial" w:cs="Arial" w:eastAsia="Arial" w:hAnsi="Arial"/>
          <w:sz w:val="17"/>
          <w:szCs w:val="17"/>
          <w:color w:val="auto"/>
        </w:rPr>
        <w:t>the event of catastrophic disabilities that are likely to increase your living expenses (your insurance professional can provide information on physical</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conditions that apply)</w:t>
      </w:r>
    </w:p>
    <w:p>
      <w:pPr>
        <w:ind w:left="320"/>
        <w:spacing w:after="0" w:line="233" w:lineRule="auto"/>
        <w:rPr>
          <w:sz w:val="20"/>
          <w:szCs w:val="20"/>
          <w:color w:val="auto"/>
        </w:rPr>
      </w:pPr>
      <w:r>
        <w:rPr>
          <w:rFonts w:ascii="Arial" w:cs="Arial" w:eastAsia="Arial" w:hAnsi="Arial"/>
          <w:sz w:val="14"/>
          <w:szCs w:val="14"/>
          <w:i w:val="1"/>
          <w:iCs w:val="1"/>
          <w:color w:val="auto"/>
        </w:rPr>
        <w:t>*Not available in CT, GA, NH, TX and VT</w:t>
      </w:r>
    </w:p>
    <w:p>
      <w:pPr>
        <w:spacing w:after="0" w:line="1" w:lineRule="exact"/>
        <w:rPr>
          <w:sz w:val="20"/>
          <w:szCs w:val="20"/>
          <w:color w:val="auto"/>
        </w:rPr>
      </w:pPr>
    </w:p>
    <w:p>
      <w:pPr>
        <w:ind w:left="320" w:right="459" w:hanging="316"/>
        <w:spacing w:after="0" w:line="270" w:lineRule="auto"/>
        <w:tabs>
          <w:tab w:leader="none" w:pos="245" w:val="left"/>
        </w:tabs>
        <w:numPr>
          <w:ilvl w:val="0"/>
          <w:numId w:val="237"/>
        </w:numPr>
        <w:rPr>
          <w:rFonts w:ascii="Arial" w:cs="Arial" w:eastAsia="Arial" w:hAnsi="Arial"/>
          <w:sz w:val="19"/>
          <w:szCs w:val="19"/>
          <w:color w:val="auto"/>
        </w:rPr>
      </w:pPr>
      <w:r>
        <w:rPr>
          <w:rFonts w:ascii="Arial" w:cs="Arial" w:eastAsia="Arial" w:hAnsi="Arial"/>
          <w:sz w:val="17"/>
          <w:szCs w:val="17"/>
          <w:b w:val="1"/>
          <w:bCs w:val="1"/>
          <w:color w:val="auto"/>
        </w:rPr>
        <w:t xml:space="preserve">Presumptive Benefit:* </w:t>
      </w:r>
      <w:r>
        <w:rPr>
          <w:rFonts w:ascii="Arial" w:cs="Arial" w:eastAsia="Arial" w:hAnsi="Arial"/>
          <w:sz w:val="17"/>
          <w:szCs w:val="17"/>
          <w:color w:val="auto"/>
        </w:rPr>
        <w:t>provides an additional benefit in</w:t>
      </w:r>
      <w:r>
        <w:rPr>
          <w:rFonts w:ascii="Arial" w:cs="Arial" w:eastAsia="Arial" w:hAnsi="Arial"/>
          <w:sz w:val="17"/>
          <w:szCs w:val="17"/>
          <w:b w:val="1"/>
          <w:bCs w:val="1"/>
          <w:color w:val="auto"/>
        </w:rPr>
        <w:t xml:space="preserve"> </w:t>
      </w:r>
      <w:r>
        <w:rPr>
          <w:rFonts w:ascii="Arial" w:cs="Arial" w:eastAsia="Arial" w:hAnsi="Arial"/>
          <w:sz w:val="17"/>
          <w:szCs w:val="17"/>
          <w:color w:val="auto"/>
        </w:rPr>
        <w:t>the event of presumptive disabilities that are likely to increase your living expenses (your insurance</w:t>
      </w:r>
    </w:p>
    <w:p>
      <w:pPr>
        <w:sectPr>
          <w:pgSz w:w="11900" w:h="16917" w:orient="portrait"/>
          <w:cols w:equalWidth="0" w:num="2">
            <w:col w:w="4700" w:space="720"/>
            <w:col w:w="4799"/>
          </w:cols>
          <w:pgMar w:left="240" w:top="1440" w:right="1440" w:bottom="0" w:gutter="0" w:footer="0" w:header="0"/>
          <w:type w:val="continuous"/>
        </w:sectPr>
      </w:pPr>
    </w:p>
    <w:bookmarkStart w:id="225" w:name="page226"/>
    <w:bookmarkEnd w:id="225"/>
    <w:p>
      <w:pPr>
        <w:spacing w:after="0" w:line="10" w:lineRule="exact"/>
        <w:rPr>
          <w:sz w:val="20"/>
          <w:szCs w:val="20"/>
          <w:color w:val="auto"/>
        </w:rPr>
      </w:pPr>
    </w:p>
    <w:p>
      <w:pPr>
        <w:ind w:left="360" w:right="84" w:hanging="325"/>
        <w:spacing w:after="0" w:line="251" w:lineRule="auto"/>
        <w:tabs>
          <w:tab w:leader="none" w:pos="285" w:val="left"/>
        </w:tabs>
        <w:numPr>
          <w:ilvl w:val="0"/>
          <w:numId w:val="238"/>
        </w:numPr>
        <w:rPr>
          <w:rFonts w:ascii="Arial" w:cs="Arial" w:eastAsia="Arial" w:hAnsi="Arial"/>
          <w:sz w:val="20"/>
          <w:szCs w:val="20"/>
          <w:color w:val="auto"/>
        </w:rPr>
      </w:pPr>
      <w:r>
        <w:rPr>
          <w:rFonts w:ascii="Arial" w:cs="Arial" w:eastAsia="Arial" w:hAnsi="Arial"/>
          <w:sz w:val="18"/>
          <w:szCs w:val="18"/>
          <w:b w:val="1"/>
          <w:bCs w:val="1"/>
          <w:color w:val="auto"/>
        </w:rPr>
        <w:t xml:space="preserve">Residual Disability Benefit: </w:t>
      </w:r>
      <w:r>
        <w:rPr>
          <w:rFonts w:ascii="Arial" w:cs="Arial" w:eastAsia="Arial" w:hAnsi="Arial"/>
          <w:sz w:val="18"/>
          <w:szCs w:val="18"/>
          <w:color w:val="auto"/>
        </w:rPr>
        <w:t>you must be under a doctor's</w:t>
      </w:r>
      <w:r>
        <w:rPr>
          <w:rFonts w:ascii="Arial" w:cs="Arial" w:eastAsia="Arial" w:hAnsi="Arial"/>
          <w:sz w:val="18"/>
          <w:szCs w:val="18"/>
          <w:b w:val="1"/>
          <w:bCs w:val="1"/>
          <w:color w:val="auto"/>
        </w:rPr>
        <w:t xml:space="preserve"> </w:t>
      </w:r>
      <w:r>
        <w:rPr>
          <w:rFonts w:ascii="Arial" w:cs="Arial" w:eastAsia="Arial" w:hAnsi="Arial"/>
          <w:sz w:val="18"/>
          <w:szCs w:val="18"/>
          <w:color w:val="auto"/>
        </w:rPr>
        <w:t>care to be eligible for this benefit, which can pay for up to 2 years. You don't have to be totally disabled to be eligible, but you must still either lose time (due to injury or sickness) from your job or be unable to perform some of your job requirements and incur a loss of earnings of at least 20%</w:t>
      </w:r>
    </w:p>
    <w:p>
      <w:pPr>
        <w:spacing w:after="0" w:line="20" w:lineRule="exact"/>
        <w:rPr>
          <w:sz w:val="20"/>
          <w:szCs w:val="20"/>
          <w:color w:val="auto"/>
        </w:rPr>
      </w:pPr>
      <w:r>
        <w:rPr>
          <w:sz w:val="20"/>
          <w:szCs w:val="20"/>
          <w:color w:val="auto"/>
        </w:rPr>
        <w:br w:type="column"/>
      </w:r>
    </w:p>
    <w:p>
      <w:pPr>
        <w:ind w:left="316" w:right="2140"/>
        <w:spacing w:after="0" w:line="254" w:lineRule="auto"/>
        <w:rPr>
          <w:sz w:val="20"/>
          <w:szCs w:val="20"/>
          <w:color w:val="auto"/>
        </w:rPr>
      </w:pPr>
      <w:r>
        <w:rPr>
          <w:rFonts w:ascii="Arial" w:cs="Arial" w:eastAsia="Arial" w:hAnsi="Arial"/>
          <w:sz w:val="18"/>
          <w:szCs w:val="18"/>
          <w:color w:val="auto"/>
        </w:rPr>
        <w:t>professional can provide information on physical conditions that apply)</w:t>
      </w:r>
    </w:p>
    <w:p>
      <w:pPr>
        <w:ind w:left="316"/>
        <w:spacing w:after="0" w:line="232" w:lineRule="auto"/>
        <w:rPr>
          <w:sz w:val="20"/>
          <w:szCs w:val="20"/>
          <w:color w:val="auto"/>
        </w:rPr>
      </w:pPr>
      <w:r>
        <w:rPr>
          <w:rFonts w:ascii="Arial" w:cs="Arial" w:eastAsia="Arial" w:hAnsi="Arial"/>
          <w:sz w:val="14"/>
          <w:szCs w:val="14"/>
          <w:i w:val="1"/>
          <w:iCs w:val="1"/>
          <w:color w:val="auto"/>
        </w:rPr>
        <w:t>*Only available in CT, NH, TX and VT</w:t>
      </w:r>
    </w:p>
    <w:p>
      <w:pPr>
        <w:ind w:left="316" w:right="1740" w:hanging="316"/>
        <w:spacing w:after="0" w:line="277" w:lineRule="auto"/>
        <w:tabs>
          <w:tab w:leader="none" w:pos="241" w:val="left"/>
        </w:tabs>
        <w:numPr>
          <w:ilvl w:val="0"/>
          <w:numId w:val="239"/>
        </w:numPr>
        <w:rPr>
          <w:rFonts w:ascii="Arial" w:cs="Arial" w:eastAsia="Arial" w:hAnsi="Arial"/>
          <w:sz w:val="18"/>
          <w:szCs w:val="18"/>
          <w:color w:val="auto"/>
        </w:rPr>
      </w:pPr>
      <w:r>
        <w:rPr>
          <w:rFonts w:ascii="Arial" w:cs="Arial" w:eastAsia="Arial" w:hAnsi="Arial"/>
          <w:sz w:val="16"/>
          <w:szCs w:val="16"/>
          <w:b w:val="1"/>
          <w:bCs w:val="1"/>
          <w:color w:val="auto"/>
        </w:rPr>
        <w:t xml:space="preserve">Disability Protection Benefit:* </w:t>
      </w:r>
      <w:r>
        <w:rPr>
          <w:rFonts w:ascii="Arial" w:cs="Arial" w:eastAsia="Arial" w:hAnsi="Arial"/>
          <w:sz w:val="16"/>
          <w:szCs w:val="16"/>
          <w:color w:val="auto"/>
        </w:rPr>
        <w:t>provides an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in the event of catastrophic disabilities that are likely to increase your living expenses (your insurance professional can provide information on physical</w:t>
      </w:r>
    </w:p>
    <w:p>
      <w:pPr>
        <w:spacing w:after="0" w:line="3" w:lineRule="exact"/>
        <w:rPr>
          <w:sz w:val="20"/>
          <w:szCs w:val="20"/>
          <w:color w:val="auto"/>
        </w:rPr>
      </w:pPr>
    </w:p>
    <w:p>
      <w:pPr>
        <w:ind w:left="316"/>
        <w:spacing w:after="0"/>
        <w:rPr>
          <w:sz w:val="20"/>
          <w:szCs w:val="20"/>
          <w:color w:val="auto"/>
        </w:rPr>
      </w:pPr>
      <w:r>
        <w:rPr>
          <w:rFonts w:ascii="Arial" w:cs="Arial" w:eastAsia="Arial" w:hAnsi="Arial"/>
          <w:sz w:val="18"/>
          <w:szCs w:val="18"/>
          <w:color w:val="auto"/>
        </w:rPr>
        <w:t>conditions that apply)</w:t>
      </w:r>
    </w:p>
    <w:p>
      <w:pPr>
        <w:spacing w:after="0" w:line="2" w:lineRule="exact"/>
        <w:rPr>
          <w:sz w:val="20"/>
          <w:szCs w:val="20"/>
          <w:color w:val="auto"/>
        </w:rPr>
      </w:pPr>
    </w:p>
    <w:p>
      <w:pPr>
        <w:ind w:left="316"/>
        <w:spacing w:after="0"/>
        <w:rPr>
          <w:sz w:val="20"/>
          <w:szCs w:val="20"/>
          <w:color w:val="auto"/>
        </w:rPr>
      </w:pPr>
      <w:r>
        <w:rPr>
          <w:rFonts w:ascii="Arial" w:cs="Arial" w:eastAsia="Arial" w:hAnsi="Arial"/>
          <w:sz w:val="14"/>
          <w:szCs w:val="14"/>
          <w:i w:val="1"/>
          <w:iCs w:val="1"/>
          <w:color w:val="auto"/>
        </w:rPr>
        <w:t>*Only available in GA</w:t>
      </w:r>
    </w:p>
    <w:p>
      <w:pPr>
        <w:spacing w:after="0" w:line="200" w:lineRule="exact"/>
        <w:rPr>
          <w:sz w:val="20"/>
          <w:szCs w:val="20"/>
          <w:color w:val="auto"/>
        </w:rPr>
      </w:pPr>
    </w:p>
    <w:p>
      <w:pPr>
        <w:sectPr>
          <w:pgSz w:w="11900" w:h="16838" w:orient="portrait"/>
          <w:cols w:equalWidth="0" w:num="2">
            <w:col w:w="4704" w:space="720"/>
            <w:col w:w="5996"/>
          </w:cols>
          <w:pgMar w:left="240" w:top="125" w:right="239" w:bottom="1440" w:gutter="0" w:footer="0" w:header="0"/>
        </w:sectPr>
      </w:pPr>
    </w:p>
    <w:p>
      <w:pPr>
        <w:spacing w:after="0" w:line="316" w:lineRule="exact"/>
        <w:rPr>
          <w:sz w:val="20"/>
          <w:szCs w:val="20"/>
          <w:color w:val="auto"/>
        </w:rPr>
      </w:pPr>
    </w:p>
    <w:p>
      <w:pPr>
        <w:ind w:right="140"/>
        <w:spacing w:after="0" w:line="257" w:lineRule="auto"/>
        <w:rPr>
          <w:sz w:val="20"/>
          <w:szCs w:val="20"/>
          <w:color w:val="auto"/>
        </w:rPr>
      </w:pPr>
      <w:r>
        <w:rPr>
          <w:rFonts w:ascii="Arial" w:cs="Arial" w:eastAsia="Arial" w:hAnsi="Arial"/>
          <w:sz w:val="14"/>
          <w:szCs w:val="14"/>
          <w:color w:val="auto"/>
        </w:rPr>
        <w:t>This information is not intended to be a complete description of the insurance coverage available. The policy or its provisions may vary or be unavailable in some states. Contract Provisions, Features and Optional Benefits are based on our standard published issue ages. The policy has exclusions and limitations that may affect any benefits payable. For complete details of coverage and availability, please refer to Policy Form Income Series 750 and contact your Unum representative.</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25" w:right="239" w:bottom="1440" w:gutter="0" w:footer="0" w:header="0"/>
          <w:type w:val="continuous"/>
        </w:sectPr>
      </w:pPr>
    </w:p>
    <w:bookmarkStart w:id="226" w:name="page227"/>
    <w:bookmarkEnd w:id="2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1063625"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0636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015294"/>
        </w:rPr>
        <w:t>Northrop Grumman</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015294"/>
        </w:rPr>
        <w:t>Supplemental Individual Disability Insurance Plan</w:t>
      </w:r>
    </w:p>
    <w:p>
      <w:pPr>
        <w:sectPr>
          <w:pgSz w:w="11900" w:h="16838" w:orient="portrait"/>
          <w:cols w:equalWidth="0" w:num="1">
            <w:col w:w="9019"/>
          </w:cols>
          <w:pgMar w:left="1440" w:top="1440" w:right="1440" w:bottom="1440" w:gutter="0" w:footer="0" w:header="0"/>
        </w:sectPr>
      </w:pPr>
    </w:p>
    <w:bookmarkStart w:id="227" w:name="page228"/>
    <w:bookmarkEnd w:id="2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Northrop Grumman</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Supplemental Individual Disability Insurance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15294"/>
        </w:rPr>
        <w:t>TERMS &amp; CONDITIONS</w:t>
      </w:r>
    </w:p>
    <w:p>
      <w:pPr>
        <w:sectPr>
          <w:pgSz w:w="11900" w:h="16838" w:orient="portrait"/>
          <w:cols w:equalWidth="0" w:num="1">
            <w:col w:w="11360"/>
          </w:cols>
          <w:pgMar w:left="280" w:top="1440" w:right="259" w:bottom="0" w:gutter="0" w:footer="0" w:header="0"/>
        </w:sect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015294"/>
        </w:rPr>
        <w:t>Who is eligible</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This offer is extended to all eligible individuals (as defined under “Eligibility” on page 1) who are U.S. citizens or permanent U.S.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residents possessing a green card.</w:t>
      </w:r>
    </w:p>
    <w:p>
      <w:pPr>
        <w:spacing w:after="0" w:line="196" w:lineRule="exact"/>
        <w:rPr>
          <w:sz w:val="20"/>
          <w:szCs w:val="20"/>
          <w:color w:val="auto"/>
        </w:rPr>
      </w:pPr>
    </w:p>
    <w:p>
      <w:pPr>
        <w:sectPr>
          <w:pgSz w:w="11900" w:h="16838" w:orient="portrait"/>
          <w:cols w:equalWidth="0" w:num="2">
            <w:col w:w="1120" w:space="720"/>
            <w:col w:w="9520"/>
          </w:cols>
          <w:pgMar w:left="280" w:top="1440" w:right="259" w:bottom="0" w:gutter="0" w:footer="0" w:header="0"/>
          <w:type w:val="continuous"/>
        </w:sectPr>
      </w:pPr>
    </w:p>
    <w:p>
      <w:pPr>
        <w:ind w:left="1840" w:right="160"/>
        <w:spacing w:after="0" w:line="261" w:lineRule="auto"/>
        <w:rPr>
          <w:sz w:val="20"/>
          <w:szCs w:val="20"/>
          <w:color w:val="auto"/>
        </w:rPr>
      </w:pPr>
      <w:r>
        <w:rPr>
          <w:rFonts w:ascii="Arial" w:cs="Arial" w:eastAsia="Arial" w:hAnsi="Arial"/>
          <w:sz w:val="17"/>
          <w:szCs w:val="17"/>
          <w:color w:val="auto"/>
        </w:rPr>
        <w:t>For a period of time commencing 180 Days prior to and including the date of application, applicants must not have missed one or more days of work or been homebound or admitted to a medical facility due to injury or sickness, or had any restrictions or limitations on their ability to work on a full time basis (30 hours or more per week) due to injury or sickness.</w:t>
      </w:r>
    </w:p>
    <w:p>
      <w:pPr>
        <w:sectPr>
          <w:pgSz w:w="11900" w:h="16838" w:orient="portrait"/>
          <w:cols w:equalWidth="0" w:num="1">
            <w:col w:w="11360"/>
          </w:cols>
          <w:pgMar w:left="280" w:top="1440" w:right="259" w:bottom="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015294"/>
        </w:rPr>
        <w:t>Basis of Issue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A standard offer means no modifications can be made to the contract's premium rate, elimination period, benefit period or monthly benefit amounts to adjust for a pre-existing medical condition.</w:t>
      </w:r>
    </w:p>
    <w:p>
      <w:pPr>
        <w:spacing w:after="0" w:line="161" w:lineRule="exact"/>
        <w:rPr>
          <w:sz w:val="20"/>
          <w:szCs w:val="20"/>
          <w:color w:val="auto"/>
        </w:rPr>
      </w:pPr>
    </w:p>
    <w:p>
      <w:pPr>
        <w:sectPr>
          <w:pgSz w:w="11900" w:h="16838" w:orient="portrait"/>
          <w:cols w:equalWidth="0" w:num="2">
            <w:col w:w="1120" w:space="720"/>
            <w:col w:w="9520"/>
          </w:cols>
          <w:pgMar w:left="280" w:top="1440" w:right="259" w:bottom="0" w:gutter="0" w:footer="0" w:header="0"/>
          <w:type w:val="continuous"/>
        </w:sectPr>
      </w:pPr>
    </w:p>
    <w:p>
      <w:pPr>
        <w:jc w:val="both"/>
        <w:ind w:left="1840"/>
        <w:spacing w:after="0" w:line="261" w:lineRule="auto"/>
        <w:rPr>
          <w:sz w:val="20"/>
          <w:szCs w:val="20"/>
          <w:color w:val="auto"/>
        </w:rPr>
      </w:pPr>
      <w:r>
        <w:rPr>
          <w:rFonts w:ascii="Arial" w:cs="Arial" w:eastAsia="Arial" w:hAnsi="Arial"/>
          <w:sz w:val="17"/>
          <w:szCs w:val="17"/>
          <w:color w:val="auto"/>
        </w:rPr>
        <w:t>If the Catastrophic Disability benefit is included in the offering, all applicants will be asked questions for current Activities of Daily Living (ADL) losses. If any ADL loss or applicable pre-existing condition exists on the date of the application, no Catastrophic Disability benefit will be included in the policy.</w:t>
      </w:r>
    </w:p>
    <w:p>
      <w:pPr>
        <w:spacing w:after="0" w:line="173" w:lineRule="exact"/>
        <w:rPr>
          <w:sz w:val="20"/>
          <w:szCs w:val="20"/>
          <w:color w:val="auto"/>
        </w:rPr>
      </w:pPr>
    </w:p>
    <w:p>
      <w:pPr>
        <w:ind w:left="1840" w:right="180"/>
        <w:spacing w:after="0" w:line="306" w:lineRule="auto"/>
        <w:rPr>
          <w:sz w:val="20"/>
          <w:szCs w:val="20"/>
          <w:color w:val="auto"/>
        </w:rPr>
      </w:pPr>
      <w:r>
        <w:rPr>
          <w:rFonts w:ascii="Arial" w:cs="Arial" w:eastAsia="Arial" w:hAnsi="Arial"/>
          <w:sz w:val="16"/>
          <w:szCs w:val="16"/>
          <w:color w:val="auto"/>
        </w:rPr>
        <w:t>Similarly, if the Serious Illness Benefit is included in the offering, applicants will be asked questions pertinent to the underwriting of this benefit. A yes answer to any of those specific questions will result in no Serious Illness Benefit being included in the policy.</w:t>
      </w:r>
    </w:p>
    <w:p>
      <w:pPr>
        <w:spacing w:after="0" w:line="13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Pre-existing Condition Limitation Provisions apply to the benefits in the previous two paragraphs only.</w:t>
      </w:r>
    </w:p>
    <w:p>
      <w:pPr>
        <w:spacing w:after="0" w:line="21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The IDI benefit will coordinate with any other disability coverage applied for; and any disability coverage already inforce.</w:t>
      </w:r>
    </w:p>
    <w:p>
      <w:pPr>
        <w:spacing w:after="0" w:line="210" w:lineRule="exact"/>
        <w:rPr>
          <w:sz w:val="20"/>
          <w:szCs w:val="20"/>
          <w:color w:val="auto"/>
        </w:rPr>
      </w:pPr>
    </w:p>
    <w:p>
      <w:pPr>
        <w:ind w:left="1840" w:right="700"/>
        <w:spacing w:after="0" w:line="274" w:lineRule="auto"/>
        <w:rPr>
          <w:sz w:val="20"/>
          <w:szCs w:val="20"/>
          <w:color w:val="auto"/>
        </w:rPr>
      </w:pPr>
      <w:r>
        <w:rPr>
          <w:rFonts w:ascii="Arial" w:cs="Arial" w:eastAsia="Arial" w:hAnsi="Arial"/>
          <w:sz w:val="17"/>
          <w:szCs w:val="17"/>
          <w:color w:val="auto"/>
        </w:rPr>
        <w:t>Coverage applied for on a GSI basis cannot exceed this plan design and total coverage to be in-force (includes Group Long Term Disability and Individual Disability Insurance) cannot exceed our issue and participation limits.</w:t>
      </w:r>
    </w:p>
    <w:p>
      <w:pPr>
        <w:spacing w:after="0" w:line="161" w:lineRule="exact"/>
        <w:rPr>
          <w:sz w:val="20"/>
          <w:szCs w:val="20"/>
          <w:color w:val="auto"/>
        </w:rPr>
      </w:pPr>
    </w:p>
    <w:p>
      <w:pPr>
        <w:ind w:left="1840" w:right="80"/>
        <w:spacing w:after="0" w:line="261" w:lineRule="auto"/>
        <w:rPr>
          <w:sz w:val="20"/>
          <w:szCs w:val="20"/>
          <w:color w:val="auto"/>
        </w:rPr>
      </w:pPr>
      <w:r>
        <w:rPr>
          <w:rFonts w:ascii="Arial" w:cs="Arial" w:eastAsia="Arial" w:hAnsi="Arial"/>
          <w:sz w:val="17"/>
          <w:szCs w:val="17"/>
          <w:color w:val="auto"/>
        </w:rPr>
        <w:t>The GSI benefit may be directly reduced by any inforce individual coverage that was issued by Unum or its affiliated companies on a GSI basis. Unum will not participate with any other active employer-sponsored individual disability GSI program that provides long-term coverage through a non-cancellable or guaranteed renewable contract.</w:t>
      </w:r>
    </w:p>
    <w:p>
      <w:pPr>
        <w:spacing w:after="0" w:line="173"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Minimum policy size is $300 - must financially qualify.</w:t>
      </w:r>
    </w:p>
    <w:p>
      <w:pPr>
        <w:sectPr>
          <w:pgSz w:w="11900" w:h="16838" w:orient="portrait"/>
          <w:cols w:equalWidth="0" w:num="1">
            <w:col w:w="11360"/>
          </w:cols>
          <w:pgMar w:left="280" w:top="1440" w:right="259" w:bottom="0" w:gutter="0" w:footer="0" w:header="0"/>
          <w:type w:val="continuous"/>
        </w:sectPr>
      </w:pPr>
    </w:p>
    <w:bookmarkStart w:id="228" w:name="page229"/>
    <w:bookmarkEnd w:id="228"/>
    <w:p>
      <w:pPr>
        <w:ind w:left="1840" w:right="320"/>
        <w:spacing w:after="0" w:line="274" w:lineRule="auto"/>
        <w:rPr>
          <w:sz w:val="20"/>
          <w:szCs w:val="20"/>
          <w:color w:val="auto"/>
        </w:rPr>
      </w:pPr>
      <w:r>
        <w:rPr>
          <w:rFonts w:ascii="Arial" w:cs="Arial" w:eastAsia="Arial" w:hAnsi="Arial"/>
          <w:sz w:val="17"/>
          <w:szCs w:val="17"/>
          <w:color w:val="auto"/>
        </w:rPr>
        <w:t>Any additional amounts purchased beyond this offer amount will be considered to be outside the plan design and subject to our normal medical and financial underwriting guidelines.</w:t>
      </w:r>
    </w:p>
    <w:p>
      <w:pPr>
        <w:spacing w:after="0" w:line="13" w:lineRule="exact"/>
        <w:rPr>
          <w:sz w:val="20"/>
          <w:szCs w:val="20"/>
          <w:color w:val="auto"/>
        </w:rPr>
      </w:pPr>
    </w:p>
    <w:p>
      <w:pPr>
        <w:ind w:left="1840" w:right="40" w:hanging="1836"/>
        <w:spacing w:after="0" w:line="248" w:lineRule="auto"/>
        <w:rPr>
          <w:sz w:val="20"/>
          <w:szCs w:val="20"/>
          <w:color w:val="auto"/>
        </w:rPr>
      </w:pPr>
      <w:r>
        <w:rPr>
          <w:rFonts w:ascii="Arial" w:cs="Arial" w:eastAsia="Arial" w:hAnsi="Arial"/>
          <w:sz w:val="18"/>
          <w:szCs w:val="18"/>
          <w:color w:val="015294"/>
        </w:rPr>
        <w:t xml:space="preserve">Financial Requirements </w:t>
      </w:r>
      <w:r>
        <w:rPr>
          <w:rFonts w:ascii="Arial" w:cs="Arial" w:eastAsia="Arial" w:hAnsi="Arial"/>
          <w:sz w:val="17"/>
          <w:szCs w:val="17"/>
          <w:color w:val="000000"/>
        </w:rPr>
        <w:t>We will accept a company-provided census (electronic preferred) listing employee name, date of birth, job title, date of hire and</w:t>
      </w:r>
      <w:r>
        <w:rPr>
          <w:rFonts w:ascii="Arial" w:cs="Arial" w:eastAsia="Arial" w:hAnsi="Arial"/>
          <w:sz w:val="18"/>
          <w:szCs w:val="18"/>
          <w:color w:val="015294"/>
        </w:rPr>
        <w:t xml:space="preserve"> </w:t>
      </w:r>
      <w:r>
        <w:rPr>
          <w:rFonts w:ascii="Arial" w:cs="Arial" w:eastAsia="Arial" w:hAnsi="Arial"/>
          <w:sz w:val="17"/>
          <w:szCs w:val="17"/>
          <w:color w:val="000000"/>
        </w:rPr>
        <w:t>compensation (defined as Insurable Income on Page 1) as income documentation. For purposes of insurable income, base salary is defined as stable annual salary. Variable compensation may include bonus, commissions, K-1 earnings and other forms of incentive compensation, and is defined as a two-year average of compensation or last year’s if less. If only a one-year history of variable compensation documentation is available due to an individual not having been employed long enough to generate a two-year history, we will consider 75% of the variable compensation as insurable. Insurable income should be broken down into base salary and variable compensation in the census, if applicable.</w:t>
      </w:r>
    </w:p>
    <w:p>
      <w:pPr>
        <w:spacing w:after="0" w:line="183"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Net Worth and Unearned Income considerations will be disregarded.</w:t>
      </w:r>
    </w:p>
    <w:p>
      <w:pPr>
        <w:sectPr>
          <w:pgSz w:w="11900" w:h="16838" w:orient="portrait"/>
          <w:cols w:equalWidth="0" w:num="1">
            <w:col w:w="11380"/>
          </w:cols>
          <w:pgMar w:left="280" w:top="325" w:right="239" w:bottom="1440" w:gutter="0" w:footer="0" w:header="0"/>
        </w:sectPr>
      </w:pP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015294"/>
        </w:rPr>
        <w:t>Application Type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right"/>
        <w:ind w:right="6080"/>
        <w:spacing w:after="0"/>
        <w:rPr>
          <w:sz w:val="20"/>
          <w:szCs w:val="20"/>
          <w:color w:val="auto"/>
        </w:rPr>
      </w:pPr>
      <w:r>
        <w:rPr>
          <w:rFonts w:ascii="Arial" w:cs="Arial" w:eastAsia="Arial" w:hAnsi="Arial"/>
          <w:sz w:val="15"/>
          <w:szCs w:val="15"/>
          <w:color w:val="auto"/>
        </w:rPr>
        <w:t>GSI App Forms: Tier 1 A-32521 (short form GSI),</w:t>
      </w:r>
    </w:p>
    <w:p>
      <w:pPr>
        <w:spacing w:after="0" w:line="44" w:lineRule="exact"/>
        <w:rPr>
          <w:sz w:val="20"/>
          <w:szCs w:val="20"/>
          <w:color w:val="auto"/>
        </w:rPr>
      </w:pPr>
    </w:p>
    <w:p>
      <w:pPr>
        <w:jc w:val="right"/>
        <w:ind w:right="6120"/>
        <w:spacing w:after="0"/>
        <w:rPr>
          <w:sz w:val="20"/>
          <w:szCs w:val="20"/>
          <w:color w:val="auto"/>
        </w:rPr>
      </w:pPr>
      <w:r>
        <w:rPr>
          <w:rFonts w:ascii="Arial" w:cs="Arial" w:eastAsia="Arial" w:hAnsi="Arial"/>
          <w:sz w:val="17"/>
          <w:szCs w:val="17"/>
          <w:color w:val="auto"/>
        </w:rPr>
        <w:t>Tier 2 AE-1090 (short form GSI)</w:t>
      </w:r>
    </w:p>
    <w:p>
      <w:pPr>
        <w:spacing w:after="0" w:line="200" w:lineRule="exact"/>
        <w:rPr>
          <w:sz w:val="20"/>
          <w:szCs w:val="20"/>
          <w:color w:val="auto"/>
        </w:rPr>
      </w:pPr>
    </w:p>
    <w:p>
      <w:pPr>
        <w:sectPr>
          <w:pgSz w:w="11900" w:h="16838" w:orient="portrait"/>
          <w:cols w:equalWidth="0" w:num="2">
            <w:col w:w="1240" w:space="600"/>
            <w:col w:w="9540"/>
          </w:cols>
          <w:pgMar w:left="280" w:top="3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80"/>
          </w:cols>
          <w:pgMar w:left="280" w:top="325" w:right="239" w:bottom="1440" w:gutter="0" w:footer="0" w:header="0"/>
          <w:type w:val="continuous"/>
        </w:sectPr>
      </w:pPr>
    </w:p>
    <w:bookmarkStart w:id="229" w:name="page230"/>
    <w:bookmarkEnd w:id="2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106362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0636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015294"/>
        </w:rPr>
        <w:t>Northrop Grumman</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015294"/>
        </w:rPr>
        <w:t>Supplemental Individual Disability Insurance Plan</w:t>
      </w:r>
    </w:p>
    <w:p>
      <w:pPr>
        <w:sectPr>
          <w:pgSz w:w="11900" w:h="16838" w:orient="portrait"/>
          <w:cols w:equalWidth="0" w:num="1">
            <w:col w:w="9019"/>
          </w:cols>
          <w:pgMar w:left="1440" w:top="1440" w:right="1440" w:bottom="1440" w:gutter="0" w:footer="0" w:header="0"/>
        </w:sectPr>
      </w:pPr>
    </w:p>
    <w:bookmarkStart w:id="230" w:name="page231"/>
    <w:bookmarkEnd w:id="2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Northrop Grumman</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Supplemental Individual Disability Insurance Plan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FFFFFF"/>
        </w:rPr>
        <w:t>Offer Request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15294"/>
        </w:rPr>
        <w:t>OFFER REQUEST</w:t>
      </w:r>
    </w:p>
    <w:p>
      <w:pPr>
        <w:spacing w:after="0" w:line="27" w:lineRule="exact"/>
        <w:rPr>
          <w:sz w:val="20"/>
          <w:szCs w:val="20"/>
          <w:color w:val="auto"/>
        </w:rPr>
      </w:pPr>
    </w:p>
    <w:p>
      <w:pPr>
        <w:ind w:left="340" w:right="20" w:hanging="332"/>
        <w:spacing w:after="0" w:line="266" w:lineRule="auto"/>
        <w:tabs>
          <w:tab w:leader="none" w:pos="340" w:val="left"/>
        </w:tabs>
        <w:numPr>
          <w:ilvl w:val="0"/>
          <w:numId w:val="240"/>
        </w:numPr>
        <w:rPr>
          <w:rFonts w:ascii="Arial" w:cs="Arial" w:eastAsia="Arial" w:hAnsi="Arial"/>
          <w:sz w:val="20"/>
          <w:szCs w:val="20"/>
          <w:color w:val="auto"/>
        </w:rPr>
      </w:pPr>
      <w:r>
        <w:rPr>
          <w:rFonts w:ascii="Arial" w:cs="Arial" w:eastAsia="Arial" w:hAnsi="Arial"/>
          <w:sz w:val="18"/>
          <w:szCs w:val="18"/>
          <w:color w:val="auto"/>
        </w:rPr>
        <w:t>The above offer is contingent upon current ratebook and state regulations in effect at application time. Any change in plan design, eligibility/participation requirements, premium payer, etc. requires written approval by Case Design Underwriting.</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015294"/>
        </w:rPr>
        <w:t>EMPLOYER AND BROKER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15294"/>
        </w:rPr>
        <w:t>OBLIGATIONS/ENROLLMENT PROCESS</w:t>
      </w:r>
    </w:p>
    <w:p>
      <w:pPr>
        <w:spacing w:after="0" w:line="8" w:lineRule="exact"/>
        <w:rPr>
          <w:sz w:val="20"/>
          <w:szCs w:val="20"/>
          <w:color w:val="auto"/>
        </w:rPr>
      </w:pPr>
    </w:p>
    <w:p>
      <w:pPr>
        <w:ind w:left="340" w:right="140" w:hanging="332"/>
        <w:spacing w:after="0" w:line="252" w:lineRule="auto"/>
        <w:tabs>
          <w:tab w:leader="none" w:pos="340" w:val="left"/>
        </w:tabs>
        <w:numPr>
          <w:ilvl w:val="0"/>
          <w:numId w:val="241"/>
        </w:numPr>
        <w:rPr>
          <w:rFonts w:ascii="Arial" w:cs="Arial" w:eastAsia="Arial" w:hAnsi="Arial"/>
          <w:sz w:val="20"/>
          <w:szCs w:val="20"/>
          <w:color w:val="auto"/>
        </w:rPr>
      </w:pPr>
      <w:r>
        <w:rPr>
          <w:rFonts w:ascii="Arial" w:cs="Arial" w:eastAsia="Arial" w:hAnsi="Arial"/>
          <w:sz w:val="18"/>
          <w:szCs w:val="18"/>
          <w:color w:val="auto"/>
        </w:rPr>
        <w:t>Unum will be provided with a full census (name, job title, date of hire, insurable income, DOB, gender and employee Social Security Number) that will allow for the development of personalized enrollment materials including pre-printed applications for each employee.</w:t>
      </w:r>
    </w:p>
    <w:p>
      <w:pPr>
        <w:spacing w:after="0" w:line="1" w:lineRule="exact"/>
        <w:rPr>
          <w:rFonts w:ascii="Arial" w:cs="Arial" w:eastAsia="Arial" w:hAnsi="Arial"/>
          <w:sz w:val="20"/>
          <w:szCs w:val="20"/>
          <w:color w:val="auto"/>
        </w:rPr>
      </w:pPr>
    </w:p>
    <w:p>
      <w:pPr>
        <w:ind w:left="340" w:hanging="332"/>
        <w:spacing w:after="0" w:line="252" w:lineRule="auto"/>
        <w:tabs>
          <w:tab w:leader="none" w:pos="340" w:val="left"/>
        </w:tabs>
        <w:numPr>
          <w:ilvl w:val="0"/>
          <w:numId w:val="241"/>
        </w:numPr>
        <w:rPr>
          <w:rFonts w:ascii="Arial" w:cs="Arial" w:eastAsia="Arial" w:hAnsi="Arial"/>
          <w:sz w:val="20"/>
          <w:szCs w:val="20"/>
          <w:color w:val="auto"/>
        </w:rPr>
      </w:pPr>
      <w:r>
        <w:rPr>
          <w:rFonts w:ascii="Arial" w:cs="Arial" w:eastAsia="Arial" w:hAnsi="Arial"/>
          <w:sz w:val="18"/>
          <w:szCs w:val="18"/>
          <w:color w:val="auto"/>
        </w:rPr>
        <w:t>The communication strategy will encompass an employer endorsement letter, the distribution of personalized enrollment materials for each employee and follow-up to each employee to review their personalized benefit proposal.</w:t>
      </w:r>
    </w:p>
    <w:p>
      <w:pPr>
        <w:ind w:left="340" w:hanging="332"/>
        <w:spacing w:after="0"/>
        <w:tabs>
          <w:tab w:leader="none" w:pos="340" w:val="left"/>
        </w:tabs>
        <w:numPr>
          <w:ilvl w:val="0"/>
          <w:numId w:val="241"/>
        </w:numPr>
        <w:rPr>
          <w:rFonts w:ascii="Arial" w:cs="Arial" w:eastAsia="Arial" w:hAnsi="Arial"/>
          <w:sz w:val="20"/>
          <w:szCs w:val="20"/>
          <w:color w:val="auto"/>
        </w:rPr>
      </w:pPr>
      <w:r>
        <w:rPr>
          <w:rFonts w:ascii="Arial" w:cs="Arial" w:eastAsia="Arial" w:hAnsi="Arial"/>
          <w:sz w:val="18"/>
          <w:szCs w:val="18"/>
          <w:color w:val="auto"/>
        </w:rPr>
        <w:t>New employees must apply for coverage within 90 days of date of hire or eligibility.</w:t>
      </w:r>
    </w:p>
    <w:p>
      <w:pPr>
        <w:spacing w:after="0" w:line="3" w:lineRule="exact"/>
        <w:rPr>
          <w:rFonts w:ascii="Arial" w:cs="Arial" w:eastAsia="Arial" w:hAnsi="Arial"/>
          <w:sz w:val="20"/>
          <w:szCs w:val="20"/>
          <w:color w:val="auto"/>
        </w:rPr>
      </w:pPr>
    </w:p>
    <w:p>
      <w:pPr>
        <w:ind w:left="340" w:right="140" w:hanging="332"/>
        <w:spacing w:after="0" w:line="261" w:lineRule="auto"/>
        <w:tabs>
          <w:tab w:leader="none" w:pos="340" w:val="left"/>
        </w:tabs>
        <w:numPr>
          <w:ilvl w:val="0"/>
          <w:numId w:val="241"/>
        </w:numPr>
        <w:rPr>
          <w:rFonts w:ascii="Arial" w:cs="Arial" w:eastAsia="Arial" w:hAnsi="Arial"/>
          <w:sz w:val="20"/>
          <w:szCs w:val="20"/>
          <w:color w:val="auto"/>
        </w:rPr>
      </w:pPr>
      <w:r>
        <w:rPr>
          <w:rFonts w:ascii="Arial" w:cs="Arial" w:eastAsia="Arial" w:hAnsi="Arial"/>
          <w:sz w:val="18"/>
          <w:szCs w:val="18"/>
          <w:color w:val="auto"/>
        </w:rPr>
        <w:t>Employees who enroll and fully participate in this plan will have the opportunity to update their coverage within the plan design and benefit maximums during a scheduled annual or biannual enrollment period.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15294"/>
        </w:rPr>
        <w:t>OFFER REVIEW PROCESS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offer will be reviewed two years from the renewal anniversary date and remains in effect subject to our review of the plan design, persistency and overall case success. We may request current case information and census listing eligible individuals, dates of birth, job title and current income to complete our review. Although we do not anticipate doing so, we reserve the right to withdraw or modify this offer at any time. Factors such as experience, non-adherence to offer terms or availability of contract type could make this necessary. Also, as the amount of this offer was based on the plan design incorporating Unum LTD, we will reserve the right to modify our offer if there is a change in the group LTD carrier. When appropriate, the Company will provide 90-days notice in advance of any anticipated change to this offer.</w:t>
      </w:r>
    </w:p>
    <w:p>
      <w:pPr>
        <w:sectPr>
          <w:pgSz w:w="11900" w:h="16838" w:orient="portrait"/>
          <w:cols w:equalWidth="0" w:num="1">
            <w:col w:w="11400"/>
          </w:cols>
          <w:pgMar w:left="240" w:top="1440" w:right="259" w:bottom="0" w:gutter="0" w:footer="0" w:header="0"/>
        </w:sectPr>
      </w:pPr>
    </w:p>
    <w:bookmarkStart w:id="231" w:name="page232"/>
    <w:bookmarkEnd w:id="231"/>
    <w:p>
      <w:pPr>
        <w:ind w:right="500"/>
        <w:spacing w:after="0" w:line="277" w:lineRule="auto"/>
        <w:rPr>
          <w:sz w:val="20"/>
          <w:szCs w:val="20"/>
          <w:color w:val="auto"/>
        </w:rPr>
      </w:pPr>
      <w:r>
        <w:rPr>
          <w:rFonts w:ascii="Arial" w:cs="Arial" w:eastAsia="Arial" w:hAnsi="Arial"/>
          <w:sz w:val="18"/>
          <w:szCs w:val="18"/>
          <w:color w:val="auto"/>
        </w:rPr>
        <w:t>We are privileged that you have selected Unum to meet your employees’ income protection needs. We appreciate the opportunity to serve you and your employees, and we look forward to a continuing relationship.</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25" w:right="239" w:bottom="1440" w:gutter="0" w:footer="0" w:header="0"/>
        </w:sectPr>
      </w:pPr>
    </w:p>
    <w:bookmarkStart w:id="232" w:name="page233"/>
    <w:bookmarkEnd w:id="2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106362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0636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015294"/>
        </w:rPr>
        <w:t>Northrop Grumman</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015294"/>
        </w:rPr>
        <w:t>Supplemental Individual Disability Insurance Plan</w:t>
      </w:r>
    </w:p>
    <w:p>
      <w:pPr>
        <w:sectPr>
          <w:pgSz w:w="11900" w:h="16838" w:orient="portrait"/>
          <w:cols w:equalWidth="0" w:num="1">
            <w:col w:w="9019"/>
          </w:cols>
          <w:pgMar w:left="1440" w:top="1440" w:right="1440" w:bottom="1440" w:gutter="0" w:footer="0" w:header="0"/>
        </w:sectPr>
      </w:pPr>
    </w:p>
    <w:bookmarkStart w:id="233" w:name="page234"/>
    <w:bookmarkEnd w:id="2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Northrop Grumman</w:t>
      </w:r>
    </w:p>
    <w:p>
      <w:pPr>
        <w:spacing w:after="0" w:line="260"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Supplemental Individual Disability Insurance Plan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15294"/>
        </w:rPr>
        <w:t>DISCLOSURE REMINDER REGARDING BROKER COMPENSATION</w:t>
      </w:r>
    </w:p>
    <w:p>
      <w:pPr>
        <w:spacing w:after="0" w:line="40"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Your insurance or benefits advisor can offer you advice and guidance as you select the policy and provider most appropriate for your needs. At Unum we recognize the important role these professionals play in the sale of our products and services and offer them a variety of compensation programs. Your advisor can provide you with information about these programs as well as those available from other providers. We support disclosure of advisor compensation so that customers can make an informed buying decision.</w:t>
      </w:r>
    </w:p>
    <w:p>
      <w:pPr>
        <w:spacing w:after="0" w:line="215"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auto"/>
        </w:rPr>
        <w:t xml:space="preserve">If you would like additional information about the range of compensation programs our company offers, you can find more details at </w:t>
      </w:r>
      <w:r>
        <w:rPr>
          <w:rFonts w:ascii="Arial" w:cs="Arial" w:eastAsia="Arial" w:hAnsi="Arial"/>
          <w:sz w:val="18"/>
          <w:szCs w:val="18"/>
          <w:u w:val="single" w:color="auto"/>
          <w:color w:val="auto"/>
        </w:rPr>
        <w:t>www.unum.com</w:t>
      </w:r>
      <w:r>
        <w:rPr>
          <w:rFonts w:ascii="Arial" w:cs="Arial" w:eastAsia="Arial" w:hAnsi="Arial"/>
          <w:sz w:val="18"/>
          <w:szCs w:val="18"/>
          <w:color w:val="auto"/>
        </w:rPr>
        <w:t>. Unum provides employers with the premium and commission information needed to complete Schedule A on Form 5500 for group insurance as may be required under ERISA. You may request similar information for ERISA reporting purposes for other insurance policies, such as Voluntary Benefits or Individual Disability. If you would like to request such information or if you have other questions, or if you would like to speak to us directly about advisor compensation, please call Broker Compensation Services at 1-800-633-7491.</w:t>
      </w:r>
    </w:p>
    <w:p>
      <w:pPr>
        <w:spacing w:after="0" w:line="217" w:lineRule="exact"/>
        <w:rPr>
          <w:sz w:val="20"/>
          <w:szCs w:val="20"/>
          <w:color w:val="auto"/>
        </w:rPr>
      </w:pPr>
    </w:p>
    <w:p>
      <w:pPr>
        <w:jc w:val="both"/>
        <w:ind w:right="60"/>
        <w:spacing w:after="0" w:line="295" w:lineRule="auto"/>
        <w:rPr>
          <w:sz w:val="20"/>
          <w:szCs w:val="20"/>
          <w:color w:val="auto"/>
        </w:rPr>
      </w:pPr>
      <w:r>
        <w:rPr>
          <w:rFonts w:ascii="Arial" w:cs="Arial" w:eastAsia="Arial" w:hAnsi="Arial"/>
          <w:sz w:val="18"/>
          <w:szCs w:val="18"/>
          <w:color w:val="auto"/>
        </w:rPr>
        <w:t>At Unum we recognize and support full transparency and disclosure of compensation. Unum Enrollment Representatives are licensed as insurance producers; they represent and act on behalf of Unum. Enrollment Representatives do not receive compensation based in whole or in part on the sale of insurance to you. If you have questions, contact your Unum IDI Executive Benefits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cc: Karen M. Anderson, Chief Underwriter - IDI Case Design Underwriting</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Northrop Grumman 2014 renewal.doc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3/13/14 ddd</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440" w:right="239" w:bottom="0" w:gutter="0" w:footer="0" w:header="0"/>
        </w:sectPr>
      </w:pPr>
    </w:p>
    <w:bookmarkStart w:id="234" w:name="page235"/>
    <w:bookmarkEnd w:id="23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35" w:name="page236"/>
    <w:bookmarkEnd w:id="235"/>
    <w:p>
      <w:pPr>
        <w:jc w:val="right"/>
        <w:spacing w:after="0"/>
        <w:tabs>
          <w:tab w:leader="none" w:pos="1160" w:val="left"/>
        </w:tabs>
        <w:rPr>
          <w:sz w:val="20"/>
          <w:szCs w:val="20"/>
          <w:color w:val="auto"/>
        </w:rPr>
      </w:pPr>
      <w:r>
        <w:rPr>
          <w:rFonts w:ascii="Arial" w:cs="Arial" w:eastAsia="Arial" w:hAnsi="Arial"/>
          <w:sz w:val="26"/>
          <w:szCs w:val="26"/>
          <w:b w:val="1"/>
          <w:bCs w:val="1"/>
          <w:color w:val="5E5E5E"/>
        </w:rPr>
        <w:t>Memorandum</w:t>
      </w:r>
      <w:r>
        <w:rPr>
          <w:sz w:val="20"/>
          <w:szCs w:val="20"/>
          <w:color w:val="auto"/>
        </w:rPr>
        <w:tab/>
      </w:r>
      <w:r>
        <w:rPr>
          <w:rFonts w:ascii="Arial" w:cs="Arial" w:eastAsia="Arial" w:hAnsi="Arial"/>
          <w:sz w:val="18"/>
          <w:szCs w:val="18"/>
          <w:b w:val="1"/>
          <w:bCs w:val="1"/>
          <w:color w:val="5E5E5E"/>
        </w:rPr>
        <w:t>Exhibit 10(ee)</w:t>
      </w:r>
    </w:p>
    <w:p>
      <w:pPr>
        <w:spacing w:after="0" w:line="226" w:lineRule="exact"/>
        <w:rPr>
          <w:sz w:val="20"/>
          <w:szCs w:val="20"/>
          <w:color w:val="auto"/>
        </w:rPr>
      </w:pPr>
    </w:p>
    <w:p>
      <w:pPr>
        <w:ind w:left="540"/>
        <w:spacing w:after="0"/>
        <w:rPr>
          <w:sz w:val="20"/>
          <w:szCs w:val="20"/>
          <w:color w:val="auto"/>
        </w:rPr>
      </w:pPr>
      <w:r>
        <w:rPr>
          <w:rFonts w:ascii="Arial" w:cs="Arial" w:eastAsia="Arial" w:hAnsi="Arial"/>
          <w:sz w:val="15"/>
          <w:szCs w:val="15"/>
          <w:color w:val="5E5E5E"/>
        </w:rPr>
        <w:t>Northrop Grumman Aerospace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tabs>
          <w:tab w:leader="none" w:pos="520" w:val="left"/>
        </w:tabs>
        <w:rPr>
          <w:sz w:val="20"/>
          <w:szCs w:val="20"/>
          <w:color w:val="auto"/>
        </w:rPr>
      </w:pPr>
      <w:r>
        <w:rPr>
          <w:rFonts w:ascii="Arial" w:cs="Arial" w:eastAsia="Arial" w:hAnsi="Arial"/>
          <w:sz w:val="22"/>
          <w:szCs w:val="22"/>
          <w:color w:val="5E5E5E"/>
        </w:rPr>
        <w:t>To:</w:t>
      </w:r>
      <w:r>
        <w:rPr>
          <w:sz w:val="20"/>
          <w:szCs w:val="20"/>
          <w:color w:val="auto"/>
        </w:rPr>
        <w:tab/>
      </w:r>
      <w:r>
        <w:rPr>
          <w:rFonts w:ascii="Arial" w:cs="Arial" w:eastAsia="Arial" w:hAnsi="Arial"/>
          <w:sz w:val="19"/>
          <w:szCs w:val="19"/>
          <w:color w:val="5E5E5E"/>
        </w:rPr>
        <w:t>Janis Pamiljans</w:t>
      </w:r>
    </w:p>
    <w:p>
      <w:pPr>
        <w:ind w:left="5920"/>
        <w:spacing w:after="0"/>
        <w:rPr>
          <w:sz w:val="20"/>
          <w:szCs w:val="20"/>
          <w:color w:val="auto"/>
        </w:rPr>
      </w:pPr>
      <w:r>
        <w:rPr>
          <w:rFonts w:ascii="Arial" w:cs="Arial" w:eastAsia="Arial" w:hAnsi="Arial"/>
          <w:sz w:val="22"/>
          <w:szCs w:val="22"/>
          <w:color w:val="5E5E5E"/>
        </w:rPr>
        <w:t>From: Heather Wilson</w:t>
      </w:r>
    </w:p>
    <w:p>
      <w:pPr>
        <w:spacing w:after="0" w:line="283"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5E5E5E"/>
        </w:rPr>
        <w:t>Subject:</w:t>
      </w:r>
      <w:r>
        <w:rPr>
          <w:sz w:val="20"/>
          <w:szCs w:val="20"/>
          <w:color w:val="auto"/>
        </w:rPr>
        <w:tab/>
      </w:r>
      <w:r>
        <w:rPr>
          <w:rFonts w:ascii="Arial" w:cs="Arial" w:eastAsia="Arial" w:hAnsi="Arial"/>
          <w:sz w:val="19"/>
          <w:szCs w:val="19"/>
          <w:color w:val="5E5E5E"/>
        </w:rPr>
        <w:t>Retention Incentive</w:t>
      </w:r>
    </w:p>
    <w:p>
      <w:pPr>
        <w:spacing w:after="0" w:line="139" w:lineRule="exact"/>
        <w:rPr>
          <w:sz w:val="20"/>
          <w:szCs w:val="20"/>
          <w:color w:val="auto"/>
        </w:rPr>
      </w:pPr>
    </w:p>
    <w:p>
      <w:pPr>
        <w:ind w:left="5920"/>
        <w:spacing w:after="0"/>
        <w:rPr>
          <w:sz w:val="20"/>
          <w:szCs w:val="20"/>
          <w:color w:val="auto"/>
        </w:rPr>
      </w:pPr>
      <w:r>
        <w:rPr>
          <w:rFonts w:ascii="Arial" w:cs="Arial" w:eastAsia="Arial" w:hAnsi="Arial"/>
          <w:sz w:val="22"/>
          <w:szCs w:val="22"/>
          <w:color w:val="5E5E5E"/>
        </w:rPr>
        <w:t>Data: March 1, 2016</w:t>
      </w:r>
    </w:p>
    <w:p>
      <w:pPr>
        <w:spacing w:after="0" w:line="98" w:lineRule="exact"/>
        <w:rPr>
          <w:sz w:val="20"/>
          <w:szCs w:val="20"/>
          <w:color w:val="auto"/>
        </w:rPr>
      </w:pPr>
    </w:p>
    <w:p>
      <w:pPr>
        <w:ind w:left="520" w:hanging="476"/>
        <w:spacing w:after="0"/>
        <w:tabs>
          <w:tab w:leader="none" w:pos="520" w:val="left"/>
        </w:tabs>
        <w:numPr>
          <w:ilvl w:val="0"/>
          <w:numId w:val="242"/>
        </w:numPr>
        <w:rPr>
          <w:rFonts w:ascii="Arial" w:cs="Arial" w:eastAsia="Arial" w:hAnsi="Arial"/>
          <w:sz w:val="22"/>
          <w:szCs w:val="22"/>
          <w:color w:val="5E5E5E"/>
        </w:rPr>
      </w:pPr>
      <w:r>
        <w:rPr>
          <w:rFonts w:ascii="Arial" w:cs="Arial" w:eastAsia="Arial" w:hAnsi="Arial"/>
          <w:sz w:val="22"/>
          <w:szCs w:val="22"/>
          <w:color w:val="5E5E5E"/>
        </w:rPr>
        <w:t>Heidi Hendrix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20" w:firstLine="13"/>
        <w:spacing w:after="0" w:line="261" w:lineRule="auto"/>
        <w:rPr>
          <w:sz w:val="20"/>
          <w:szCs w:val="20"/>
          <w:color w:val="auto"/>
        </w:rPr>
      </w:pPr>
      <w:r>
        <w:rPr>
          <w:rFonts w:ascii="Arial" w:cs="Arial" w:eastAsia="Arial" w:hAnsi="Arial"/>
          <w:sz w:val="22"/>
          <w:szCs w:val="22"/>
          <w:color w:val="5E5E5E"/>
        </w:rPr>
        <w:t>As a key employee of Northrop Grumman Systems Corporation (the "Company") and for the criticality you provide in your leadership position as the General Manager for Strategic Systems, it is important for your continued commitment and retention through the stand up of operations in our Melbourne, Florida facility. As part of our efforts, the Company wishes to offer you a Retention Incentive to retain your services as a Company employee for approximately two-years from the date of this Agreement through December 31, 2017 (the "Retention Period").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5E5E5E"/>
        </w:rPr>
        <w:t>The Retention Incentive consists of two (2) Retention Bonus payments, each in the gross amount of one-hundred thousand dollars, ($100,000.00). Each payment will be subject to legally required and applicable withholdings. You will be eligible to receive each of these Retention Bonus payments within 30-days of the following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80" w:hanging="252"/>
        <w:spacing w:after="0"/>
        <w:tabs>
          <w:tab w:leader="none" w:pos="580" w:val="left"/>
        </w:tabs>
        <w:numPr>
          <w:ilvl w:val="1"/>
          <w:numId w:val="243"/>
        </w:numPr>
        <w:rPr>
          <w:rFonts w:ascii="Arial" w:cs="Arial" w:eastAsia="Arial" w:hAnsi="Arial"/>
          <w:sz w:val="20"/>
          <w:szCs w:val="20"/>
          <w:color w:val="5E5E5E"/>
        </w:rPr>
      </w:pPr>
      <w:r>
        <w:rPr>
          <w:rFonts w:ascii="Arial" w:cs="Arial" w:eastAsia="Arial" w:hAnsi="Arial"/>
          <w:sz w:val="22"/>
          <w:szCs w:val="22"/>
          <w:color w:val="5E5E5E"/>
        </w:rPr>
        <w:t>First Retention Payment of $100,000 within 30-days of April 1, 2016,</w:t>
      </w:r>
    </w:p>
    <w:p>
      <w:pPr>
        <w:spacing w:after="0" w:line="273" w:lineRule="exact"/>
        <w:rPr>
          <w:rFonts w:ascii="Arial" w:cs="Arial" w:eastAsia="Arial" w:hAnsi="Arial"/>
          <w:sz w:val="20"/>
          <w:szCs w:val="20"/>
          <w:color w:val="5E5E5E"/>
        </w:rPr>
      </w:pPr>
    </w:p>
    <w:p>
      <w:pPr>
        <w:ind w:left="600" w:hanging="286"/>
        <w:spacing w:after="0"/>
        <w:tabs>
          <w:tab w:leader="none" w:pos="600" w:val="left"/>
        </w:tabs>
        <w:numPr>
          <w:ilvl w:val="0"/>
          <w:numId w:val="243"/>
        </w:numPr>
        <w:rPr>
          <w:rFonts w:ascii="Arial" w:cs="Arial" w:eastAsia="Arial" w:hAnsi="Arial"/>
          <w:sz w:val="20"/>
          <w:szCs w:val="20"/>
          <w:color w:val="5E5E5E"/>
        </w:rPr>
      </w:pPr>
      <w:r>
        <w:rPr>
          <w:rFonts w:ascii="Arial" w:cs="Arial" w:eastAsia="Arial" w:hAnsi="Arial"/>
          <w:sz w:val="22"/>
          <w:szCs w:val="22"/>
          <w:color w:val="5E5E5E"/>
        </w:rPr>
        <w:t>Second Retention Payment of $100,000 within 30-days of April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76" w:lineRule="auto"/>
        <w:rPr>
          <w:sz w:val="20"/>
          <w:szCs w:val="20"/>
          <w:color w:val="auto"/>
        </w:rPr>
      </w:pPr>
      <w:r>
        <w:rPr>
          <w:rFonts w:ascii="Arial" w:cs="Arial" w:eastAsia="Arial" w:hAnsi="Arial"/>
          <w:sz w:val="22"/>
          <w:szCs w:val="22"/>
          <w:color w:val="5E5E5E"/>
        </w:rPr>
        <w:t>Your eligibility to receive each of these Retention Bonus payments is contingent on you complying with all the Bonus Conditions listed below.</w:t>
      </w:r>
    </w:p>
    <w:p>
      <w:pPr>
        <w:sectPr>
          <w:pgSz w:w="11900" w:h="16838" w:orient="portrait"/>
          <w:cols w:equalWidth="0" w:num="1">
            <w:col w:w="11240"/>
          </w:cols>
          <w:pgMar w:left="420" w:top="439" w:right="239" w:bottom="1440" w:gutter="0" w:footer="0" w:header="0"/>
        </w:sectPr>
      </w:pPr>
    </w:p>
    <w:bookmarkStart w:id="236" w:name="page237"/>
    <w:bookmarkEnd w:id="236"/>
    <w:p>
      <w:pPr>
        <w:jc w:val="both"/>
        <w:ind w:left="60" w:firstLine="14"/>
        <w:spacing w:after="0" w:line="261" w:lineRule="auto"/>
        <w:rPr>
          <w:sz w:val="20"/>
          <w:szCs w:val="20"/>
          <w:color w:val="auto"/>
        </w:rPr>
      </w:pPr>
      <w:r>
        <w:rPr>
          <w:rFonts w:ascii="Arial" w:cs="Arial" w:eastAsia="Arial" w:hAnsi="Arial"/>
          <w:sz w:val="22"/>
          <w:szCs w:val="22"/>
          <w:color w:val="5E5E5E"/>
        </w:rPr>
        <w:t>Since these Retention Bonus payments will occur prior to your satisfying all of the Bonus Conditions, you agree to repay the net amount of all advanced Retention Bonus payments you received in the event that you fail to satisfy all of the Bonus Conditions listed below, except as provided below regarding the Company terminating you without Cause. You acknowledge and understand that if you fail to satisfy all of the Bonus Conditions listed below you will not be eligible to receive any additional Retention Bonus payments.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9"/>
          <w:szCs w:val="19"/>
          <w:color w:val="5E5E5E"/>
        </w:rPr>
        <w:t>You will be eligible to receive any of the Retention Bonus payments only if you satisfy all of the following conditions ("Bonus</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22"/>
          <w:szCs w:val="22"/>
          <w:color w:val="5E5E5E"/>
        </w:rPr>
        <w:t>Conditions") as described below:</w:t>
      </w:r>
    </w:p>
    <w:p>
      <w:pPr>
        <w:spacing w:after="0" w:line="242" w:lineRule="exact"/>
        <w:rPr>
          <w:sz w:val="20"/>
          <w:szCs w:val="20"/>
          <w:color w:val="auto"/>
        </w:rPr>
      </w:pPr>
    </w:p>
    <w:p>
      <w:pPr>
        <w:ind w:left="680" w:hanging="306"/>
        <w:spacing w:after="0"/>
        <w:tabs>
          <w:tab w:leader="none" w:pos="680" w:val="left"/>
        </w:tabs>
        <w:numPr>
          <w:ilvl w:val="0"/>
          <w:numId w:val="244"/>
        </w:numPr>
        <w:rPr>
          <w:rFonts w:ascii="Arial" w:cs="Arial" w:eastAsia="Arial" w:hAnsi="Arial"/>
          <w:sz w:val="20"/>
          <w:szCs w:val="20"/>
          <w:color w:val="5E5E5E"/>
        </w:rPr>
      </w:pPr>
      <w:r>
        <w:rPr>
          <w:rFonts w:ascii="Arial" w:cs="Arial" w:eastAsia="Arial" w:hAnsi="Arial"/>
          <w:sz w:val="22"/>
          <w:szCs w:val="22"/>
          <w:color w:val="5E5E5E"/>
        </w:rPr>
        <w:t>You remain continuously and actively employed by the Company (except for</w:t>
      </w:r>
    </w:p>
    <w:p>
      <w:pPr>
        <w:spacing w:after="0" w:line="233" w:lineRule="exact"/>
        <w:rPr>
          <w:rFonts w:ascii="Arial" w:cs="Arial" w:eastAsia="Arial" w:hAnsi="Arial"/>
          <w:sz w:val="20"/>
          <w:szCs w:val="20"/>
          <w:color w:val="5E5E5E"/>
        </w:rPr>
      </w:pPr>
    </w:p>
    <w:p>
      <w:pPr>
        <w:ind w:left="700"/>
        <w:spacing w:after="0"/>
        <w:rPr>
          <w:rFonts w:ascii="Arial" w:cs="Arial" w:eastAsia="Arial" w:hAnsi="Arial"/>
          <w:sz w:val="20"/>
          <w:szCs w:val="20"/>
          <w:color w:val="5E5E5E"/>
        </w:rPr>
      </w:pPr>
      <w:r>
        <w:rPr>
          <w:rFonts w:ascii="Arial" w:cs="Arial" w:eastAsia="Arial" w:hAnsi="Arial"/>
          <w:sz w:val="22"/>
          <w:szCs w:val="22"/>
          <w:color w:val="5E5E5E"/>
        </w:rPr>
        <w:t>legally protected absences) through the Retention Period above and are not terminated for Cause; and</w:t>
      </w:r>
    </w:p>
    <w:p>
      <w:pPr>
        <w:spacing w:after="0" w:line="300" w:lineRule="exact"/>
        <w:rPr>
          <w:rFonts w:ascii="Arial" w:cs="Arial" w:eastAsia="Arial" w:hAnsi="Arial"/>
          <w:sz w:val="20"/>
          <w:szCs w:val="20"/>
          <w:color w:val="5E5E5E"/>
        </w:rPr>
      </w:pPr>
    </w:p>
    <w:p>
      <w:pPr>
        <w:ind w:left="680" w:hanging="293"/>
        <w:spacing w:after="0"/>
        <w:tabs>
          <w:tab w:leader="none" w:pos="680" w:val="left"/>
        </w:tabs>
        <w:numPr>
          <w:ilvl w:val="1"/>
          <w:numId w:val="244"/>
        </w:numPr>
        <w:rPr>
          <w:rFonts w:ascii="Arial" w:cs="Arial" w:eastAsia="Arial" w:hAnsi="Arial"/>
          <w:sz w:val="20"/>
          <w:szCs w:val="20"/>
          <w:color w:val="5E5E5E"/>
        </w:rPr>
      </w:pPr>
      <w:r>
        <w:rPr>
          <w:rFonts w:ascii="Arial" w:cs="Arial" w:eastAsia="Arial" w:hAnsi="Arial"/>
          <w:sz w:val="22"/>
          <w:szCs w:val="22"/>
          <w:color w:val="5E5E5E"/>
        </w:rPr>
        <w:t>You establish Melbourne, Florida as your primary work location no later than February 15, 2016; and</w:t>
      </w:r>
    </w:p>
    <w:p>
      <w:pPr>
        <w:spacing w:after="0" w:line="260" w:lineRule="exact"/>
        <w:rPr>
          <w:rFonts w:ascii="Arial" w:cs="Arial" w:eastAsia="Arial" w:hAnsi="Arial"/>
          <w:sz w:val="20"/>
          <w:szCs w:val="20"/>
          <w:color w:val="5E5E5E"/>
        </w:rPr>
      </w:pPr>
    </w:p>
    <w:p>
      <w:pPr>
        <w:ind w:left="680" w:hanging="293"/>
        <w:spacing w:after="0" w:line="263" w:lineRule="auto"/>
        <w:tabs>
          <w:tab w:leader="none" w:pos="680" w:val="left"/>
        </w:tabs>
        <w:numPr>
          <w:ilvl w:val="1"/>
          <w:numId w:val="244"/>
        </w:numPr>
        <w:rPr>
          <w:rFonts w:ascii="Arial" w:cs="Arial" w:eastAsia="Arial" w:hAnsi="Arial"/>
          <w:sz w:val="20"/>
          <w:szCs w:val="20"/>
          <w:color w:val="5E5E5E"/>
        </w:rPr>
      </w:pPr>
      <w:r>
        <w:rPr>
          <w:rFonts w:ascii="Arial" w:cs="Arial" w:eastAsia="Arial" w:hAnsi="Arial"/>
          <w:sz w:val="22"/>
          <w:szCs w:val="22"/>
          <w:color w:val="5E5E5E"/>
        </w:rPr>
        <w:t>You remain in this new role and do not transfer to or accept another position within the Company, unless the transfer is authorized in advance and in writing by the Vice President Human Resources; and</w:t>
      </w:r>
    </w:p>
    <w:p>
      <w:pPr>
        <w:spacing w:after="0" w:line="215" w:lineRule="exact"/>
        <w:rPr>
          <w:rFonts w:ascii="Arial" w:cs="Arial" w:eastAsia="Arial" w:hAnsi="Arial"/>
          <w:sz w:val="20"/>
          <w:szCs w:val="20"/>
          <w:color w:val="5E5E5E"/>
        </w:rPr>
      </w:pPr>
    </w:p>
    <w:p>
      <w:pPr>
        <w:ind w:left="660" w:hanging="286"/>
        <w:spacing w:after="0" w:line="263" w:lineRule="auto"/>
        <w:tabs>
          <w:tab w:leader="none" w:pos="660" w:val="left"/>
        </w:tabs>
        <w:numPr>
          <w:ilvl w:val="0"/>
          <w:numId w:val="244"/>
        </w:numPr>
        <w:rPr>
          <w:rFonts w:ascii="Arial" w:cs="Arial" w:eastAsia="Arial" w:hAnsi="Arial"/>
          <w:sz w:val="20"/>
          <w:szCs w:val="20"/>
          <w:color w:val="5E5E5E"/>
        </w:rPr>
      </w:pPr>
      <w:r>
        <w:rPr>
          <w:rFonts w:ascii="Arial" w:cs="Arial" w:eastAsia="Arial" w:hAnsi="Arial"/>
          <w:sz w:val="22"/>
          <w:szCs w:val="22"/>
          <w:color w:val="5E5E5E"/>
        </w:rPr>
        <w:t>You continue to provide your best efforts on assigned tasks while performing in accordance with expected standards of performance; and</w:t>
      </w:r>
    </w:p>
    <w:p>
      <w:pPr>
        <w:spacing w:after="0" w:line="228" w:lineRule="exact"/>
        <w:rPr>
          <w:rFonts w:ascii="Arial" w:cs="Arial" w:eastAsia="Arial" w:hAnsi="Arial"/>
          <w:sz w:val="20"/>
          <w:szCs w:val="20"/>
          <w:color w:val="5E5E5E"/>
        </w:rPr>
      </w:pPr>
    </w:p>
    <w:p>
      <w:pPr>
        <w:ind w:left="640" w:hanging="266"/>
        <w:spacing w:after="0"/>
        <w:tabs>
          <w:tab w:leader="none" w:pos="640" w:val="left"/>
        </w:tabs>
        <w:numPr>
          <w:ilvl w:val="0"/>
          <w:numId w:val="244"/>
        </w:numPr>
        <w:rPr>
          <w:rFonts w:ascii="Arial" w:cs="Arial" w:eastAsia="Arial" w:hAnsi="Arial"/>
          <w:sz w:val="18"/>
          <w:szCs w:val="18"/>
          <w:color w:val="5E5E5E"/>
        </w:rPr>
      </w:pPr>
      <w:r>
        <w:rPr>
          <w:rFonts w:ascii="Arial" w:cs="Arial" w:eastAsia="Arial" w:hAnsi="Arial"/>
          <w:sz w:val="19"/>
          <w:szCs w:val="19"/>
          <w:color w:val="5E5E5E"/>
        </w:rPr>
        <w:t>You continue to comply with the policies, practices and procedures relevant to your employment with the Company.</w:t>
      </w:r>
    </w:p>
    <w:p>
      <w:pPr>
        <w:spacing w:after="0" w:line="295" w:lineRule="exact"/>
        <w:rPr>
          <w:sz w:val="20"/>
          <w:szCs w:val="20"/>
          <w:color w:val="auto"/>
        </w:rPr>
      </w:pPr>
    </w:p>
    <w:p>
      <w:pPr>
        <w:jc w:val="both"/>
        <w:ind w:left="40" w:firstLine="14"/>
        <w:spacing w:after="0" w:line="247" w:lineRule="auto"/>
        <w:rPr>
          <w:sz w:val="20"/>
          <w:szCs w:val="20"/>
          <w:color w:val="auto"/>
        </w:rPr>
      </w:pPr>
      <w:r>
        <w:rPr>
          <w:rFonts w:ascii="Arial" w:cs="Arial" w:eastAsia="Arial" w:hAnsi="Arial"/>
          <w:sz w:val="22"/>
          <w:szCs w:val="22"/>
          <w:color w:val="5E5E5E"/>
        </w:rPr>
        <w:t>Nothing in this Agreement shall constitute a guarantee of continued employment or limit in any way the Company's right to terminate your employment. However, in the event the Company terminates your employment without Cause prior to the end of the Retention Period, you shall be entitled to retain the Retention incentive payments you received only if you sign a full waiver of claims against the Company. "Cause" means any of the following: (i) your continued unsatisfactory performance after being given written notice of performance deficiencies, or (ii) your commission of an act of serious misconduct, or (iii) your conviction of any felony.</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5E5E5E"/>
        </w:rPr>
        <w:t>In addition, the following terms apply to this Agreement:</w:t>
      </w:r>
    </w:p>
    <w:p>
      <w:pPr>
        <w:spacing w:after="0" w:line="287" w:lineRule="exact"/>
        <w:rPr>
          <w:sz w:val="20"/>
          <w:szCs w:val="20"/>
          <w:color w:val="auto"/>
        </w:rPr>
      </w:pPr>
    </w:p>
    <w:p>
      <w:pPr>
        <w:ind w:left="640" w:hanging="307"/>
        <w:spacing w:after="0" w:line="276" w:lineRule="auto"/>
        <w:tabs>
          <w:tab w:leader="none" w:pos="640" w:val="left"/>
        </w:tabs>
        <w:numPr>
          <w:ilvl w:val="1"/>
          <w:numId w:val="245"/>
        </w:numPr>
        <w:rPr>
          <w:rFonts w:ascii="Arial" w:cs="Arial" w:eastAsia="Arial" w:hAnsi="Arial"/>
          <w:sz w:val="20"/>
          <w:szCs w:val="20"/>
          <w:color w:val="5E5E5E"/>
        </w:rPr>
      </w:pPr>
      <w:r>
        <w:rPr>
          <w:rFonts w:ascii="Arial" w:cs="Arial" w:eastAsia="Arial" w:hAnsi="Arial"/>
          <w:sz w:val="22"/>
          <w:szCs w:val="22"/>
          <w:color w:val="5E5E5E"/>
        </w:rPr>
        <w:t>Any dispute regarding this Agreement shall be resolved in accordance with the arbitration procedures set forth in Corporate Procedure H103A, except that the parties shall share equally the fees and costs of the arbitrator.</w:t>
      </w:r>
    </w:p>
    <w:p>
      <w:pPr>
        <w:spacing w:after="0" w:line="200" w:lineRule="exact"/>
        <w:rPr>
          <w:rFonts w:ascii="Arial" w:cs="Arial" w:eastAsia="Arial" w:hAnsi="Arial"/>
          <w:sz w:val="20"/>
          <w:szCs w:val="20"/>
          <w:color w:val="5E5E5E"/>
        </w:rPr>
      </w:pPr>
    </w:p>
    <w:p>
      <w:pPr>
        <w:spacing w:after="0" w:line="298" w:lineRule="exact"/>
        <w:rPr>
          <w:rFonts w:ascii="Arial" w:cs="Arial" w:eastAsia="Arial" w:hAnsi="Arial"/>
          <w:sz w:val="20"/>
          <w:szCs w:val="20"/>
          <w:color w:val="5E5E5E"/>
        </w:rPr>
      </w:pPr>
    </w:p>
    <w:p>
      <w:pPr>
        <w:jc w:val="both"/>
        <w:ind w:left="580" w:hanging="260"/>
        <w:spacing w:after="0" w:line="253" w:lineRule="auto"/>
        <w:tabs>
          <w:tab w:leader="none" w:pos="580" w:val="left"/>
        </w:tabs>
        <w:numPr>
          <w:ilvl w:val="0"/>
          <w:numId w:val="245"/>
        </w:numPr>
        <w:rPr>
          <w:rFonts w:ascii="Arial" w:cs="Arial" w:eastAsia="Arial" w:hAnsi="Arial"/>
          <w:sz w:val="20"/>
          <w:szCs w:val="20"/>
          <w:color w:val="5E5E5E"/>
        </w:rPr>
      </w:pPr>
      <w:r>
        <w:rPr>
          <w:rFonts w:ascii="Arial" w:cs="Arial" w:eastAsia="Arial" w:hAnsi="Arial"/>
          <w:sz w:val="22"/>
          <w:szCs w:val="22"/>
          <w:color w:val="5E5E5E"/>
        </w:rPr>
        <w:t>You agree to keep the terms and conditions of this Agreement confidential. However, you may disclose the terms of this Agreement in response to a lawfully issued subpoena, to any inquiry by a taxing authority or as otherwise required by law. You may also</w:t>
      </w:r>
    </w:p>
    <w:p>
      <w:pPr>
        <w:sectPr>
          <w:pgSz w:w="11900" w:h="16838" w:orient="portrait"/>
          <w:cols w:equalWidth="0" w:num="1">
            <w:col w:w="11340"/>
          </w:cols>
          <w:pgMar w:left="320" w:top="780" w:right="239" w:bottom="1440" w:gutter="0" w:footer="0" w:header="0"/>
        </w:sectPr>
      </w:pPr>
    </w:p>
    <w:bookmarkStart w:id="237" w:name="page238"/>
    <w:bookmarkEnd w:id="237"/>
    <w:p>
      <w:pPr>
        <w:jc w:val="both"/>
        <w:ind w:left="274"/>
        <w:spacing w:after="0" w:line="271" w:lineRule="auto"/>
        <w:rPr>
          <w:sz w:val="20"/>
          <w:szCs w:val="20"/>
          <w:color w:val="auto"/>
        </w:rPr>
      </w:pPr>
      <w:r>
        <w:rPr>
          <w:rFonts w:ascii="Arial" w:cs="Arial" w:eastAsia="Arial" w:hAnsi="Arial"/>
          <w:sz w:val="21"/>
          <w:szCs w:val="21"/>
          <w:color w:val="5E5E5E"/>
        </w:rPr>
        <w:t>disclose the terms of this Agreement to your immediate family members, and to your financial or legal advisors, provided, however; that if you make such a disclosure to an immediate family member or financial or legal advisor, you agree to inform the recipient of the confidentiality of the terms and conditions of this Agreement.</w:t>
      </w:r>
    </w:p>
    <w:p>
      <w:pPr>
        <w:spacing w:after="0" w:line="200" w:lineRule="exact"/>
        <w:rPr>
          <w:sz w:val="20"/>
          <w:szCs w:val="20"/>
          <w:color w:val="auto"/>
        </w:rPr>
      </w:pPr>
    </w:p>
    <w:p>
      <w:pPr>
        <w:spacing w:after="0" w:line="292" w:lineRule="exact"/>
        <w:rPr>
          <w:sz w:val="20"/>
          <w:szCs w:val="20"/>
          <w:color w:val="auto"/>
        </w:rPr>
      </w:pPr>
    </w:p>
    <w:p>
      <w:pPr>
        <w:jc w:val="both"/>
        <w:ind w:left="274" w:hanging="274"/>
        <w:spacing w:after="0" w:line="250" w:lineRule="auto"/>
        <w:tabs>
          <w:tab w:leader="none" w:pos="274" w:val="left"/>
        </w:tabs>
        <w:numPr>
          <w:ilvl w:val="0"/>
          <w:numId w:val="246"/>
        </w:numPr>
        <w:rPr>
          <w:rFonts w:ascii="Arial" w:cs="Arial" w:eastAsia="Arial" w:hAnsi="Arial"/>
          <w:sz w:val="20"/>
          <w:szCs w:val="20"/>
          <w:color w:val="5E5E5E"/>
        </w:rPr>
      </w:pPr>
      <w:r>
        <w:rPr>
          <w:rFonts w:ascii="Arial" w:cs="Arial" w:eastAsia="Arial" w:hAnsi="Arial"/>
          <w:sz w:val="22"/>
          <w:szCs w:val="22"/>
          <w:color w:val="5E5E5E"/>
        </w:rPr>
        <w:t>This Agreement constitutes the entire agreement and understanding between you and the Company with regard to the Retention Incentive, and it supersedes all prior discussions, agreements and understandings regarding this matter. This Agreement does not nullify or replace any other agreement that you have entered into with the Company. This Agreement shall bind the Company's successors and assigns.</w:t>
      </w:r>
    </w:p>
    <w:p>
      <w:pPr>
        <w:sectPr>
          <w:pgSz w:w="11900" w:h="16838" w:orient="portrait"/>
          <w:cols w:equalWidth="0" w:num="1">
            <w:col w:w="11034"/>
          </w:cols>
          <w:pgMar w:left="626" w:top="375" w:right="23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color w:val="626262"/>
        </w:rPr>
        <w:t>This Agreement shall be construed in accordance with and governed by the laws of the State of Florida.</w:t>
      </w:r>
    </w:p>
    <w:p>
      <w:pPr>
        <w:spacing w:after="0" w:line="260" w:lineRule="exact"/>
        <w:rPr>
          <w:sz w:val="20"/>
          <w:szCs w:val="20"/>
          <w:color w:val="auto"/>
        </w:rPr>
      </w:pPr>
    </w:p>
    <w:p>
      <w:pPr>
        <w:spacing w:after="0" w:line="223" w:lineRule="auto"/>
        <w:rPr>
          <w:sz w:val="20"/>
          <w:szCs w:val="20"/>
          <w:color w:val="auto"/>
        </w:rPr>
      </w:pPr>
      <w:r>
        <w:rPr>
          <w:rFonts w:ascii="Arial" w:cs="Arial" w:eastAsia="Arial" w:hAnsi="Arial"/>
          <w:sz w:val="22"/>
          <w:szCs w:val="22"/>
          <w:color w:val="626262"/>
        </w:rPr>
        <w:t xml:space="preserve">If you agree to the terms of this Agreement, please sign and date it where indicated below and return the original to me prior to </w:t>
      </w:r>
      <w:r>
        <w:rPr>
          <w:rFonts w:ascii="Arial" w:cs="Arial" w:eastAsia="Arial" w:hAnsi="Arial"/>
          <w:sz w:val="22"/>
          <w:szCs w:val="22"/>
          <w:color w:val="626262"/>
          <w:strike w:val="1"/>
        </w:rPr>
        <w:t>February 12, 2016</w:t>
      </w:r>
      <w:r>
        <w:rPr>
          <w:rFonts w:ascii="Arial" w:cs="Arial" w:eastAsia="Arial" w:hAnsi="Arial"/>
          <w:sz w:val="22"/>
          <w:szCs w:val="22"/>
          <w:color w:val="626262"/>
        </w:rPr>
        <w:t xml:space="preserve"> March 15, 2016. We must have a signed copy of this agreement in order to initiate the first scheduled payment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0"/>
        <w:spacing w:after="0"/>
        <w:rPr>
          <w:sz w:val="20"/>
          <w:szCs w:val="20"/>
          <w:color w:val="auto"/>
        </w:rPr>
      </w:pPr>
      <w:r>
        <w:rPr>
          <w:rFonts w:ascii="Arial" w:cs="Arial" w:eastAsia="Arial" w:hAnsi="Arial"/>
          <w:sz w:val="22"/>
          <w:szCs w:val="22"/>
          <w:color w:val="626262"/>
        </w:rPr>
        <w:t>AGREED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0"/>
        <w:spacing w:after="0"/>
        <w:rPr>
          <w:sz w:val="20"/>
          <w:szCs w:val="20"/>
          <w:color w:val="auto"/>
        </w:rPr>
      </w:pPr>
      <w:r>
        <w:rPr>
          <w:rFonts w:ascii="Arial" w:cs="Arial" w:eastAsia="Arial" w:hAnsi="Arial"/>
          <w:sz w:val="22"/>
          <w:szCs w:val="22"/>
          <w:color w:val="626262"/>
        </w:rPr>
        <w:t>Janis Pamiljans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Arial" w:cs="Arial" w:eastAsia="Arial" w:hAnsi="Arial"/>
          <w:sz w:val="22"/>
          <w:szCs w:val="22"/>
          <w:color w:val="626262"/>
        </w:rPr>
        <w:t>Date:</w:t>
      </w:r>
    </w:p>
    <w:p>
      <w:pPr>
        <w:sectPr>
          <w:pgSz w:w="11900" w:h="16838" w:orient="portrait"/>
          <w:cols w:equalWidth="0" w:num="1">
            <w:col w:w="11180"/>
          </w:cols>
          <w:pgMar w:left="420" w:top="1212" w:right="299" w:bottom="1440" w:gutter="0" w:footer="0" w:header="0"/>
        </w:sectPr>
      </w:pPr>
    </w:p>
    <w:bookmarkStart w:id="239" w:name="page240"/>
    <w:bookmarkEnd w:id="239"/>
    <w:p>
      <w:pPr>
        <w:ind w:left="60"/>
        <w:spacing w:after="0"/>
        <w:rPr>
          <w:sz w:val="20"/>
          <w:szCs w:val="20"/>
          <w:color w:val="auto"/>
        </w:rPr>
      </w:pPr>
      <w:r>
        <w:rPr>
          <w:rFonts w:ascii="Arial" w:cs="Arial" w:eastAsia="Arial" w:hAnsi="Arial"/>
          <w:sz w:val="27"/>
          <w:szCs w:val="27"/>
          <w:b w:val="1"/>
          <w:bCs w:val="1"/>
          <w:color w:val="383838"/>
        </w:rPr>
        <w:t>Memorandum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142875</wp:posOffset>
            </wp:positionV>
            <wp:extent cx="56578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2">
                      <a:extLst>
                        <a:ext uri="{28A0092B-C50C-407E-A947-70E740481C1C}"/>
                      </a:extLst>
                    </a:blip>
                    <a:srcRect/>
                    <a:stretch>
                      <a:fillRect/>
                    </a:stretch>
                  </pic:blipFill>
                  <pic:spPr bwMode="auto">
                    <a:xfrm>
                      <a:off x="0" y="0"/>
                      <a:ext cx="56578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383838"/>
        </w:rPr>
        <w:t>Exhibit 10(gg)</w:t>
      </w:r>
    </w:p>
    <w:p>
      <w:pPr>
        <w:spacing w:after="0" w:line="221" w:lineRule="exact"/>
        <w:rPr>
          <w:sz w:val="20"/>
          <w:szCs w:val="20"/>
          <w:color w:val="auto"/>
        </w:rPr>
      </w:pPr>
    </w:p>
    <w:p>
      <w:pPr>
        <w:sectPr>
          <w:pgSz w:w="11900" w:h="16838" w:orient="portrait"/>
          <w:cols w:equalWidth="0" w:num="2">
            <w:col w:w="3520" w:space="720"/>
            <w:col w:w="7060"/>
          </w:cols>
          <w:pgMar w:left="360" w:top="428" w:right="2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Arial" w:cs="Arial" w:eastAsia="Arial" w:hAnsi="Arial"/>
          <w:sz w:val="15"/>
          <w:szCs w:val="15"/>
          <w:color w:val="383838"/>
        </w:rPr>
        <w:t>Northrop Grumman Systems Corporation</w:t>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5"/>
          <w:szCs w:val="15"/>
          <w:color w:val="383838"/>
        </w:rPr>
        <w:t>In reply refer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80"/>
        <w:spacing w:after="0"/>
        <w:tabs>
          <w:tab w:leader="none" w:pos="2080" w:val="left"/>
        </w:tabs>
        <w:rPr>
          <w:sz w:val="20"/>
          <w:szCs w:val="20"/>
          <w:color w:val="auto"/>
        </w:rPr>
      </w:pPr>
      <w:r>
        <w:rPr>
          <w:rFonts w:ascii="Arial" w:cs="Arial" w:eastAsia="Arial" w:hAnsi="Arial"/>
          <w:sz w:val="16"/>
          <w:szCs w:val="16"/>
          <w:color w:val="383838"/>
        </w:rPr>
        <w:t xml:space="preserve">To </w:t>
      </w:r>
      <w:r>
        <w:rPr>
          <w:rFonts w:ascii="Arial" w:cs="Arial" w:eastAsia="Arial" w:hAnsi="Arial"/>
          <w:sz w:val="19"/>
          <w:szCs w:val="19"/>
          <w:color w:val="383838"/>
        </w:rPr>
        <w:t>Janis Pamiljans</w:t>
      </w:r>
      <w:r>
        <w:rPr>
          <w:sz w:val="20"/>
          <w:szCs w:val="20"/>
          <w:color w:val="auto"/>
        </w:rPr>
        <w:tab/>
      </w:r>
      <w:r>
        <w:rPr>
          <w:rFonts w:ascii="Arial" w:cs="Arial" w:eastAsia="Arial" w:hAnsi="Arial"/>
          <w:sz w:val="17"/>
          <w:szCs w:val="17"/>
          <w:color w:val="383838"/>
        </w:rPr>
        <w:t xml:space="preserve">From </w:t>
      </w:r>
      <w:r>
        <w:rPr>
          <w:rFonts w:ascii="Arial" w:cs="Arial" w:eastAsia="Arial" w:hAnsi="Arial"/>
          <w:sz w:val="18"/>
          <w:szCs w:val="18"/>
          <w:color w:val="383838"/>
        </w:rPr>
        <w:t>Denise Peppard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60" w:val="left"/>
          <w:tab w:leader="none" w:pos="1760" w:val="left"/>
        </w:tabs>
        <w:rPr>
          <w:sz w:val="20"/>
          <w:szCs w:val="20"/>
          <w:color w:val="auto"/>
        </w:rPr>
      </w:pPr>
      <w:r>
        <w:rPr>
          <w:rFonts w:ascii="Arial" w:cs="Arial" w:eastAsia="Arial" w:hAnsi="Arial"/>
          <w:sz w:val="15"/>
          <w:szCs w:val="15"/>
          <w:color w:val="383838"/>
        </w:rPr>
        <w:t>Subject</w:t>
      </w:r>
      <w:r>
        <w:rPr>
          <w:sz w:val="20"/>
          <w:szCs w:val="20"/>
          <w:color w:val="auto"/>
        </w:rPr>
        <w:tab/>
      </w:r>
      <w:r>
        <w:rPr>
          <w:rFonts w:ascii="Arial" w:cs="Arial" w:eastAsia="Arial" w:hAnsi="Arial"/>
          <w:sz w:val="21"/>
          <w:szCs w:val="21"/>
          <w:color w:val="383838"/>
        </w:rPr>
        <w:t>Relocation</w:t>
      </w:r>
      <w:r>
        <w:rPr>
          <w:sz w:val="20"/>
          <w:szCs w:val="20"/>
          <w:color w:val="auto"/>
        </w:rPr>
        <w:tab/>
      </w:r>
      <w:r>
        <w:rPr>
          <w:rFonts w:ascii="Arial" w:cs="Arial" w:eastAsia="Arial" w:hAnsi="Arial"/>
          <w:sz w:val="15"/>
          <w:szCs w:val="15"/>
          <w:color w:val="383838"/>
        </w:rPr>
        <w:t xml:space="preserve">Date </w:t>
      </w:r>
      <w:r>
        <w:rPr>
          <w:rFonts w:ascii="Arial" w:cs="Arial" w:eastAsia="Arial" w:hAnsi="Arial"/>
          <w:sz w:val="18"/>
          <w:szCs w:val="18"/>
          <w:b w:val="1"/>
          <w:bCs w:val="1"/>
          <w:color w:val="383838"/>
        </w:rPr>
        <w:t>March 8,</w:t>
      </w:r>
      <w:r>
        <w:rPr>
          <w:rFonts w:ascii="Arial" w:cs="Arial" w:eastAsia="Arial" w:hAnsi="Arial"/>
          <w:sz w:val="15"/>
          <w:szCs w:val="15"/>
          <w:color w:val="383838"/>
        </w:rPr>
        <w:t xml:space="preserve"> </w:t>
      </w:r>
      <w:r>
        <w:rPr>
          <w:rFonts w:ascii="Arial" w:cs="Arial" w:eastAsia="Arial" w:hAnsi="Arial"/>
          <w:sz w:val="19"/>
          <w:szCs w:val="19"/>
          <w:color w:val="383838"/>
        </w:rPr>
        <w:t>2017</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color w:val="383838"/>
        </w:rPr>
        <w:t>Coples</w:t>
        <w:tab/>
        <w:t>Ref</w:t>
      </w:r>
    </w:p>
    <w:p>
      <w:pPr>
        <w:spacing w:after="0" w:line="200" w:lineRule="exact"/>
        <w:rPr>
          <w:sz w:val="20"/>
          <w:szCs w:val="20"/>
          <w:color w:val="auto"/>
        </w:rPr>
      </w:pPr>
    </w:p>
    <w:p>
      <w:pPr>
        <w:spacing w:after="0" w:line="306" w:lineRule="exact"/>
        <w:rPr>
          <w:sz w:val="20"/>
          <w:szCs w:val="20"/>
          <w:color w:val="auto"/>
        </w:rPr>
      </w:pPr>
    </w:p>
    <w:p>
      <w:pPr>
        <w:ind w:left="380" w:right="120"/>
        <w:spacing w:after="0" w:line="279" w:lineRule="auto"/>
        <w:rPr>
          <w:sz w:val="20"/>
          <w:szCs w:val="20"/>
          <w:color w:val="auto"/>
        </w:rPr>
      </w:pPr>
      <w:r>
        <w:rPr>
          <w:rFonts w:ascii="Arial" w:cs="Arial" w:eastAsia="Arial" w:hAnsi="Arial"/>
          <w:sz w:val="20"/>
          <w:szCs w:val="20"/>
          <w:color w:val="383838"/>
        </w:rPr>
        <w:t>This Memorandum sets forth the terms of your relocation to California. Although your job responsibilities will continue to require you to spend substantial time in Virginia. among other things, attending CPC and other leadership meetings, and managing operations and employees in Virginia, you have indicated your intention to relocate to California in connection with the effective date of your election to Corporate Vice President and President, Aerospace Systems.</w:t>
      </w:r>
    </w:p>
    <w:p>
      <w:pPr>
        <w:spacing w:after="0" w:line="200" w:lineRule="exact"/>
        <w:rPr>
          <w:sz w:val="20"/>
          <w:szCs w:val="20"/>
          <w:color w:val="auto"/>
        </w:rPr>
      </w:pPr>
    </w:p>
    <w:p>
      <w:pPr>
        <w:spacing w:after="0" w:line="284" w:lineRule="exact"/>
        <w:rPr>
          <w:sz w:val="20"/>
          <w:szCs w:val="20"/>
          <w:color w:val="auto"/>
        </w:rPr>
      </w:pPr>
    </w:p>
    <w:p>
      <w:pPr>
        <w:ind w:left="380" w:right="240"/>
        <w:spacing w:after="0" w:line="303" w:lineRule="auto"/>
        <w:rPr>
          <w:sz w:val="20"/>
          <w:szCs w:val="20"/>
          <w:color w:val="auto"/>
        </w:rPr>
      </w:pPr>
      <w:r>
        <w:rPr>
          <w:rFonts w:ascii="Arial" w:cs="Arial" w:eastAsia="Arial" w:hAnsi="Arial"/>
          <w:sz w:val="20"/>
          <w:szCs w:val="20"/>
          <w:color w:val="383838"/>
        </w:rPr>
        <w:t>The Company will pay you $850,000, less applicable withholding ("Relocation Payment"), on or before April 1, 2017, subject to all the terms set forth in this Memorandum and only if you satisfy all the following conditions ("Conditions")</w:t>
      </w:r>
      <w:r>
        <w:rPr>
          <w:rFonts w:ascii="Arial" w:cs="Arial" w:eastAsia="Arial" w:hAnsi="Arial"/>
          <w:sz w:val="20"/>
          <w:szCs w:val="20"/>
          <w:color w:val="6B6B6B"/>
        </w:rPr>
        <w:t>.</w:t>
      </w:r>
    </w:p>
    <w:p>
      <w:pPr>
        <w:spacing w:after="0" w:line="200" w:lineRule="exact"/>
        <w:rPr>
          <w:sz w:val="20"/>
          <w:szCs w:val="20"/>
          <w:color w:val="auto"/>
        </w:rPr>
      </w:pPr>
    </w:p>
    <w:p>
      <w:pPr>
        <w:spacing w:after="0" w:line="286" w:lineRule="exact"/>
        <w:rPr>
          <w:sz w:val="20"/>
          <w:szCs w:val="20"/>
          <w:color w:val="auto"/>
        </w:rPr>
      </w:pPr>
    </w:p>
    <w:p>
      <w:pPr>
        <w:ind w:left="1040" w:right="140" w:hanging="328"/>
        <w:spacing w:after="0" w:line="289" w:lineRule="auto"/>
        <w:tabs>
          <w:tab w:leader="none" w:pos="1022" w:val="left"/>
        </w:tabs>
        <w:numPr>
          <w:ilvl w:val="1"/>
          <w:numId w:val="247"/>
        </w:numPr>
        <w:rPr>
          <w:rFonts w:ascii="Arial" w:cs="Arial" w:eastAsia="Arial" w:hAnsi="Arial"/>
          <w:sz w:val="20"/>
          <w:szCs w:val="20"/>
          <w:color w:val="383838"/>
        </w:rPr>
      </w:pPr>
      <w:r>
        <w:rPr>
          <w:rFonts w:ascii="Arial" w:cs="Arial" w:eastAsia="Arial" w:hAnsi="Arial"/>
          <w:sz w:val="20"/>
          <w:szCs w:val="20"/>
          <w:color w:val="383838"/>
        </w:rPr>
        <w:t>You forfeit all benefits you would have been entitled to receive under the Company's relocation policy, and you forfeit any other reimbursements that normally would be provided under the Company's relocation policy; and</w:t>
      </w:r>
    </w:p>
    <w:p>
      <w:pPr>
        <w:spacing w:after="0" w:line="200" w:lineRule="exact"/>
        <w:rPr>
          <w:rFonts w:ascii="Arial" w:cs="Arial" w:eastAsia="Arial" w:hAnsi="Arial"/>
          <w:sz w:val="20"/>
          <w:szCs w:val="20"/>
          <w:color w:val="383838"/>
        </w:rPr>
      </w:pPr>
    </w:p>
    <w:p>
      <w:pPr>
        <w:spacing w:after="0" w:line="299" w:lineRule="exact"/>
        <w:rPr>
          <w:rFonts w:ascii="Arial" w:cs="Arial" w:eastAsia="Arial" w:hAnsi="Arial"/>
          <w:sz w:val="20"/>
          <w:szCs w:val="20"/>
          <w:color w:val="383838"/>
        </w:rPr>
      </w:pPr>
    </w:p>
    <w:p>
      <w:pPr>
        <w:jc w:val="both"/>
        <w:ind w:left="1020" w:hanging="322"/>
        <w:spacing w:after="0" w:line="271" w:lineRule="auto"/>
        <w:tabs>
          <w:tab w:leader="none" w:pos="1020" w:val="left"/>
        </w:tabs>
        <w:numPr>
          <w:ilvl w:val="0"/>
          <w:numId w:val="247"/>
        </w:numPr>
        <w:rPr>
          <w:rFonts w:ascii="Arial" w:cs="Arial" w:eastAsia="Arial" w:hAnsi="Arial"/>
          <w:sz w:val="20"/>
          <w:szCs w:val="20"/>
          <w:color w:val="383838"/>
        </w:rPr>
      </w:pPr>
      <w:r>
        <w:rPr>
          <w:rFonts w:ascii="Arial" w:cs="Arial" w:eastAsia="Arial" w:hAnsi="Arial"/>
          <w:sz w:val="20"/>
          <w:szCs w:val="20"/>
          <w:color w:val="383838"/>
        </w:rPr>
        <w:t>You remain continuously and actively employed by the Company (except for legally protected absences) through December 31, 2018, you continue to perform in accordance with expected standards of performance, and you continue to comply with the policies, practices and procedures relevant to your employment with the Company.</w:t>
      </w:r>
    </w:p>
    <w:p>
      <w:pPr>
        <w:spacing w:after="0" w:line="200" w:lineRule="exact"/>
        <w:rPr>
          <w:sz w:val="20"/>
          <w:szCs w:val="20"/>
          <w:color w:val="auto"/>
        </w:rPr>
      </w:pPr>
    </w:p>
    <w:p>
      <w:pPr>
        <w:spacing w:after="0" w:line="282" w:lineRule="exact"/>
        <w:rPr>
          <w:sz w:val="20"/>
          <w:szCs w:val="20"/>
          <w:color w:val="auto"/>
        </w:rPr>
      </w:pPr>
    </w:p>
    <w:p>
      <w:pPr>
        <w:ind w:left="380" w:right="80" w:firstLine="14"/>
        <w:spacing w:after="0" w:line="265" w:lineRule="auto"/>
        <w:rPr>
          <w:sz w:val="20"/>
          <w:szCs w:val="20"/>
          <w:color w:val="auto"/>
        </w:rPr>
      </w:pPr>
      <w:r>
        <w:rPr>
          <w:rFonts w:ascii="Arial" w:cs="Arial" w:eastAsia="Arial" w:hAnsi="Arial"/>
          <w:sz w:val="22"/>
          <w:szCs w:val="22"/>
          <w:color w:val="383838"/>
        </w:rPr>
        <w:t xml:space="preserve">If </w:t>
      </w:r>
      <w:r>
        <w:rPr>
          <w:rFonts w:ascii="Arial" w:cs="Arial" w:eastAsia="Arial" w:hAnsi="Arial"/>
          <w:sz w:val="20"/>
          <w:szCs w:val="20"/>
          <w:b w:val="1"/>
          <w:bCs w:val="1"/>
          <w:color w:val="383838"/>
        </w:rPr>
        <w:t>you do not satisfy all of the Conditions, you will be required to immediately return the Relocation Payment.</w:t>
      </w:r>
      <w:r>
        <w:rPr>
          <w:rFonts w:ascii="Arial" w:cs="Arial" w:eastAsia="Arial" w:hAnsi="Arial"/>
          <w:sz w:val="22"/>
          <w:szCs w:val="22"/>
          <w:color w:val="383838"/>
        </w:rPr>
        <w:t xml:space="preserve"> </w:t>
      </w:r>
      <w:r>
        <w:rPr>
          <w:rFonts w:ascii="Arial" w:cs="Arial" w:eastAsia="Arial" w:hAnsi="Arial"/>
          <w:sz w:val="20"/>
          <w:szCs w:val="20"/>
          <w:color w:val="383838"/>
        </w:rPr>
        <w:t>However, if</w:t>
      </w:r>
      <w:r>
        <w:rPr>
          <w:rFonts w:ascii="Arial" w:cs="Arial" w:eastAsia="Arial" w:hAnsi="Arial"/>
          <w:sz w:val="22"/>
          <w:szCs w:val="22"/>
          <w:color w:val="383838"/>
        </w:rPr>
        <w:t xml:space="preserve"> </w:t>
      </w:r>
      <w:r>
        <w:rPr>
          <w:rFonts w:ascii="Arial" w:cs="Arial" w:eastAsia="Arial" w:hAnsi="Arial"/>
          <w:sz w:val="20"/>
          <w:szCs w:val="20"/>
          <w:color w:val="383838"/>
        </w:rPr>
        <w:t>the Company terminates your employment other than for Cause prior to December 31, 2018, and you continue to meet the Conditions up to and including such termination date, you will not be required to return the Relocation Payment, provided that you first sign (and not revoke) a release of claims acceptable to the Company. (For purposes of this Memorandum, "Cause" includes unsatisfactory performance, violations of company policies</w:t>
      </w:r>
    </w:p>
    <w:p>
      <w:pPr>
        <w:sectPr>
          <w:pgSz w:w="11900" w:h="16838" w:orient="portrait"/>
          <w:cols w:equalWidth="0" w:num="1">
            <w:col w:w="11300"/>
          </w:cols>
          <w:pgMar w:left="360" w:top="428" w:right="239" w:bottom="1440" w:gutter="0" w:footer="0" w:header="0"/>
          <w:type w:val="continuous"/>
        </w:sectPr>
      </w:pPr>
    </w:p>
    <w:bookmarkStart w:id="240" w:name="page241"/>
    <w:bookmarkEnd w:id="240"/>
    <w:p>
      <w:pPr>
        <w:ind w:left="500"/>
        <w:spacing w:after="0"/>
        <w:rPr>
          <w:sz w:val="20"/>
          <w:szCs w:val="20"/>
          <w:color w:val="auto"/>
        </w:rPr>
      </w:pPr>
      <w:r>
        <w:rPr>
          <w:rFonts w:ascii="Arial" w:cs="Arial" w:eastAsia="Arial" w:hAnsi="Arial"/>
          <w:sz w:val="21"/>
          <w:szCs w:val="21"/>
          <w:color w:val="383838"/>
        </w:rPr>
        <w:t>or procedures, and/or any significant breach of the Company's values, ethics or standards of business conduct.)</w:t>
      </w:r>
    </w:p>
    <w:p>
      <w:pPr>
        <w:spacing w:after="0" w:line="200" w:lineRule="exact"/>
        <w:rPr>
          <w:sz w:val="20"/>
          <w:szCs w:val="20"/>
          <w:color w:val="auto"/>
        </w:rPr>
      </w:pPr>
    </w:p>
    <w:p>
      <w:pPr>
        <w:spacing w:after="0" w:line="342" w:lineRule="exact"/>
        <w:rPr>
          <w:sz w:val="20"/>
          <w:szCs w:val="20"/>
          <w:color w:val="auto"/>
        </w:rPr>
      </w:pPr>
    </w:p>
    <w:p>
      <w:pPr>
        <w:ind w:left="500"/>
        <w:spacing w:after="0" w:line="330" w:lineRule="auto"/>
        <w:rPr>
          <w:sz w:val="20"/>
          <w:szCs w:val="20"/>
          <w:color w:val="auto"/>
        </w:rPr>
      </w:pPr>
      <w:r>
        <w:rPr>
          <w:rFonts w:ascii="Arial" w:cs="Arial" w:eastAsia="Arial" w:hAnsi="Arial"/>
          <w:sz w:val="18"/>
          <w:szCs w:val="18"/>
          <w:color w:val="383838"/>
        </w:rPr>
        <w:t>Any legal claim regarding this Memorandum shall be resolved in accordance with the arbitration procedures set forth in Corporate Procedure USHR2-32, except that you and the Company shall share equally the fees and costs of the arbitrator and the prevailing party in the arbitration shall be entitled to receive from the losing party reasonably incurred attorneys' fees and costs</w:t>
      </w:r>
      <w:r>
        <w:rPr>
          <w:rFonts w:ascii="Arial" w:cs="Arial" w:eastAsia="Arial" w:hAnsi="Arial"/>
          <w:sz w:val="18"/>
          <w:szCs w:val="18"/>
          <w:color w:val="6B6B6B"/>
        </w:rPr>
        <w:t>.</w:t>
      </w:r>
    </w:p>
    <w:p>
      <w:pPr>
        <w:spacing w:after="0" w:line="51" w:lineRule="exact"/>
        <w:rPr>
          <w:sz w:val="20"/>
          <w:szCs w:val="20"/>
          <w:color w:val="auto"/>
        </w:rPr>
      </w:pPr>
    </w:p>
    <w:p>
      <w:pPr>
        <w:ind w:left="500"/>
        <w:spacing w:after="0"/>
        <w:rPr>
          <w:sz w:val="20"/>
          <w:szCs w:val="20"/>
          <w:color w:val="auto"/>
        </w:rPr>
      </w:pPr>
      <w:r>
        <w:rPr>
          <w:rFonts w:ascii="Arial" w:cs="Arial" w:eastAsia="Arial" w:hAnsi="Arial"/>
          <w:sz w:val="21"/>
          <w:szCs w:val="21"/>
          <w:color w:val="383838"/>
        </w:rPr>
        <w:t>Further, any arbitration hearing and related proceeding shall be convened in Falls Church, VA.</w:t>
      </w:r>
    </w:p>
    <w:p>
      <w:pPr>
        <w:spacing w:after="0" w:line="164" w:lineRule="exact"/>
        <w:rPr>
          <w:sz w:val="20"/>
          <w:szCs w:val="20"/>
          <w:color w:val="auto"/>
        </w:rPr>
      </w:pPr>
    </w:p>
    <w:p>
      <w:pPr>
        <w:ind w:left="120" w:right="460" w:firstLine="13"/>
        <w:spacing w:after="0" w:line="266" w:lineRule="auto"/>
        <w:rPr>
          <w:sz w:val="20"/>
          <w:szCs w:val="20"/>
          <w:color w:val="auto"/>
        </w:rPr>
      </w:pPr>
      <w:r>
        <w:rPr>
          <w:rFonts w:ascii="Arial" w:cs="Arial" w:eastAsia="Arial" w:hAnsi="Arial"/>
          <w:sz w:val="21"/>
          <w:szCs w:val="21"/>
          <w:color w:val="383838"/>
        </w:rPr>
        <w:t>Nothing in this Memorandum entitles you to continued employment with the Company for any duration of time, in any particular position or responsibility, or at any particular level of compensation or benefits. This Memorandum shall only entitle you to the payment of the Relocation Payment described above, if applicable.</w:t>
      </w:r>
    </w:p>
    <w:p>
      <w:pPr>
        <w:spacing w:after="0" w:line="200" w:lineRule="exact"/>
        <w:rPr>
          <w:sz w:val="20"/>
          <w:szCs w:val="20"/>
          <w:color w:val="auto"/>
        </w:rPr>
      </w:pPr>
    </w:p>
    <w:p>
      <w:pPr>
        <w:spacing w:after="0" w:line="294" w:lineRule="exact"/>
        <w:rPr>
          <w:sz w:val="20"/>
          <w:szCs w:val="20"/>
          <w:color w:val="auto"/>
        </w:rPr>
      </w:pPr>
    </w:p>
    <w:p>
      <w:pPr>
        <w:jc w:val="both"/>
        <w:ind w:left="120" w:right="480"/>
        <w:spacing w:after="0" w:line="266" w:lineRule="auto"/>
        <w:rPr>
          <w:sz w:val="20"/>
          <w:szCs w:val="20"/>
          <w:color w:val="auto"/>
        </w:rPr>
      </w:pPr>
      <w:r>
        <w:rPr>
          <w:rFonts w:ascii="Arial" w:cs="Arial" w:eastAsia="Arial" w:hAnsi="Arial"/>
          <w:sz w:val="21"/>
          <w:szCs w:val="21"/>
          <w:color w:val="383838"/>
        </w:rPr>
        <w:t>This Memorandum shall supersede all other understandings or agreements regarding your relocation. This Memorandum shall be governed by and interpreted and enforced in accordance with the laws of the Commonwealth of Virginia, without regard to rules regarding conflicts of law.</w:t>
      </w:r>
    </w:p>
    <w:p>
      <w:pPr>
        <w:spacing w:after="0" w:line="200" w:lineRule="exact"/>
        <w:rPr>
          <w:sz w:val="20"/>
          <w:szCs w:val="20"/>
          <w:color w:val="auto"/>
        </w:rPr>
      </w:pPr>
    </w:p>
    <w:p>
      <w:pPr>
        <w:spacing w:after="0" w:line="294" w:lineRule="exact"/>
        <w:rPr>
          <w:sz w:val="20"/>
          <w:szCs w:val="20"/>
          <w:color w:val="auto"/>
        </w:rPr>
      </w:pPr>
    </w:p>
    <w:p>
      <w:pPr>
        <w:ind w:left="140" w:right="360"/>
        <w:spacing w:after="0" w:line="277" w:lineRule="auto"/>
        <w:rPr>
          <w:sz w:val="20"/>
          <w:szCs w:val="20"/>
          <w:color w:val="auto"/>
        </w:rPr>
      </w:pPr>
      <w:r>
        <w:rPr>
          <w:rFonts w:ascii="Arial" w:cs="Arial" w:eastAsia="Arial" w:hAnsi="Arial"/>
          <w:sz w:val="21"/>
          <w:szCs w:val="21"/>
          <w:color w:val="383838"/>
        </w:rPr>
        <w:t xml:space="preserve">Please sign below acknowledging your agreement to the terms and conditions of this Memorandum. Thank you for your continued </w:t>
      </w:r>
      <w:r>
        <w:rPr>
          <w:rFonts w:ascii="Arial" w:cs="Arial" w:eastAsia="Arial" w:hAnsi="Arial"/>
          <w:sz w:val="21"/>
          <w:szCs w:val="21"/>
          <w:color w:val="4D4D4D"/>
        </w:rPr>
        <w:t xml:space="preserve">contributions </w:t>
      </w:r>
      <w:r>
        <w:rPr>
          <w:rFonts w:ascii="Arial" w:cs="Arial" w:eastAsia="Arial" w:hAnsi="Arial"/>
          <w:sz w:val="21"/>
          <w:szCs w:val="21"/>
          <w:color w:val="383838"/>
        </w:rPr>
        <w:t>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 acknowledge receipt of this Memorandum </w:t>
      </w:r>
      <w:r>
        <w:rPr>
          <w:rFonts w:ascii="Arial" w:cs="Arial" w:eastAsia="Arial" w:hAnsi="Arial"/>
          <w:sz w:val="20"/>
          <w:szCs w:val="20"/>
          <w:color w:val="383838"/>
        </w:rPr>
        <w:t>and agree to</w:t>
      </w:r>
      <w:r>
        <w:rPr>
          <w:rFonts w:ascii="Arial" w:cs="Arial" w:eastAsia="Arial" w:hAnsi="Arial"/>
          <w:sz w:val="22"/>
          <w:szCs w:val="22"/>
          <w:color w:val="auto"/>
        </w:rPr>
        <w:t xml:space="preserve"> </w:t>
      </w:r>
      <w:r>
        <w:rPr>
          <w:rFonts w:ascii="Arial" w:cs="Arial" w:eastAsia="Arial" w:hAnsi="Arial"/>
          <w:sz w:val="22"/>
          <w:szCs w:val="22"/>
          <w:color w:val="383838"/>
        </w:rPr>
        <w:t>its</w:t>
      </w:r>
      <w:r>
        <w:rPr>
          <w:rFonts w:ascii="Arial" w:cs="Arial" w:eastAsia="Arial" w:hAnsi="Arial"/>
          <w:sz w:val="22"/>
          <w:szCs w:val="22"/>
          <w:color w:val="auto"/>
        </w:rPr>
        <w:t xml:space="preserve"> </w:t>
      </w:r>
      <w:r>
        <w:rPr>
          <w:rFonts w:ascii="Arial" w:cs="Arial" w:eastAsia="Arial" w:hAnsi="Arial"/>
          <w:sz w:val="20"/>
          <w:szCs w:val="20"/>
          <w:color w:val="383838"/>
        </w:rPr>
        <w:t>terms and</w:t>
      </w:r>
      <w:r>
        <w:rPr>
          <w:rFonts w:ascii="Arial" w:cs="Arial" w:eastAsia="Arial" w:hAnsi="Arial"/>
          <w:sz w:val="22"/>
          <w:szCs w:val="22"/>
          <w:color w:val="auto"/>
        </w:rPr>
        <w:t xml:space="preserve"> </w:t>
      </w:r>
      <w:r>
        <w:rPr>
          <w:rFonts w:ascii="Arial" w:cs="Arial" w:eastAsia="Arial" w:hAnsi="Arial"/>
          <w:sz w:val="20"/>
          <w:szCs w:val="20"/>
          <w:color w:val="4D4D4D"/>
        </w:rPr>
        <w:t>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320"/>
        <w:spacing w:after="0"/>
        <w:rPr>
          <w:sz w:val="20"/>
          <w:szCs w:val="20"/>
          <w:color w:val="auto"/>
        </w:rPr>
      </w:pPr>
      <w:r>
        <w:rPr>
          <w:rFonts w:ascii="Arial" w:cs="Arial" w:eastAsia="Arial" w:hAnsi="Arial"/>
          <w:sz w:val="21"/>
          <w:szCs w:val="21"/>
          <w:color w:val="383838"/>
        </w:rPr>
        <w:t xml:space="preserve">Date: </w:t>
      </w:r>
      <w:r>
        <w:rPr>
          <w:rFonts w:ascii="Arial" w:cs="Arial" w:eastAsia="Arial" w:hAnsi="Arial"/>
          <w:sz w:val="25"/>
          <w:szCs w:val="25"/>
          <w:i w:val="1"/>
          <w:iCs w:val="1"/>
          <w:color w:val="383838"/>
        </w:rPr>
        <w:t>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2984500" cy="805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3">
                      <a:extLst>
                        <a:ext uri="{28A0092B-C50C-407E-A947-70E740481C1C}"/>
                      </a:extLst>
                    </a:blip>
                    <a:srcRect/>
                    <a:stretch>
                      <a:fillRect/>
                    </a:stretch>
                  </pic:blipFill>
                  <pic:spPr bwMode="auto">
                    <a:xfrm>
                      <a:off x="0" y="0"/>
                      <a:ext cx="298450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383838"/>
        </w:rPr>
        <w:t>I</w:t>
      </w:r>
    </w:p>
    <w:p>
      <w:pPr>
        <w:sectPr>
          <w:pgSz w:w="11900" w:h="16838" w:orient="portrait"/>
          <w:cols w:equalWidth="0" w:num="1">
            <w:col w:w="11320"/>
          </w:cols>
          <w:pgMar w:left="240" w:top="747" w:right="3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0" w:lineRule="exact"/>
        <w:rPr>
          <w:sz w:val="20"/>
          <w:szCs w:val="20"/>
          <w:color w:val="auto"/>
        </w:rPr>
      </w:pPr>
    </w:p>
    <w:p>
      <w:pPr>
        <w:spacing w:after="0" w:line="25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386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right"/>
              <w:ind w:right="190"/>
              <w:spacing w:after="0"/>
              <w:rPr>
                <w:sz w:val="20"/>
                <w:szCs w:val="20"/>
                <w:color w:val="auto"/>
              </w:rPr>
            </w:pPr>
            <w:r>
              <w:rPr>
                <w:rFonts w:ascii="Arial" w:cs="Arial" w:eastAsia="Arial" w:hAnsi="Arial"/>
                <w:sz w:val="18"/>
                <w:szCs w:val="18"/>
                <w:color w:val="auto"/>
                <w:w w:val="94"/>
              </w:rPr>
              <w:t>Year Ended December 31</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2017</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4"/>
              </w:rPr>
              <w:t>2016</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2015</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2014</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2013</w:t>
            </w:r>
          </w:p>
        </w:tc>
      </w:tr>
      <w:tr>
        <w:trPr>
          <w:trHeight w:val="237"/>
        </w:trPr>
        <w:tc>
          <w:tcPr>
            <w:tcW w:w="38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Earnings before income taxes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2,863</w:t>
            </w:r>
          </w:p>
        </w:tc>
      </w:tr>
      <w:tr>
        <w:trPr>
          <w:trHeight w:val="34"/>
        </w:trPr>
        <w:tc>
          <w:tcPr>
            <w:tcW w:w="3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Charges:</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29"/>
        </w:trPr>
        <w:tc>
          <w:tcPr>
            <w:tcW w:w="3860" w:type="dxa"/>
            <w:vAlign w:val="bottom"/>
          </w:tcPr>
          <w:p>
            <w:pPr>
              <w:ind w:left="260"/>
              <w:spacing w:after="0"/>
              <w:rPr>
                <w:sz w:val="20"/>
                <w:szCs w:val="20"/>
                <w:color w:val="auto"/>
              </w:rPr>
            </w:pPr>
            <w:r>
              <w:rPr>
                <w:rFonts w:ascii="Arial" w:cs="Arial" w:eastAsia="Arial" w:hAnsi="Arial"/>
                <w:sz w:val="18"/>
                <w:szCs w:val="18"/>
                <w:color w:val="auto"/>
                <w:w w:val="94"/>
              </w:rPr>
              <w:t>Interest expense, including amortization of debt</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premium</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38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Portion of rental expenses on operating leases</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62"/>
        </w:trPr>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deemed to be representative of the interest factor</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7"/>
        </w:trPr>
        <w:tc>
          <w:tcPr>
            <w:tcW w:w="38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92"/>
              </w:rPr>
              <w:t>Earnings before income taxes and fixed charges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w:t>
            </w:r>
          </w:p>
        </w:tc>
      </w:tr>
      <w:tr>
        <w:trPr>
          <w:trHeight w:val="34"/>
        </w:trPr>
        <w:tc>
          <w:tcPr>
            <w:tcW w:w="3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2"/>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Fixed Charges: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43"/>
        </w:trPr>
        <w:tc>
          <w:tcPr>
            <w:tcW w:w="38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Ratio of earnings to fixed charges</w:t>
            </w:r>
          </w:p>
        </w:tc>
        <w:tc>
          <w:tcPr>
            <w:tcW w:w="2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34"/>
        </w:trPr>
        <w:tc>
          <w:tcPr>
            <w:tcW w:w="3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Address for all subsidiaries 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NORTHROP GRUMMAN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of the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2980 Fairview Park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Falls Church, Virginia 22042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94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Jurisdiction of</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34"/>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Name of Subsidiary</w:t>
            </w:r>
          </w:p>
        </w:tc>
        <w:tc>
          <w:tcPr>
            <w:tcW w:w="1940" w:type="dxa"/>
            <w:vAlign w:val="bottom"/>
          </w:tcPr>
          <w:p>
            <w:pPr>
              <w:jc w:val="center"/>
              <w:ind w:left="170"/>
              <w:spacing w:after="0"/>
              <w:rPr>
                <w:sz w:val="20"/>
                <w:szCs w:val="20"/>
                <w:color w:val="auto"/>
              </w:rPr>
            </w:pPr>
            <w:r>
              <w:rPr>
                <w:rFonts w:ascii="Arial" w:cs="Arial" w:eastAsia="Arial" w:hAnsi="Arial"/>
                <w:sz w:val="18"/>
                <w:szCs w:val="18"/>
                <w:b w:val="1"/>
                <w:bCs w:val="1"/>
                <w:color w:val="auto"/>
                <w:w w:val="93"/>
              </w:rPr>
              <w:t>Incorporation</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7"/>
        </w:trPr>
        <w:tc>
          <w:tcPr>
            <w:tcW w:w="70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Systems Corporation</w:t>
            </w:r>
          </w:p>
        </w:tc>
        <w:tc>
          <w:tcPr>
            <w:tcW w:w="194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9"/>
              </w:rPr>
              <w:t>Delaware</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Northrop Grumman Overseas Holdings, Inc.</w:t>
            </w:r>
          </w:p>
        </w:tc>
        <w:tc>
          <w:tcPr>
            <w:tcW w:w="1940" w:type="dxa"/>
            <w:vAlign w:val="bottom"/>
          </w:tcPr>
          <w:p>
            <w:pPr>
              <w:jc w:val="center"/>
              <w:ind w:left="170"/>
              <w:spacing w:after="0"/>
              <w:rPr>
                <w:sz w:val="20"/>
                <w:szCs w:val="20"/>
                <w:color w:val="auto"/>
              </w:rPr>
            </w:pPr>
            <w:r>
              <w:rPr>
                <w:rFonts w:ascii="Arial" w:cs="Arial" w:eastAsia="Arial" w:hAnsi="Arial"/>
                <w:sz w:val="18"/>
                <w:szCs w:val="18"/>
                <w:color w:val="auto"/>
                <w:w w:val="89"/>
              </w:rPr>
              <w:t>Delaware</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70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507"/>
        </w:trPr>
        <w:tc>
          <w:tcPr>
            <w:tcW w:w="7000" w:type="dxa"/>
            <w:vAlign w:val="bottom"/>
          </w:tcPr>
          <w:p>
            <w:pPr>
              <w:spacing w:after="0"/>
              <w:rPr>
                <w:sz w:val="20"/>
                <w:szCs w:val="20"/>
                <w:color w:val="auto"/>
              </w:rPr>
            </w:pPr>
            <w:r>
              <w:rPr>
                <w:rFonts w:ascii="Arial" w:cs="Arial" w:eastAsia="Arial" w:hAnsi="Arial"/>
                <w:sz w:val="18"/>
                <w:szCs w:val="18"/>
                <w:color w:val="auto"/>
                <w:w w:val="98"/>
              </w:rPr>
              <w:t>The company has additional subsidiaries, which do not constitute significant subsidiaries.</w:t>
            </w:r>
          </w:p>
        </w:tc>
        <w:tc>
          <w:tcPr>
            <w:tcW w:w="19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All the above listed subsidiaries have been consolidated in the company's consolidated financial statements.</w:t>
      </w:r>
    </w:p>
    <w:p>
      <w:pPr>
        <w:sectPr>
          <w:pgSz w:w="11900" w:h="16838" w:orient="portrait"/>
          <w:cols w:equalWidth="0" w:num="1">
            <w:col w:w="11420"/>
          </w:cols>
          <w:pgMar w:left="240" w:top="581"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Northrop Grumman Corporation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2980 Fairview Park Drive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Falls Church, Virginia 22042</w:t>
      </w:r>
    </w:p>
    <w:p>
      <w:pPr>
        <w:spacing w:after="0" w:line="131" w:lineRule="exact"/>
        <w:rPr>
          <w:sz w:val="20"/>
          <w:szCs w:val="20"/>
          <w:color w:val="auto"/>
        </w:rPr>
      </w:pPr>
    </w:p>
    <w:p>
      <w:pPr>
        <w:ind w:right="40"/>
        <w:spacing w:after="0" w:line="304" w:lineRule="auto"/>
        <w:rPr>
          <w:sz w:val="20"/>
          <w:szCs w:val="20"/>
          <w:color w:val="auto"/>
        </w:rPr>
      </w:pPr>
      <w:r>
        <w:rPr>
          <w:rFonts w:ascii="Arial" w:cs="Arial" w:eastAsia="Arial" w:hAnsi="Arial"/>
          <w:sz w:val="18"/>
          <w:szCs w:val="18"/>
          <w:color w:val="auto"/>
        </w:rPr>
        <w:t>We consent to the incorporation by reference in Registration Statement Nos. 033-59815, 033-59853, 333-67266, 333-100179, 333-107734, 333-121104, 333-125120, 333-127317, and 333-175798 on Form S-8; and Registration Statement No. 333-217087 on Form S-3; of our reports dated January 29, 2018, relating to the financial statements of Northrop Grumman Corporation and subsidiaries and the effectiveness of Northrop Grumman Corporation and subsidiaries' internal control over financial reporting, appearing in this Annual Report on Form 10-K of Northrop Grumman Corporation for the year ended December 31, 2017.</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29, 2018</w:t>
      </w:r>
    </w:p>
    <w:p>
      <w:pPr>
        <w:sectPr>
          <w:pgSz w:w="11900" w:h="16838" w:orient="portrait"/>
          <w:cols w:equalWidth="0" w:num="1">
            <w:col w:w="11420"/>
          </w:cols>
          <w:pgMar w:left="240" w:top="662"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 IN CONNECTION WITH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ANNUAL REPORT ON FORM 10-K</w:t>
      </w:r>
    </w:p>
    <w:p>
      <w:pPr>
        <w:spacing w:after="0" w:line="260" w:lineRule="exact"/>
        <w:rPr>
          <w:sz w:val="20"/>
          <w:szCs w:val="20"/>
          <w:color w:val="auto"/>
        </w:rPr>
      </w:pPr>
    </w:p>
    <w:p>
      <w:pPr>
        <w:ind w:right="40" w:firstLine="446"/>
        <w:spacing w:after="0" w:line="287" w:lineRule="auto"/>
        <w:rPr>
          <w:sz w:val="20"/>
          <w:szCs w:val="20"/>
          <w:color w:val="auto"/>
        </w:rPr>
      </w:pPr>
      <w:r>
        <w:rPr>
          <w:rFonts w:ascii="Arial" w:cs="Arial" w:eastAsia="Arial" w:hAnsi="Arial"/>
          <w:sz w:val="16"/>
          <w:szCs w:val="16"/>
          <w:color w:val="auto"/>
        </w:rPr>
        <w:t>KNOW ALL MEN BY THESE PRESENTS, that each of the undersigned directors and officers of NORTHROP GRUMMAN CORPORATION, a Delaware corporation, does hereby appoint SHEILA C. CHESTON and JENNIFER C. MCGAREY, and each of them as his or her agents and attorneys-in-fact (the “Agents”), in his or her respective name and in the capacity or capacities indicated below, to execute and/or file the Annual Report on Form 10-K for the fiscal year ended December 31, 2017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Power of Attorney shall remain in full force and effect until revoked or superseded by written notice filed with the Commission.</w:t>
      </w:r>
    </w:p>
    <w:p>
      <w:pPr>
        <w:sectPr>
          <w:pgSz w:w="11900" w:h="16838" w:orient="portrait"/>
          <w:cols w:equalWidth="0" w:num="1">
            <w:col w:w="11420"/>
          </w:cols>
          <w:pgMar w:left="240" w:top="675" w:right="23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Wesley G. Bush, certify that:</w:t>
      </w:r>
    </w:p>
    <w:p>
      <w:pPr>
        <w:spacing w:after="0" w:line="90" w:lineRule="exact"/>
        <w:rPr>
          <w:sz w:val="20"/>
          <w:szCs w:val="20"/>
          <w:color w:val="auto"/>
        </w:rPr>
      </w:pPr>
    </w:p>
    <w:p>
      <w:pPr>
        <w:ind w:left="660" w:hanging="652"/>
        <w:spacing w:after="0"/>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 have reviewed this report on Form 10-K of Northrop Grumman Corporation (“company”);</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380" w:hanging="644"/>
        <w:spacing w:after="0" w:line="334" w:lineRule="auto"/>
        <w:tabs>
          <w:tab w:leader="none" w:pos="130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6" w:lineRule="exact"/>
        <w:rPr>
          <w:rFonts w:ascii="Arial" w:cs="Arial" w:eastAsia="Arial" w:hAnsi="Arial"/>
          <w:sz w:val="18"/>
          <w:szCs w:val="18"/>
          <w:color w:val="auto"/>
        </w:rPr>
      </w:pPr>
    </w:p>
    <w:p>
      <w:pPr>
        <w:ind w:left="660" w:right="220" w:hanging="652"/>
        <w:spacing w:after="0" w:line="308" w:lineRule="auto"/>
        <w:tabs>
          <w:tab w:leader="none" w:pos="6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620" w:hanging="644"/>
        <w:spacing w:after="0" w:line="334" w:lineRule="auto"/>
        <w:tabs>
          <w:tab w:leader="none" w:pos="130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29, 2018</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Wesley G. Bush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Kenneth L. Bedingfield, certify that:</w:t>
      </w:r>
    </w:p>
    <w:p>
      <w:pPr>
        <w:spacing w:after="0" w:line="90" w:lineRule="exact"/>
        <w:rPr>
          <w:sz w:val="20"/>
          <w:szCs w:val="20"/>
          <w:color w:val="auto"/>
        </w:rPr>
      </w:pPr>
    </w:p>
    <w:p>
      <w:pPr>
        <w:ind w:left="660" w:hanging="652"/>
        <w:spacing w:after="0"/>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 have reviewed this report on Form 10-K of Northrop Grumman Corporation (“company”);</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380" w:hanging="644"/>
        <w:spacing w:after="0" w:line="334" w:lineRule="auto"/>
        <w:tabs>
          <w:tab w:leader="none" w:pos="130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6" w:lineRule="exact"/>
        <w:rPr>
          <w:rFonts w:ascii="Arial" w:cs="Arial" w:eastAsia="Arial" w:hAnsi="Arial"/>
          <w:sz w:val="18"/>
          <w:szCs w:val="18"/>
          <w:color w:val="auto"/>
        </w:rPr>
      </w:pPr>
    </w:p>
    <w:p>
      <w:pPr>
        <w:ind w:left="660" w:right="220" w:hanging="652"/>
        <w:spacing w:after="0" w:line="308" w:lineRule="auto"/>
        <w:tabs>
          <w:tab w:leader="none" w:pos="6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620" w:hanging="644"/>
        <w:spacing w:after="0" w:line="334" w:lineRule="auto"/>
        <w:tabs>
          <w:tab w:leader="none" w:pos="130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29, 2018</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Kenneth L. Bedingfield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Kenneth L. Bedingfield</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420"/>
          </w:cols>
          <w:pgMar w:left="240" w:top="580" w:right="2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 connection with the Annual Report of Northrop Grumman Corporation (the “company”) on Form 10-K for the period ended December 31, 2017, as filed with the Securities and Exchange Commission on the date hereof (the “Report”), I, Wesley G. Bush, Chairman and Chief Executive Officer of the company, certify, pursuant to 18 U.S.C. § 1350, as adopted pursuant to § 906 of the Sarbanes-Oxley Act of 2002, that:</w:t>
      </w:r>
    </w:p>
    <w:p>
      <w:pPr>
        <w:spacing w:after="0" w:line="30" w:lineRule="exact"/>
        <w:rPr>
          <w:sz w:val="20"/>
          <w:szCs w:val="20"/>
          <w:color w:val="auto"/>
        </w:rPr>
      </w:pPr>
    </w:p>
    <w:p>
      <w:pPr>
        <w:ind w:left="980" w:hanging="648"/>
        <w:spacing w:after="0"/>
        <w:tabs>
          <w:tab w:leader="none" w:pos="98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hanging="648"/>
        <w:spacing w:after="0"/>
        <w:tabs>
          <w:tab w:leader="none" w:pos="9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29, 2018</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Wesley G. Bush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1" w:right="2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Annual Report of Northrop Grumman Corporation (the “company”) on Form 10-K for the period ended December 31, 2017, as filed with the Securities and Exchange Commission on the date hereof (the “Report”), I, Kenneth L. Bedingfield, Corporate Vice President and Chief Financial Officer of the company, certify, pursuant to 18 U.S.C. § 1350, as adopted pursuant to § 906 of the Sarbanes-Oxley Act of 2002, that:</w:t>
      </w:r>
    </w:p>
    <w:p>
      <w:pPr>
        <w:spacing w:after="0" w:line="30" w:lineRule="exact"/>
        <w:rPr>
          <w:sz w:val="20"/>
          <w:szCs w:val="20"/>
          <w:color w:val="auto"/>
        </w:rPr>
      </w:pPr>
    </w:p>
    <w:p>
      <w:pPr>
        <w:ind w:left="980" w:hanging="648"/>
        <w:spacing w:after="0"/>
        <w:tabs>
          <w:tab w:leader="none" w:pos="9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hanging="648"/>
        <w:spacing w:after="0"/>
        <w:tabs>
          <w:tab w:leader="none" w:pos="98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29, 2018</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Kenneth L. Bedingfield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Kenneth L. Bedingfield</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E3149"/>
    <w:multiLevelType w:val="hybridMultilevel"/>
    <w:lvl w:ilvl="0">
      <w:lvlJc w:val="left"/>
      <w:lvlText w:val="x"/>
      <w:numFmt w:val="bullet"/>
      <w:start w:val="1"/>
    </w:lvl>
  </w:abstractNum>
  <w:abstractNum w:abstractNumId="1">
    <w:nsid w:val="2C6E4AFD"/>
    <w:multiLevelType w:val="hybridMultilevel"/>
    <w:lvl w:ilvl="0">
      <w:lvlJc w:val="left"/>
      <w:lvlText w:val="o"/>
      <w:numFmt w:val="bullet"/>
      <w:start w:val="1"/>
    </w:lvl>
  </w:abstractNum>
  <w:abstractNum w:abstractNumId="2">
    <w:nsid w:val="17A1B582"/>
    <w:multiLevelType w:val="hybridMultilevel"/>
    <w:lvl w:ilvl="0">
      <w:lvlJc w:val="left"/>
      <w:lvlText w:val="(%1)"/>
      <w:numFmt w:val="decimal"/>
      <w:start w:val="1"/>
    </w:lvl>
  </w:abstractNum>
  <w:abstractNum w:abstractNumId="3">
    <w:nsid w:val="4DF72E4E"/>
    <w:multiLevelType w:val="hybridMultilevel"/>
    <w:lvl w:ilvl="0">
      <w:lvlJc w:val="left"/>
      <w:lvlText w:val="▪"/>
      <w:numFmt w:val="bullet"/>
      <w:start w:val="1"/>
    </w:lvl>
  </w:abstractNum>
  <w:abstractNum w:abstractNumId="4">
    <w:nsid w:val="5046B5A9"/>
    <w:multiLevelType w:val="hybridMultilevel"/>
    <w:lvl w:ilvl="0">
      <w:lvlJc w:val="left"/>
      <w:lvlText w:val="▪"/>
      <w:numFmt w:val="bullet"/>
      <w:start w:val="1"/>
    </w:lvl>
  </w:abstractNum>
  <w:abstractNum w:abstractNumId="5">
    <w:nsid w:val="5D888A08"/>
    <w:multiLevelType w:val="hybridMultilevel"/>
    <w:lvl w:ilvl="0">
      <w:lvlJc w:val="left"/>
      <w:lvlText w:val="▪"/>
      <w:numFmt w:val="bullet"/>
      <w:start w:val="1"/>
    </w:lvl>
  </w:abstractNum>
  <w:abstractNum w:abstractNumId="6">
    <w:nsid w:val="2A082C70"/>
    <w:multiLevelType w:val="hybridMultilevel"/>
    <w:lvl w:ilvl="0">
      <w:lvlJc w:val="left"/>
      <w:lvlText w:val="▪"/>
      <w:numFmt w:val="bullet"/>
      <w:start w:val="1"/>
    </w:lvl>
  </w:abstractNum>
  <w:abstractNum w:abstractNumId="7">
    <w:nsid w:val="5EC6AFD4"/>
    <w:multiLevelType w:val="hybridMultilevel"/>
    <w:lvl w:ilvl="0">
      <w:lvlJc w:val="left"/>
      <w:lvlText w:val="▪"/>
      <w:numFmt w:val="bullet"/>
      <w:start w:val="1"/>
    </w:lvl>
  </w:abstractNum>
  <w:abstractNum w:abstractNumId="8">
    <w:nsid w:val="19E21BB2"/>
    <w:multiLevelType w:val="hybridMultilevel"/>
    <w:lvl w:ilvl="0">
      <w:lvlJc w:val="left"/>
      <w:lvlText w:val="▪"/>
      <w:numFmt w:val="bullet"/>
      <w:start w:val="1"/>
    </w:lvl>
  </w:abstractNum>
  <w:abstractNum w:abstractNumId="9">
    <w:nsid w:val="75E0858A"/>
    <w:multiLevelType w:val="hybridMultilevel"/>
    <w:lvl w:ilvl="0">
      <w:lvlJc w:val="left"/>
      <w:lvlText w:val="▪"/>
      <w:numFmt w:val="bullet"/>
      <w:start w:val="1"/>
    </w:lvl>
  </w:abstractNum>
  <w:abstractNum w:abstractNumId="10">
    <w:nsid w:val="57A61A29"/>
    <w:multiLevelType w:val="hybridMultilevel"/>
    <w:lvl w:ilvl="0">
      <w:lvlJc w:val="left"/>
      <w:lvlText w:val="▪"/>
      <w:numFmt w:val="bullet"/>
      <w:start w:val="1"/>
    </w:lvl>
  </w:abstractNum>
  <w:abstractNum w:abstractNumId="11">
    <w:nsid w:val="5399C654"/>
    <w:multiLevelType w:val="hybridMultilevel"/>
    <w:lvl w:ilvl="0">
      <w:lvlJc w:val="left"/>
      <w:lvlText w:val="▪"/>
      <w:numFmt w:val="bullet"/>
      <w:start w:val="1"/>
    </w:lvl>
  </w:abstractNum>
  <w:abstractNum w:abstractNumId="12">
    <w:nsid w:val="20EE1348"/>
    <w:multiLevelType w:val="hybridMultilevel"/>
    <w:lvl w:ilvl="0">
      <w:lvlJc w:val="left"/>
      <w:lvlText w:val="▪"/>
      <w:numFmt w:val="bullet"/>
      <w:start w:val="1"/>
    </w:lvl>
  </w:abstractNum>
  <w:abstractNum w:abstractNumId="13">
    <w:nsid w:val="4427069A"/>
    <w:multiLevelType w:val="hybridMultilevel"/>
    <w:lvl w:ilvl="0">
      <w:lvlJc w:val="left"/>
      <w:lvlText w:val="▪"/>
      <w:numFmt w:val="bullet"/>
      <w:start w:val="1"/>
    </w:lvl>
  </w:abstractNum>
  <w:abstractNum w:abstractNumId="14">
    <w:nsid w:val="B37E80A"/>
    <w:multiLevelType w:val="hybridMultilevel"/>
    <w:lvl w:ilvl="0">
      <w:lvlJc w:val="left"/>
      <w:lvlText w:val="▪"/>
      <w:numFmt w:val="bullet"/>
      <w:start w:val="1"/>
    </w:lvl>
  </w:abstractNum>
  <w:abstractNum w:abstractNumId="15">
    <w:nsid w:val="2157F6BC"/>
    <w:multiLevelType w:val="hybridMultilevel"/>
    <w:lvl w:ilvl="0">
      <w:lvlJc w:val="left"/>
      <w:lvlText w:val="▪"/>
      <w:numFmt w:val="bullet"/>
      <w:start w:val="1"/>
    </w:lvl>
  </w:abstractNum>
  <w:abstractNum w:abstractNumId="16">
    <w:nsid w:val="704E1DD5"/>
    <w:multiLevelType w:val="hybridMultilevel"/>
    <w:lvl w:ilvl="0">
      <w:lvlJc w:val="left"/>
      <w:lvlText w:val="▪"/>
      <w:numFmt w:val="bullet"/>
      <w:start w:val="1"/>
    </w:lvl>
  </w:abstractNum>
  <w:abstractNum w:abstractNumId="17">
    <w:nsid w:val="57D2F10E"/>
    <w:multiLevelType w:val="hybridMultilevel"/>
    <w:lvl w:ilvl="0">
      <w:lvlJc w:val="left"/>
      <w:lvlText w:val="▪"/>
      <w:numFmt w:val="bullet"/>
      <w:start w:val="1"/>
    </w:lvl>
  </w:abstractNum>
  <w:abstractNum w:abstractNumId="18">
    <w:nsid w:val="BFFAE18"/>
    <w:multiLevelType w:val="hybridMultilevel"/>
    <w:lvl w:ilvl="0">
      <w:lvlJc w:val="left"/>
      <w:lvlText w:val="▪"/>
      <w:numFmt w:val="bullet"/>
      <w:start w:val="1"/>
    </w:lvl>
  </w:abstractNum>
  <w:abstractNum w:abstractNumId="19">
    <w:nsid w:val="E3E47A8"/>
    <w:multiLevelType w:val="hybridMultilevel"/>
    <w:lvl w:ilvl="0">
      <w:lvlJc w:val="left"/>
      <w:lvlText w:val="▪"/>
      <w:numFmt w:val="bullet"/>
      <w:start w:val="1"/>
    </w:lvl>
  </w:abstractNum>
  <w:abstractNum w:abstractNumId="20">
    <w:nsid w:val="2E48F044"/>
    <w:multiLevelType w:val="hybridMultilevel"/>
    <w:lvl w:ilvl="0">
      <w:lvlJc w:val="left"/>
      <w:lvlText w:val="▪"/>
      <w:numFmt w:val="bullet"/>
      <w:start w:val="1"/>
    </w:lvl>
  </w:abstractNum>
  <w:abstractNum w:abstractNumId="21">
    <w:nsid w:val="49D0FEAC"/>
    <w:multiLevelType w:val="hybridMultilevel"/>
    <w:lvl w:ilvl="0">
      <w:lvlJc w:val="left"/>
      <w:lvlText w:val="▪"/>
      <w:numFmt w:val="bullet"/>
      <w:start w:val="1"/>
    </w:lvl>
  </w:abstractNum>
  <w:abstractNum w:abstractNumId="22">
    <w:nsid w:val="4BEE5A5B"/>
    <w:multiLevelType w:val="hybridMultilevel"/>
    <w:lvl w:ilvl="0">
      <w:lvlJc w:val="left"/>
      <w:lvlText w:val="▪"/>
      <w:numFmt w:val="bullet"/>
      <w:start w:val="1"/>
    </w:lvl>
  </w:abstractNum>
  <w:abstractNum w:abstractNumId="23">
    <w:nsid w:val="5551B9F3"/>
    <w:multiLevelType w:val="hybridMultilevel"/>
    <w:lvl w:ilvl="0">
      <w:lvlJc w:val="left"/>
      <w:lvlText w:val="▪"/>
      <w:numFmt w:val="bullet"/>
      <w:start w:val="1"/>
    </w:lvl>
  </w:abstractNum>
  <w:abstractNum w:abstractNumId="24">
    <w:nsid w:val="24F6AB8E"/>
    <w:multiLevelType w:val="hybridMultilevel"/>
    <w:lvl w:ilvl="0">
      <w:lvlJc w:val="left"/>
      <w:lvlText w:val="▪"/>
      <w:numFmt w:val="bullet"/>
      <w:start w:val="1"/>
    </w:lvl>
  </w:abstractNum>
  <w:abstractNum w:abstractNumId="25">
    <w:nsid w:val="634C574C"/>
    <w:multiLevelType w:val="hybridMultilevel"/>
    <w:lvl w:ilvl="0">
      <w:lvlJc w:val="left"/>
      <w:lvlText w:val="•"/>
      <w:numFmt w:val="bullet"/>
      <w:start w:val="1"/>
    </w:lvl>
  </w:abstractNum>
  <w:abstractNum w:abstractNumId="26">
    <w:nsid w:val="24E99DD7"/>
    <w:multiLevelType w:val="hybridMultilevel"/>
    <w:lvl w:ilvl="0">
      <w:lvlJc w:val="left"/>
      <w:lvlText w:val="•"/>
      <w:numFmt w:val="bullet"/>
      <w:start w:val="1"/>
    </w:lvl>
  </w:abstractNum>
  <w:abstractNum w:abstractNumId="27">
    <w:nsid w:val="2A31B62D"/>
    <w:multiLevelType w:val="hybridMultilevel"/>
    <w:lvl w:ilvl="0">
      <w:lvlJc w:val="left"/>
      <w:lvlText w:val="•"/>
      <w:numFmt w:val="bullet"/>
      <w:start w:val="1"/>
    </w:lvl>
  </w:abstractNum>
  <w:abstractNum w:abstractNumId="28">
    <w:nsid w:val="1849C29B"/>
    <w:multiLevelType w:val="hybridMultilevel"/>
    <w:lvl w:ilvl="0">
      <w:lvlJc w:val="left"/>
      <w:lvlText w:val="(%1)"/>
      <w:numFmt w:val="decimal"/>
      <w:start w:val="1"/>
    </w:lvl>
  </w:abstractNum>
  <w:abstractNum w:abstractNumId="29">
    <w:nsid w:val="7DFF9D09"/>
    <w:multiLevelType w:val="hybridMultilevel"/>
    <w:lvl w:ilvl="0">
      <w:lvlJc w:val="left"/>
      <w:lvlText w:val="(%1)"/>
      <w:numFmt w:val="decimal"/>
      <w:start w:val="1"/>
    </w:lvl>
  </w:abstractNum>
  <w:abstractNum w:abstractNumId="30">
    <w:nsid w:val="754342"/>
    <w:multiLevelType w:val="hybridMultilevel"/>
    <w:lvl w:ilvl="0">
      <w:lvlJc w:val="left"/>
      <w:lvlText w:val="(%1)"/>
      <w:numFmt w:val="decimal"/>
      <w:start w:val="1"/>
    </w:lvl>
  </w:abstractNum>
  <w:abstractNum w:abstractNumId="31">
    <w:nsid w:val="69E7F3E5"/>
    <w:multiLevelType w:val="hybridMultilevel"/>
    <w:lvl w:ilvl="0">
      <w:lvlJc w:val="left"/>
      <w:lvlText w:val="(%1)"/>
      <w:numFmt w:val="decimal"/>
      <w:start w:val="1"/>
    </w:lvl>
  </w:abstractNum>
  <w:abstractNum w:abstractNumId="32">
    <w:nsid w:val="2A6DE806"/>
    <w:multiLevelType w:val="hybridMultilevel"/>
    <w:lvl w:ilvl="0">
      <w:lvlJc w:val="left"/>
      <w:lvlText w:val="(%1)"/>
      <w:numFmt w:val="decimal"/>
      <w:start w:val="1"/>
    </w:lvl>
  </w:abstractNum>
  <w:abstractNum w:abstractNumId="33">
    <w:nsid w:val="1816F8C4"/>
    <w:multiLevelType w:val="hybridMultilevel"/>
    <w:lvl w:ilvl="0">
      <w:lvlJc w:val="left"/>
      <w:lvlText w:val="(%1)"/>
      <w:numFmt w:val="decimal"/>
      <w:start w:val="1"/>
    </w:lvl>
  </w:abstractNum>
  <w:abstractNum w:abstractNumId="34">
    <w:nsid w:val="37DF2233"/>
    <w:multiLevelType w:val="hybridMultilevel"/>
    <w:lvl w:ilvl="0">
      <w:lvlJc w:val="left"/>
      <w:lvlText w:val="(%1)"/>
      <w:numFmt w:val="decimal"/>
      <w:start w:val="1"/>
    </w:lvl>
  </w:abstractNum>
  <w:abstractNum w:abstractNumId="35">
    <w:nsid w:val="7AB49DAF"/>
    <w:multiLevelType w:val="hybridMultilevel"/>
    <w:lvl w:ilvl="0">
      <w:lvlJc w:val="left"/>
      <w:lvlText w:val="(%1)"/>
      <w:numFmt w:val="decimal"/>
      <w:start w:val="1"/>
    </w:lvl>
  </w:abstractNum>
  <w:abstractNum w:abstractNumId="36">
    <w:nsid w:val="759F82CD"/>
    <w:multiLevelType w:val="hybridMultilevel"/>
    <w:lvl w:ilvl="0">
      <w:lvlJc w:val="left"/>
      <w:lvlText w:val="(%1)"/>
      <w:numFmt w:val="decimal"/>
      <w:start w:val="1"/>
    </w:lvl>
  </w:abstractNum>
  <w:abstractNum w:abstractNumId="37">
    <w:nsid w:val="61E74EA3"/>
    <w:multiLevelType w:val="hybridMultilevel"/>
    <w:lvl w:ilvl="0">
      <w:lvlJc w:val="left"/>
      <w:lvlText w:val="(%1)"/>
      <w:numFmt w:val="decimal"/>
      <w:start w:val="1"/>
    </w:lvl>
  </w:abstractNum>
  <w:abstractNum w:abstractNumId="38">
    <w:nsid w:val="597B4D84"/>
    <w:multiLevelType w:val="hybridMultilevel"/>
    <w:lvl w:ilvl="0">
      <w:lvlJc w:val="left"/>
      <w:lvlText w:val="(%1)"/>
      <w:numFmt w:val="decimal"/>
      <w:start w:val="1"/>
    </w:lvl>
  </w:abstractNum>
  <w:abstractNum w:abstractNumId="39">
    <w:nsid w:val="F819E7F"/>
    <w:multiLevelType w:val="hybridMultilevel"/>
    <w:lvl w:ilvl="0">
      <w:lvlJc w:val="left"/>
      <w:lvlText w:val="•"/>
      <w:numFmt w:val="bullet"/>
      <w:start w:val="1"/>
    </w:lvl>
  </w:abstractNum>
  <w:abstractNum w:abstractNumId="40">
    <w:nsid w:val="57C7D42D"/>
    <w:multiLevelType w:val="hybridMultilevel"/>
    <w:lvl w:ilvl="0">
      <w:lvlJc w:val="left"/>
      <w:lvlText w:val="(%1)"/>
      <w:numFmt w:val="decimal"/>
      <w:start w:val="1"/>
    </w:lvl>
  </w:abstractNum>
  <w:abstractNum w:abstractNumId="41">
    <w:nsid w:val="312167AD"/>
    <w:multiLevelType w:val="hybridMultilevel"/>
    <w:lvl w:ilvl="0">
      <w:lvlJc w:val="left"/>
      <w:lvlText w:val="(%1)"/>
      <w:numFmt w:val="decimal"/>
      <w:start w:val="1"/>
    </w:lvl>
  </w:abstractNum>
  <w:abstractNum w:abstractNumId="42">
    <w:nsid w:val="631B64D4"/>
    <w:multiLevelType w:val="hybridMultilevel"/>
    <w:lvl w:ilvl="0">
      <w:lvlJc w:val="left"/>
      <w:lvlText w:val="(%1)"/>
      <w:numFmt w:val="lowerLetter"/>
      <w:start w:val="1"/>
    </w:lvl>
  </w:abstractNum>
  <w:abstractNum w:abstractNumId="43">
    <w:nsid w:val="78B5E776"/>
    <w:multiLevelType w:val="hybridMultilevel"/>
    <w:lvl w:ilvl="0">
      <w:lvlJc w:val="left"/>
      <w:lvlText w:val="%1."/>
      <w:numFmt w:val="decimal"/>
      <w:start w:val="2"/>
    </w:lvl>
  </w:abstractNum>
  <w:abstractNum w:abstractNumId="44">
    <w:nsid w:val="75486E47"/>
    <w:multiLevelType w:val="hybridMultilevel"/>
    <w:lvl w:ilvl="0">
      <w:lvlJc w:val="left"/>
      <w:lvlText w:val="(%1)"/>
      <w:numFmt w:val="lowerRoman"/>
      <w:start w:val="1"/>
    </w:lvl>
  </w:abstractNum>
  <w:abstractNum w:abstractNumId="45">
    <w:nsid w:val="6E534CDE"/>
    <w:multiLevelType w:val="hybridMultilevel"/>
    <w:lvl w:ilvl="0">
      <w:lvlJc w:val="left"/>
      <w:lvlText w:val="(%1)"/>
      <w:numFmt w:val="lowerRoman"/>
      <w:start w:val="1"/>
    </w:lvl>
  </w:abstractNum>
  <w:abstractNum w:abstractNumId="46">
    <w:nsid w:val="1A0DDE32"/>
    <w:multiLevelType w:val="hybridMultilevel"/>
    <w:lvl w:ilvl="0">
      <w:lvlJc w:val="left"/>
      <w:lvlText w:val="(%1)"/>
      <w:numFmt w:val="lowerRoman"/>
      <w:start w:val="7"/>
    </w:lvl>
  </w:abstractNum>
  <w:abstractNum w:abstractNumId="47">
    <w:nsid w:val="65968C1C"/>
    <w:multiLevelType w:val="hybridMultilevel"/>
    <w:lvl w:ilvl="0">
      <w:lvlJc w:val="left"/>
      <w:lvlText w:val="(%1)"/>
      <w:numFmt w:val="lowerRoman"/>
      <w:start w:val="1"/>
    </w:lvl>
  </w:abstractNum>
  <w:abstractNum w:abstractNumId="48">
    <w:nsid w:val="46263DEC"/>
    <w:multiLevelType w:val="hybridMultilevel"/>
    <w:lvl w:ilvl="0">
      <w:lvlJc w:val="left"/>
      <w:lvlText w:val="(%1)"/>
      <w:numFmt w:val="lowerRoman"/>
      <w:start w:val="1"/>
    </w:lvl>
  </w:abstractNum>
  <w:abstractNum w:abstractNumId="49">
    <w:nsid w:val="260D8C4A"/>
    <w:multiLevelType w:val="hybridMultilevel"/>
    <w:lvl w:ilvl="0">
      <w:lvlJc w:val="left"/>
      <w:lvlText w:val="(%1)"/>
      <w:numFmt w:val="lowerRoman"/>
      <w:start w:val="2"/>
    </w:lvl>
  </w:abstractNum>
  <w:abstractNum w:abstractNumId="50">
    <w:nsid w:val="73D4D3C4"/>
    <w:multiLevelType w:val="hybridMultilevel"/>
    <w:lvl w:ilvl="0">
      <w:lvlJc w:val="left"/>
      <w:lvlText w:val="+"/>
      <w:numFmt w:val="bullet"/>
      <w:start w:val="1"/>
    </w:lvl>
  </w:abstractNum>
  <w:abstractNum w:abstractNumId="51">
    <w:nsid w:val="746F2E30"/>
    <w:multiLevelType w:val="hybridMultilevel"/>
    <w:lvl w:ilvl="0">
      <w:lvlJc w:val="left"/>
      <w:lvlText w:val="*"/>
      <w:numFmt w:val="bullet"/>
      <w:start w:val="1"/>
    </w:lvl>
  </w:abstractNum>
  <w:abstractNum w:abstractNumId="52">
    <w:nsid w:val="6FDE8AF6"/>
    <w:multiLevelType w:val="hybridMultilevel"/>
    <w:lvl w:ilvl="0">
      <w:lvlJc w:val="left"/>
      <w:lvlText w:val="**"/>
      <w:numFmt w:val="bullet"/>
      <w:start w:val="1"/>
    </w:lvl>
  </w:abstractNum>
  <w:abstractNum w:abstractNumId="53">
    <w:nsid w:val="3FC32E20"/>
    <w:multiLevelType w:val="hybridMultilevel"/>
    <w:lvl w:ilvl="0">
      <w:lvlJc w:val="left"/>
      <w:lvlText w:val="%1."/>
      <w:numFmt w:val="decimal"/>
      <w:start w:val="1"/>
    </w:lvl>
  </w:abstractNum>
  <w:abstractNum w:abstractNumId="54">
    <w:nsid w:val="49C0E823"/>
    <w:multiLevelType w:val="hybridMultilevel"/>
    <w:lvl w:ilvl="0">
      <w:lvlJc w:val="left"/>
      <w:lvlText w:val="%1."/>
      <w:numFmt w:val="decimal"/>
      <w:start w:val="2"/>
    </w:lvl>
  </w:abstractNum>
  <w:abstractNum w:abstractNumId="55">
    <w:nsid w:val="14D53685"/>
    <w:multiLevelType w:val="hybridMultilevel"/>
    <w:lvl w:ilvl="0">
      <w:lvlJc w:val="left"/>
      <w:lvlText w:val="(%1)"/>
      <w:numFmt w:val="lowerLetter"/>
      <w:start w:val="1"/>
    </w:lvl>
  </w:abstractNum>
  <w:abstractNum w:abstractNumId="56">
    <w:nsid w:val="230F856C"/>
    <w:multiLevelType w:val="hybridMultilevel"/>
    <w:lvl w:ilvl="0">
      <w:lvlJc w:val="left"/>
      <w:lvlText w:val="%1."/>
      <w:numFmt w:val="decimal"/>
      <w:start w:val="3"/>
    </w:lvl>
  </w:abstractNum>
  <w:abstractNum w:abstractNumId="57">
    <w:nsid w:val="6EAA85FB"/>
    <w:multiLevelType w:val="hybridMultilevel"/>
    <w:lvl w:ilvl="0">
      <w:lvlJc w:val="left"/>
      <w:lvlText w:val="%1."/>
      <w:numFmt w:val="decimal"/>
      <w:start w:val="4"/>
    </w:lvl>
  </w:abstractNum>
  <w:abstractNum w:abstractNumId="58">
    <w:nsid w:val="3F06ECB2"/>
    <w:multiLevelType w:val="hybridMultilevel"/>
    <w:lvl w:ilvl="0">
      <w:lvlJc w:val="left"/>
      <w:lvlText w:val="(%1)"/>
      <w:numFmt w:val="lowerRoman"/>
      <w:start w:val="1"/>
    </w:lvl>
  </w:abstractNum>
  <w:abstractNum w:abstractNumId="59">
    <w:nsid w:val="3B594807"/>
    <w:multiLevelType w:val="hybridMultilevel"/>
    <w:lvl w:ilvl="0">
      <w:lvlJc w:val="left"/>
      <w:lvlText w:val="%1."/>
      <w:numFmt w:val="decimal"/>
      <w:start w:val="5"/>
    </w:lvl>
  </w:abstractNum>
  <w:abstractNum w:abstractNumId="60">
    <w:nsid w:val="6CAA2304"/>
    <w:multiLevelType w:val="hybridMultilevel"/>
    <w:lvl w:ilvl="0">
      <w:lvlJc w:val="left"/>
      <w:lvlText w:val="%1."/>
      <w:numFmt w:val="decimal"/>
      <w:start w:val="6"/>
    </w:lvl>
  </w:abstractNum>
  <w:abstractNum w:abstractNumId="61">
    <w:nsid w:val="3F7C2FF4"/>
    <w:multiLevelType w:val="hybridMultilevel"/>
    <w:lvl w:ilvl="0">
      <w:lvlJc w:val="left"/>
      <w:lvlText w:val="(%1)"/>
      <w:numFmt w:val="lowerLetter"/>
      <w:start w:val="1"/>
    </w:lvl>
  </w:abstractNum>
  <w:abstractNum w:abstractNumId="62">
    <w:nsid w:val="25413BEC"/>
    <w:multiLevelType w:val="hybridMultilevel"/>
    <w:lvl w:ilvl="0">
      <w:lvlJc w:val="left"/>
      <w:lvlText w:val="%1"/>
      <w:numFmt w:val="decimal"/>
      <w:start w:val="1"/>
    </w:lvl>
    <w:lvl w:ilvl="1">
      <w:lvlJc w:val="left"/>
      <w:lvlText w:val="(%2)"/>
      <w:numFmt w:val="lowerLetter"/>
      <w:start w:val="1"/>
    </w:lvl>
  </w:abstractNum>
  <w:abstractNum w:abstractNumId="63">
    <w:nsid w:val="17180B0B"/>
    <w:multiLevelType w:val="hybridMultilevel"/>
    <w:lvl w:ilvl="0">
      <w:lvlJc w:val="left"/>
      <w:lvlText w:val="%1."/>
      <w:numFmt w:val="decimal"/>
      <w:start w:val="7"/>
    </w:lvl>
    <w:lvl w:ilvl="1">
      <w:lvlJc w:val="left"/>
      <w:lvlText w:val="%2"/>
      <w:numFmt w:val="lowerLetter"/>
      <w:start w:val="1"/>
    </w:lvl>
  </w:abstractNum>
  <w:abstractNum w:abstractNumId="64">
    <w:nsid w:val="579328B9"/>
    <w:multiLevelType w:val="hybridMultilevel"/>
    <w:lvl w:ilvl="0">
      <w:lvlJc w:val="left"/>
      <w:lvlText w:val="%1"/>
      <w:numFmt w:val="decimal"/>
      <w:start w:val="1"/>
    </w:lvl>
    <w:lvl w:ilvl="1">
      <w:lvlJc w:val="left"/>
      <w:lvlText w:val="(%2)"/>
      <w:numFmt w:val="lowerLetter"/>
      <w:start w:val="1"/>
    </w:lvl>
  </w:abstractNum>
  <w:abstractNum w:abstractNumId="65">
    <w:nsid w:val="5D205E20"/>
    <w:multiLevelType w:val="hybridMultilevel"/>
    <w:lvl w:ilvl="0">
      <w:lvlJc w:val="left"/>
      <w:lvlText w:val="%1."/>
      <w:numFmt w:val="decimal"/>
      <w:start w:val="8"/>
    </w:lvl>
    <w:lvl w:ilvl="1">
      <w:lvlJc w:val="left"/>
      <w:lvlText w:val="%2"/>
      <w:numFmt w:val="lowerLetter"/>
      <w:start w:val="1"/>
    </w:lvl>
  </w:abstractNum>
  <w:abstractNum w:abstractNumId="66">
    <w:nsid w:val="11CCA8BA"/>
    <w:multiLevelType w:val="hybridMultilevel"/>
    <w:lvl w:ilvl="0">
      <w:lvlJc w:val="left"/>
      <w:lvlText w:val="%1."/>
      <w:numFmt w:val="decimal"/>
      <w:start w:val="9"/>
    </w:lvl>
  </w:abstractNum>
  <w:abstractNum w:abstractNumId="67">
    <w:nsid w:val="4D32AB86"/>
    <w:multiLevelType w:val="hybridMultilevel"/>
    <w:lvl w:ilvl="0">
      <w:lvlJc w:val="left"/>
      <w:lvlText w:val="%1."/>
      <w:numFmt w:val="decimal"/>
      <w:start w:val="10"/>
    </w:lvl>
  </w:abstractNum>
  <w:abstractNum w:abstractNumId="68">
    <w:nsid w:val="3F07ACC3"/>
    <w:multiLevelType w:val="hybridMultilevel"/>
    <w:lvl w:ilvl="0">
      <w:lvlJc w:val="left"/>
      <w:lvlText w:val="%1."/>
      <w:numFmt w:val="decimal"/>
      <w:start w:val="11"/>
    </w:lvl>
  </w:abstractNum>
  <w:abstractNum w:abstractNumId="69">
    <w:nsid w:val="6B47F63E"/>
    <w:multiLevelType w:val="hybridMultilevel"/>
    <w:lvl w:ilvl="0">
      <w:lvlJc w:val="left"/>
      <w:lvlText w:val="%1."/>
      <w:numFmt w:val="decimal"/>
      <w:start w:val="12"/>
    </w:lvl>
  </w:abstractNum>
  <w:abstractNum w:abstractNumId="70">
    <w:nsid w:val="5CB44A05"/>
    <w:multiLevelType w:val="hybridMultilevel"/>
    <w:lvl w:ilvl="0">
      <w:lvlJc w:val="left"/>
      <w:lvlText w:val="(%1)"/>
      <w:numFmt w:val="lowerRoman"/>
      <w:start w:val="1"/>
    </w:lvl>
  </w:abstractNum>
  <w:abstractNum w:abstractNumId="71">
    <w:nsid w:val="16CF80F1"/>
    <w:multiLevelType w:val="hybridMultilevel"/>
    <w:lvl w:ilvl="0">
      <w:lvlJc w:val="left"/>
      <w:lvlText w:val="(%1)"/>
      <w:numFmt w:val="lowerRoman"/>
      <w:start w:val="2"/>
    </w:lvl>
  </w:abstractNum>
  <w:abstractNum w:abstractNumId="72">
    <w:nsid w:val="1C695DEC"/>
    <w:multiLevelType w:val="hybridMultilevel"/>
    <w:lvl w:ilvl="0">
      <w:lvlJc w:val="left"/>
      <w:lvlText w:val="(%1)"/>
      <w:numFmt w:val="lowerRoman"/>
      <w:start w:val="1"/>
    </w:lvl>
  </w:abstractNum>
  <w:abstractNum w:abstractNumId="73">
    <w:nsid w:val="3FCFAED9"/>
    <w:multiLevelType w:val="hybridMultilevel"/>
    <w:lvl w:ilvl="0">
      <w:lvlJc w:val="left"/>
      <w:lvlText w:val="(%1)"/>
      <w:numFmt w:val="lowerRoman"/>
      <w:start w:val="2"/>
    </w:lvl>
  </w:abstractNum>
  <w:abstractNum w:abstractNumId="74">
    <w:nsid w:val="F856867"/>
    <w:multiLevelType w:val="hybridMultilevel"/>
    <w:lvl w:ilvl="0">
      <w:lvlJc w:val="left"/>
      <w:lvlText w:val="(%1)"/>
      <w:numFmt w:val="lowerRoman"/>
      <w:start w:val="4"/>
    </w:lvl>
  </w:abstractNum>
  <w:abstractNum w:abstractNumId="75">
    <w:nsid w:val="11B1CC33"/>
    <w:multiLevelType w:val="hybridMultilevel"/>
    <w:lvl w:ilvl="0">
      <w:lvlJc w:val="left"/>
      <w:lvlText w:val="(%1)"/>
      <w:numFmt w:val="lowerRoman"/>
      <w:start w:val="1"/>
    </w:lvl>
  </w:abstractNum>
  <w:abstractNum w:abstractNumId="76">
    <w:nsid w:val="2E22FBB7"/>
    <w:multiLevelType w:val="hybridMultilevel"/>
    <w:lvl w:ilvl="0">
      <w:lvlJc w:val="left"/>
      <w:lvlText w:val="(%1)"/>
      <w:numFmt w:val="lowerRoman"/>
      <w:start w:val="2"/>
    </w:lvl>
    <w:lvl w:ilvl="1">
      <w:lvlJc w:val="left"/>
      <w:lvlText w:val="(%2)"/>
      <w:numFmt w:val="lowerRoman"/>
      <w:start w:val="2"/>
    </w:lvl>
  </w:abstractNum>
  <w:abstractNum w:abstractNumId="77">
    <w:nsid w:val="29934699"/>
    <w:multiLevelType w:val="hybridMultilevel"/>
    <w:lvl w:ilvl="0">
      <w:lvlJc w:val="left"/>
      <w:lvlText w:val="%1."/>
      <w:numFmt w:val="decimal"/>
      <w:start w:val="1"/>
    </w:lvl>
  </w:abstractNum>
  <w:abstractNum w:abstractNumId="78">
    <w:nsid w:val="77485850"/>
    <w:multiLevelType w:val="hybridMultilevel"/>
    <w:lvl w:ilvl="0">
      <w:lvlJc w:val="left"/>
      <w:lvlText w:val="%1."/>
      <w:numFmt w:val="decimal"/>
      <w:start w:val="2"/>
    </w:lvl>
  </w:abstractNum>
  <w:abstractNum w:abstractNumId="79">
    <w:nsid w:val="744939A3"/>
    <w:multiLevelType w:val="hybridMultilevel"/>
    <w:lvl w:ilvl="0">
      <w:lvlJc w:val="left"/>
      <w:lvlText w:val="(%1)"/>
      <w:numFmt w:val="lowerLetter"/>
      <w:start w:val="2"/>
    </w:lvl>
  </w:abstractNum>
  <w:abstractNum w:abstractNumId="80">
    <w:nsid w:val="4FA0D2E3"/>
    <w:multiLevelType w:val="hybridMultilevel"/>
    <w:lvl w:ilvl="0">
      <w:lvlJc w:val="left"/>
      <w:lvlText w:val="%1."/>
      <w:numFmt w:val="decimal"/>
      <w:start w:val="3"/>
    </w:lvl>
  </w:abstractNum>
  <w:abstractNum w:abstractNumId="81">
    <w:nsid w:val="6B1D2C14"/>
    <w:multiLevelType w:val="hybridMultilevel"/>
    <w:lvl w:ilvl="0">
      <w:lvlJc w:val="left"/>
      <w:lvlText w:val="%1."/>
      <w:numFmt w:val="decimal"/>
      <w:start w:val="4"/>
    </w:lvl>
  </w:abstractNum>
  <w:abstractNum w:abstractNumId="82">
    <w:nsid w:val="68B867D3"/>
    <w:multiLevelType w:val="hybridMultilevel"/>
    <w:lvl w:ilvl="0">
      <w:lvlJc w:val="left"/>
      <w:lvlText w:val="(%1)"/>
      <w:numFmt w:val="lowerRoman"/>
      <w:start w:val="1"/>
    </w:lvl>
  </w:abstractNum>
  <w:abstractNum w:abstractNumId="83">
    <w:nsid w:val="3F7F5DD9"/>
    <w:multiLevelType w:val="hybridMultilevel"/>
    <w:lvl w:ilvl="0">
      <w:lvlJc w:val="left"/>
      <w:lvlText w:val="%1."/>
      <w:numFmt w:val="decimal"/>
      <w:start w:val="5"/>
    </w:lvl>
  </w:abstractNum>
  <w:abstractNum w:abstractNumId="84">
    <w:nsid w:val="2AE05A34"/>
    <w:multiLevelType w:val="hybridMultilevel"/>
    <w:lvl w:ilvl="0">
      <w:lvlJc w:val="left"/>
      <w:lvlText w:val="%1."/>
      <w:numFmt w:val="decimal"/>
      <w:start w:val="6"/>
    </w:lvl>
  </w:abstractNum>
  <w:abstractNum w:abstractNumId="85">
    <w:nsid w:val="32794FF7"/>
    <w:multiLevelType w:val="hybridMultilevel"/>
    <w:lvl w:ilvl="0">
      <w:lvlJc w:val="left"/>
      <w:lvlText w:val="%1."/>
      <w:numFmt w:val="decimal"/>
      <w:start w:val="7"/>
    </w:lvl>
  </w:abstractNum>
  <w:abstractNum w:abstractNumId="86">
    <w:nsid w:val="5454945E"/>
    <w:multiLevelType w:val="hybridMultilevel"/>
    <w:lvl w:ilvl="0">
      <w:lvlJc w:val="left"/>
      <w:lvlText w:val="%1."/>
      <w:numFmt w:val="decimal"/>
      <w:start w:val="8"/>
    </w:lvl>
  </w:abstractNum>
  <w:abstractNum w:abstractNumId="87">
    <w:nsid w:val="4DEFDFA0"/>
    <w:multiLevelType w:val="hybridMultilevel"/>
    <w:lvl w:ilvl="0">
      <w:lvlJc w:val="left"/>
      <w:lvlText w:val="%1."/>
      <w:numFmt w:val="decimal"/>
      <w:start w:val="9"/>
    </w:lvl>
  </w:abstractNum>
  <w:abstractNum w:abstractNumId="88">
    <w:nsid w:val="2123D5F2"/>
    <w:multiLevelType w:val="hybridMultilevel"/>
    <w:lvl w:ilvl="0">
      <w:lvlJc w:val="left"/>
      <w:lvlText w:val="%1."/>
      <w:numFmt w:val="decimal"/>
      <w:start w:val="10"/>
    </w:lvl>
  </w:abstractNum>
  <w:abstractNum w:abstractNumId="89">
    <w:nsid w:val="135B8110"/>
    <w:multiLevelType w:val="hybridMultilevel"/>
    <w:lvl w:ilvl="0">
      <w:lvlJc w:val="left"/>
      <w:lvlText w:val="%1."/>
      <w:numFmt w:val="decimal"/>
      <w:start w:val="11"/>
    </w:lvl>
  </w:abstractNum>
  <w:abstractNum w:abstractNumId="90">
    <w:nsid w:val="94927A8"/>
    <w:multiLevelType w:val="hybridMultilevel"/>
    <w:lvl w:ilvl="0">
      <w:lvlJc w:val="left"/>
      <w:lvlText w:val="%1"/>
      <w:numFmt w:val="decimal"/>
      <w:start w:val="1"/>
    </w:lvl>
    <w:lvl w:ilvl="1">
      <w:lvlJc w:val="left"/>
      <w:lvlText w:val="(%2)"/>
      <w:numFmt w:val="upperLetter"/>
      <w:start w:val="4"/>
    </w:lvl>
  </w:abstractNum>
  <w:abstractNum w:abstractNumId="91">
    <w:nsid w:val="DCDF8F6"/>
    <w:multiLevelType w:val="hybridMultilevel"/>
    <w:lvl w:ilvl="0">
      <w:lvlJc w:val="left"/>
      <w:lvlText w:val="%1."/>
      <w:numFmt w:val="decimal"/>
      <w:start w:val="12"/>
    </w:lvl>
    <w:lvl w:ilvl="1">
      <w:lvlJc w:val="left"/>
      <w:lvlText w:val="%2"/>
      <w:numFmt w:val="upperLetter"/>
      <w:start w:val="1"/>
    </w:lvl>
  </w:abstractNum>
  <w:abstractNum w:abstractNumId="92">
    <w:nsid w:val="52D7B105"/>
    <w:multiLevelType w:val="hybridMultilevel"/>
    <w:lvl w:ilvl="0">
      <w:lvlJc w:val="left"/>
      <w:lvlText w:val="(%1)"/>
      <w:numFmt w:val="lowerRoman"/>
      <w:start w:val="1"/>
    </w:lvl>
  </w:abstractNum>
  <w:abstractNum w:abstractNumId="93">
    <w:nsid w:val="2E8A6394"/>
    <w:multiLevelType w:val="hybridMultilevel"/>
    <w:lvl w:ilvl="0">
      <w:lvlJc w:val="left"/>
      <w:lvlText w:val="(%1)"/>
      <w:numFmt w:val="lowerRoman"/>
      <w:start w:val="1"/>
    </w:lvl>
  </w:abstractNum>
  <w:abstractNum w:abstractNumId="94">
    <w:nsid w:val="24E60401"/>
    <w:multiLevelType w:val="hybridMultilevel"/>
    <w:lvl w:ilvl="0">
      <w:lvlJc w:val="left"/>
      <w:lvlText w:val="(%1)"/>
      <w:numFmt w:val="lowerRoman"/>
      <w:start w:val="2"/>
    </w:lvl>
  </w:abstractNum>
  <w:abstractNum w:abstractNumId="95">
    <w:nsid w:val="2A6AD9BE"/>
    <w:multiLevelType w:val="hybridMultilevel"/>
    <w:lvl w:ilvl="0">
      <w:lvlJc w:val="left"/>
      <w:lvlText w:val="(%1)"/>
      <w:numFmt w:val="lowerRoman"/>
      <w:start w:val="4"/>
    </w:lvl>
    <w:lvl w:ilvl="1">
      <w:lvlJc w:val="left"/>
      <w:lvlText w:val="(%2)"/>
      <w:numFmt w:val="lowerRoman"/>
      <w:start w:val="5"/>
    </w:lvl>
  </w:abstractNum>
  <w:abstractNum w:abstractNumId="96">
    <w:nsid w:val="BAAC1B4"/>
    <w:multiLevelType w:val="hybridMultilevel"/>
    <w:lvl w:ilvl="0">
      <w:lvlJc w:val="left"/>
      <w:lvlText w:val="(%1)"/>
      <w:numFmt w:val="lowerLetter"/>
      <w:start w:val="2"/>
    </w:lvl>
  </w:abstractNum>
  <w:abstractNum w:abstractNumId="97">
    <w:nsid w:val="36B2ACBC"/>
    <w:multiLevelType w:val="hybridMultilevel"/>
    <w:lvl w:ilvl="0">
      <w:lvlJc w:val="left"/>
      <w:lvlText w:val="(%1)"/>
      <w:numFmt w:val="lowerRoman"/>
      <w:start w:val="1"/>
    </w:lvl>
  </w:abstractNum>
  <w:abstractNum w:abstractNumId="98">
    <w:nsid w:val="779D8544"/>
    <w:multiLevelType w:val="hybridMultilevel"/>
    <w:lvl w:ilvl="0">
      <w:lvlJc w:val="left"/>
      <w:lvlText w:val="%1."/>
      <w:numFmt w:val="decimal"/>
      <w:start w:val="1"/>
    </w:lvl>
  </w:abstractNum>
  <w:abstractNum w:abstractNumId="99">
    <w:nsid w:val="4AB26E78"/>
    <w:multiLevelType w:val="hybridMultilevel"/>
    <w:lvl w:ilvl="0">
      <w:lvlJc w:val="left"/>
      <w:lvlText w:val="%1."/>
      <w:numFmt w:val="decimal"/>
      <w:start w:val="2"/>
    </w:lvl>
  </w:abstractNum>
  <w:abstractNum w:abstractNumId="100">
    <w:nsid w:val="21FAA2FA"/>
    <w:multiLevelType w:val="hybridMultilevel"/>
    <w:lvl w:ilvl="0">
      <w:lvlJc w:val="left"/>
      <w:lvlText w:val="(%1)"/>
      <w:numFmt w:val="lowerLetter"/>
      <w:start w:val="2"/>
    </w:lvl>
  </w:abstractNum>
  <w:abstractNum w:abstractNumId="101">
    <w:nsid w:val="5451CF49"/>
    <w:multiLevelType w:val="hybridMultilevel"/>
    <w:lvl w:ilvl="0">
      <w:lvlJc w:val="left"/>
      <w:lvlText w:val="%1."/>
      <w:numFmt w:val="decimal"/>
      <w:start w:val="3"/>
    </w:lvl>
  </w:abstractNum>
  <w:abstractNum w:abstractNumId="102">
    <w:nsid w:val="6181EF69"/>
    <w:multiLevelType w:val="hybridMultilevel"/>
    <w:lvl w:ilvl="0">
      <w:lvlJc w:val="left"/>
      <w:lvlText w:val="%1."/>
      <w:numFmt w:val="decimal"/>
      <w:start w:val="4"/>
    </w:lvl>
  </w:abstractNum>
  <w:abstractNum w:abstractNumId="103">
    <w:nsid w:val="3E6400E6"/>
    <w:multiLevelType w:val="hybridMultilevel"/>
    <w:lvl w:ilvl="0">
      <w:lvlJc w:val="left"/>
      <w:lvlText w:val="(%1)"/>
      <w:numFmt w:val="lowerRoman"/>
      <w:start w:val="1"/>
    </w:lvl>
  </w:abstractNum>
  <w:abstractNum w:abstractNumId="104">
    <w:nsid w:val="14217E23"/>
    <w:multiLevelType w:val="hybridMultilevel"/>
    <w:lvl w:ilvl="0">
      <w:lvlJc w:val="left"/>
      <w:lvlText w:val="%1."/>
      <w:numFmt w:val="decimal"/>
      <w:start w:val="5"/>
    </w:lvl>
  </w:abstractNum>
  <w:abstractNum w:abstractNumId="105">
    <w:nsid w:val="710757D0"/>
    <w:multiLevelType w:val="hybridMultilevel"/>
    <w:lvl w:ilvl="0">
      <w:lvlJc w:val="left"/>
      <w:lvlText w:val="%1."/>
      <w:numFmt w:val="decimal"/>
      <w:start w:val="6"/>
    </w:lvl>
  </w:abstractNum>
  <w:abstractNum w:abstractNumId="106">
    <w:nsid w:val="5015CD1A"/>
    <w:multiLevelType w:val="hybridMultilevel"/>
    <w:lvl w:ilvl="0">
      <w:lvlJc w:val="left"/>
      <w:lvlText w:val="%1."/>
      <w:numFmt w:val="decimal"/>
      <w:start w:val="7"/>
    </w:lvl>
  </w:abstractNum>
  <w:abstractNum w:abstractNumId="107">
    <w:nsid w:val="424479DA"/>
    <w:multiLevelType w:val="hybridMultilevel"/>
    <w:lvl w:ilvl="0">
      <w:lvlJc w:val="left"/>
      <w:lvlText w:val="%1."/>
      <w:numFmt w:val="decimal"/>
      <w:start w:val="8"/>
    </w:lvl>
  </w:abstractNum>
  <w:abstractNum w:abstractNumId="108">
    <w:nsid w:val="1A9A9E69"/>
    <w:multiLevelType w:val="hybridMultilevel"/>
    <w:lvl w:ilvl="0">
      <w:lvlJc w:val="left"/>
      <w:lvlText w:val="%1."/>
      <w:numFmt w:val="decimal"/>
      <w:start w:val="9"/>
    </w:lvl>
  </w:abstractNum>
  <w:abstractNum w:abstractNumId="109">
    <w:nsid w:val="475E256A"/>
    <w:multiLevelType w:val="hybridMultilevel"/>
    <w:lvl w:ilvl="0">
      <w:lvlJc w:val="left"/>
      <w:lvlText w:val="%1."/>
      <w:numFmt w:val="decimal"/>
      <w:start w:val="10"/>
    </w:lvl>
  </w:abstractNum>
  <w:abstractNum w:abstractNumId="110">
    <w:nsid w:val="368DB37E"/>
    <w:multiLevelType w:val="hybridMultilevel"/>
    <w:lvl w:ilvl="0">
      <w:lvlJc w:val="left"/>
      <w:lvlText w:val="%1."/>
      <w:numFmt w:val="decimal"/>
      <w:start w:val="11"/>
    </w:lvl>
  </w:abstractNum>
  <w:abstractNum w:abstractNumId="111">
    <w:nsid w:val="6A3B714C"/>
    <w:multiLevelType w:val="hybridMultilevel"/>
    <w:lvl w:ilvl="0">
      <w:lvlJc w:val="left"/>
      <w:lvlText w:val="%1"/>
      <w:numFmt w:val="decimal"/>
      <w:start w:val="1"/>
    </w:lvl>
    <w:lvl w:ilvl="1">
      <w:lvlJc w:val="left"/>
      <w:lvlText w:val="(%2)"/>
      <w:numFmt w:val="upperLetter"/>
      <w:start w:val="4"/>
    </w:lvl>
  </w:abstractNum>
  <w:abstractNum w:abstractNumId="112">
    <w:nsid w:val="327B517E"/>
    <w:multiLevelType w:val="hybridMultilevel"/>
    <w:lvl w:ilvl="0">
      <w:lvlJc w:val="left"/>
      <w:lvlText w:val="%1."/>
      <w:numFmt w:val="decimal"/>
      <w:start w:val="12"/>
    </w:lvl>
    <w:lvl w:ilvl="1">
      <w:lvlJc w:val="left"/>
      <w:lvlText w:val="%2"/>
      <w:numFmt w:val="upperLetter"/>
      <w:start w:val="1"/>
    </w:lvl>
  </w:abstractNum>
  <w:abstractNum w:abstractNumId="113">
    <w:nsid w:val="1F461B51"/>
    <w:multiLevelType w:val="hybridMultilevel"/>
    <w:lvl w:ilvl="0">
      <w:lvlJc w:val="left"/>
      <w:lvlText w:val="(%1)"/>
      <w:numFmt w:val="lowerRoman"/>
      <w:start w:val="1"/>
    </w:lvl>
  </w:abstractNum>
  <w:abstractNum w:abstractNumId="114">
    <w:nsid w:val="29BACF25"/>
    <w:multiLevelType w:val="hybridMultilevel"/>
    <w:lvl w:ilvl="0">
      <w:lvlJc w:val="left"/>
      <w:lvlText w:val="(%1)"/>
      <w:numFmt w:val="lowerRoman"/>
      <w:start w:val="1"/>
    </w:lvl>
  </w:abstractNum>
  <w:abstractNum w:abstractNumId="115">
    <w:nsid w:val="5D5BABB3"/>
    <w:multiLevelType w:val="hybridMultilevel"/>
    <w:lvl w:ilvl="0">
      <w:lvlJc w:val="left"/>
      <w:lvlText w:val="(%1)"/>
      <w:numFmt w:val="upperLetter"/>
      <w:start w:val="1"/>
    </w:lvl>
  </w:abstractNum>
  <w:abstractNum w:abstractNumId="116">
    <w:nsid w:val="51BF6B48"/>
    <w:multiLevelType w:val="hybridMultilevel"/>
    <w:lvl w:ilvl="0">
      <w:lvlJc w:val="left"/>
      <w:lvlText w:val="(%1)"/>
      <w:numFmt w:val="lowerRoman"/>
      <w:start w:val="2"/>
    </w:lvl>
  </w:abstractNum>
  <w:abstractNum w:abstractNumId="117">
    <w:nsid w:val="7E0F6384"/>
    <w:multiLevelType w:val="hybridMultilevel"/>
    <w:lvl w:ilvl="0">
      <w:lvlJc w:val="left"/>
      <w:lvlText w:val="(%1)"/>
      <w:numFmt w:val="lowerRoman"/>
      <w:start w:val="4"/>
    </w:lvl>
    <w:lvl w:ilvl="1">
      <w:lvlJc w:val="left"/>
      <w:lvlText w:val="(%2)"/>
      <w:numFmt w:val="lowerRoman"/>
      <w:start w:val="5"/>
    </w:lvl>
  </w:abstractNum>
  <w:abstractNum w:abstractNumId="118">
    <w:nsid w:val="2B4B8B53"/>
    <w:multiLevelType w:val="hybridMultilevel"/>
    <w:lvl w:ilvl="0">
      <w:lvlJc w:val="left"/>
      <w:lvlText w:val="(%1)"/>
      <w:numFmt w:val="lowerLetter"/>
      <w:start w:val="2"/>
    </w:lvl>
  </w:abstractNum>
  <w:abstractNum w:abstractNumId="119">
    <w:nsid w:val="72E3413A"/>
    <w:multiLevelType w:val="hybridMultilevel"/>
    <w:lvl w:ilvl="0">
      <w:lvlJc w:val="left"/>
      <w:lvlText w:val="(%1)"/>
      <w:numFmt w:val="lowerRoman"/>
      <w:start w:val="1"/>
    </w:lvl>
  </w:abstractNum>
  <w:abstractNum w:abstractNumId="120">
    <w:nsid w:val="116AE494"/>
    <w:multiLevelType w:val="hybridMultilevel"/>
    <w:lvl w:ilvl="0">
      <w:lvlJc w:val="left"/>
      <w:lvlText w:val="(%1)"/>
      <w:numFmt w:val="lowerRoman"/>
      <w:start w:val="2"/>
    </w:lvl>
  </w:abstractNum>
  <w:abstractNum w:abstractNumId="121">
    <w:nsid w:val="3494B2FB"/>
    <w:multiLevelType w:val="hybridMultilevel"/>
    <w:lvl w:ilvl="0">
      <w:lvlJc w:val="left"/>
      <w:lvlText w:val="(%1)"/>
      <w:numFmt w:val="lowerLetter"/>
      <w:start w:val="1"/>
    </w:lvl>
  </w:abstractNum>
  <w:abstractNum w:abstractNumId="122">
    <w:nsid w:val="B13A31"/>
    <w:multiLevelType w:val="hybridMultilevel"/>
    <w:lvl w:ilvl="0">
      <w:lvlJc w:val="left"/>
      <w:lvlText w:val="(%1)"/>
      <w:numFmt w:val="lowerLetter"/>
      <w:start w:val="1"/>
    </w:lvl>
    <w:lvl w:ilvl="1">
      <w:lvlJc w:val="left"/>
      <w:lvlText w:val="o"/>
      <w:numFmt w:val="bullet"/>
      <w:start w:val="1"/>
    </w:lvl>
    <w:lvl w:ilvl="2">
      <w:lvlJc w:val="left"/>
      <w:lvlText w:val="*"/>
      <w:numFmt w:val="bullet"/>
      <w:start w:val="1"/>
    </w:lvl>
  </w:abstractNum>
  <w:abstractNum w:abstractNumId="123">
    <w:nsid w:val="64429599"/>
    <w:multiLevelType w:val="hybridMultilevel"/>
    <w:lvl w:ilvl="0">
      <w:lvlJc w:val="left"/>
      <w:lvlText w:val="%1."/>
      <w:numFmt w:val="decimal"/>
      <w:start w:val="1"/>
    </w:lvl>
    <w:lvl w:ilvl="1">
      <w:lvlJc w:val="left"/>
      <w:lvlText w:val="(%2)"/>
      <w:numFmt w:val="lowerLetter"/>
      <w:start w:val="1"/>
    </w:lvl>
  </w:abstractNum>
  <w:abstractNum w:abstractNumId="124">
    <w:nsid w:val="631F1690"/>
    <w:multiLevelType w:val="hybridMultilevel"/>
    <w:lvl w:ilvl="0">
      <w:lvlJc w:val="left"/>
      <w:lvlText w:val="(%1)"/>
      <w:numFmt w:val="lowerLetter"/>
      <w:start w:val="11"/>
    </w:lvl>
    <w:lvl w:ilvl="1">
      <w:lvlJc w:val="left"/>
      <w:lvlText w:val="(%2)"/>
      <w:numFmt w:val="lowerRoman"/>
      <w:start w:val="1"/>
    </w:lvl>
  </w:abstractNum>
  <w:abstractNum w:abstractNumId="125">
    <w:nsid w:val="25973E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6">
    <w:nsid w:val="EAD6F5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7">
    <w:nsid w:val="6EC9D844"/>
    <w:multiLevelType w:val="hybridMultilevel"/>
    <w:lvl w:ilvl="0">
      <w:lvlJc w:val="left"/>
      <w:lvlText w:val="(%1)"/>
      <w:numFmt w:val="lowerRoman"/>
      <w:start w:val="1"/>
    </w:lvl>
  </w:abstractNum>
  <w:abstractNum w:abstractNumId="128">
    <w:nsid w:val="5C49EAEE"/>
    <w:multiLevelType w:val="hybridMultilevel"/>
    <w:lvl w:ilvl="0">
      <w:lvlJc w:val="left"/>
      <w:lvlText w:val="(%1)"/>
      <w:numFmt w:val="lowerLetter"/>
      <w:start w:val="3"/>
    </w:lvl>
    <w:lvl w:ilvl="1">
      <w:lvlJc w:val="left"/>
      <w:lvlText w:val="(%2)"/>
      <w:numFmt w:val="lowerRoman"/>
      <w:start w:val="1"/>
    </w:lvl>
  </w:abstractNum>
  <w:abstractNum w:abstractNumId="129">
    <w:nsid w:val="64AF49B"/>
    <w:multiLevelType w:val="hybridMultilevel"/>
    <w:lvl w:ilvl="0">
      <w:lvlJc w:val="left"/>
      <w:lvlText w:val="%1"/>
      <w:numFmt w:val="decimal"/>
      <w:start w:val="1"/>
    </w:lvl>
    <w:lvl w:ilvl="1">
      <w:lvlJc w:val="left"/>
      <w:lvlText w:val="(%2)"/>
      <w:numFmt w:val="lowerLetter"/>
      <w:start w:val="5"/>
    </w:lvl>
  </w:abstractNum>
  <w:abstractNum w:abstractNumId="130">
    <w:nsid w:val="397C46BC"/>
    <w:multiLevelType w:val="hybridMultilevel"/>
    <w:lvl w:ilvl="0">
      <w:lvlJc w:val="left"/>
      <w:lvlText w:val="%1."/>
      <w:numFmt w:val="decimal"/>
      <w:start w:val="5"/>
    </w:lvl>
    <w:lvl w:ilvl="1">
      <w:lvlJc w:val="left"/>
      <w:lvlText w:val="%2"/>
      <w:numFmt w:val="lowerLetter"/>
      <w:start w:val="1"/>
    </w:lvl>
  </w:abstractNum>
  <w:abstractNum w:abstractNumId="131">
    <w:nsid w:val="7E448DE9"/>
    <w:multiLevelType w:val="hybridMultilevel"/>
    <w:lvl w:ilvl="0">
      <w:lvlJc w:val="left"/>
      <w:lvlText w:val="%1."/>
      <w:numFmt w:val="decimal"/>
      <w:start w:val="7"/>
    </w:lvl>
  </w:abstractNum>
  <w:abstractNum w:abstractNumId="132">
    <w:nsid w:val="5A9CC3E5"/>
    <w:multiLevelType w:val="hybridMultilevel"/>
    <w:lvl w:ilvl="0">
      <w:lvlJc w:val="left"/>
      <w:lvlText w:val="%1."/>
      <w:numFmt w:val="decimal"/>
      <w:start w:val="9"/>
    </w:lvl>
  </w:abstractNum>
  <w:abstractNum w:abstractNumId="133">
    <w:nsid w:val="1AFE3625"/>
    <w:multiLevelType w:val="hybridMultilevel"/>
    <w:lvl w:ilvl="0">
      <w:lvlJc w:val="left"/>
      <w:lvlText w:val="%1."/>
      <w:numFmt w:val="decimal"/>
      <w:start w:val="15"/>
    </w:lvl>
  </w:abstractNum>
  <w:abstractNum w:abstractNumId="134">
    <w:nsid w:val="3CA88ECF"/>
    <w:multiLevelType w:val="hybridMultilevel"/>
    <w:lvl w:ilvl="0">
      <w:lvlJc w:val="left"/>
      <w:lvlText w:val="•"/>
      <w:numFmt w:val="bullet"/>
      <w:start w:val="1"/>
    </w:lvl>
  </w:abstractNum>
  <w:abstractNum w:abstractNumId="135">
    <w:nsid w:val="6EBE4208"/>
    <w:multiLevelType w:val="hybridMultilevel"/>
    <w:lvl w:ilvl="0">
      <w:lvlJc w:val="left"/>
      <w:lvlText w:val="•"/>
      <w:numFmt w:val="bullet"/>
      <w:start w:val="1"/>
    </w:lvl>
  </w:abstractNum>
  <w:abstractNum w:abstractNumId="136">
    <w:nsid w:val="C058DF5"/>
    <w:multiLevelType w:val="hybridMultilevel"/>
    <w:lvl w:ilvl="0">
      <w:lvlJc w:val="left"/>
      <w:lvlText w:val="•"/>
      <w:numFmt w:val="bullet"/>
      <w:start w:val="1"/>
    </w:lvl>
  </w:abstractNum>
  <w:abstractNum w:abstractNumId="137">
    <w:nsid w:val="CBE5BE9"/>
    <w:multiLevelType w:val="hybridMultilevel"/>
    <w:lvl w:ilvl="0">
      <w:lvlJc w:val="left"/>
      <w:lvlText w:val="•"/>
      <w:numFmt w:val="bullet"/>
      <w:start w:val="1"/>
    </w:lvl>
  </w:abstractNum>
  <w:abstractNum w:abstractNumId="138">
    <w:nsid w:val="3102BBE2"/>
    <w:multiLevelType w:val="hybridMultilevel"/>
    <w:lvl w:ilvl="0">
      <w:lvlJc w:val="left"/>
      <w:lvlText w:val="•"/>
      <w:numFmt w:val="bullet"/>
      <w:start w:val="1"/>
    </w:lvl>
  </w:abstractNum>
  <w:abstractNum w:abstractNumId="139">
    <w:nsid w:val="26A02C5E"/>
    <w:multiLevelType w:val="hybridMultilevel"/>
    <w:lvl w:ilvl="0">
      <w:lvlJc w:val="left"/>
      <w:lvlText w:val="%1."/>
      <w:numFmt w:val="decimal"/>
      <w:start w:val="1"/>
    </w:lvl>
  </w:abstractNum>
  <w:abstractNum w:abstractNumId="140">
    <w:nsid w:val="541C8153"/>
    <w:multiLevelType w:val="hybridMultilevel"/>
    <w:lvl w:ilvl="0">
      <w:lvlJc w:val="left"/>
      <w:lvlText w:val="•"/>
      <w:numFmt w:val="bullet"/>
      <w:start w:val="1"/>
    </w:lvl>
  </w:abstractNum>
  <w:abstractNum w:abstractNumId="141">
    <w:nsid w:val="67906F60"/>
    <w:multiLevelType w:val="hybridMultilevel"/>
    <w:lvl w:ilvl="0">
      <w:lvlJc w:val="left"/>
      <w:lvlText w:val="•"/>
      <w:numFmt w:val="bullet"/>
      <w:start w:val="1"/>
    </w:lvl>
  </w:abstractNum>
  <w:abstractNum w:abstractNumId="142">
    <w:nsid w:val="10DB9DAA"/>
    <w:multiLevelType w:val="hybridMultilevel"/>
    <w:lvl w:ilvl="0">
      <w:lvlJc w:val="left"/>
      <w:lvlText w:val="•"/>
      <w:numFmt w:val="bullet"/>
      <w:start w:val="1"/>
    </w:lvl>
  </w:abstractNum>
  <w:abstractNum w:abstractNumId="143">
    <w:nsid w:val="697D2D2"/>
    <w:multiLevelType w:val="hybridMultilevel"/>
    <w:lvl w:ilvl="0">
      <w:lvlJc w:val="left"/>
      <w:lvlText w:val="•"/>
      <w:numFmt w:val="bullet"/>
      <w:start w:val="1"/>
    </w:lvl>
  </w:abstractNum>
  <w:abstractNum w:abstractNumId="144">
    <w:nsid w:val="6D68AB2"/>
    <w:multiLevelType w:val="hybridMultilevel"/>
    <w:lvl w:ilvl="0">
      <w:lvlJc w:val="left"/>
      <w:lvlText w:val="•"/>
      <w:numFmt w:val="bullet"/>
      <w:start w:val="1"/>
    </w:lvl>
    <w:lvl w:ilvl="1">
      <w:lvlJc w:val="left"/>
      <w:lvlText w:val="•"/>
      <w:numFmt w:val="bullet"/>
      <w:start w:val="1"/>
    </w:lvl>
  </w:abstractNum>
  <w:abstractNum w:abstractNumId="145">
    <w:nsid w:val="3A966CD0"/>
    <w:multiLevelType w:val="hybridMultilevel"/>
    <w:lvl w:ilvl="0">
      <w:lvlJc w:val="left"/>
      <w:lvlText w:val="•"/>
      <w:numFmt w:val="bullet"/>
      <w:start w:val="1"/>
    </w:lvl>
  </w:abstractNum>
  <w:abstractNum w:abstractNumId="146">
    <w:nsid w:val="63F37E85"/>
    <w:multiLevelType w:val="hybridMultilevel"/>
    <w:lvl w:ilvl="0">
      <w:lvlJc w:val="left"/>
      <w:lvlText w:val="•"/>
      <w:numFmt w:val="bullet"/>
      <w:start w:val="1"/>
    </w:lvl>
  </w:abstractNum>
  <w:abstractNum w:abstractNumId="147">
    <w:nsid w:val="5895F5FA"/>
    <w:multiLevelType w:val="hybridMultilevel"/>
    <w:lvl w:ilvl="0">
      <w:lvlJc w:val="left"/>
      <w:lvlText w:val="%1."/>
      <w:numFmt w:val="decimal"/>
      <w:start w:val="1"/>
    </w:lvl>
  </w:abstractNum>
  <w:abstractNum w:abstractNumId="148">
    <w:nsid w:val="38A5D054"/>
    <w:multiLevelType w:val="hybridMultilevel"/>
    <w:lvl w:ilvl="0">
      <w:lvlJc w:val="left"/>
      <w:lvlText w:val="•"/>
      <w:numFmt w:val="bullet"/>
      <w:start w:val="1"/>
    </w:lvl>
  </w:abstractNum>
  <w:abstractNum w:abstractNumId="149">
    <w:nsid w:val="F3F09D8"/>
    <w:multiLevelType w:val="hybridMultilevel"/>
    <w:lvl w:ilvl="0">
      <w:lvlJc w:val="left"/>
      <w:lvlText w:val="•"/>
      <w:numFmt w:val="bullet"/>
      <w:start w:val="1"/>
    </w:lvl>
  </w:abstractNum>
  <w:abstractNum w:abstractNumId="150">
    <w:nsid w:val="4B793735"/>
    <w:multiLevelType w:val="hybridMultilevel"/>
    <w:lvl w:ilvl="0">
      <w:lvlJc w:val="left"/>
      <w:lvlText w:val="%1."/>
      <w:numFmt w:val="decimal"/>
      <w:start w:val="1"/>
    </w:lvl>
  </w:abstractNum>
  <w:abstractNum w:abstractNumId="151">
    <w:nsid w:val="4A10B4E8"/>
    <w:multiLevelType w:val="hybridMultilevel"/>
    <w:lvl w:ilvl="0">
      <w:lvlJc w:val="left"/>
      <w:lvlText w:val="•"/>
      <w:numFmt w:val="bullet"/>
      <w:start w:val="1"/>
    </w:lvl>
  </w:abstractNum>
  <w:abstractNum w:abstractNumId="152">
    <w:nsid w:val="43D3BCD4"/>
    <w:multiLevelType w:val="hybridMultilevel"/>
    <w:lvl w:ilvl="0">
      <w:lvlJc w:val="left"/>
      <w:lvlText w:val="•"/>
      <w:numFmt w:val="bullet"/>
      <w:start w:val="1"/>
    </w:lvl>
  </w:abstractNum>
  <w:abstractNum w:abstractNumId="153">
    <w:nsid w:val="4C2A7166"/>
    <w:multiLevelType w:val="hybridMultilevel"/>
    <w:lvl w:ilvl="0">
      <w:lvlJc w:val="left"/>
      <w:lvlText w:val="•"/>
      <w:numFmt w:val="bullet"/>
      <w:start w:val="1"/>
    </w:lvl>
  </w:abstractNum>
  <w:abstractNum w:abstractNumId="154">
    <w:nsid w:val="2E534A82"/>
    <w:multiLevelType w:val="hybridMultilevel"/>
    <w:lvl w:ilvl="0">
      <w:lvlJc w:val="left"/>
      <w:lvlText w:val="•"/>
      <w:numFmt w:val="bullet"/>
      <w:start w:val="1"/>
    </w:lvl>
  </w:abstractNum>
  <w:abstractNum w:abstractNumId="155">
    <w:nsid w:val="26F2D364"/>
    <w:multiLevelType w:val="hybridMultilevel"/>
    <w:lvl w:ilvl="0">
      <w:lvlJc w:val="left"/>
      <w:lvlText w:val="%1."/>
      <w:numFmt w:val="upperLetter"/>
      <w:start w:val="1"/>
    </w:lvl>
    <w:lvl w:ilvl="1">
      <w:lvlJc w:val="left"/>
      <w:lvlText w:val="•"/>
      <w:numFmt w:val="bullet"/>
      <w:start w:val="1"/>
    </w:lvl>
  </w:abstractNum>
  <w:abstractNum w:abstractNumId="156">
    <w:nsid w:val="71C1AF98"/>
    <w:multiLevelType w:val="hybridMultilevel"/>
    <w:lvl w:ilvl="0">
      <w:lvlJc w:val="left"/>
      <w:lvlText w:val="%1."/>
      <w:numFmt w:val="upperLetter"/>
      <w:start w:val="1"/>
    </w:lvl>
    <w:lvl w:ilvl="1">
      <w:lvlJc w:val="left"/>
      <w:lvlText w:val="•"/>
      <w:numFmt w:val="bullet"/>
      <w:start w:val="1"/>
    </w:lvl>
  </w:abstractNum>
  <w:abstractNum w:abstractNumId="157">
    <w:nsid w:val="3D00B9D9"/>
    <w:multiLevelType w:val="hybridMultilevel"/>
    <w:lvl w:ilvl="0">
      <w:lvlJc w:val="left"/>
      <w:lvlText w:val="%1."/>
      <w:numFmt w:val="upperLetter"/>
      <w:start w:val="2"/>
    </w:lvl>
    <w:lvl w:ilvl="1">
      <w:lvlJc w:val="left"/>
      <w:lvlText w:val="•"/>
      <w:numFmt w:val="bullet"/>
      <w:start w:val="1"/>
    </w:lvl>
  </w:abstractNum>
  <w:abstractNum w:abstractNumId="158">
    <w:nsid w:val="15BCABA8"/>
    <w:multiLevelType w:val="hybridMultilevel"/>
    <w:lvl w:ilvl="0">
      <w:lvlJc w:val="left"/>
      <w:lvlText w:val="•"/>
      <w:numFmt w:val="bullet"/>
      <w:start w:val="1"/>
    </w:lvl>
  </w:abstractNum>
  <w:abstractNum w:abstractNumId="159">
    <w:nsid w:val="4E0B9A87"/>
    <w:multiLevelType w:val="hybridMultilevel"/>
    <w:lvl w:ilvl="0">
      <w:lvlJc w:val="left"/>
      <w:lvlText w:val="%1."/>
      <w:numFmt w:val="decimal"/>
      <w:start w:val="1"/>
    </w:lvl>
  </w:abstractNum>
  <w:abstractNum w:abstractNumId="160">
    <w:nsid w:val="434BAE75"/>
    <w:multiLevelType w:val="hybridMultilevel"/>
    <w:lvl w:ilvl="0">
      <w:lvlJc w:val="left"/>
      <w:lvlText w:val="%1."/>
      <w:numFmt w:val="decimal"/>
      <w:start w:val="1"/>
    </w:lvl>
  </w:abstractNum>
  <w:abstractNum w:abstractNumId="161">
    <w:nsid w:val="4F38F265"/>
    <w:multiLevelType w:val="hybridMultilevel"/>
    <w:lvl w:ilvl="0">
      <w:lvlJc w:val="left"/>
      <w:lvlText w:val="%1."/>
      <w:numFmt w:val="decimal"/>
      <w:start w:val="1"/>
    </w:lvl>
  </w:abstractNum>
  <w:abstractNum w:abstractNumId="162">
    <w:nsid w:val="4C502870"/>
    <w:multiLevelType w:val="hybridMultilevel"/>
    <w:lvl w:ilvl="0">
      <w:lvlJc w:val="left"/>
      <w:lvlText w:val="%1."/>
      <w:numFmt w:val="decimal"/>
      <w:start w:val="1"/>
    </w:lvl>
  </w:abstractNum>
  <w:abstractNum w:abstractNumId="163">
    <w:nsid w:val="1DE8725A"/>
    <w:multiLevelType w:val="hybridMultilevel"/>
    <w:lvl w:ilvl="0">
      <w:lvlJc w:val="left"/>
      <w:lvlText w:val="%1."/>
      <w:numFmt w:val="decimal"/>
      <w:start w:val="2"/>
    </w:lvl>
  </w:abstractNum>
  <w:abstractNum w:abstractNumId="164">
    <w:nsid w:val="6A37288A"/>
    <w:multiLevelType w:val="hybridMultilevel"/>
    <w:lvl w:ilvl="0">
      <w:lvlJc w:val="left"/>
      <w:lvlText w:val="%1."/>
      <w:numFmt w:val="decimal"/>
      <w:start w:val="3"/>
    </w:lvl>
  </w:abstractNum>
  <w:abstractNum w:abstractNumId="165">
    <w:nsid w:val="8F8B73F"/>
    <w:multiLevelType w:val="hybridMultilevel"/>
    <w:lvl w:ilvl="0">
      <w:lvlJc w:val="left"/>
      <w:lvlText w:val="%1."/>
      <w:numFmt w:val="decimal"/>
      <w:start w:val="4"/>
    </w:lvl>
  </w:abstractNum>
  <w:abstractNum w:abstractNumId="166">
    <w:nsid w:val="CA6B462"/>
    <w:multiLevelType w:val="hybridMultilevel"/>
    <w:lvl w:ilvl="0">
      <w:lvlJc w:val="left"/>
      <w:lvlText w:val="%1."/>
      <w:numFmt w:val="decimal"/>
      <w:start w:val="5"/>
    </w:lvl>
  </w:abstractNum>
  <w:abstractNum w:abstractNumId="167">
    <w:nsid w:val="763CB680"/>
    <w:multiLevelType w:val="hybridMultilevel"/>
    <w:lvl w:ilvl="0">
      <w:lvlJc w:val="left"/>
      <w:lvlText w:val="•"/>
      <w:numFmt w:val="bullet"/>
      <w:start w:val="1"/>
    </w:lvl>
  </w:abstractNum>
  <w:abstractNum w:abstractNumId="168">
    <w:nsid w:val="15B71329"/>
    <w:multiLevelType w:val="hybridMultilevel"/>
    <w:lvl w:ilvl="0">
      <w:lvlJc w:val="left"/>
      <w:lvlText w:val="-"/>
      <w:numFmt w:val="bullet"/>
      <w:start w:val="1"/>
    </w:lvl>
  </w:abstractNum>
  <w:abstractNum w:abstractNumId="169">
    <w:nsid w:val="3DA97044"/>
    <w:multiLevelType w:val="hybridMultilevel"/>
    <w:lvl w:ilvl="0">
      <w:lvlJc w:val="left"/>
      <w:lvlText w:val="-"/>
      <w:numFmt w:val="bullet"/>
      <w:start w:val="1"/>
    </w:lvl>
  </w:abstractNum>
  <w:abstractNum w:abstractNumId="170">
    <w:nsid w:val="1CDCE2DE"/>
    <w:multiLevelType w:val="hybridMultilevel"/>
    <w:lvl w:ilvl="0">
      <w:lvlJc w:val="left"/>
      <w:lvlText w:val="-"/>
      <w:numFmt w:val="bullet"/>
      <w:start w:val="1"/>
    </w:lvl>
    <w:lvl w:ilvl="1">
      <w:lvlJc w:val="left"/>
      <w:lvlText w:val="•"/>
      <w:numFmt w:val="bullet"/>
      <w:start w:val="1"/>
    </w:lvl>
  </w:abstractNum>
  <w:abstractNum w:abstractNumId="171">
    <w:nsid w:val="69D3947C"/>
    <w:multiLevelType w:val="hybridMultilevel"/>
    <w:lvl w:ilvl="0">
      <w:lvlJc w:val="left"/>
      <w:lvlText w:val="-"/>
      <w:numFmt w:val="bullet"/>
      <w:start w:val="1"/>
    </w:lvl>
  </w:abstractNum>
  <w:abstractNum w:abstractNumId="172">
    <w:nsid w:val="2539DFA5"/>
    <w:multiLevelType w:val="hybridMultilevel"/>
    <w:lvl w:ilvl="0">
      <w:lvlJc w:val="left"/>
      <w:lvlText w:val="-"/>
      <w:numFmt w:val="bullet"/>
      <w:start w:val="1"/>
    </w:lvl>
  </w:abstractNum>
  <w:abstractNum w:abstractNumId="173">
    <w:nsid w:val="2DB88089"/>
    <w:multiLevelType w:val="hybridMultilevel"/>
    <w:lvl w:ilvl="0">
      <w:lvlJc w:val="left"/>
      <w:lvlText w:val="-"/>
      <w:numFmt w:val="bullet"/>
      <w:start w:val="1"/>
    </w:lvl>
  </w:abstractNum>
  <w:abstractNum w:abstractNumId="174">
    <w:nsid w:val="706B674E"/>
    <w:multiLevelType w:val="hybridMultilevel"/>
    <w:lvl w:ilvl="0">
      <w:lvlJc w:val="left"/>
      <w:lvlText w:val="-"/>
      <w:numFmt w:val="bullet"/>
      <w:start w:val="1"/>
    </w:lvl>
  </w:abstractNum>
  <w:abstractNum w:abstractNumId="175">
    <w:nsid w:val="2C106A57"/>
    <w:multiLevelType w:val="hybridMultilevel"/>
    <w:lvl w:ilvl="0">
      <w:lvlJc w:val="left"/>
      <w:lvlText w:val="-"/>
      <w:numFmt w:val="bullet"/>
      <w:start w:val="1"/>
    </w:lvl>
  </w:abstractNum>
  <w:abstractNum w:abstractNumId="176">
    <w:nsid w:val="684EED59"/>
    <w:multiLevelType w:val="hybridMultilevel"/>
    <w:lvl w:ilvl="0">
      <w:lvlJc w:val="left"/>
      <w:lvlText w:val="-"/>
      <w:numFmt w:val="bullet"/>
      <w:start w:val="1"/>
    </w:lvl>
  </w:abstractNum>
  <w:abstractNum w:abstractNumId="177">
    <w:nsid w:val="545EE5D3"/>
    <w:multiLevelType w:val="hybridMultilevel"/>
    <w:lvl w:ilvl="0">
      <w:lvlJc w:val="left"/>
      <w:lvlText w:val="-"/>
      <w:numFmt w:val="bullet"/>
      <w:start w:val="1"/>
    </w:lvl>
  </w:abstractNum>
  <w:abstractNum w:abstractNumId="178">
    <w:nsid w:val="4A66051"/>
    <w:multiLevelType w:val="hybridMultilevel"/>
    <w:lvl w:ilvl="0">
      <w:lvlJc w:val="left"/>
      <w:lvlText w:val="-"/>
      <w:numFmt w:val="bullet"/>
      <w:start w:val="1"/>
    </w:lvl>
  </w:abstractNum>
  <w:abstractNum w:abstractNumId="179">
    <w:nsid w:val="20F4BDAD"/>
    <w:multiLevelType w:val="hybridMultilevel"/>
    <w:lvl w:ilvl="0">
      <w:lvlJc w:val="left"/>
      <w:lvlText w:val="-"/>
      <w:numFmt w:val="bullet"/>
      <w:start w:val="1"/>
    </w:lvl>
  </w:abstractNum>
  <w:abstractNum w:abstractNumId="180">
    <w:nsid w:val="639DEFAC"/>
    <w:multiLevelType w:val="hybridMultilevel"/>
    <w:lvl w:ilvl="0">
      <w:lvlJc w:val="left"/>
      <w:lvlText w:val="-"/>
      <w:numFmt w:val="bullet"/>
      <w:start w:val="1"/>
    </w:lvl>
  </w:abstractNum>
  <w:abstractNum w:abstractNumId="181">
    <w:nsid w:val="501F9786"/>
    <w:multiLevelType w:val="hybridMultilevel"/>
    <w:lvl w:ilvl="0">
      <w:lvlJc w:val="left"/>
      <w:lvlText w:val="-"/>
      <w:numFmt w:val="bullet"/>
      <w:start w:val="1"/>
    </w:lvl>
  </w:abstractNum>
  <w:abstractNum w:abstractNumId="182">
    <w:nsid w:val="6B057295"/>
    <w:multiLevelType w:val="hybridMultilevel"/>
    <w:lvl w:ilvl="0">
      <w:lvlJc w:val="left"/>
      <w:lvlText w:val="%1."/>
      <w:numFmt w:val="decimal"/>
      <w:start w:val="1"/>
    </w:lvl>
  </w:abstractNum>
  <w:abstractNum w:abstractNumId="183">
    <w:nsid w:val="2771AC80"/>
    <w:multiLevelType w:val="hybridMultilevel"/>
    <w:lvl w:ilvl="0">
      <w:lvlJc w:val="left"/>
      <w:lvlText w:val="%1."/>
      <w:numFmt w:val="decimal"/>
      <w:start w:val="3"/>
    </w:lvl>
  </w:abstractNum>
  <w:abstractNum w:abstractNumId="184">
    <w:nsid w:val="1C4A08EC"/>
    <w:multiLevelType w:val="hybridMultilevel"/>
    <w:lvl w:ilvl="0">
      <w:lvlJc w:val="left"/>
      <w:lvlText w:val="%1."/>
      <w:numFmt w:val="decimal"/>
      <w:start w:val="1"/>
    </w:lvl>
  </w:abstractNum>
  <w:abstractNum w:abstractNumId="185">
    <w:nsid w:val="1958BD17"/>
    <w:multiLevelType w:val="hybridMultilevel"/>
    <w:lvl w:ilvl="0">
      <w:lvlJc w:val="left"/>
      <w:lvlText w:val="%1."/>
      <w:numFmt w:val="decimal"/>
      <w:start w:val="1"/>
    </w:lvl>
  </w:abstractNum>
  <w:abstractNum w:abstractNumId="186">
    <w:nsid w:val="4E647FE4"/>
    <w:multiLevelType w:val="hybridMultilevel"/>
    <w:lvl w:ilvl="0">
      <w:lvlJc w:val="left"/>
      <w:lvlText w:val="-"/>
      <w:numFmt w:val="bullet"/>
      <w:start w:val="1"/>
    </w:lvl>
  </w:abstractNum>
  <w:abstractNum w:abstractNumId="187">
    <w:nsid w:val="E0BB885"/>
    <w:multiLevelType w:val="hybridMultilevel"/>
    <w:lvl w:ilvl="0">
      <w:lvlJc w:val="left"/>
      <w:lvlText w:val="%1."/>
      <w:numFmt w:val="decimal"/>
      <w:start w:val="1"/>
    </w:lvl>
    <w:lvl w:ilvl="1">
      <w:lvlJc w:val="left"/>
      <w:lvlText w:val="-"/>
      <w:numFmt w:val="bullet"/>
      <w:start w:val="1"/>
    </w:lvl>
  </w:abstractNum>
  <w:abstractNum w:abstractNumId="188">
    <w:nsid w:val="565976F1"/>
    <w:multiLevelType w:val="hybridMultilevel"/>
    <w:lvl w:ilvl="0">
      <w:lvlJc w:val="left"/>
      <w:lvlText w:val="%1."/>
      <w:numFmt w:val="decimal"/>
      <w:start w:val="2"/>
    </w:lvl>
    <w:lvl w:ilvl="1">
      <w:lvlJc w:val="left"/>
      <w:lvlText w:val="-"/>
      <w:numFmt w:val="bullet"/>
      <w:start w:val="1"/>
    </w:lvl>
  </w:abstractNum>
  <w:abstractNum w:abstractNumId="189">
    <w:nsid w:val="64212B8C"/>
    <w:multiLevelType w:val="hybridMultilevel"/>
    <w:lvl w:ilvl="0">
      <w:lvlJc w:val="left"/>
      <w:lvlText w:val="%1."/>
      <w:numFmt w:val="decimal"/>
      <w:start w:val="4"/>
    </w:lvl>
    <w:lvl w:ilvl="1">
      <w:lvlJc w:val="left"/>
      <w:lvlText w:val="-"/>
      <w:numFmt w:val="bullet"/>
      <w:start w:val="1"/>
    </w:lvl>
  </w:abstractNum>
  <w:abstractNum w:abstractNumId="190">
    <w:nsid w:val="5C17530C"/>
    <w:multiLevelType w:val="hybridMultilevel"/>
    <w:lvl w:ilvl="0">
      <w:lvlJc w:val="left"/>
      <w:lvlText w:val="%1."/>
      <w:numFmt w:val="decimal"/>
      <w:start w:val="5"/>
    </w:lvl>
  </w:abstractNum>
  <w:abstractNum w:abstractNumId="191">
    <w:nsid w:val="19A52566"/>
    <w:multiLevelType w:val="hybridMultilevel"/>
    <w:lvl w:ilvl="0">
      <w:lvlJc w:val="left"/>
      <w:lvlText w:val="-"/>
      <w:numFmt w:val="bullet"/>
      <w:start w:val="1"/>
    </w:lvl>
  </w:abstractNum>
  <w:abstractNum w:abstractNumId="192">
    <w:nsid w:val="335A1DF1"/>
    <w:multiLevelType w:val="hybridMultilevel"/>
    <w:lvl w:ilvl="0">
      <w:lvlJc w:val="left"/>
      <w:lvlText w:val="-"/>
      <w:numFmt w:val="bullet"/>
      <w:start w:val="1"/>
    </w:lvl>
  </w:abstractNum>
  <w:abstractNum w:abstractNumId="193">
    <w:nsid w:val="28677B7C"/>
    <w:multiLevelType w:val="hybridMultilevel"/>
    <w:lvl w:ilvl="0">
      <w:lvlJc w:val="left"/>
      <w:lvlText w:val="-"/>
      <w:numFmt w:val="bullet"/>
      <w:start w:val="1"/>
    </w:lvl>
  </w:abstractNum>
  <w:abstractNum w:abstractNumId="194">
    <w:nsid w:val="378D97C0"/>
    <w:multiLevelType w:val="hybridMultilevel"/>
    <w:lvl w:ilvl="0">
      <w:lvlJc w:val="left"/>
      <w:lvlText w:val="-"/>
      <w:numFmt w:val="bullet"/>
      <w:start w:val="1"/>
    </w:lvl>
  </w:abstractNum>
  <w:abstractNum w:abstractNumId="195">
    <w:nsid w:val="1D91467C"/>
    <w:multiLevelType w:val="hybridMultilevel"/>
    <w:lvl w:ilvl="0">
      <w:lvlJc w:val="left"/>
      <w:lvlText w:val="-"/>
      <w:numFmt w:val="bullet"/>
      <w:start w:val="1"/>
    </w:lvl>
  </w:abstractNum>
  <w:abstractNum w:abstractNumId="196">
    <w:nsid w:val="316032BB"/>
    <w:multiLevelType w:val="hybridMultilevel"/>
    <w:lvl w:ilvl="0">
      <w:lvlJc w:val="left"/>
      <w:lvlText w:val="-"/>
      <w:numFmt w:val="bullet"/>
      <w:start w:val="1"/>
    </w:lvl>
  </w:abstractNum>
  <w:abstractNum w:abstractNumId="197">
    <w:nsid w:val="44344C22"/>
    <w:multiLevelType w:val="hybridMultilevel"/>
    <w:lvl w:ilvl="0">
      <w:lvlJc w:val="left"/>
      <w:lvlText w:val="%1."/>
      <w:numFmt w:val="decimal"/>
      <w:start w:val="1"/>
    </w:lvl>
  </w:abstractNum>
  <w:abstractNum w:abstractNumId="198">
    <w:nsid w:val="13CDFCFC"/>
    <w:multiLevelType w:val="hybridMultilevel"/>
    <w:lvl w:ilvl="0">
      <w:lvlJc w:val="left"/>
      <w:lvlText w:val="%1."/>
      <w:numFmt w:val="decimal"/>
      <w:start w:val="2"/>
    </w:lvl>
  </w:abstractNum>
  <w:abstractNum w:abstractNumId="199">
    <w:nsid w:val="471745E4"/>
    <w:multiLevelType w:val="hybridMultilevel"/>
    <w:lvl w:ilvl="0">
      <w:lvlJc w:val="left"/>
      <w:lvlText w:val="-"/>
      <w:numFmt w:val="bullet"/>
      <w:start w:val="1"/>
    </w:lvl>
  </w:abstractNum>
  <w:abstractNum w:abstractNumId="200">
    <w:nsid w:val="1DDBC66"/>
    <w:multiLevelType w:val="hybridMultilevel"/>
    <w:lvl w:ilvl="0">
      <w:lvlJc w:val="left"/>
      <w:lvlText w:val="-"/>
      <w:numFmt w:val="bullet"/>
      <w:start w:val="1"/>
    </w:lvl>
  </w:abstractNum>
  <w:abstractNum w:abstractNumId="201">
    <w:nsid w:val="30AADFDA"/>
    <w:multiLevelType w:val="hybridMultilevel"/>
    <w:lvl w:ilvl="0">
      <w:lvlJc w:val="left"/>
      <w:lvlText w:val="-"/>
      <w:numFmt w:val="bullet"/>
      <w:start w:val="1"/>
    </w:lvl>
  </w:abstractNum>
  <w:abstractNum w:abstractNumId="202">
    <w:nsid w:val="30EADA61"/>
    <w:multiLevelType w:val="hybridMultilevel"/>
    <w:lvl w:ilvl="0">
      <w:lvlJc w:val="left"/>
      <w:lvlText w:val="-"/>
      <w:numFmt w:val="bullet"/>
      <w:start w:val="1"/>
    </w:lvl>
  </w:abstractNum>
  <w:abstractNum w:abstractNumId="203">
    <w:nsid w:val="27179C0B"/>
    <w:multiLevelType w:val="hybridMultilevel"/>
    <w:lvl w:ilvl="0">
      <w:lvlJc w:val="left"/>
      <w:lvlText w:val="-"/>
      <w:numFmt w:val="bullet"/>
      <w:start w:val="1"/>
    </w:lvl>
  </w:abstractNum>
  <w:abstractNum w:abstractNumId="204">
    <w:nsid w:val="5E636063"/>
    <w:multiLevelType w:val="hybridMultilevel"/>
    <w:lvl w:ilvl="0">
      <w:lvlJc w:val="left"/>
      <w:lvlText w:val="-"/>
      <w:numFmt w:val="bullet"/>
      <w:start w:val="1"/>
    </w:lvl>
  </w:abstractNum>
  <w:abstractNum w:abstractNumId="205">
    <w:nsid w:val="215641AF"/>
    <w:multiLevelType w:val="hybridMultilevel"/>
    <w:lvl w:ilvl="0">
      <w:lvlJc w:val="left"/>
      <w:lvlText w:val="-"/>
      <w:numFmt w:val="bullet"/>
      <w:start w:val="1"/>
    </w:lvl>
  </w:abstractNum>
  <w:abstractNum w:abstractNumId="206">
    <w:nsid w:val="53280662"/>
    <w:multiLevelType w:val="hybridMultilevel"/>
    <w:lvl w:ilvl="0">
      <w:lvlJc w:val="left"/>
      <w:lvlText w:val="%1."/>
      <w:numFmt w:val="decimal"/>
      <w:start w:val="1"/>
    </w:lvl>
  </w:abstractNum>
  <w:abstractNum w:abstractNumId="207">
    <w:nsid w:val="46B24DBC"/>
    <w:multiLevelType w:val="hybridMultilevel"/>
    <w:lvl w:ilvl="0">
      <w:lvlJc w:val="left"/>
      <w:lvlText w:val="%1."/>
      <w:numFmt w:val="lowerLetter"/>
      <w:start w:val="1"/>
    </w:lvl>
  </w:abstractNum>
  <w:abstractNum w:abstractNumId="208">
    <w:nsid w:val="75B52783"/>
    <w:multiLevelType w:val="hybridMultilevel"/>
    <w:lvl w:ilvl="0">
      <w:lvlJc w:val="left"/>
      <w:lvlText w:val="%1."/>
      <w:numFmt w:val="decimal"/>
      <w:start w:val="1"/>
    </w:lvl>
  </w:abstractNum>
  <w:abstractNum w:abstractNumId="209">
    <w:nsid w:val="57CE66B4"/>
    <w:multiLevelType w:val="hybridMultilevel"/>
    <w:lvl w:ilvl="0">
      <w:lvlJc w:val="left"/>
      <w:lvlText w:val="-"/>
      <w:numFmt w:val="bullet"/>
      <w:start w:val="1"/>
    </w:lvl>
  </w:abstractNum>
  <w:abstractNum w:abstractNumId="210">
    <w:nsid w:val="67A70B69"/>
    <w:multiLevelType w:val="hybridMultilevel"/>
    <w:lvl w:ilvl="0">
      <w:lvlJc w:val="left"/>
      <w:lvlText w:val="-"/>
      <w:numFmt w:val="bullet"/>
      <w:start w:val="1"/>
    </w:lvl>
  </w:abstractNum>
  <w:abstractNum w:abstractNumId="211">
    <w:nsid w:val="5953172F"/>
    <w:multiLevelType w:val="hybridMultilevel"/>
    <w:lvl w:ilvl="0">
      <w:lvlJc w:val="left"/>
      <w:lvlText w:val="-"/>
      <w:numFmt w:val="bullet"/>
      <w:start w:val="1"/>
    </w:lvl>
  </w:abstractNum>
  <w:abstractNum w:abstractNumId="212">
    <w:nsid w:val="27EDFE3A"/>
    <w:multiLevelType w:val="hybridMultilevel"/>
    <w:lvl w:ilvl="0">
      <w:lvlJc w:val="left"/>
      <w:lvlText w:val="-"/>
      <w:numFmt w:val="bullet"/>
      <w:start w:val="1"/>
    </w:lvl>
  </w:abstractNum>
  <w:abstractNum w:abstractNumId="213">
    <w:nsid w:val="52AC7DFF"/>
    <w:multiLevelType w:val="hybridMultilevel"/>
    <w:lvl w:ilvl="0">
      <w:lvlJc w:val="left"/>
      <w:lvlText w:val="•"/>
      <w:numFmt w:val="bullet"/>
      <w:start w:val="1"/>
    </w:lvl>
  </w:abstractNum>
  <w:abstractNum w:abstractNumId="214">
    <w:nsid w:val="C4C3AF"/>
    <w:multiLevelType w:val="hybridMultilevel"/>
    <w:lvl w:ilvl="0">
      <w:lvlJc w:val="left"/>
      <w:lvlText w:val="•"/>
      <w:numFmt w:val="bullet"/>
      <w:start w:val="1"/>
    </w:lvl>
  </w:abstractNum>
  <w:abstractNum w:abstractNumId="215">
    <w:nsid w:val="44380727"/>
    <w:multiLevelType w:val="hybridMultilevel"/>
    <w:lvl w:ilvl="0">
      <w:lvlJc w:val="left"/>
      <w:lvlText w:val="•"/>
      <w:numFmt w:val="bullet"/>
      <w:start w:val="1"/>
    </w:lvl>
  </w:abstractNum>
  <w:abstractNum w:abstractNumId="216">
    <w:nsid w:val="6C053B16"/>
    <w:multiLevelType w:val="hybridMultilevel"/>
    <w:lvl w:ilvl="0">
      <w:lvlJc w:val="left"/>
      <w:lvlText w:val="•"/>
      <w:numFmt w:val="bullet"/>
      <w:start w:val="1"/>
    </w:lvl>
  </w:abstractNum>
  <w:abstractNum w:abstractNumId="217">
    <w:nsid w:val="4F294393"/>
    <w:multiLevelType w:val="hybridMultilevel"/>
    <w:lvl w:ilvl="0">
      <w:lvlJc w:val="left"/>
      <w:lvlText w:val="•"/>
      <w:numFmt w:val="bullet"/>
      <w:start w:val="1"/>
    </w:lvl>
  </w:abstractNum>
  <w:abstractNum w:abstractNumId="218">
    <w:nsid w:val="5243BFAC"/>
    <w:multiLevelType w:val="hybridMultilevel"/>
    <w:lvl w:ilvl="0">
      <w:lvlJc w:val="left"/>
      <w:lvlText w:val="•"/>
      <w:numFmt w:val="bullet"/>
      <w:start w:val="1"/>
    </w:lvl>
  </w:abstractNum>
  <w:abstractNum w:abstractNumId="219">
    <w:nsid w:val="425EB207"/>
    <w:multiLevelType w:val="hybridMultilevel"/>
    <w:lvl w:ilvl="0">
      <w:lvlJc w:val="left"/>
      <w:lvlText w:val="•"/>
      <w:numFmt w:val="bullet"/>
      <w:start w:val="1"/>
    </w:lvl>
  </w:abstractNum>
  <w:abstractNum w:abstractNumId="220">
    <w:nsid w:val="334A6F1F"/>
    <w:multiLevelType w:val="hybridMultilevel"/>
    <w:lvl w:ilvl="0">
      <w:lvlJc w:val="left"/>
      <w:lvlText w:val="-"/>
      <w:numFmt w:val="bullet"/>
      <w:start w:val="1"/>
    </w:lvl>
  </w:abstractNum>
  <w:abstractNum w:abstractNumId="221">
    <w:nsid w:val="2E5B12B8"/>
    <w:multiLevelType w:val="hybridMultilevel"/>
    <w:lvl w:ilvl="0">
      <w:lvlJc w:val="left"/>
      <w:lvlText w:val="-"/>
      <w:numFmt w:val="bullet"/>
      <w:start w:val="1"/>
    </w:lvl>
  </w:abstractNum>
  <w:abstractNum w:abstractNumId="222">
    <w:nsid w:val="5C03D76D"/>
    <w:multiLevelType w:val="hybridMultilevel"/>
    <w:lvl w:ilvl="0">
      <w:lvlJc w:val="left"/>
      <w:lvlText w:val="-"/>
      <w:numFmt w:val="bullet"/>
      <w:start w:val="1"/>
    </w:lvl>
  </w:abstractNum>
  <w:abstractNum w:abstractNumId="223">
    <w:nsid w:val="66A48D11"/>
    <w:multiLevelType w:val="hybridMultilevel"/>
    <w:lvl w:ilvl="0">
      <w:lvlJc w:val="left"/>
      <w:lvlText w:val="-"/>
      <w:numFmt w:val="bullet"/>
      <w:start w:val="1"/>
    </w:lvl>
  </w:abstractNum>
  <w:abstractNum w:abstractNumId="224">
    <w:nsid w:val="56C28E34"/>
    <w:multiLevelType w:val="hybridMultilevel"/>
    <w:lvl w:ilvl="0">
      <w:lvlJc w:val="left"/>
      <w:lvlText w:val="-"/>
      <w:numFmt w:val="bullet"/>
      <w:start w:val="1"/>
    </w:lvl>
  </w:abstractNum>
  <w:abstractNum w:abstractNumId="225">
    <w:nsid w:val="13916F2D"/>
    <w:multiLevelType w:val="hybridMultilevel"/>
    <w:lvl w:ilvl="0">
      <w:lvlJc w:val="left"/>
      <w:lvlText w:val="•"/>
      <w:numFmt w:val="bullet"/>
      <w:start w:val="1"/>
    </w:lvl>
    <w:lvl w:ilvl="1">
      <w:lvlJc w:val="left"/>
      <w:lvlText w:val="-"/>
      <w:numFmt w:val="bullet"/>
      <w:start w:val="1"/>
    </w:lvl>
  </w:abstractNum>
  <w:abstractNum w:abstractNumId="226">
    <w:nsid w:val="435D38D"/>
    <w:multiLevelType w:val="hybridMultilevel"/>
    <w:lvl w:ilvl="0">
      <w:lvlJc w:val="left"/>
      <w:lvlText w:val="•"/>
      <w:numFmt w:val="bullet"/>
      <w:start w:val="1"/>
    </w:lvl>
  </w:abstractNum>
  <w:abstractNum w:abstractNumId="227">
    <w:nsid w:val="822C0EF"/>
    <w:multiLevelType w:val="hybridMultilevel"/>
    <w:lvl w:ilvl="0">
      <w:lvlJc w:val="left"/>
      <w:lvlText w:val="•"/>
      <w:numFmt w:val="bullet"/>
      <w:start w:val="1"/>
    </w:lvl>
  </w:abstractNum>
  <w:abstractNum w:abstractNumId="228">
    <w:nsid w:val="57C5BB4F"/>
    <w:multiLevelType w:val="hybridMultilevel"/>
    <w:lvl w:ilvl="0">
      <w:lvlJc w:val="left"/>
      <w:lvlText w:val="•"/>
      <w:numFmt w:val="bullet"/>
      <w:start w:val="1"/>
    </w:lvl>
  </w:abstractNum>
  <w:abstractNum w:abstractNumId="229">
    <w:nsid w:val="1803D089"/>
    <w:multiLevelType w:val="hybridMultilevel"/>
    <w:lvl w:ilvl="0">
      <w:lvlJc w:val="left"/>
      <w:lvlText w:val="•"/>
      <w:numFmt w:val="bullet"/>
      <w:start w:val="1"/>
    </w:lvl>
  </w:abstractNum>
  <w:abstractNum w:abstractNumId="230">
    <w:nsid w:val="4F3A06D4"/>
    <w:multiLevelType w:val="hybridMultilevel"/>
    <w:lvl w:ilvl="0">
      <w:lvlJc w:val="left"/>
      <w:lvlText w:val="•"/>
      <w:numFmt w:val="bullet"/>
      <w:start w:val="1"/>
    </w:lvl>
  </w:abstractNum>
  <w:abstractNum w:abstractNumId="231">
    <w:nsid w:val="59A377B6"/>
    <w:multiLevelType w:val="hybridMultilevel"/>
    <w:lvl w:ilvl="0">
      <w:lvlJc w:val="left"/>
      <w:lvlText w:val="•"/>
      <w:numFmt w:val="bullet"/>
      <w:start w:val="1"/>
    </w:lvl>
  </w:abstractNum>
  <w:abstractNum w:abstractNumId="232">
    <w:nsid w:val="48AEB063"/>
    <w:multiLevelType w:val="hybridMultilevel"/>
    <w:lvl w:ilvl="0">
      <w:lvlJc w:val="left"/>
      <w:lvlText w:val="•"/>
      <w:numFmt w:val="bullet"/>
      <w:start w:val="1"/>
    </w:lvl>
  </w:abstractNum>
  <w:abstractNum w:abstractNumId="233">
    <w:nsid w:val="24E135"/>
    <w:multiLevelType w:val="hybridMultilevel"/>
    <w:lvl w:ilvl="0">
      <w:lvlJc w:val="left"/>
      <w:lvlText w:val="•"/>
      <w:numFmt w:val="bullet"/>
      <w:start w:val="1"/>
    </w:lvl>
  </w:abstractNum>
  <w:abstractNum w:abstractNumId="234">
    <w:nsid w:val="BB13C1"/>
    <w:multiLevelType w:val="hybridMultilevel"/>
    <w:lvl w:ilvl="0">
      <w:lvlJc w:val="left"/>
      <w:lvlText w:val="•"/>
      <w:numFmt w:val="bullet"/>
      <w:start w:val="1"/>
    </w:lvl>
  </w:abstractNum>
  <w:abstractNum w:abstractNumId="235">
    <w:nsid w:val="271210C7"/>
    <w:multiLevelType w:val="hybridMultilevel"/>
    <w:lvl w:ilvl="0">
      <w:lvlJc w:val="left"/>
      <w:lvlText w:val="•"/>
      <w:numFmt w:val="bullet"/>
      <w:start w:val="1"/>
    </w:lvl>
  </w:abstractNum>
  <w:abstractNum w:abstractNumId="236">
    <w:nsid w:val="217B22E4"/>
    <w:multiLevelType w:val="hybridMultilevel"/>
    <w:lvl w:ilvl="0">
      <w:lvlJc w:val="left"/>
      <w:lvlText w:val="•"/>
      <w:numFmt w:val="bullet"/>
      <w:start w:val="1"/>
    </w:lvl>
  </w:abstractNum>
  <w:abstractNum w:abstractNumId="237">
    <w:nsid w:val="53E31A24"/>
    <w:multiLevelType w:val="hybridMultilevel"/>
    <w:lvl w:ilvl="0">
      <w:lvlJc w:val="left"/>
      <w:lvlText w:val="•"/>
      <w:numFmt w:val="bullet"/>
      <w:start w:val="1"/>
    </w:lvl>
  </w:abstractNum>
  <w:abstractNum w:abstractNumId="238">
    <w:nsid w:val="6DC45E83"/>
    <w:multiLevelType w:val="hybridMultilevel"/>
    <w:lvl w:ilvl="0">
      <w:lvlJc w:val="left"/>
      <w:lvlText w:val="•"/>
      <w:numFmt w:val="bullet"/>
      <w:start w:val="1"/>
    </w:lvl>
  </w:abstractNum>
  <w:abstractNum w:abstractNumId="239">
    <w:nsid w:val="17304A67"/>
    <w:multiLevelType w:val="hybridMultilevel"/>
    <w:lvl w:ilvl="0">
      <w:lvlJc w:val="left"/>
      <w:lvlText w:val="•"/>
      <w:numFmt w:val="bullet"/>
      <w:start w:val="1"/>
    </w:lvl>
  </w:abstractNum>
  <w:abstractNum w:abstractNumId="240">
    <w:nsid w:val="2BB180D8"/>
    <w:multiLevelType w:val="hybridMultilevel"/>
    <w:lvl w:ilvl="0">
      <w:lvlJc w:val="left"/>
      <w:lvlText w:val="•"/>
      <w:numFmt w:val="bullet"/>
      <w:start w:val="1"/>
    </w:lvl>
  </w:abstractNum>
  <w:abstractNum w:abstractNumId="241">
    <w:nsid w:val="556B69ED"/>
    <w:multiLevelType w:val="hybridMultilevel"/>
    <w:lvl w:ilvl="0">
      <w:lvlJc w:val="left"/>
      <w:lvlText w:val="%1:"/>
      <w:numFmt w:val="lowerLetter"/>
      <w:start w:val="29"/>
    </w:lvl>
  </w:abstractNum>
  <w:abstractNum w:abstractNumId="242">
    <w:nsid w:val="70836196"/>
    <w:multiLevelType w:val="hybridMultilevel"/>
    <w:lvl w:ilvl="0">
      <w:lvlJc w:val="left"/>
      <w:lvlText w:val="•"/>
      <w:numFmt w:val="bullet"/>
      <w:start w:val="1"/>
    </w:lvl>
    <w:lvl w:ilvl="1">
      <w:lvlJc w:val="left"/>
      <w:lvlText w:val="•"/>
      <w:numFmt w:val="bullet"/>
      <w:start w:val="1"/>
    </w:lvl>
  </w:abstractNum>
  <w:abstractNum w:abstractNumId="243">
    <w:nsid w:val="539F7F12"/>
    <w:multiLevelType w:val="hybridMultilevel"/>
    <w:lvl w:ilvl="0">
      <w:lvlJc w:val="left"/>
      <w:lvlText w:val="•"/>
      <w:numFmt w:val="bullet"/>
      <w:start w:val="1"/>
    </w:lvl>
    <w:lvl w:ilvl="1">
      <w:lvlJc w:val="left"/>
      <w:lvlText w:val="•"/>
      <w:numFmt w:val="bullet"/>
      <w:start w:val="1"/>
    </w:lvl>
  </w:abstractNum>
  <w:abstractNum w:abstractNumId="244">
    <w:nsid w:val="2817E7EC"/>
    <w:multiLevelType w:val="hybridMultilevel"/>
    <w:lvl w:ilvl="0">
      <w:lvlJc w:val="left"/>
      <w:lvlText w:val="•"/>
      <w:numFmt w:val="bullet"/>
      <w:start w:val="1"/>
    </w:lvl>
    <w:lvl w:ilvl="1">
      <w:lvlJc w:val="left"/>
      <w:lvlText w:val="•"/>
      <w:numFmt w:val="bullet"/>
      <w:start w:val="1"/>
    </w:lvl>
  </w:abstractNum>
  <w:abstractNum w:abstractNumId="245">
    <w:nsid w:val="71482545"/>
    <w:multiLevelType w:val="hybridMultilevel"/>
    <w:lvl w:ilvl="0">
      <w:lvlJc w:val="left"/>
      <w:lvlText w:val="•"/>
      <w:numFmt w:val="bullet"/>
      <w:start w:val="1"/>
    </w:lvl>
  </w:abstractNum>
  <w:abstractNum w:abstractNumId="246">
    <w:nsid w:val="17D78639"/>
    <w:multiLevelType w:val="hybridMultilevel"/>
    <w:lvl w:ilvl="0">
      <w:lvlJc w:val="left"/>
      <w:lvlText w:val="•"/>
      <w:numFmt w:val="bullet"/>
      <w:start w:val="1"/>
    </w:lvl>
    <w:lvl w:ilvl="1">
      <w:lvlJc w:val="left"/>
      <w:lvlText w:val="•"/>
      <w:numFmt w:val="bullet"/>
      <w:start w:val="1"/>
    </w:lvl>
  </w:abstractNum>
  <w:abstractNum w:abstractNumId="247">
    <w:nsid w:val="141D2302"/>
    <w:multiLevelType w:val="hybridMultilevel"/>
    <w:lvl w:ilvl="0">
      <w:lvlJc w:val="left"/>
      <w:lvlText w:val="%1."/>
      <w:numFmt w:val="decimal"/>
      <w:start w:val="1"/>
    </w:lvl>
    <w:lvl w:ilvl="1">
      <w:lvlJc w:val="left"/>
      <w:lvlText w:val="%2)"/>
      <w:numFmt w:val="lowerLetter"/>
      <w:start w:val="1"/>
    </w:lvl>
  </w:abstractNum>
  <w:abstractNum w:abstractNumId="248">
    <w:nsid w:val="407168D8"/>
    <w:multiLevelType w:val="hybridMultilevel"/>
    <w:lvl w:ilvl="0">
      <w:lvlJc w:val="left"/>
      <w:lvlText w:val="%1."/>
      <w:numFmt w:val="decimal"/>
      <w:start w:val="1"/>
    </w:lvl>
    <w:lvl w:ilvl="1">
      <w:lvlJc w:val="left"/>
      <w:lvlText w:val="%2)"/>
      <w:numFmt w:val="lowerLetter"/>
      <w:start w:val="1"/>
    </w:lvl>
  </w:abstractNum>
  <w:abstractNum w:abstractNumId="249">
    <w:nsid w:val="6A1B45E5"/>
    <w:multiLevelType w:val="hybridMultilevel"/>
    <w:lvl w:ilvl="0">
      <w:lvlJc w:val="left"/>
      <w:lvlText w:val="(%1)"/>
      <w:numFmt w:val="decimal"/>
      <w:start w:val="1"/>
    </w:lvl>
  </w:abstractNum>
  <w:abstractNum w:abstractNumId="250">
    <w:nsid w:val="567BD5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88" Type="http://schemas.openxmlformats.org/officeDocument/2006/relationships/image" Target="media/image5.png"/><Relationship Id="rId89" Type="http://schemas.openxmlformats.org/officeDocument/2006/relationships/image" Target="media/image6.png"/><Relationship Id="rId90" Type="http://schemas.openxmlformats.org/officeDocument/2006/relationships/image" Target="media/image7.png"/><Relationship Id="rId91" Type="http://schemas.openxmlformats.org/officeDocument/2006/relationships/image" Target="media/image8.jpeg"/><Relationship Id="rId92" Type="http://schemas.openxmlformats.org/officeDocument/2006/relationships/image" Target="media/image9.jpeg"/><Relationship Id="rId93" Type="http://schemas.openxmlformats.org/officeDocument/2006/relationships/image" Target="media/image10.jpeg"/><Relationship Id="rId94" Type="http://schemas.openxmlformats.org/officeDocument/2006/relationships/image" Target="media/image11.png"/><Relationship Id="rId95" Type="http://schemas.openxmlformats.org/officeDocument/2006/relationships/image" Target="media/image12.png"/><Relationship Id="rId96" Type="http://schemas.openxmlformats.org/officeDocument/2006/relationships/image" Target="media/image13.jpeg"/><Relationship Id="rId97" Type="http://schemas.openxmlformats.org/officeDocument/2006/relationships/image" Target="media/image14.jpeg"/><Relationship Id="rId98" Type="http://schemas.openxmlformats.org/officeDocument/2006/relationships/image" Target="media/image15.jpeg"/><Relationship Id="rId99" Type="http://schemas.openxmlformats.org/officeDocument/2006/relationships/image" Target="media/image16.jpeg"/><Relationship Id="rId100" Type="http://schemas.openxmlformats.org/officeDocument/2006/relationships/image" Target="media/image17.jpeg"/><Relationship Id="rId101" Type="http://schemas.openxmlformats.org/officeDocument/2006/relationships/image" Target="media/image18.jpeg"/><Relationship Id="rId102" Type="http://schemas.openxmlformats.org/officeDocument/2006/relationships/image" Target="media/image19.jpeg"/><Relationship Id="rId103" Type="http://schemas.openxmlformats.org/officeDocument/2006/relationships/image" Target="media/image20.jpeg"/><Relationship Id="rId104" Type="http://schemas.openxmlformats.org/officeDocument/2006/relationships/image" Target="media/image21.png"/><Relationship Id="rId105" Type="http://schemas.openxmlformats.org/officeDocument/2006/relationships/image" Target="media/image22.png"/><Relationship Id="rId106" Type="http://schemas.openxmlformats.org/officeDocument/2006/relationships/image" Target="media/image23.png"/><Relationship Id="rId107" Type="http://schemas.openxmlformats.org/officeDocument/2006/relationships/image" Target="media/image24.png"/><Relationship Id="rId12" Type="http://schemas.openxmlformats.org/officeDocument/2006/relationships/hyperlink" Target="http://www.sec.gov/Archives/edgar/data/1133421/000095012311032455/v59140exv10w1.htm" TargetMode="External"/><Relationship Id="rId13" Type="http://schemas.openxmlformats.org/officeDocument/2006/relationships/hyperlink" Target="http://www.sec.gov/Archives/edgar/data/1133421/000095012311032455/v59140exv10w2.htm" TargetMode="External"/><Relationship Id="rId14" Type="http://schemas.openxmlformats.org/officeDocument/2006/relationships/hyperlink" Target="http://www.sec.gov/Archives/edgar/data/1133421/000095015717001300/ex2-1.htm" TargetMode="External"/><Relationship Id="rId15" Type="http://schemas.openxmlformats.org/officeDocument/2006/relationships/hyperlink" Target="http://www.sec.gov/Archives/edgar/data/1133421/000113342112000033/noc-6302012xex31.htm" TargetMode="External"/><Relationship Id="rId16" Type="http://schemas.openxmlformats.org/officeDocument/2006/relationships/hyperlink" Target="http://www.sec.gov/Archives/edgar/data/1133421/000113342116000069/noc-form8xkx021616xex32.htm" TargetMode="External"/><Relationship Id="rId17" Type="http://schemas.openxmlformats.org/officeDocument/2006/relationships/hyperlink" Target="http://www.sec.gov/Archives/edgar/data/59880/000089843001000375/0000898430-01-000375-0004.txt" TargetMode="External"/><Relationship Id="rId18" Type="http://schemas.openxmlformats.org/officeDocument/2006/relationships/hyperlink" Target="http://www.sec.gov/Archives/edgar/data/72945/0000912057-94-003514.txt" TargetMode="External"/><Relationship Id="rId19" Type="http://schemas.openxmlformats.org/officeDocument/2006/relationships/hyperlink" Target="http://www.sec.gov/Archives/edgar/data/1133421/000095012311039852/v58707exv4w1.htm" TargetMode="External"/><Relationship Id="rId20" Type="http://schemas.openxmlformats.org/officeDocument/2006/relationships/hyperlink" Target="http://www.sec.gov/Archives/edgar/data/1133421/000095012311039852/v58707exv4w2.htm" TargetMode="External"/><Relationship Id="rId21" Type="http://schemas.openxmlformats.org/officeDocument/2006/relationships/hyperlink" Target="http://www.sec.gov/Archives/edgar/data/72945/0000912057-96-006729.txt" TargetMode="External"/><Relationship Id="rId22" Type="http://schemas.openxmlformats.org/officeDocument/2006/relationships/hyperlink" Target="http://www.sec.gov/Archives/edgar/data/1133421/000089843001500160/dex109.txt" TargetMode="External"/><Relationship Id="rId23" Type="http://schemas.openxmlformats.org/officeDocument/2006/relationships/hyperlink" Target="http://www.sec.gov/Archives/edgar/data/59880/0000950148-96-001149.txt" TargetMode="External"/><Relationship Id="rId24" Type="http://schemas.openxmlformats.org/officeDocument/2006/relationships/hyperlink" Target="http://www.sec.gov/Archives/edgar/data/1133421/000102140801500799/dex47.txt" TargetMode="External"/><Relationship Id="rId25" Type="http://schemas.openxmlformats.org/officeDocument/2006/relationships/hyperlink" Target="http://www.sec.gov/Archives/edgar/data/1133421/000089843003002012/dex4t.htm" TargetMode="External"/><Relationship Id="rId26" Type="http://schemas.openxmlformats.org/officeDocument/2006/relationships/hyperlink" Target="http://www.sec.gov/Archives/edgar/data/1133421/000095012311039852/v58707exv4w5.htm" TargetMode="External"/><Relationship Id="rId27" Type="http://schemas.openxmlformats.org/officeDocument/2006/relationships/hyperlink" Target="http://www.sec.gov/Archives/edgar/data/1133421/000095012311039852/v58707exv4w6.htm" TargetMode="External"/><Relationship Id="rId28" Type="http://schemas.openxmlformats.org/officeDocument/2006/relationships/hyperlink" Target="http://www.sec.gov/Archives/edgar/data/100030/000095015299006103/0000950152-99-006103.txt" TargetMode="External"/><Relationship Id="rId29" Type="http://schemas.openxmlformats.org/officeDocument/2006/relationships/hyperlink" Target="http://www.sec.gov/Archives/edgar/data/1133421/000095012310010126/v54508exv4wp.htm" TargetMode="External"/><Relationship Id="rId30" Type="http://schemas.openxmlformats.org/officeDocument/2006/relationships/hyperlink" Target="http://www.sec.gov/Archives/edgar/data/1133421/000095012311039852/v58707exv4w7.htm" TargetMode="External"/><Relationship Id="rId31" Type="http://schemas.openxmlformats.org/officeDocument/2006/relationships/hyperlink" Target="http://www.sec.gov/Archives/edgar/data/1133421/000095012311039852/v58707exv4w8.htm" TargetMode="External"/><Relationship Id="rId32" Type="http://schemas.openxmlformats.org/officeDocument/2006/relationships/hyperlink" Target="http://www.sec.gov/Archives/edgar/data/1133421/000089843001503659/dex41.txt" TargetMode="External"/><Relationship Id="rId33" Type="http://schemas.openxmlformats.org/officeDocument/2006/relationships/hyperlink" Target="http://www.sec.gov/Archives/edgar/data/1133421/000095012309027412/v53270exv4wxay.htm" TargetMode="External"/><Relationship Id="rId34" Type="http://schemas.openxmlformats.org/officeDocument/2006/relationships/hyperlink" Target="http://www.sec.gov/Archives/edgar/data/1133421/000095012310102289/v57777exv4wa.htm" TargetMode="External"/><Relationship Id="rId35" Type="http://schemas.openxmlformats.org/officeDocument/2006/relationships/hyperlink" Target="http://www.sec.gov/Archives/edgar/data/1133421/000095012311039852/v58707exv4w9.htm" TargetMode="External"/><Relationship Id="rId36" Type="http://schemas.openxmlformats.org/officeDocument/2006/relationships/hyperlink" Target="http://www.sec.gov/Archives/edgar/data/1133421/000095012311039852/v58707exv4w10.htm" TargetMode="External"/><Relationship Id="rId37" Type="http://schemas.openxmlformats.org/officeDocument/2006/relationships/hyperlink" Target="http://www.sec.gov/Archives/edgar/data/1133421/000119312513243040/d545882dex4a.htm" TargetMode="External"/><Relationship Id="rId38" Type="http://schemas.openxmlformats.org/officeDocument/2006/relationships/hyperlink" Target="http://www.sec.gov/Archives/edgar/data/1133421/000119312515037499/d865409dex41.htm" TargetMode="External"/><Relationship Id="rId39" Type="http://schemas.openxmlformats.org/officeDocument/2006/relationships/hyperlink" Target="http://www.sec.gov/Archives/edgar/data/1133421/000119312516782630/d301589dex41.htm" TargetMode="External"/><Relationship Id="rId40" Type="http://schemas.openxmlformats.org/officeDocument/2006/relationships/hyperlink" Target="http://www.sec.gov/Archives/edgar/data/1133421/000119312517309966/d463997dex41.htm" TargetMode="External"/><Relationship Id="rId41" Type="http://schemas.openxmlformats.org/officeDocument/2006/relationships/hyperlink" Target="http://www.sec.gov/Archives/edgar/data/1133421/000119312515249197/d95748dex101.htm" TargetMode="External"/><Relationship Id="rId42" Type="http://schemas.openxmlformats.org/officeDocument/2006/relationships/hyperlink" Target="http://www.sec.gov/Archives/edgar/data/1133421/000089843001500160/dex1010.txt" TargetMode="External"/><Relationship Id="rId43" Type="http://schemas.openxmlformats.org/officeDocument/2006/relationships/hyperlink" Target="http://www.sec.gov/Archives/edgar/data/1133421/000089843001500160/dex1011.txt" TargetMode="External"/><Relationship Id="rId44" Type="http://schemas.openxmlformats.org/officeDocument/2006/relationships/hyperlink" Target="http://www.sec.gov/Archives/edgar/data/1133421/000095013003003625/dex42.htm" TargetMode="External"/><Relationship Id="rId45" Type="http://schemas.openxmlformats.org/officeDocument/2006/relationships/hyperlink" Target="http://www.sec.gov/Archives/edgar/data/1133421/000095012309024563/v52989exv10w1.htm" TargetMode="External"/><Relationship Id="rId46" Type="http://schemas.openxmlformats.org/officeDocument/2006/relationships/hyperlink" Target="http://www.sec.gov/Archives/edgar/data/1133421/000095012408000713/v37202exv10wxqy.htm" TargetMode="External"/><Relationship Id="rId47" Type="http://schemas.openxmlformats.org/officeDocument/2006/relationships/hyperlink" Target="http://www.sec.gov/Archives/edgar/data/1133421/000119312508085595/ddef14a.htm" TargetMode="External"/><Relationship Id="rId48" Type="http://schemas.openxmlformats.org/officeDocument/2006/relationships/hyperlink" Target="http://www.sec.gov/Archives/edgar/data/1133421/000095012310039323/v55417exv10w3.htm" TargetMode="External"/><Relationship Id="rId49" Type="http://schemas.openxmlformats.org/officeDocument/2006/relationships/hyperlink" Target="http://www.sec.gov/Archives/edgar/data/1133421/000095012311016578/v58768exv10w1.htm" TargetMode="External"/><Relationship Id="rId50" Type="http://schemas.openxmlformats.org/officeDocument/2006/relationships/hyperlink" Target="http://www.sec.gov/Archives/edgar/data/1133421/000119312515120112/d883285ddef14a.htm#rom883285_55" TargetMode="External"/><Relationship Id="rId51" Type="http://schemas.openxmlformats.org/officeDocument/2006/relationships/hyperlink" Target="http://www.sec.gov/Archives/edgar/data/1133421/000113342115000057/noc-9302015xex101.htm" TargetMode="External"/><Relationship Id="rId52" Type="http://schemas.openxmlformats.org/officeDocument/2006/relationships/hyperlink" Target="http://www.sec.gov/Archives/edgar/data/1133421/000113342116000080/noc-03312016xex101.htm" TargetMode="External"/><Relationship Id="rId53" Type="http://schemas.openxmlformats.org/officeDocument/2006/relationships/hyperlink" Target="http://www.sec.gov/Archives/edgar/data/1133421/000113342116000080/noc-03312016xex102.htm" TargetMode="External"/><Relationship Id="rId54" Type="http://schemas.openxmlformats.org/officeDocument/2006/relationships/hyperlink" Target="http://www.sec.gov/Archives/edgar/data/1133421/000113342117000020/noc-03312017xex101.htm" TargetMode="External"/><Relationship Id="rId55" Type="http://schemas.openxmlformats.org/officeDocument/2006/relationships/hyperlink" Target="http://www.sec.gov/Archives/edgar/data/1133421/000113342117000020/noc-03312017xex102.htm" TargetMode="External"/><Relationship Id="rId56" Type="http://schemas.openxmlformats.org/officeDocument/2006/relationships/hyperlink" Target="http://www.sec.gov/Archives/edgar/data/1133421/000113342117000038/noc-06302017xex102.htm" TargetMode="External"/><Relationship Id="rId57" Type="http://schemas.openxmlformats.org/officeDocument/2006/relationships/hyperlink" Target="http://www.sec.gov/Archives/edgar/data/1133421/000113342115000008/noc-12312014xex10h.htm" TargetMode="External"/><Relationship Id="rId58" Type="http://schemas.openxmlformats.org/officeDocument/2006/relationships/hyperlink" Target="http://www.sec.gov/Archives/edgar/data/1133421/000119312512045323/d250683dex10jii.htm" TargetMode="External"/><Relationship Id="rId59" Type="http://schemas.openxmlformats.org/officeDocument/2006/relationships/hyperlink" Target="http://www.sec.gov/Archives/edgar/data/1133421/000113342115000008/noc-12312014xex10hii.htm" TargetMode="External"/><Relationship Id="rId60" Type="http://schemas.openxmlformats.org/officeDocument/2006/relationships/hyperlink" Target="http://www.sec.gov/Archives/edgar/data/1133421/000113342114000008/noc-form8xkx022014xex101.htm" TargetMode="External"/><Relationship Id="rId61" Type="http://schemas.openxmlformats.org/officeDocument/2006/relationships/hyperlink" Target="http://www.sec.gov/Archives/edgar/data/1133421/000113342114000008/noc-form8xkx022014xex102.htm" TargetMode="External"/><Relationship Id="rId62" Type="http://schemas.openxmlformats.org/officeDocument/2006/relationships/hyperlink" Target="http://www.sec.gov/Archives/edgar/data/1133421/000113342114000049/noc-06302014xex102.htm" TargetMode="External"/><Relationship Id="rId63" Type="http://schemas.openxmlformats.org/officeDocument/2006/relationships/hyperlink" Target="http://www.sec.gov/Archives/edgar/data/1133421/000113342114000049/noc-06302014xex103.htm" TargetMode="External"/><Relationship Id="rId64" Type="http://schemas.openxmlformats.org/officeDocument/2006/relationships/hyperlink" Target="http://www.sec.gov/Archives/edgar/data/1133421/000113342115000016/noc-form8xkx021815xex101.htm" TargetMode="External"/><Relationship Id="rId65" Type="http://schemas.openxmlformats.org/officeDocument/2006/relationships/hyperlink" Target="http://www.sec.gov/Archives/edgar/data/1133421/000113342115000016/noc-form8xkx021815xex102.htm" TargetMode="External"/><Relationship Id="rId66" Type="http://schemas.openxmlformats.org/officeDocument/2006/relationships/hyperlink" Target="http://www.sec.gov/Archives/edgar/data/1133421/000113342114000006/noc-12312013xex10l.htm" TargetMode="External"/><Relationship Id="rId67" Type="http://schemas.openxmlformats.org/officeDocument/2006/relationships/hyperlink" Target="http://www.sec.gov/Archives/edgar/data/1133421/000113342114000006/noc-12312013xex10li.htm" TargetMode="External"/><Relationship Id="rId68" Type="http://schemas.openxmlformats.org/officeDocument/2006/relationships/hyperlink" Target="http://www.sec.gov/Archives/edgar/data/1133421/000119312512045323/d250683dex10kiii.htm" TargetMode="External"/><Relationship Id="rId69" Type="http://schemas.openxmlformats.org/officeDocument/2006/relationships/hyperlink" Target="http://www.sec.gov/Archives/edgar/data/1133421/000119312512045323/d250683dex10kiv.htm" TargetMode="External"/><Relationship Id="rId70" Type="http://schemas.openxmlformats.org/officeDocument/2006/relationships/hyperlink" Target="http://www.sec.gov/Archives/edgar/data/1133421/000113342116000065/noc-12312015xex10kiv.htm" TargetMode="External"/><Relationship Id="rId71" Type="http://schemas.openxmlformats.org/officeDocument/2006/relationships/hyperlink" Target="http://www.sec.gov/Archives/edgar/data/1133421/000113342114000006/noc-12312013xex10m.htm" TargetMode="External"/><Relationship Id="rId72" Type="http://schemas.openxmlformats.org/officeDocument/2006/relationships/hyperlink" Target="http://www.sec.gov/Archives/edgar/data/1133421/000113342116000065/noc-12312015xex10m.htm" TargetMode="External"/><Relationship Id="rId73" Type="http://schemas.openxmlformats.org/officeDocument/2006/relationships/hyperlink" Target="http://www.sec.gov/Archives/edgar/data/1133421/000113342116000103/noc-06302016xex101.htm" TargetMode="External"/><Relationship Id="rId74" Type="http://schemas.openxmlformats.org/officeDocument/2006/relationships/hyperlink" Target="http://www.sec.gov/Archives/edgar/data/1133421/000113342117000038/noc-06302017xex101.htm" TargetMode="External"/><Relationship Id="rId75" Type="http://schemas.openxmlformats.org/officeDocument/2006/relationships/hyperlink" Target="http://www.sec.gov/Archives/edgar/data/1133421/000113342112000015/noc-3312012xex103.htm" TargetMode="External"/><Relationship Id="rId76" Type="http://schemas.openxmlformats.org/officeDocument/2006/relationships/hyperlink" Target="http://www.sec.gov/Archives/edgar/data/1133421/000113342116000080/noc-03312016xex103.htm" TargetMode="External"/><Relationship Id="rId77" Type="http://schemas.openxmlformats.org/officeDocument/2006/relationships/hyperlink" Target="http://www.sec.gov/Archives/edgar/data/1133421/000095013409008088/v51970exv10w6.htm" TargetMode="External"/><Relationship Id="rId78" Type="http://schemas.openxmlformats.org/officeDocument/2006/relationships/hyperlink" Target="http://www.sec.gov/Archives/edgar/data/1133421/000095013409008088/v51970exv10w7.htm" TargetMode="External"/><Relationship Id="rId79" Type="http://schemas.openxmlformats.org/officeDocument/2006/relationships/hyperlink" Target="http://www.sec.gov/Archives/edgar/data/1133421/000113342116000080/noc-03312016xex105.htm" TargetMode="External"/><Relationship Id="rId80" Type="http://schemas.openxmlformats.org/officeDocument/2006/relationships/hyperlink" Target="http://www.sec.gov/Archives/edgar/data/1133421/000113342116000080/noc-03312016xex104.htm" TargetMode="External"/><Relationship Id="rId81" Type="http://schemas.openxmlformats.org/officeDocument/2006/relationships/hyperlink" Target="http://www.sec.gov/Archives/edgar/data/1133421/000113342117000008/noc-12312016xex10y.htm" TargetMode="External"/><Relationship Id="rId82" Type="http://schemas.openxmlformats.org/officeDocument/2006/relationships/hyperlink" Target="http://www.sec.gov/Archives/edgar/data/1133421/000095013409008088/v51970exv10w3.htm" TargetMode="External"/><Relationship Id="rId83" Type="http://schemas.openxmlformats.org/officeDocument/2006/relationships/hyperlink" Target="http://www.sec.gov/Archives/edgar/data/1133421/000113342117000008/noc-12312016xex10dd.htm" TargetMode="External"/><Relationship Id="rId84" Type="http://schemas.openxmlformats.org/officeDocument/2006/relationships/hyperlink" Target="http://www.sec.gov/Archives/edgar/data/1133421/000095012309072345/v54694exv10w2.htm" TargetMode="External"/><Relationship Id="rId85" Type="http://schemas.openxmlformats.org/officeDocument/2006/relationships/hyperlink" Target="http://www.sec.gov/Archives/edgar/data/1133421/000113342116000065/noc-12312015xex10ii.htm" TargetMode="External"/><Relationship Id="rId86" Type="http://schemas.openxmlformats.org/officeDocument/2006/relationships/hyperlink" Target="http://www.sec.gov/Archives/edgar/data/1133421/000113342116000065/noc-12312015xex10jj.htm" TargetMode="External"/><Relationship Id="rId87" Type="http://schemas.openxmlformats.org/officeDocument/2006/relationships/hyperlink" Target="http://www.sec.gov/Archives/edgar/data/1133421/000113342117000014/noc-form8xk022717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2019-12-29T02:08:30Z</dcterms:created>
  <dcterms:modified xsi:type="dcterms:W3CDTF">2019-12-29T02:08:30Z</dcterms:modified>
</cp:coreProperties>
</file>