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10-K</w:t>
      </w:r>
    </w:p>
    <w:p>
      <w:pPr>
        <w:spacing w:after="0" w:line="398" w:lineRule="exact"/>
        <w:rPr>
          <w:sz w:val="24"/>
          <w:szCs w:val="24"/>
          <w:color w:val="auto"/>
        </w:rPr>
      </w:pPr>
    </w:p>
    <w:p>
      <w:pPr>
        <w:ind w:left="520" w:right="2259" w:hanging="515"/>
        <w:spacing w:after="0" w:line="244"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1934</w:t>
      </w:r>
    </w:p>
    <w:p>
      <w:pPr>
        <w:spacing w:after="0" w:line="198"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 the fiscal year ended December 31, 1999</w:t>
      </w:r>
    </w:p>
    <w:p>
      <w:pPr>
        <w:spacing w:after="0" w:line="4"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4"/>
          <w:szCs w:val="24"/>
          <w:color w:val="auto"/>
        </w:rPr>
      </w:pPr>
    </w:p>
    <w:p>
      <w:pPr>
        <w:ind w:left="520" w:right="2779" w:hanging="515"/>
        <w:spacing w:after="0" w:line="244" w:lineRule="auto"/>
        <w:tabs>
          <w:tab w:leader="none" w:pos="21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ectPr>
          <w:pgSz w:w="11900" w:h="16838" w:orient="portrait"/>
          <w:cols w:equalWidth="0" w:num="1">
            <w:col w:w="10139"/>
          </w:cols>
          <w:pgMar w:left="320" w:top="639" w:right="1440" w:bottom="1440" w:gutter="0" w:footer="0" w:header="0"/>
        </w:sectPr>
      </w:pPr>
    </w:p>
    <w:p>
      <w:pPr>
        <w:spacing w:after="0" w:line="199" w:lineRule="exact"/>
        <w:rPr>
          <w:sz w:val="24"/>
          <w:szCs w:val="24"/>
          <w:color w:val="auto"/>
        </w:rPr>
      </w:pPr>
    </w:p>
    <w:p>
      <w:pPr>
        <w:ind w:left="1140" w:right="1340" w:hanging="510"/>
        <w:spacing w:after="0" w:line="244" w:lineRule="auto"/>
        <w:rPr>
          <w:sz w:val="20"/>
          <w:szCs w:val="20"/>
          <w:color w:val="auto"/>
        </w:rPr>
      </w:pPr>
      <w:r>
        <w:rPr>
          <w:rFonts w:ascii="Courier New" w:cs="Courier New" w:eastAsia="Courier New" w:hAnsi="Courier New"/>
          <w:sz w:val="17"/>
          <w:szCs w:val="17"/>
          <w:color w:val="auto"/>
        </w:rPr>
        <w:t>For the transition period from to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15"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1-3229</w:t>
      </w:r>
    </w:p>
    <w:p>
      <w:pPr>
        <w:spacing w:after="0" w:line="200" w:lineRule="exact"/>
        <w:rPr>
          <w:sz w:val="24"/>
          <w:szCs w:val="24"/>
          <w:color w:val="auto"/>
        </w:rPr>
      </w:pPr>
    </w:p>
    <w:p>
      <w:pPr>
        <w:sectPr>
          <w:pgSz w:w="11900" w:h="16838" w:orient="portrait"/>
          <w:cols w:equalWidth="0" w:num="2">
            <w:col w:w="5020" w:space="720"/>
            <w:col w:w="4399"/>
          </w:cols>
          <w:pgMar w:left="320" w:top="639" w:right="1440" w:bottom="1440" w:gutter="0" w:footer="0" w:header="0"/>
          <w:type w:val="continuous"/>
        </w:sectPr>
      </w:pPr>
    </w:p>
    <w:p>
      <w:pPr>
        <w:jc w:val="center"/>
        <w:ind w:right="2139"/>
        <w:spacing w:after="0"/>
        <w:rPr>
          <w:sz w:val="20"/>
          <w:szCs w:val="20"/>
          <w:color w:val="auto"/>
        </w:rPr>
      </w:pPr>
      <w:r>
        <w:rPr>
          <w:rFonts w:ascii="Courier New" w:cs="Courier New" w:eastAsia="Courier New" w:hAnsi="Courier New"/>
          <w:sz w:val="17"/>
          <w:szCs w:val="17"/>
          <w:color w:val="auto"/>
        </w:rPr>
        <w:t>NORTHROP GRUMMAN CORPORATION</w:t>
      </w:r>
    </w:p>
    <w:p>
      <w:pPr>
        <w:spacing w:after="0" w:line="4"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139"/>
          </w:cols>
          <w:pgMar w:left="320" w:top="639" w:right="1440" w:bottom="1440" w:gutter="0" w:footer="0" w:header="0"/>
          <w:type w:val="continuous"/>
        </w:sectPr>
      </w:pPr>
    </w:p>
    <w:p>
      <w:pPr>
        <w:spacing w:after="0" w:line="201"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95-1055798</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420" w:space="720"/>
            <w:col w:w="3999"/>
          </w:cols>
          <w:pgMar w:left="320" w:top="639" w:right="1440" w:bottom="1440" w:gutter="0" w:footer="0" w:header="0"/>
          <w:type w:val="continuous"/>
        </w:sectPr>
      </w:pPr>
    </w:p>
    <w:p>
      <w:pPr>
        <w:spacing w:after="0" w:line="1"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1840 Century Park East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Los Angeles, California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right"/>
        <w:ind w:right="2059"/>
        <w:spacing w:after="0"/>
        <w:rPr>
          <w:sz w:val="20"/>
          <w:szCs w:val="20"/>
          <w:color w:val="auto"/>
        </w:rPr>
      </w:pPr>
      <w:r>
        <w:rPr>
          <w:rFonts w:ascii="Courier New" w:cs="Courier New" w:eastAsia="Courier New" w:hAnsi="Courier New"/>
          <w:sz w:val="17"/>
          <w:szCs w:val="17"/>
          <w:color w:val="auto"/>
        </w:rPr>
        <w:t>90067</w:t>
      </w:r>
    </w:p>
    <w:p>
      <w:pPr>
        <w:spacing w:after="0" w:line="5" w:lineRule="exact"/>
        <w:rPr>
          <w:sz w:val="24"/>
          <w:szCs w:val="24"/>
          <w:color w:val="auto"/>
        </w:rPr>
      </w:pPr>
    </w:p>
    <w:p>
      <w:pPr>
        <w:jc w:val="right"/>
        <w:ind w:right="2059"/>
        <w:spacing w:after="0"/>
        <w:rPr>
          <w:sz w:val="20"/>
          <w:szCs w:val="20"/>
          <w:color w:val="auto"/>
        </w:rPr>
      </w:pPr>
      <w:r>
        <w:rPr>
          <w:rFonts w:ascii="Courier New" w:cs="Courier New" w:eastAsia="Courier New" w:hAnsi="Courier New"/>
          <w:sz w:val="16"/>
          <w:szCs w:val="16"/>
          <w:color w:val="auto"/>
        </w:rPr>
        <w:t>(Zip Code)</w:t>
      </w:r>
    </w:p>
    <w:p>
      <w:pPr>
        <w:spacing w:after="0" w:line="210" w:lineRule="exact"/>
        <w:rPr>
          <w:sz w:val="24"/>
          <w:szCs w:val="24"/>
          <w:color w:val="auto"/>
        </w:rPr>
      </w:pPr>
    </w:p>
    <w:p>
      <w:pPr>
        <w:sectPr>
          <w:pgSz w:w="11900" w:h="16838" w:orient="portrait"/>
          <w:cols w:equalWidth="0" w:num="2">
            <w:col w:w="6340" w:space="720"/>
            <w:col w:w="3079"/>
          </w:cols>
          <w:pgMar w:left="320" w:top="639" w:right="1440" w:bottom="1440" w:gutter="0" w:footer="0" w:header="0"/>
          <w:type w:val="continuous"/>
        </w:sectPr>
      </w:pPr>
    </w:p>
    <w:p>
      <w:pPr>
        <w:spacing w:after="0" w:line="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Registrant's telephone number, including area code (310) 553-6262</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5" w:lineRule="exact"/>
        <w:rPr>
          <w:sz w:val="24"/>
          <w:szCs w:val="24"/>
          <w:color w:val="auto"/>
        </w:rPr>
      </w:pPr>
    </w:p>
    <w:p>
      <w:pPr>
        <w:ind w:left="5940"/>
        <w:spacing w:after="0"/>
        <w:rPr>
          <w:sz w:val="20"/>
          <w:szCs w:val="20"/>
          <w:color w:val="auto"/>
        </w:rPr>
      </w:pPr>
      <w:r>
        <w:rPr>
          <w:rFonts w:ascii="Courier New" w:cs="Courier New" w:eastAsia="Courier New" w:hAnsi="Courier New"/>
          <w:sz w:val="16"/>
          <w:szCs w:val="16"/>
          <w:color w:val="auto"/>
        </w:rPr>
        <w:t>Name of each exchange</w:t>
      </w:r>
    </w:p>
    <w:p>
      <w:pPr>
        <w:spacing w:after="0" w:line="15" w:lineRule="exact"/>
        <w:rPr>
          <w:sz w:val="24"/>
          <w:szCs w:val="24"/>
          <w:color w:val="auto"/>
        </w:rPr>
      </w:pPr>
    </w:p>
    <w:p>
      <w:pPr>
        <w:ind w:left="520"/>
        <w:spacing w:after="0"/>
        <w:tabs>
          <w:tab w:leader="none" w:pos="6120" w:val="left"/>
        </w:tabs>
        <w:rPr>
          <w:sz w:val="20"/>
          <w:szCs w:val="20"/>
          <w:color w:val="auto"/>
        </w:rPr>
      </w:pPr>
      <w:r>
        <w:rPr>
          <w:rFonts w:ascii="Courier New" w:cs="Courier New" w:eastAsia="Courier New" w:hAnsi="Courier New"/>
          <w:sz w:val="17"/>
          <w:szCs w:val="17"/>
          <w:color w:val="auto"/>
        </w:rPr>
        <w:t>Title of each class</w:t>
      </w:r>
      <w:r>
        <w:rPr>
          <w:sz w:val="20"/>
          <w:szCs w:val="20"/>
          <w:color w:val="auto"/>
        </w:rPr>
        <w:tab/>
      </w:r>
      <w:r>
        <w:rPr>
          <w:rFonts w:ascii="Courier New" w:cs="Courier New" w:eastAsia="Courier New" w:hAnsi="Courier New"/>
          <w:sz w:val="17"/>
          <w:szCs w:val="17"/>
          <w:color w:val="auto"/>
        </w:rPr>
        <w:t>on which registered</w:t>
      </w:r>
    </w:p>
    <w:p>
      <w:pPr>
        <w:spacing w:after="0" w:line="4" w:lineRule="exact"/>
        <w:rPr>
          <w:sz w:val="24"/>
          <w:szCs w:val="24"/>
          <w:color w:val="auto"/>
        </w:rPr>
      </w:pPr>
    </w:p>
    <w:p>
      <w:pPr>
        <w:ind w:left="200"/>
        <w:spacing w:after="0"/>
        <w:tabs>
          <w:tab w:leader="none" w:pos="5500" w:val="left"/>
        </w:tabs>
        <w:rPr>
          <w:sz w:val="20"/>
          <w:szCs w:val="20"/>
          <w:color w:val="auto"/>
        </w:rPr>
      </w:pPr>
      <w:r>
        <w:rPr>
          <w:rFonts w:ascii="Courier New" w:cs="Courier New" w:eastAsia="Courier New" w:hAnsi="Courier New"/>
          <w:sz w:val="17"/>
          <w:szCs w:val="17"/>
          <w:color w:val="auto"/>
        </w:rPr>
        <w:t>Common Stock, $1 par value</w:t>
      </w:r>
      <w:r>
        <w:rPr>
          <w:sz w:val="20"/>
          <w:szCs w:val="20"/>
          <w:color w:val="auto"/>
        </w:rPr>
        <w:tab/>
      </w:r>
      <w:r>
        <w:rPr>
          <w:rFonts w:ascii="Courier New" w:cs="Courier New" w:eastAsia="Courier New" w:hAnsi="Courier New"/>
          <w:sz w:val="17"/>
          <w:szCs w:val="17"/>
          <w:color w:val="auto"/>
        </w:rPr>
        <w:t>New York Stock Exchange</w:t>
      </w:r>
    </w:p>
    <w:p>
      <w:pPr>
        <w:spacing w:after="0" w:line="5" w:lineRule="exact"/>
        <w:rPr>
          <w:sz w:val="24"/>
          <w:szCs w:val="24"/>
          <w:color w:val="auto"/>
        </w:rPr>
      </w:pPr>
    </w:p>
    <w:p>
      <w:pPr>
        <w:ind w:left="5840"/>
        <w:spacing w:after="0"/>
        <w:rPr>
          <w:sz w:val="20"/>
          <w:szCs w:val="20"/>
          <w:color w:val="auto"/>
        </w:rPr>
      </w:pPr>
      <w:r>
        <w:rPr>
          <w:rFonts w:ascii="Courier New" w:cs="Courier New" w:eastAsia="Courier New" w:hAnsi="Courier New"/>
          <w:sz w:val="16"/>
          <w:szCs w:val="16"/>
          <w:color w:val="auto"/>
        </w:rPr>
        <w:t>Pacific Stock Exchange</w:t>
      </w:r>
    </w:p>
    <w:p>
      <w:pPr>
        <w:sectPr>
          <w:pgSz w:w="11900" w:h="16838" w:orient="portrait"/>
          <w:cols w:equalWidth="0" w:num="1">
            <w:col w:w="10139"/>
          </w:cols>
          <w:pgMar w:left="320" w:top="639" w:right="1440" w:bottom="1440" w:gutter="0" w:footer="0" w:header="0"/>
          <w:type w:val="continuous"/>
        </w:sectPr>
      </w:pPr>
    </w:p>
    <w:p>
      <w:pPr>
        <w:spacing w:after="0" w:line="212"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01"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None</w:t>
      </w:r>
    </w:p>
    <w:p>
      <w:pPr>
        <w:spacing w:after="0" w:line="4"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jc w:val="both"/>
        <w:ind w:right="1959"/>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ectPr>
          <w:pgSz w:w="11900" w:h="16838" w:orient="portrait"/>
          <w:cols w:equalWidth="0" w:num="1">
            <w:col w:w="10139"/>
          </w:cols>
          <w:pgMar w:left="320" w:top="639" w:right="1440" w:bottom="1440" w:gutter="0" w:footer="0" w:header="0"/>
          <w:type w:val="continuous"/>
        </w:sectPr>
      </w:pPr>
    </w:p>
    <w:p>
      <w:pPr>
        <w:spacing w:after="0" w:line="201" w:lineRule="exact"/>
        <w:rPr>
          <w:sz w:val="24"/>
          <w:szCs w:val="24"/>
          <w:color w:val="auto"/>
        </w:rPr>
      </w:pPr>
    </w:p>
    <w:p>
      <w:pPr>
        <w:jc w:val="right"/>
        <w:ind w:right="2960"/>
        <w:spacing w:after="0"/>
        <w:rPr>
          <w:sz w:val="20"/>
          <w:szCs w:val="20"/>
          <w:color w:val="auto"/>
        </w:rPr>
      </w:pPr>
      <w:r>
        <w:rPr>
          <w:rFonts w:ascii="Courier New" w:cs="Courier New" w:eastAsia="Courier New" w:hAnsi="Courier New"/>
          <w:sz w:val="17"/>
          <w:szCs w:val="17"/>
          <w:color w:val="auto"/>
        </w:rPr>
        <w:t>Yes x</w:t>
      </w:r>
    </w:p>
    <w:p>
      <w:pPr>
        <w:spacing w:after="0" w:line="4" w:lineRule="exact"/>
        <w:rPr>
          <w:sz w:val="24"/>
          <w:szCs w:val="24"/>
          <w:color w:val="auto"/>
        </w:rPr>
      </w:pPr>
    </w:p>
    <w:p>
      <w:pPr>
        <w:jc w:val="right"/>
        <w:ind w:right="29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 __</w:t>
      </w:r>
    </w:p>
    <w:p>
      <w:pPr>
        <w:spacing w:after="0" w:line="396" w:lineRule="exact"/>
        <w:rPr>
          <w:sz w:val="24"/>
          <w:szCs w:val="24"/>
          <w:color w:val="auto"/>
        </w:rPr>
      </w:pPr>
    </w:p>
    <w:p>
      <w:pPr>
        <w:sectPr>
          <w:pgSz w:w="11900" w:h="16838" w:orient="portrait"/>
          <w:cols w:equalWidth="0" w:num="2">
            <w:col w:w="4500" w:space="720"/>
            <w:col w:w="4919"/>
          </w:cols>
          <w:pgMar w:left="320" w:top="639" w:right="1440" w:bottom="1440" w:gutter="0" w:footer="0" w:header="0"/>
          <w:type w:val="continuous"/>
        </w:sectPr>
      </w:pPr>
    </w:p>
    <w:p>
      <w:pPr>
        <w:spacing w:after="0" w:line="1" w:lineRule="exact"/>
        <w:rPr>
          <w:sz w:val="24"/>
          <w:szCs w:val="24"/>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1" w:lineRule="exact"/>
        <w:rPr>
          <w:sz w:val="24"/>
          <w:szCs w:val="24"/>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As of February 14, 2000, 69,733,243 shares of Common Stock were outstanding, and the aggregate market value of the Common Stock (based upon the closing price of the stock on the New York Stock Exchange) of the Registrant held by nonaffiliates was approximately $3,225 million.</w:t>
      </w:r>
    </w:p>
    <w:p>
      <w:pPr>
        <w:spacing w:after="0" w:line="200" w:lineRule="exact"/>
        <w:rPr>
          <w:sz w:val="24"/>
          <w:szCs w:val="24"/>
          <w:color w:val="auto"/>
        </w:rPr>
      </w:pPr>
    </w:p>
    <w:p>
      <w:pPr>
        <w:ind w:left="226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Portions of the Proxy Statement for the 2000 Annual Meeting of Stockholders.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III</w:t>
      </w:r>
    </w:p>
    <w:p>
      <w:pPr>
        <w:sectPr>
          <w:pgSz w:w="11900" w:h="16838" w:orient="portrait"/>
          <w:cols w:equalWidth="0" w:num="1">
            <w:col w:w="10139"/>
          </w:cols>
          <w:pgMar w:left="320" w:top="63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tab/>
        <w:t>Business</w:t>
      </w:r>
    </w:p>
    <w:p>
      <w:pPr>
        <w:spacing w:after="0" w:line="201"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Northrop Corporation was incorporated in Delaware in 1985. In 1994, the company purchased the outstanding common stock of Grumman Corporation and, effective May 18, 1994, Northrop Corporation was renamed Northrop Grumman Corporation. Northrop Grumman is an advanced technology company operating in the Integrated Systems and Aerostructures (ISA), Electronic Sensors and Systems (ESS), and Information Technology (Logicon) segments of the broadly defined aerospace and defense industry. The ISA segment includes the design, development and manufacturing of aircraft and aircraft subassemblies. The ESS segment includes the design, development, manufacturing and integration of electronic systems and components for military and commercial use. Logicon, the company's information technology segment, includes the design, development, operation and support of computer systems for scientific and management information.</w:t>
      </w:r>
    </w:p>
    <w:p>
      <w:pPr>
        <w:spacing w:after="0" w:line="395"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Additional information required by this Item is contained in Part II, Item 7 of this Annual Report on Form 10-K.</w:t>
      </w:r>
    </w:p>
    <w:p>
      <w:pPr>
        <w:spacing w:after="0" w:line="200" w:lineRule="exact"/>
        <w:rPr>
          <w:sz w:val="20"/>
          <w:szCs w:val="20"/>
          <w:color w:val="auto"/>
        </w:rPr>
      </w:pPr>
    </w:p>
    <w:p>
      <w:pPr>
        <w:spacing w:after="0" w:line="39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139"/>
          </w:cols>
          <w:pgMar w:left="320" w:top="70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2.</w:t>
        <w:tab/>
        <w:t>Properties</w:t>
      </w:r>
    </w:p>
    <w:p>
      <w:pPr>
        <w:spacing w:after="0" w:line="201"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major locations, general status of the company's interest in the property, and identity of the industry segments that use the property described are indicated in the following table.</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520" w:type="dxa"/>
            <w:vAlign w:val="bottom"/>
          </w:tcPr>
          <w:p>
            <w:pPr>
              <w:ind w:left="400"/>
              <w:spacing w:after="0"/>
              <w:rPr>
                <w:sz w:val="20"/>
                <w:szCs w:val="20"/>
                <w:color w:val="auto"/>
              </w:rPr>
            </w:pPr>
            <w:r>
              <w:rPr>
                <w:rFonts w:ascii="Courier New" w:cs="Courier New" w:eastAsia="Courier New" w:hAnsi="Courier New"/>
                <w:sz w:val="17"/>
                <w:szCs w:val="17"/>
                <w:color w:val="auto"/>
              </w:rPr>
              <w:t>Location</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Property</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Interest</w:t>
            </w:r>
          </w:p>
        </w:tc>
      </w:tr>
      <w:tr>
        <w:trPr>
          <w:trHeight w:val="197"/>
        </w:trPr>
        <w:tc>
          <w:tcPr>
            <w:tcW w:w="55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Annapolis, Maryland (2) (b)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Arlington, Virginia (2) (3) (4) (a)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Baltimore, Maryland (2) (3) (a) (c)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Belcamp, Maryland (2)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Benton, Pennsylvania (2) (b)</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Bethpage, New York (1) (2) (a) (b) (c) (d)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Bohemia, New York (3) (a)</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Bremerton, Washington (2)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Bridgeport, West Virginia (2) (b)</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Burlington, Canada (2) (b)</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Calverton, New York (1) (a) (d)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Carson, California (1)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Chandler, Arizona (1) (b)</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Chesapeake, Virginia (1)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Cincinnati, Ohio (2) (b)</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Clearfield, Utah (1)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Cleveland, Ohio (1) (2) (a) (b)</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Colorado Springs, Colorado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Compton, California (1) (c)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Dahlgren, Virginia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Dallas, Texas (1) (a) (b) (c) (d)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El Segundo, California (1) (a) (b) (c) (d)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Elk Grove Village, Illinois (2)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Elkridge, Maryland (2) (c) (d)</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Fairfax, Virginia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Falls Church, Virginia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Fort Tejon, California (1) (d)</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Grand Prairie, Texas (1) (a) (b) (c) (d)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Hagerstown, Maryland (2)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Hawthorne, California (1) (2) (4) (a) (b) (c) (d)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Herndon, Virginia (3) (a)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Hicksville, New York (1) (a) (d)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Hunt Valley, Maryland (2) (a) (b)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Huntsville, Alabama (2) (3) (a) (b) (c)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Jacksonville, Florida (1) (a) (c) (d) (e)</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Knoxville, Tennessee (2) (3)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Lake Charles, Louisiana (1) (a) (b) (c)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Lexington, South Carolina (1) (c)</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Linthicum, Maryland (1) (2) (a) (b) (c) (e)</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520" w:type="dxa"/>
            <w:vAlign w:val="bottom"/>
          </w:tcPr>
          <w:p>
            <w:pPr>
              <w:spacing w:after="0"/>
              <w:rPr>
                <w:sz w:val="20"/>
                <w:szCs w:val="20"/>
                <w:color w:val="auto"/>
              </w:rPr>
            </w:pPr>
            <w:r>
              <w:rPr>
                <w:rFonts w:ascii="Courier New" w:cs="Courier New" w:eastAsia="Courier New" w:hAnsi="Courier New"/>
                <w:sz w:val="17"/>
                <w:szCs w:val="17"/>
                <w:color w:val="auto"/>
              </w:rPr>
              <w:t>Los Angeles, California (3) (4) (a)</w:t>
            </w:r>
          </w:p>
        </w:tc>
        <w:tc>
          <w:tcPr>
            <w:tcW w:w="96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Leased</w:t>
            </w:r>
          </w:p>
        </w:tc>
      </w:tr>
      <w:tr>
        <w:trPr>
          <w:trHeight w:val="393"/>
        </w:trPr>
        <w:tc>
          <w:tcPr>
            <w:tcW w:w="5520" w:type="dxa"/>
            <w:vAlign w:val="bottom"/>
          </w:tcPr>
          <w:p>
            <w:pPr>
              <w:ind w:left="3680"/>
              <w:spacing w:after="0"/>
              <w:rPr>
                <w:sz w:val="20"/>
                <w:szCs w:val="20"/>
                <w:color w:val="auto"/>
              </w:rPr>
            </w:pPr>
            <w:r>
              <w:rPr>
                <w:rFonts w:ascii="Courier New" w:cs="Courier New" w:eastAsia="Courier New" w:hAnsi="Courier New"/>
                <w:sz w:val="17"/>
                <w:szCs w:val="17"/>
                <w:color w:val="auto"/>
              </w:rPr>
              <w:t>2</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139"/>
          </w:cols>
          <w:pgMar w:left="320" w:top="508"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gridSpan w:val="2"/>
          </w:tcPr>
          <w:p>
            <w:pPr>
              <w:spacing w:after="0"/>
              <w:rPr>
                <w:sz w:val="20"/>
                <w:szCs w:val="20"/>
                <w:color w:val="auto"/>
              </w:rPr>
            </w:pPr>
            <w:r>
              <w:rPr>
                <w:rFonts w:ascii="Courier New" w:cs="Courier New" w:eastAsia="Courier New" w:hAnsi="Courier New"/>
                <w:sz w:val="17"/>
                <w:szCs w:val="17"/>
                <w:color w:val="auto"/>
              </w:rPr>
              <w:t>NORTHROP GRUMMAN CORPORATION</w:t>
            </w:r>
          </w:p>
        </w:tc>
        <w:tc>
          <w:tcPr>
            <w:tcW w:w="27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93"/>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Melbourne, Florida (1)</w:t>
            </w:r>
          </w:p>
        </w:tc>
        <w:tc>
          <w:tcPr>
            <w:tcW w:w="3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Melville, New York (2)</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w:t>
            </w:r>
          </w:p>
        </w:tc>
        <w:tc>
          <w:tcPr>
            <w:tcW w:w="27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Milledgeville, Georgia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(a) (b) (c) (d)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New Town, North Dakota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(b) (c)</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Newport News, Virginia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(3)</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(a)</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Northfields, United Kingdom (2) (a)</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Norwalk, Connecticut (2) (b)</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Palmdale, California (1) (a) (b) (c) (d)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Perry, Georgia (1) (a)</w:t>
            </w:r>
          </w:p>
        </w:tc>
        <w:tc>
          <w:tcPr>
            <w:tcW w:w="3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Pico Rivera, California (1) (a) (b) (d)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Pittsburgh, Pennsylvania (2) (d)</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Point Mugu, California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30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Reston, Virginia (3) (a)</w:t>
            </w:r>
          </w:p>
        </w:tc>
        <w:tc>
          <w:tcPr>
            <w:tcW w:w="27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Rolling Meadows, Illinois (2) (3) (a)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San Diego, California (1) (2) (3) (a) (b) (c)</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San Pedro, California (3) (a)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Santa Isabel, Puerto Rico (2) (b)</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St. Augustine, Florida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Stuart, Florida (1) (a)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Sunnyvale, California (2) (3) (a) (b)</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Sykesville, Maryland (2) (b)</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Tacoma, Washington (3)</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w:t>
            </w:r>
          </w:p>
        </w:tc>
        <w:tc>
          <w:tcPr>
            <w:tcW w:w="27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Torrance, California (1) (3) (a) (b) (c) (e)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2620" w:type="dxa"/>
            <w:vAlign w:val="bottom"/>
          </w:tcPr>
          <w:p>
            <w:pPr>
              <w:ind w:left="320"/>
              <w:spacing w:after="0"/>
              <w:rPr>
                <w:sz w:val="20"/>
                <w:szCs w:val="20"/>
                <w:color w:val="auto"/>
              </w:rPr>
            </w:pPr>
            <w:r>
              <w:rPr>
                <w:rFonts w:ascii="Courier New" w:cs="Courier New" w:eastAsia="Courier New" w:hAnsi="Courier New"/>
                <w:sz w:val="17"/>
                <w:szCs w:val="17"/>
                <w:color w:val="auto"/>
              </w:rPr>
              <w:t>Warner Robins, Georgia</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60"/>
              <w:spacing w:after="0"/>
              <w:rPr>
                <w:sz w:val="20"/>
                <w:szCs w:val="20"/>
                <w:color w:val="auto"/>
              </w:rPr>
            </w:pPr>
            <w:r>
              <w:rPr>
                <w:rFonts w:ascii="Courier New" w:cs="Courier New" w:eastAsia="Courier New" w:hAnsi="Courier New"/>
                <w:sz w:val="17"/>
                <w:szCs w:val="17"/>
                <w:color w:val="auto"/>
              </w:rPr>
              <w:t>(2) (3) (a) (c)</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Owned, Leased</w:t>
            </w:r>
          </w:p>
        </w:tc>
      </w:tr>
      <w:tr>
        <w:trPr>
          <w:trHeight w:val="197"/>
        </w:trPr>
        <w:tc>
          <w:tcPr>
            <w:tcW w:w="574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Woodland Hills, California (2) (a)</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Leased</w:t>
            </w:r>
          </w:p>
        </w:tc>
      </w:tr>
    </w:tbl>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Following each described property are numbers indicating the reporting segments utilizing the property:</w:t>
      </w:r>
    </w:p>
    <w:p>
      <w:pPr>
        <w:spacing w:after="0" w:line="1" w:lineRule="exact"/>
        <w:rPr>
          <w:sz w:val="20"/>
          <w:szCs w:val="20"/>
          <w:color w:val="auto"/>
        </w:rPr>
      </w:pPr>
    </w:p>
    <w:p>
      <w:pPr>
        <w:ind w:left="1440" w:hanging="515"/>
        <w:spacing w:after="0"/>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Integrated Systems and Aerostructures</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Electronic Sensors and Systems</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Logicon</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Corporate Asset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Following each described property are letters indicating the types of facilities located at each location:</w:t>
      </w:r>
    </w:p>
    <w:p>
      <w:pPr>
        <w:spacing w:after="0" w:line="1" w:lineRule="exact"/>
        <w:rPr>
          <w:sz w:val="20"/>
          <w:szCs w:val="20"/>
          <w:color w:val="auto"/>
        </w:rPr>
      </w:pPr>
    </w:p>
    <w:p>
      <w:pPr>
        <w:ind w:left="1440" w:hanging="515"/>
        <w:spacing w:after="0"/>
        <w:tabs>
          <w:tab w:leader="none" w:pos="14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warehouse</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research and testing</w:t>
      </w:r>
    </w:p>
    <w:p>
      <w:pPr>
        <w:spacing w:after="0" w:line="4" w:lineRule="exact"/>
        <w:rPr>
          <w:rFonts w:ascii="Courier New" w:cs="Courier New" w:eastAsia="Courier New" w:hAnsi="Courier New"/>
          <w:sz w:val="17"/>
          <w:szCs w:val="17"/>
          <w:color w:val="auto"/>
        </w:rPr>
      </w:pPr>
    </w:p>
    <w:p>
      <w:pPr>
        <w:ind w:left="1440" w:hanging="515"/>
        <w:spacing w:after="0"/>
        <w:tabs>
          <w:tab w:leader="none" w:pos="14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t>
      </w:r>
    </w:p>
    <w:p>
      <w:pPr>
        <w:spacing w:after="0" w:line="201"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Government-owned facilities used or administered by the company consist of 8 million square feet at various locations across the United States.</w:t>
      </w:r>
    </w:p>
    <w:p>
      <w:pPr>
        <w:spacing w:after="0" w:line="199"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believes its properties are well-maintained and in good operating condition. Under present business conditions and the company's volume of business, productive capacity is currently in excess of requirements.</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139"/>
          </w:cols>
          <w:pgMar w:left="320" w:top="5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ex rel Jordan v. Northrop Grumman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October 1999, the company was served with a fifth amended complaint that was filed by the government in the U.S. District Court for the Central District of California in this action which was commenced in May 1995. The complaint alleges that the company violated the False Claims Act by knowingly supplying BQM-74C aerial target drones that contained various defective components between 1992 and 1995. The government seeks to recover damages up to $139,860,632 under theories of fraud, payment by mistake, unjust enrichment, breach of warranty and breach of contract and penalties up to $3,380,000. The company intends to vigorously defend this matter.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Zabielski and related cases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right="2779" w:firstLine="511"/>
        <w:spacing w:after="0" w:line="244" w:lineRule="auto"/>
        <w:rPr>
          <w:sz w:val="20"/>
          <w:szCs w:val="20"/>
          <w:color w:val="auto"/>
        </w:rPr>
      </w:pPr>
      <w:r>
        <w:rPr>
          <w:rFonts w:ascii="Courier New" w:cs="Courier New" w:eastAsia="Courier New" w:hAnsi="Courier New"/>
          <w:sz w:val="17"/>
          <w:szCs w:val="17"/>
          <w:color w:val="auto"/>
        </w:rPr>
        <w:t>In July and August 1998, three shareholder derivative lawsuits, respectively encaptioned Zabielski v. Kent Kresa, et al., Harbor Finance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 v. Kent Kresa et al., and Clarren v. Kent Kresa, et al., were filed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the Superior Court of California for the County of Los Angeles. These lawsuits each contain similar allegations that the directors of the company and certain of its officers breached their fiduciary duties in connection with the shareholder vote approving the proposed acquisition of the company by Lockheed Martin Corporation, and that certain defendants engaged in stock trades in violation of federal and state securities laws. The lawsuits are purportedly brought on the company's behalf and do not seek relief against the company. The defendants deny the allegations made in these actions and intend to defend the actions vigorously.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Fanni and related cases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Five shareholder class action lawsuits, making similar allegations, were filed between July and September, 1998 in the United States District Court for the Central District of California against the company, its directors, and certain of its officers. Three of these lawsuits, respectively encaptioned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Fanni v. Northrop Grumman Corp., et al., Schnee v. Northrop Grumman Corp., et</w:t>
      </w:r>
    </w:p>
    <w:p>
      <w:pPr>
        <w:spacing w:after="0" w:line="4" w:lineRule="exact"/>
        <w:rPr>
          <w:sz w:val="20"/>
          <w:szCs w:val="20"/>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al., and Florida State Board of Admin. v. Northrop Grumman Corp., et al. allege</w:t>
      </w:r>
    </w:p>
    <w:p>
      <w:pPr>
        <w:spacing w:after="0" w:line="4"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that defendants issued misleading proxy materials in connection with the proposed acquisition of the company by Lockheed Martin Corporation, in violation of the federal securities laws. These actions seek unspecified damages on behalf of a class of shareholders related to the accelerated vesting of stock incentive plans upon the shareholder vote to approve the merger. Two of these lawsuits, respectively encaptioned Burroughs v. Northrop Grumman Corp., et al.,</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Miller, et al. v. Northrop Grumman Corp., et al., allege that defendants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disseminated misleading information in connection with the proposed acquisition, in violation of the federal securities laws, thereby artificially inflating the market price of the company's common stock. These actions seek unspecified damages for a class of shareholders who purchased Northrop Grumman stock between July 3, 1997 and March 9, 1998. The District Court consolidated Fanni, Schnee</w:t>
      </w:r>
    </w:p>
    <w:p>
      <w:pPr>
        <w:spacing w:after="0" w:line="4"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Florida State Board of Admin. into one action, and Burroughs and Miller into</w:t>
      </w:r>
    </w:p>
    <w:p>
      <w:pPr>
        <w:spacing w:after="0" w:line="4" w:lineRule="exact"/>
        <w:rPr>
          <w:sz w:val="20"/>
          <w:szCs w:val="20"/>
          <w:color w:val="auto"/>
        </w:rPr>
      </w:pPr>
    </w:p>
    <w:p>
      <w:pPr>
        <w:ind w:left="420"/>
        <w:spacing w:after="0"/>
        <w:tabs>
          <w:tab w:leader="none" w:pos="5620" w:val="left"/>
          <w:tab w:leader="none" w:pos="70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another action. The company and the individual defendants deny the allegations made in these actions and intend to defend the actions vigorously.</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139"/>
          </w:cols>
          <w:pgMar w:left="320" w:top="70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ex rel. McMorrough v. Northrop Grumman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In October 1998, the United States, acting through the Department of Justice, intervened in a portion of this civil action initially filed under seal in the U.S. District Court for the Western District of Louisiana in March 1995. The government intervened in the portion of the complaint that alleges the company knowingly supplied improperly heat-treated parts for Joint STARS aircraft in 1994 and 1995, in violation of the False Claims Act. Thereafter in March 1999 the government filed a separate complaint with respect to the heat treating issues. The government seeks unspecified damages in connection with the alleged violations. The company intends to vigorously defend this matter.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059" w:firstLine="1023"/>
        <w:spacing w:after="0" w:line="245" w:lineRule="auto"/>
        <w:rPr>
          <w:sz w:val="20"/>
          <w:szCs w:val="20"/>
          <w:color w:val="auto"/>
        </w:rPr>
      </w:pPr>
      <w:r>
        <w:rPr>
          <w:rFonts w:ascii="Courier New" w:cs="Courier New" w:eastAsia="Courier New" w:hAnsi="Courier New"/>
          <w:sz w:val="17"/>
          <w:szCs w:val="17"/>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1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company is involved in certain other legal proceedings arising in the ordinary course of business, none of which the company's management believes will have a material adverse effect on the company's financial condition.</w:t>
      </w:r>
    </w:p>
    <w:p>
      <w:pPr>
        <w:spacing w:after="0" w:line="200" w:lineRule="exact"/>
        <w:rPr>
          <w:sz w:val="20"/>
          <w:szCs w:val="20"/>
          <w:color w:val="auto"/>
        </w:rPr>
      </w:pPr>
    </w:p>
    <w:p>
      <w:pPr>
        <w:spacing w:after="0" w:line="39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139"/>
          </w:cols>
          <w:pgMar w:left="320" w:top="70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3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individuals were the executive officers of the company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2000:</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Business Experience</w:t>
            </w:r>
          </w:p>
        </w:tc>
      </w:t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Office Held</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Since</w:t>
            </w:r>
          </w:p>
        </w:tc>
        <w:tc>
          <w:tcPr>
            <w:tcW w:w="4220" w:type="dxa"/>
            <w:vAlign w:val="bottom"/>
          </w:tcPr>
          <w:p>
            <w:pPr>
              <w:ind w:left="360"/>
              <w:spacing w:after="0"/>
              <w:rPr>
                <w:sz w:val="20"/>
                <w:szCs w:val="20"/>
                <w:color w:val="auto"/>
              </w:rPr>
            </w:pPr>
            <w:r>
              <w:rPr>
                <w:rFonts w:ascii="Courier New" w:cs="Courier New" w:eastAsia="Courier New" w:hAnsi="Courier New"/>
                <w:sz w:val="17"/>
                <w:szCs w:val="17"/>
                <w:color w:val="auto"/>
              </w:rPr>
              <w:t>Last Five Years</w:t>
            </w:r>
          </w:p>
        </w:tc>
      </w:t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3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42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Kent Kresa</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61</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Chairman, President &amp; CEO</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1990</w:t>
            </w:r>
          </w:p>
        </w:tc>
        <w:tc>
          <w:tcPr>
            <w:tcW w:w="4220" w:type="dxa"/>
            <w:vAlign w:val="bottom"/>
          </w:tcPr>
          <w:p>
            <w:pPr>
              <w:spacing w:after="0"/>
              <w:rPr>
                <w:sz w:val="24"/>
                <w:szCs w:val="24"/>
                <w:color w:val="auto"/>
              </w:rPr>
            </w:pP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Herbert W. Anderson</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60</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Corporate Vice President and</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 Executive</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General Manager, Data Systems &amp;</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Officer, Logicon, Inc</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Services Division</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Ralph D. Crosby, Jr</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52</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 and</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Corporate Vice President and General</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President, Integrated Systems</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Manager, Commercial Aircraft</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and Aerostructures Sector</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Division; Prior to September 1996,</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Corporate Vice President and Deputy</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General Manager, Commercial Aircraft</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w w:val="99"/>
              </w:rPr>
              <w:t>Division; Prior to March 1996, Corporate</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Vice President and Deputy General</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Manager, Military Aircraft Systems</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Division; Prior to January 1996</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Corporate Vice President and</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General Manager, B-2 Division</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J. Michael Hateley</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53</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 and</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2000</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Vice President, Personnel; Prior to</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Chief Human Resources and</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January 1999, Vice President Human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Administrative Officer</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Resources, Security and Administration,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Military Aircraft Systems Division;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Prior to 1996, Vice President, Human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Resources, Security and Administration,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B-2 Division</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Robert W. Helm</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48</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1994</w:t>
            </w:r>
          </w:p>
        </w:tc>
        <w:tc>
          <w:tcPr>
            <w:tcW w:w="4220" w:type="dxa"/>
            <w:vAlign w:val="bottom"/>
          </w:tcPr>
          <w:p>
            <w:pPr>
              <w:spacing w:after="0"/>
              <w:rPr>
                <w:sz w:val="24"/>
                <w:szCs w:val="24"/>
                <w:color w:val="auto"/>
              </w:rPr>
            </w:pP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Government Relations</w:t>
            </w:r>
          </w:p>
        </w:tc>
        <w:tc>
          <w:tcPr>
            <w:tcW w:w="9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Richard R. Molleur</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67</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1991</w:t>
            </w:r>
          </w:p>
        </w:tc>
        <w:tc>
          <w:tcPr>
            <w:tcW w:w="4220" w:type="dxa"/>
            <w:vAlign w:val="bottom"/>
          </w:tcPr>
          <w:p>
            <w:pPr>
              <w:spacing w:after="0"/>
              <w:rPr>
                <w:sz w:val="24"/>
                <w:szCs w:val="24"/>
                <w:color w:val="auto"/>
              </w:rPr>
            </w:pP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President and General Counsel</w:t>
            </w:r>
          </w:p>
        </w:tc>
        <w:tc>
          <w:tcPr>
            <w:tcW w:w="9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John H. Mullan</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57</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Acting Secretary; Prior to</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and Secretary</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May 1998 Senior Corporate Counsel</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Albert F. Myers</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54</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1994</w:t>
            </w:r>
          </w:p>
        </w:tc>
        <w:tc>
          <w:tcPr>
            <w:tcW w:w="4220" w:type="dxa"/>
            <w:vAlign w:val="bottom"/>
          </w:tcPr>
          <w:p>
            <w:pPr>
              <w:spacing w:after="0"/>
              <w:rPr>
                <w:sz w:val="24"/>
                <w:szCs w:val="24"/>
                <w:color w:val="auto"/>
              </w:rPr>
            </w:pP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President and Treasurer</w:t>
            </w:r>
          </w:p>
        </w:tc>
        <w:tc>
          <w:tcPr>
            <w:tcW w:w="9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James G. Roche</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60</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 President</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Corporate Vice President and</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And President, Electronic</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General Manager, Electronic</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Sensors and Systems</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Sensors and Systems Division;</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Sector</w:t>
            </w: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Prior to 1996, Corporate Vice</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President and Chief Advanced</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Development, Planning, and Public</w:t>
            </w: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Courier New" w:cs="Courier New" w:eastAsia="Courier New" w:hAnsi="Courier New"/>
                <w:sz w:val="17"/>
                <w:szCs w:val="17"/>
                <w:color w:val="auto"/>
              </w:rPr>
              <w:t>Affairs Officer</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Richard B. Waugh, Jr.</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56</w:t>
            </w: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Corporate Vice</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1993</w:t>
            </w:r>
          </w:p>
        </w:tc>
        <w:tc>
          <w:tcPr>
            <w:tcW w:w="4220" w:type="dxa"/>
            <w:vAlign w:val="bottom"/>
          </w:tcPr>
          <w:p>
            <w:pPr>
              <w:spacing w:after="0"/>
              <w:rPr>
                <w:sz w:val="24"/>
                <w:szCs w:val="24"/>
                <w:color w:val="auto"/>
              </w:rPr>
            </w:pP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w:t>
            </w:r>
          </w:p>
        </w:tc>
        <w:tc>
          <w:tcPr>
            <w:tcW w:w="9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197"/>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7"/>
                <w:szCs w:val="17"/>
                <w:color w:val="auto"/>
              </w:rPr>
              <w:t>Financial Officer</w:t>
            </w:r>
          </w:p>
        </w:tc>
        <w:tc>
          <w:tcPr>
            <w:tcW w:w="9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590"/>
        </w:trPr>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tcPr>
          <w:p>
            <w:pPr>
              <w:ind w:left="1020"/>
              <w:spacing w:after="0"/>
              <w:rPr>
                <w:sz w:val="20"/>
                <w:szCs w:val="20"/>
                <w:color w:val="auto"/>
              </w:rPr>
            </w:pPr>
            <w:r>
              <w:rPr>
                <w:rFonts w:ascii="Courier New" w:cs="Courier New" w:eastAsia="Courier New" w:hAnsi="Courier New"/>
                <w:sz w:val="17"/>
                <w:szCs w:val="17"/>
                <w:color w:val="auto"/>
              </w:rPr>
              <w:t>6</w:t>
            </w:r>
          </w:p>
        </w:tc>
        <w:tc>
          <w:tcPr>
            <w:tcW w:w="98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340"/>
          </w:cols>
          <w:pgMar w:left="320" w:top="705" w:right="2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No information is required in response to this Item.</w:t>
      </w:r>
    </w:p>
    <w:p>
      <w:pPr>
        <w:spacing w:after="0" w:line="398"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201" w:lineRule="exact"/>
        <w:rPr>
          <w:sz w:val="20"/>
          <w:szCs w:val="20"/>
          <w:color w:val="auto"/>
        </w:rPr>
      </w:pPr>
    </w:p>
    <w:p>
      <w:pPr>
        <w:ind w:left="820" w:right="1959"/>
        <w:spacing w:after="0" w:line="244" w:lineRule="auto"/>
        <w:rPr>
          <w:sz w:val="20"/>
          <w:szCs w:val="20"/>
          <w:color w:val="auto"/>
        </w:rPr>
      </w:pPr>
      <w:r>
        <w:rPr>
          <w:rFonts w:ascii="Courier New" w:cs="Courier New" w:eastAsia="Courier New" w:hAnsi="Courier New"/>
          <w:sz w:val="17"/>
          <w:szCs w:val="17"/>
          <w:color w:val="auto"/>
        </w:rPr>
        <w:t>The information required by this Item is contained in Part II, Item 8 of this Annual Report on Form 10-K.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01" w:lineRule="exact"/>
        <w:rPr>
          <w:sz w:val="20"/>
          <w:szCs w:val="20"/>
          <w:color w:val="auto"/>
        </w:rPr>
      </w:pPr>
    </w:p>
    <w:p>
      <w:pPr>
        <w:ind w:left="820" w:right="1959"/>
        <w:spacing w:after="0" w:line="244" w:lineRule="auto"/>
        <w:rPr>
          <w:sz w:val="20"/>
          <w:szCs w:val="20"/>
          <w:color w:val="auto"/>
        </w:rPr>
      </w:pPr>
      <w:r>
        <w:rPr>
          <w:rFonts w:ascii="Courier New" w:cs="Courier New" w:eastAsia="Courier New" w:hAnsi="Courier New"/>
          <w:sz w:val="17"/>
          <w:szCs w:val="17"/>
          <w:color w:val="auto"/>
        </w:rPr>
        <w:t>The information required by this Item is contained in Part II, Item 7 of this Annual Report on Form 10-K.</w:t>
      </w:r>
    </w:p>
    <w:p>
      <w:pPr>
        <w:spacing w:after="0" w:line="395"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139"/>
          </w:cols>
          <w:pgMar w:left="320" w:top="90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7"/>
          <w:szCs w:val="17"/>
          <w:color w:val="auto"/>
        </w:rPr>
        <w:t>Item 7. Management's Discussion and Analysis of the Company's</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CONDITIONS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Northrop Grumman is one of the major companies that competes in both the domestic and international markets of the aerospace and defense industry. While Northrop Grumman is subject to the usual vagaries of the marketplace, it is also affected by the unique characteristics of the aerospace and defense industry and by certain elements peculiar to its own business mix. It is common in this industry for work on major programs to be shared among a number of companies. A company competing to be a prime contractor can turn out to be a subcontractor. It is not uncommon to compete with customers, and simultaneously on other contracts, to be either a supplier to or a customer of such competitor. The nature of major aerospace programs, conducted under binding contracts, allows companies that perform well to benefit from a level of program continuity unknown in many industries. While Northrop Grumman conducts most of its business with the U.S. Government, principally the Department of Defense, domestic and international commercial sales still represent a significant portion of total revenue.</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collapse of communism and the subsequent reductions in the U.S. defense budget have fundamentally altered the landscape of the global aerospace and defense industry. Since the early 1990's the industry has been going through a consolidation process and, along with it, significant downsizing. These actions, in which Northrop Grumman has participated, have made competition even more intense than in the past. Lockheed Martin Corporation, The Boeing Company, and Raytheon Company are the largest companies in the aerospace and defense industry at this time. Northrop Grumman competes against these and other companies for a number of large and smaller programs. Intense competition and long operating cycles are both characteristics of the industry's and Northrop Grumman's business.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current composition of Northrop Grumman resulted from a series of strategic acquisitions and mergers by the former Northrop Corporation beginning in 1992, when the company acquired a 49 percent interest in the Vought Aircraft Company, a designer and builder of commercial and military aerostructures. The remaining 51 percent interest in Vought Aircraft was purchased in 1994. Also in 1994, the company purchased the outstanding common stock of Grumman Corporation and the company was renamed Northrop Grumman Corporation. In 1996, Northrop Grumman acquired the defense electronic systems group of Westinghouse Electric Corporation. Effective August 1, 1997, the company consummated its merger with Logicon, Inc. (Logicon), a leading defense information technology company.</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139"/>
          </w:cols>
          <w:pgMar w:left="320" w:top="70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and on July 16, 1998, Lockheed Martin notified the company that it was terminating its merger agreement with the company pursuant to the terms of the agreement. 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198"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In 1998 and 1999 the company acquired several businesses. Inter-National Research Institute Inc. (INRI) was acquired in 1998 and the Information Systems Division of California Microwave, Inc., Data Procurement Corporation (DPC), and Ryan Aeronautical, an operating unit of Allegheny Teledyne Incorporated, were all acquired in 1999.</w:t>
      </w:r>
    </w:p>
    <w:p>
      <w:pPr>
        <w:spacing w:after="0" w:line="201"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Northrop Grumman's three reportable segments are its three operating units: Integrated Systems and Aerostructures (ISA), Electronic Sensors and Systems (ESS) and Logicon, the company's information technology sector.</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Integrated Systems and Aerostructures Segment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Air Combat Systems (ACS), Aerostructures, Airborne Early Warning and Electronics Warfare (AEW/EW), and Airborne Ground Surveillance and Battle Management (AGS/BM) are the four major business areas within the ISA segment.</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ACS business area includes Northrop Grumman's largest program, the B-2 bomber, for which the company is the prime contractor. The company continues to perform modifications to Block 20 aircraft to bring them to the fully operational Block 30 configuration. The U.S. Air Force currently plans to operate two B-2 bomber squadrons of eight aircraft each with an additional five aircraft available to fill in for those in depot for periodic maintenance. The B-2 work is performed at the ISA segment's California facilities in Palmdale and Pico Rivera.</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 is the principal subcontractor to The Boeing Company on the F/A-18 program, which is also included in the ACS business area. The F/A-18 is a fighter/ground-attack aircraft with configurations equipped for either one or two crew members. Principally deployed by the U.S. Navy on aircraft carriers, it also has been purchased by several other nations as a land-based combat aircraft. The company builds approximately 40 percent of the aircraft including the center and aft fuselage, vertical tails, and associated subsystems. The F/A-18 single-seat E and two-seat F, enhanced versions of the F/A-18C and D models, are</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139"/>
          </w:cols>
          <w:pgMar w:left="320" w:top="70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currently in production and will serve as the U.S. Navy's next-generation multimission aircraft. The F/A-18 work is performed at the company's facility in El Segundo, California.</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July 1999, the company purchased Ryan Aeronautical and combined its products with the existing sub-scale targets programs to form the unmanned systems business element reported in the ACS business area. The purchase included two major development projects, Global Hawk and the Miniature Air Launched Decoy (MALD). Global Hawk is being developed for the U.S. Air Force to provide battlefield commanders with intelligence imagery from high altitudes for long periods of time. MALD is a small jet powered aerial vehicle designed to imitate manned jet fighters in radar images and confuse enemy air defense systems.</w:t>
      </w:r>
    </w:p>
    <w:p>
      <w:pPr>
        <w:spacing w:after="0" w:line="198" w:lineRule="exact"/>
        <w:rPr>
          <w:sz w:val="20"/>
          <w:szCs w:val="20"/>
          <w:color w:val="auto"/>
        </w:rPr>
      </w:pPr>
    </w:p>
    <w:p>
      <w:pPr>
        <w:ind w:right="2159" w:firstLine="511"/>
        <w:spacing w:after="0" w:line="245" w:lineRule="auto"/>
        <w:rPr>
          <w:sz w:val="20"/>
          <w:szCs w:val="20"/>
          <w:color w:val="auto"/>
        </w:rPr>
      </w:pPr>
      <w:r>
        <w:rPr>
          <w:rFonts w:ascii="Courier New" w:cs="Courier New" w:eastAsia="Courier New" w:hAnsi="Courier New"/>
          <w:sz w:val="17"/>
          <w:szCs w:val="17"/>
          <w:color w:val="auto"/>
        </w:rPr>
        <w:t>The company's Aerostructures business area manufactures portions of the Boeing 737, 747, 757, 767 and 777 jetliners, the Gulfstream IV and V business jets, and the Boeing C-17 military transport. Northrop Grumman has been a principal airframe subcontractor for the Boeing 747 jetliner since the program began in 1966, producing the fuselage and aft body section for the 747 as well as cargo and passenger doors, the vertical and horizontal body stabilizers, floor beams and other structural components. The majority of the Boeing jetliner work is performed at the ISA segment's production sites in Hawthorne, California and Grand Prairie, Texas.</w:t>
      </w:r>
    </w:p>
    <w:p>
      <w:pPr>
        <w:spacing w:after="0" w:line="1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Northrop Grumman manufactures engine nacelles for the Gulfstream IV and other business jets and produces the integrated wings for Gulfstream's newest business jet, the Gulfstream V. The company also produces the empennage, engine nacelles, and control surfaces for the C-17, the U.S. Air Force's most advanced airlifter. This work is performed at the Grand Prairie, Texas and Stuart, Florida facilities.</w:t>
      </w:r>
    </w:p>
    <w:p>
      <w:pPr>
        <w:spacing w:after="0" w:line="202"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AEW/EW business area produces the E-2C Hawkeye and performs upgrades to EA-6B aircraft. Northrop Grumman is a major producer of airborne early warning and control systems, including the all-weather E-2C Hawkeye aircraft. The E-2C has been in active service with the U.S. Navy since 1973 and is employed by the air forces of five other nations. The EA-6B is the armed services only offensive tactical radar jamming aircraft. Manufacturing for both aircraft is performed at Northrop Grumman's St. Augustine, Florida site while engineering, program management and product development is performed in Bethpage, New York.</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 is the prime contractor for the E-8 Joint Surveillance Target Attack Radar System (Joint STARS), which is included in the AGS/BM business area. Joint STARS detects, locates, classifies, tracks and targets potentially hostile ground movement in all weather conditions. It is designed to operate around the clock in constant communication through secure data links with Air Force command posts, Army mobile ground stations or centers of military analysis far from the point of conflict. The Joint STARS platform is a Boeing 707-300 airframe that is remanufactured at Northrop Grumman's Lake Charles, Louisiana site. Final installation of electronics and testing are performed at the company's test facility in Melbourne, Florida.</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139"/>
          </w:cols>
          <w:pgMar w:left="320" w:top="70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Sensors and Systems Segment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The ESS segment comprises four business areas: Aerospace Electronic Systems; Command, Control, Communications, Intelligence and Naval Systems (C3I&amp;N); Defensive Electronic Systems; and several smaller business elements referred to as "Other". The segment's primary expertise is the ability to conceive, design, produce and support high performance sensors and intelligence systems operating in all environments from underseas to outer space.</w:t>
      </w:r>
    </w:p>
    <w:p>
      <w:pPr>
        <w:spacing w:after="0" w:line="202"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Aerospace Electronic Systems includes four business elements: combat avionics systems, land combat systems, airborne surveillance systems, and space systems. Combat avionics systems is focused on providing radar and electro-optic-based avionics systems to meet the needs for targeting and strike missions for armed forces worldwide. The AN/APG-66/68 airborne fire control radar series aboard F-16 fighters throughout the world has set a new standard for performance and reliability over the last two decades. More than six thousand AN/APG-66/68 radars have been produced since 1976. The basic radar, with multiple variants, is currently on 16 airborne platforms deployed in 20 countries. Northrop Grumman currently is leading a team developing the next-generation air-dominance radar (AN/APG-77) featuring a low observable, active electronically scanned array with multiple target, all-weather capability for the U. S. Air Force's F-22 aircraft. Advanced radar concepts for the next generation Joint Strike Fighter have been developed and flown aboard Northrop Grumman flight test aircraft. These radar systems are produced at the company's Linthicum, Maryland facility.</w:t>
      </w:r>
    </w:p>
    <w:p>
      <w:pPr>
        <w:spacing w:after="0" w:line="395"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Northrop Grumman's land combat systems business element, teamed with Lockheed Martin, is producing the Longbow APG-78 fire control radar and the Longbow Hellfire missile for the U. S. Army's AH-64 Apache attack helicopter and the British WAH-64 Westland Apache. There is extensive international interest in the Apache Longbow battlefield tactical weapon system. Longbow fire control radar work is performed at the ESS segment's Linthicum facility and the Longbow missile work is performed in Huntsville, Alabama. Additionally, Northrop Grumman is currently in Low Rate Initial Production (LRIP) for the BAT "brilliant" anti-armor submunition at the company's new BAT production facility at Huntsville. BAT is an autonomous submunition that uses passive acoustic and infrared sensors to find, attack and destroy moving tanks and other armored vehicles in hostile territory. BAT is designed to be carried and dispensed by the U. S. Army's TACMS (Tactical Missile System) Block II surface-to-surface missile with potential application for ground-, air-, and sea-launched cruise missiles, artillery rockets, and munitions dispensers.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139"/>
          </w:cols>
          <w:pgMar w:left="320" w:top="90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395"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Airborne surveillance systems products include the Airborne Warning and Control System (AWACS) radar (AN/APY-1, APY-2), which, integrated in the highly reliable Boeing 707 and 767 aircraft, has been the surveillance system of choice for U.S. and allied forces worldwide. The AWACS Radar System Improvement Program (RSIP) is currently in production for the U.S. Air Force, the United Kingdom and NATO. RSIP will enhance the performance of the AWACS radar against smaller cross section targets. A new surveillance product, the Multirole Electronically Scanned Array (MESA), is currently being developed for installation on seven Boeing 737 aircraft for the Royal Australian Air Force. These systems are produced at the Linthicum, Maryland facility. The E-8 Joint STARS is equipped with the Northrop Grumman Norden Systems AN/APY-3 air-to-ground surveillance system, which provides long-range, standoff, real-time surveillance of the battlefield. An advanced Radar Technology Insertion Program (RTIP) is currently under development. With its advanced active aperture, the RTIP will provide significant performance upgrades on Joint STARS for its current mission and opens the way for incorporation of new missions. These systems are produced at the company's Norwalk, Connecticut facility. The space systems business element develops space sensors and systems, with subsegments of military and civil/commercial space, and intelligence, surveillance, reconnaissance ground-based processing systems.</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C3I&amp;N business area produces air defense and air traffic control radar systems for domestic and international customers. The new highly mobile, solid-state AN/TPS-70 family of radars and U. S. Air Force AN/TPS-75 are among the products in this business area. They have been the front line U.S. Air Force air defense system standard since 1968. These systems currently operate in more than 30 countries, supporting air defense, air sovereignty, air traffic control, and counter-narcotics needs. The ASR-12, a solid-state, new generation derivative of the company's FAA standard ASR-9 terminal radar is now in full production, with 12 systems on order and three systems operational in Peru, Mexico, and El Salvador.</w:t>
      </w:r>
    </w:p>
    <w:p>
      <w:pPr>
        <w:spacing w:after="0" w:line="1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C3I&amp;N is also a leader in producing marine machinery and advanced propulsion systems, missile launchers, shipboard electronics and control systems, mine countermeasures, and underseas vehicles. Every Nimitz-class aircraft carrier is fitted with eight turbine generator sets. The company produces these generators as well as the main propulsion system for the U.S. Navy's Seawolf- and Virginia-class attack submarines at its Sunnyvale, California site. Late in 1999, the company was one of two selected by the Navy to develop the next generation Electro-Magnetic Launcher (EMALS), which could ultimately replace the steam catapult. The Sunnyvale facility also has responsibility for integration of the intercooled recuperated (ICR) gas turbine engine, which is a candidate for the DD-21 next generation destroyer. The company's Annapolis, Maryland facility has responsibility for the Advanced SEAL Delivery System (ASDS) mini-submarine and the SPQ-9B shipboard radar, and is a significant participant in the DD-21 competition.</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139"/>
          </w:cols>
          <w:pgMar w:left="320" w:top="70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Defensive Electronic Systems business area includes radio frequency and infrared countermeasures equipment. The company's Rolling Meadows, Illinois site produces the AN/ALQ-135, an internally mounted radar jammer deployed on F-15 fighter aircraft as part of that aircraft's tactical electronic warfare system. The AN/ALQ-162 Shadowbox, a jammer built specifically to counter continuous wave radars, has been installed on the AV-8B and certain foreign owned F/A-18 aircraft. It also is being deployed on U.S. Army helicopters and special mission aircraft and has been sold to the air forces of three other nations. The company is currently producing a directional infrared countermeasures (DIRCM) system for the United Kingdom and the U.S. Special Operations Command. DIRCM is slated for use on British helicopters and transports and U.S. Special Operations Command C-130 transports to protect the aircraft from heat-seeking missiles. DIRCM is the first infrared countermeasures system of its kind and was developed to accommodate laser capabilities currently in development. The company's Linthicum, Maryland site produces the AN/ALQ-165 airborne self-protection jammer in a joint venture with ITT Avionics. The AN/ALQ-165 is an internally mounted system that protects tactical aircraft against numerous radar-guided threats. It currently is installed on U.S. and international F/A-18 and F-14 aircraft.</w:t>
      </w:r>
    </w:p>
    <w:p>
      <w:pPr>
        <w:spacing w:after="0" w:line="395"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Included in the business area labeled "Other" is California Microwave Systems, which was acquired by Northrop Grumman in April 1999. This unit specializes in airborne reconnaissance and surveillance systems, government ground-based satellite communications systems, communications gateway systems, and mission planning. California Microwave Systems' customers include the U.S. military services, other U.S. government agencies, and international defense organizations. Other elements included in "Other" are systems development and technology and automation and information systems.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Logicon Segment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The three major business areas reported in Logicon, the company's information technology sector, are: Government Information Technology, Technology Services, and Commercial Information Technology.</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Logicon is a leading provider of advanced information technologies, systems and services. Its areas of expertise include: command, control, communications, computers, intelligence, surveillance and reconnaissance (C4ISR); weapon systems; information systems; training and simulation; science and technology; base and range support; and systems support services. Customers include the U.S. Government, both Department of Defense(DoD) and non-DoD Federal agencies, state and local governments, and commercial enterprises. Contracts with the U.S. Government account for most of the segment's revenues.</w:t>
      </w:r>
    </w:p>
    <w:p>
      <w:pPr>
        <w:spacing w:after="0" w:line="394"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139"/>
          </w:cols>
          <w:pgMar w:left="320" w:top="70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In the following table of segment and major customer data, revenue from the United States Government includes revenue from contracts on which Northrop Grumman is the prime contractor as well as those on which the company is a subcontractor and the ultimate customer is the U.S. Government.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BY SEGMENT AND MAJOR CUSTOMER</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Year ended December 31, $ in millions</w:t>
            </w:r>
          </w:p>
        </w:tc>
        <w:tc>
          <w:tcPr>
            <w:tcW w:w="194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1999</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Integrated Systems &amp; Aerostructures</w:t>
            </w:r>
          </w:p>
        </w:tc>
        <w:tc>
          <w:tcPr>
            <w:tcW w:w="2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United States Government</w:t>
            </w: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$3,925</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$3,755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$3,932</w:t>
            </w:r>
          </w:p>
        </w:tc>
      </w:tr>
      <w:tr>
        <w:trPr>
          <w:trHeight w:val="197"/>
        </w:trPr>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The Boeing Company</w:t>
            </w: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733</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883</w:t>
            </w:r>
          </w:p>
        </w:tc>
      </w:tr>
      <w:tr>
        <w:trPr>
          <w:trHeight w:val="197"/>
        </w:trPr>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Other customers</w:t>
            </w: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333</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452</w:t>
            </w:r>
          </w:p>
        </w:tc>
      </w:tr>
      <w:tr>
        <w:trPr>
          <w:trHeight w:val="197"/>
        </w:trPr>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Intersegment sales</w:t>
            </w: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140"/>
        <w:spacing w:after="0"/>
        <w:tabs>
          <w:tab w:leader="none" w:pos="7240" w:val="left"/>
          <w:tab w:leader="none" w:pos="8380" w:val="left"/>
        </w:tabs>
        <w:rPr>
          <w:sz w:val="20"/>
          <w:szCs w:val="20"/>
          <w:color w:val="auto"/>
        </w:rPr>
      </w:pPr>
      <w:r>
        <w:rPr>
          <w:rFonts w:ascii="Courier New" w:cs="Courier New" w:eastAsia="Courier New" w:hAnsi="Courier New"/>
          <w:sz w:val="17"/>
          <w:szCs w:val="17"/>
          <w:color w:val="auto"/>
        </w:rPr>
        <w:t>4,997</w:t>
      </w:r>
      <w:r>
        <w:rPr>
          <w:sz w:val="20"/>
          <w:szCs w:val="20"/>
          <w:color w:val="auto"/>
        </w:rPr>
        <w:tab/>
      </w:r>
      <w:r>
        <w:rPr>
          <w:rFonts w:ascii="Courier New" w:cs="Courier New" w:eastAsia="Courier New" w:hAnsi="Courier New"/>
          <w:sz w:val="17"/>
          <w:szCs w:val="17"/>
          <w:color w:val="auto"/>
        </w:rPr>
        <w:t>5,098</w:t>
      </w:r>
      <w:r>
        <w:rPr>
          <w:sz w:val="20"/>
          <w:szCs w:val="20"/>
          <w:color w:val="auto"/>
        </w:rPr>
        <w:tab/>
      </w:r>
      <w:r>
        <w:rPr>
          <w:rFonts w:ascii="Courier New" w:cs="Courier New" w:eastAsia="Courier New" w:hAnsi="Courier New"/>
          <w:sz w:val="16"/>
          <w:szCs w:val="16"/>
          <w:color w:val="auto"/>
        </w:rPr>
        <w:t>5,280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20"/>
                <w:szCs w:val="20"/>
                <w:color w:val="auto"/>
              </w:rPr>
            </w:pPr>
            <w:r>
              <w:rPr>
                <w:rFonts w:ascii="Courier New" w:cs="Courier New" w:eastAsia="Courier New" w:hAnsi="Courier New"/>
                <w:sz w:val="17"/>
                <w:szCs w:val="17"/>
                <w:color w:val="auto"/>
              </w:rPr>
              <w:t>Electronic Sensors &amp; Systems</w:t>
            </w:r>
          </w:p>
        </w:tc>
        <w:tc>
          <w:tcPr>
            <w:tcW w:w="2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United States Government</w:t>
            </w:r>
          </w:p>
        </w:tc>
        <w:tc>
          <w:tcPr>
            <w:tcW w:w="24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1,894</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2,014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2,394</w:t>
            </w:r>
          </w:p>
        </w:tc>
      </w:tr>
      <w:tr>
        <w:trPr>
          <w:trHeight w:val="197"/>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Other customers</w:t>
            </w:r>
          </w:p>
        </w:tc>
        <w:tc>
          <w:tcPr>
            <w:tcW w:w="24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673</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708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490</w:t>
            </w:r>
          </w:p>
        </w:tc>
      </w:tr>
      <w:tr>
        <w:trPr>
          <w:trHeight w:val="197"/>
        </w:trPr>
        <w:tc>
          <w:tcPr>
            <w:tcW w:w="4500" w:type="dxa"/>
            <w:vAlign w:val="bottom"/>
          </w:tcPr>
          <w:p>
            <w:pPr>
              <w:ind w:left="100"/>
              <w:spacing w:after="0"/>
              <w:rPr>
                <w:sz w:val="20"/>
                <w:szCs w:val="20"/>
                <w:color w:val="auto"/>
              </w:rPr>
            </w:pPr>
            <w:r>
              <w:rPr>
                <w:rFonts w:ascii="Courier New" w:cs="Courier New" w:eastAsia="Courier New" w:hAnsi="Courier New"/>
                <w:sz w:val="17"/>
                <w:szCs w:val="17"/>
                <w:color w:val="auto"/>
              </w:rPr>
              <w:t>Intersegment sales</w:t>
            </w:r>
          </w:p>
        </w:tc>
        <w:tc>
          <w:tcPr>
            <w:tcW w:w="24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146</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140"/>
        <w:spacing w:after="0"/>
        <w:tabs>
          <w:tab w:leader="none" w:pos="7240" w:val="left"/>
          <w:tab w:leader="none" w:pos="8380" w:val="left"/>
        </w:tabs>
        <w:rPr>
          <w:sz w:val="20"/>
          <w:szCs w:val="20"/>
          <w:color w:val="auto"/>
        </w:rPr>
      </w:pPr>
      <w:r>
        <w:rPr>
          <w:rFonts w:ascii="Courier New" w:cs="Courier New" w:eastAsia="Courier New" w:hAnsi="Courier New"/>
          <w:sz w:val="17"/>
          <w:szCs w:val="17"/>
          <w:color w:val="auto"/>
        </w:rPr>
        <w:t>2,713</w:t>
      </w:r>
      <w:r>
        <w:rPr>
          <w:sz w:val="20"/>
          <w:szCs w:val="20"/>
          <w:color w:val="auto"/>
        </w:rPr>
        <w:tab/>
      </w:r>
      <w:r>
        <w:rPr>
          <w:rFonts w:ascii="Courier New" w:cs="Courier New" w:eastAsia="Courier New" w:hAnsi="Courier New"/>
          <w:sz w:val="17"/>
          <w:szCs w:val="17"/>
          <w:color w:val="auto"/>
        </w:rPr>
        <w:t>2,899</w:t>
      </w:r>
      <w:r>
        <w:rPr>
          <w:sz w:val="20"/>
          <w:szCs w:val="20"/>
          <w:color w:val="auto"/>
        </w:rPr>
        <w:tab/>
      </w:r>
      <w:r>
        <w:rPr>
          <w:rFonts w:ascii="Courier New" w:cs="Courier New" w:eastAsia="Courier New" w:hAnsi="Courier New"/>
          <w:sz w:val="16"/>
          <w:szCs w:val="16"/>
          <w:color w:val="auto"/>
        </w:rPr>
        <w:t>3,064</w:t>
      </w:r>
    </w:p>
    <w:p>
      <w:pPr>
        <w:spacing w:after="0" w:line="4" w:lineRule="exact"/>
        <w:rPr>
          <w:sz w:val="20"/>
          <w:szCs w:val="20"/>
          <w:color w:val="auto"/>
        </w:rPr>
      </w:pPr>
    </w:p>
    <w:p>
      <w:pPr>
        <w:ind w:left="200" w:hanging="195"/>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Logicon</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United States Government</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1,248</w:t>
            </w: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948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884</w:t>
            </w:r>
          </w:p>
        </w:tc>
      </w:tr>
      <w:tr>
        <w:trPr>
          <w:trHeight w:val="197"/>
        </w:trPr>
        <w:tc>
          <w:tcPr>
            <w:tcW w:w="4260" w:type="dxa"/>
            <w:vAlign w:val="bottom"/>
          </w:tcPr>
          <w:p>
            <w:pPr>
              <w:spacing w:after="0"/>
              <w:rPr>
                <w:sz w:val="20"/>
                <w:szCs w:val="20"/>
                <w:color w:val="auto"/>
              </w:rPr>
            </w:pPr>
            <w:r>
              <w:rPr>
                <w:rFonts w:ascii="Courier New" w:cs="Courier New" w:eastAsia="Courier New" w:hAnsi="Courier New"/>
                <w:sz w:val="17"/>
                <w:szCs w:val="17"/>
                <w:color w:val="auto"/>
              </w:rPr>
              <w:t>Other customers</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189</w:t>
            </w: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139</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r>
        <w:trPr>
          <w:trHeight w:val="197"/>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Intersegment sales</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w:t>
            </w: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140"/>
        <w:spacing w:after="0"/>
        <w:tabs>
          <w:tab w:leader="none" w:pos="7240" w:val="left"/>
          <w:tab w:leader="none" w:pos="8380" w:val="left"/>
        </w:tabs>
        <w:rPr>
          <w:sz w:val="20"/>
          <w:szCs w:val="20"/>
          <w:color w:val="auto"/>
        </w:rPr>
      </w:pPr>
      <w:r>
        <w:rPr>
          <w:rFonts w:ascii="Courier New" w:cs="Courier New" w:eastAsia="Courier New" w:hAnsi="Courier New"/>
          <w:sz w:val="17"/>
          <w:szCs w:val="17"/>
          <w:color w:val="auto"/>
        </w:rPr>
        <w:t>1,459</w:t>
      </w:r>
      <w:r>
        <w:rPr>
          <w:sz w:val="20"/>
          <w:szCs w:val="20"/>
          <w:color w:val="auto"/>
        </w:rPr>
        <w:tab/>
      </w:r>
      <w:r>
        <w:rPr>
          <w:rFonts w:ascii="Courier New" w:cs="Courier New" w:eastAsia="Courier New" w:hAnsi="Courier New"/>
          <w:sz w:val="17"/>
          <w:szCs w:val="17"/>
          <w:color w:val="auto"/>
        </w:rPr>
        <w:t>1,107</w:t>
      </w:r>
      <w:r>
        <w:rPr>
          <w:sz w:val="20"/>
          <w:szCs w:val="20"/>
          <w:color w:val="auto"/>
        </w:rPr>
        <w:tab/>
      </w:r>
      <w:r>
        <w:rPr>
          <w:rFonts w:ascii="Courier New" w:cs="Courier New" w:eastAsia="Courier New" w:hAnsi="Courier New"/>
          <w:sz w:val="16"/>
          <w:szCs w:val="16"/>
          <w:color w:val="auto"/>
        </w:rPr>
        <w:t>1,022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20"/>
                <w:szCs w:val="20"/>
                <w:color w:val="auto"/>
              </w:rPr>
            </w:pPr>
            <w:r>
              <w:rPr>
                <w:rFonts w:ascii="Courier New" w:cs="Courier New" w:eastAsia="Courier New" w:hAnsi="Courier New"/>
                <w:sz w:val="17"/>
                <w:szCs w:val="17"/>
                <w:color w:val="auto"/>
              </w:rPr>
              <w:t>Intersegment eliminations</w:t>
            </w:r>
          </w:p>
        </w:tc>
        <w:tc>
          <w:tcPr>
            <w:tcW w:w="26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(174)</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20"/>
                <w:szCs w:val="20"/>
                <w:color w:val="auto"/>
              </w:rPr>
            </w:pPr>
            <w:r>
              <w:rPr>
                <w:rFonts w:ascii="Courier New" w:cs="Courier New" w:eastAsia="Courier New" w:hAnsi="Courier New"/>
                <w:sz w:val="17"/>
                <w:szCs w:val="17"/>
                <w:color w:val="auto"/>
              </w:rPr>
              <w:t>Total net sales</w:t>
            </w:r>
          </w:p>
        </w:tc>
        <w:tc>
          <w:tcPr>
            <w:tcW w:w="3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$8,995</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$8,902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2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Integrated Systems &amp; Aerostructures</w:t>
            </w:r>
          </w:p>
        </w:tc>
        <w:tc>
          <w:tcPr>
            <w:tcW w:w="20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392</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280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493</w:t>
            </w:r>
          </w:p>
        </w:tc>
      </w:tr>
      <w:tr>
        <w:trPr>
          <w:trHeight w:val="197"/>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Electronic Sensors &amp; Systems</w:t>
            </w:r>
          </w:p>
        </w:tc>
        <w:tc>
          <w:tcPr>
            <w:tcW w:w="20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199</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248</w:t>
            </w:r>
          </w:p>
        </w:tc>
      </w:tr>
      <w:tr>
        <w:trPr>
          <w:trHeight w:val="197"/>
        </w:trPr>
        <w:tc>
          <w:tcPr>
            <w:tcW w:w="4860" w:type="dxa"/>
            <w:vAlign w:val="bottom"/>
          </w:tcPr>
          <w:p>
            <w:pPr>
              <w:ind w:left="100"/>
              <w:spacing w:after="0"/>
              <w:rPr>
                <w:sz w:val="20"/>
                <w:szCs w:val="20"/>
                <w:color w:val="auto"/>
              </w:rPr>
            </w:pPr>
            <w:r>
              <w:rPr>
                <w:rFonts w:ascii="Courier New" w:cs="Courier New" w:eastAsia="Courier New" w:hAnsi="Courier New"/>
                <w:sz w:val="17"/>
                <w:szCs w:val="17"/>
                <w:color w:val="auto"/>
              </w:rPr>
              <w:t>Logicon</w:t>
            </w:r>
          </w:p>
        </w:tc>
        <w:tc>
          <w:tcPr>
            <w:tcW w:w="20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80</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bl>
    <w:p>
      <w:pPr>
        <w:spacing w:after="0" w:line="4" w:lineRule="exact"/>
        <w:rPr>
          <w:sz w:val="20"/>
          <w:szCs w:val="20"/>
          <w:color w:val="auto"/>
        </w:rPr>
      </w:pPr>
    </w:p>
    <w:p>
      <w:pPr>
        <w:ind w:left="200" w:hanging="195"/>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6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671558</w:t>
      </w:r>
      <w:r>
        <w:rPr>
          <w:rFonts w:ascii="Courier New" w:cs="Courier New" w:eastAsia="Courier New" w:hAnsi="Courier New"/>
          <w:sz w:val="16"/>
          <w:szCs w:val="16"/>
          <w:color w:val="auto"/>
        </w:rPr>
        <w:t>808</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740" w:type="dxa"/>
            <w:vAlign w:val="bottom"/>
          </w:tcPr>
          <w:p>
            <w:pPr>
              <w:spacing w:after="0"/>
              <w:rPr>
                <w:sz w:val="20"/>
                <w:szCs w:val="20"/>
                <w:color w:val="auto"/>
              </w:rPr>
            </w:pPr>
            <w:r>
              <w:rPr>
                <w:rFonts w:ascii="Courier New" w:cs="Courier New" w:eastAsia="Courier New" w:hAnsi="Courier New"/>
                <w:sz w:val="17"/>
                <w:szCs w:val="17"/>
                <w:color w:val="auto"/>
              </w:rPr>
              <w:t>Adjustments to reconcile to total operating margin:</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5740" w:type="dxa"/>
            <w:vAlign w:val="bottom"/>
          </w:tcPr>
          <w:p>
            <w:pPr>
              <w:spacing w:after="0"/>
              <w:rPr>
                <w:sz w:val="20"/>
                <w:szCs w:val="20"/>
                <w:color w:val="auto"/>
              </w:rPr>
            </w:pPr>
            <w:r>
              <w:rPr>
                <w:rFonts w:ascii="Courier New" w:cs="Courier New" w:eastAsia="Courier New" w:hAnsi="Courier New"/>
                <w:sz w:val="17"/>
                <w:szCs w:val="17"/>
                <w:color w:val="auto"/>
              </w:rPr>
              <w:t>Corporate expenses</w:t>
            </w:r>
          </w:p>
        </w:tc>
        <w:tc>
          <w:tcPr>
            <w:tcW w:w="1280" w:type="dxa"/>
            <w:vAlign w:val="bottom"/>
          </w:tcPr>
          <w:p>
            <w:pPr>
              <w:ind w:left="500"/>
              <w:spacing w:after="0"/>
              <w:rPr>
                <w:sz w:val="20"/>
                <w:szCs w:val="20"/>
                <w:color w:val="auto"/>
              </w:rPr>
            </w:pPr>
            <w:r>
              <w:rPr>
                <w:rFonts w:ascii="Courier New" w:cs="Courier New" w:eastAsia="Courier New" w:hAnsi="Courier New"/>
                <w:sz w:val="17"/>
                <w:szCs w:val="17"/>
                <w:color w:val="auto"/>
              </w:rPr>
              <w:t>(26)</w:t>
            </w:r>
          </w:p>
        </w:tc>
        <w:tc>
          <w:tcPr>
            <w:tcW w:w="1120" w:type="dxa"/>
            <w:vAlign w:val="bottom"/>
          </w:tcPr>
          <w:p>
            <w:pPr>
              <w:ind w:left="360"/>
              <w:spacing w:after="0"/>
              <w:rPr>
                <w:sz w:val="20"/>
                <w:szCs w:val="20"/>
                <w:color w:val="auto"/>
              </w:rPr>
            </w:pPr>
            <w:r>
              <w:rPr>
                <w:rFonts w:ascii="Courier New" w:cs="Courier New" w:eastAsia="Courier New" w:hAnsi="Courier New"/>
                <w:sz w:val="17"/>
                <w:szCs w:val="17"/>
                <w:color w:val="auto"/>
              </w:rPr>
              <w:t>(58)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7"/>
        </w:trPr>
        <w:tc>
          <w:tcPr>
            <w:tcW w:w="5740" w:type="dxa"/>
            <w:vAlign w:val="bottom"/>
          </w:tcPr>
          <w:p>
            <w:pPr>
              <w:spacing w:after="0"/>
              <w:rPr>
                <w:sz w:val="20"/>
                <w:szCs w:val="20"/>
                <w:color w:val="auto"/>
              </w:rPr>
            </w:pPr>
            <w:r>
              <w:rPr>
                <w:rFonts w:ascii="Courier New" w:cs="Courier New" w:eastAsia="Courier New" w:hAnsi="Courier New"/>
                <w:sz w:val="17"/>
                <w:szCs w:val="17"/>
                <w:color w:val="auto"/>
              </w:rPr>
              <w:t>Deferred state tax (provision)benefit</w:t>
            </w:r>
          </w:p>
        </w:tc>
        <w:tc>
          <w:tcPr>
            <w:tcW w:w="1280" w:type="dxa"/>
            <w:vAlign w:val="bottom"/>
          </w:tcPr>
          <w:p>
            <w:pPr>
              <w:ind w:left="500"/>
              <w:spacing w:after="0"/>
              <w:rPr>
                <w:sz w:val="20"/>
                <w:szCs w:val="20"/>
                <w:color w:val="auto"/>
              </w:rPr>
            </w:pPr>
            <w:r>
              <w:rPr>
                <w:rFonts w:ascii="Courier New" w:cs="Courier New" w:eastAsia="Courier New" w:hAnsi="Courier New"/>
                <w:sz w:val="17"/>
                <w:szCs w:val="17"/>
                <w:color w:val="auto"/>
              </w:rPr>
              <w:t>(29)</w:t>
            </w:r>
          </w:p>
        </w:tc>
        <w:tc>
          <w:tcPr>
            <w:tcW w:w="1120" w:type="dxa"/>
            <w:vAlign w:val="bottom"/>
          </w:tcPr>
          <w:p>
            <w:pPr>
              <w:ind w:left="360"/>
              <w:spacing w:after="0"/>
              <w:rPr>
                <w:sz w:val="20"/>
                <w:szCs w:val="20"/>
                <w:color w:val="auto"/>
              </w:rPr>
            </w:pPr>
            <w:r>
              <w:rPr>
                <w:rFonts w:ascii="Courier New" w:cs="Courier New" w:eastAsia="Courier New" w:hAnsi="Courier New"/>
                <w:sz w:val="17"/>
                <w:szCs w:val="17"/>
                <w:color w:val="auto"/>
              </w:rPr>
              <w:t>(10)</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w:t>
            </w:r>
          </w:p>
        </w:tc>
      </w:tr>
      <w:tr>
        <w:trPr>
          <w:trHeight w:val="197"/>
        </w:trPr>
        <w:tc>
          <w:tcPr>
            <w:tcW w:w="5740" w:type="dxa"/>
            <w:vAlign w:val="bottom"/>
          </w:tcPr>
          <w:p>
            <w:pPr>
              <w:spacing w:after="0"/>
              <w:rPr>
                <w:sz w:val="20"/>
                <w:szCs w:val="20"/>
                <w:color w:val="auto"/>
              </w:rPr>
            </w:pPr>
            <w:r>
              <w:rPr>
                <w:rFonts w:ascii="Courier New" w:cs="Courier New" w:eastAsia="Courier New" w:hAnsi="Courier New"/>
                <w:sz w:val="17"/>
                <w:szCs w:val="17"/>
                <w:color w:val="auto"/>
              </w:rPr>
              <w:t>Mark-to-market restricted stock rights</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r>
      <w:tr>
        <w:trPr>
          <w:trHeight w:val="197"/>
        </w:trPr>
        <w:tc>
          <w:tcPr>
            <w:tcW w:w="5740" w:type="dxa"/>
            <w:vAlign w:val="bottom"/>
          </w:tcPr>
          <w:p>
            <w:pPr>
              <w:spacing w:after="0"/>
              <w:rPr>
                <w:sz w:val="20"/>
                <w:szCs w:val="20"/>
                <w:color w:val="auto"/>
              </w:rPr>
            </w:pPr>
            <w:r>
              <w:rPr>
                <w:rFonts w:ascii="Courier New" w:cs="Courier New" w:eastAsia="Courier New" w:hAnsi="Courier New"/>
                <w:sz w:val="17"/>
                <w:szCs w:val="17"/>
                <w:color w:val="auto"/>
              </w:rPr>
              <w:t>Pension income</w:t>
            </w:r>
          </w:p>
        </w:tc>
        <w:tc>
          <w:tcPr>
            <w:tcW w:w="1280" w:type="dxa"/>
            <w:vAlign w:val="bottom"/>
          </w:tcPr>
          <w:p>
            <w:pPr>
              <w:ind w:left="500"/>
              <w:spacing w:after="0"/>
              <w:rPr>
                <w:sz w:val="20"/>
                <w:szCs w:val="20"/>
                <w:color w:val="auto"/>
              </w:rPr>
            </w:pPr>
            <w:r>
              <w:rPr>
                <w:rFonts w:ascii="Courier New" w:cs="Courier New" w:eastAsia="Courier New" w:hAnsi="Courier New"/>
                <w:sz w:val="17"/>
                <w:szCs w:val="17"/>
                <w:color w:val="auto"/>
              </w:rPr>
              <w:t>353</w:t>
            </w:r>
          </w:p>
        </w:tc>
        <w:tc>
          <w:tcPr>
            <w:tcW w:w="1120" w:type="dxa"/>
            <w:vAlign w:val="bottom"/>
          </w:tcPr>
          <w:p>
            <w:pPr>
              <w:ind w:left="360"/>
              <w:spacing w:after="0"/>
              <w:rPr>
                <w:sz w:val="20"/>
                <w:szCs w:val="20"/>
                <w:color w:val="auto"/>
              </w:rPr>
            </w:pPr>
            <w:r>
              <w:rPr>
                <w:rFonts w:ascii="Courier New" w:cs="Courier New" w:eastAsia="Courier New" w:hAnsi="Courier New"/>
                <w:sz w:val="17"/>
                <w:szCs w:val="17"/>
                <w:color w:val="auto"/>
              </w:rPr>
              <w:t>266</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100" w:type="dxa"/>
            <w:vAlign w:val="bottom"/>
          </w:tcPr>
          <w:p>
            <w:pPr>
              <w:spacing w:after="0"/>
              <w:rPr>
                <w:sz w:val="20"/>
                <w:szCs w:val="20"/>
                <w:color w:val="auto"/>
              </w:rPr>
            </w:pPr>
            <w:r>
              <w:rPr>
                <w:rFonts w:ascii="Courier New" w:cs="Courier New" w:eastAsia="Courier New" w:hAnsi="Courier New"/>
                <w:sz w:val="17"/>
                <w:szCs w:val="17"/>
                <w:color w:val="auto"/>
              </w:rPr>
              <w:t>Total operating margin</w:t>
            </w:r>
          </w:p>
        </w:tc>
        <w:tc>
          <w:tcPr>
            <w:tcW w:w="270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969</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756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880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139"/>
          </w:cols>
          <w:pgMar w:left="320" w:top="70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20"/>
                <w:szCs w:val="20"/>
                <w:color w:val="auto"/>
              </w:rPr>
            </w:pPr>
            <w:r>
              <w:rPr>
                <w:rFonts w:ascii="Courier New" w:cs="Courier New" w:eastAsia="Courier New" w:hAnsi="Courier New"/>
                <w:sz w:val="17"/>
                <w:szCs w:val="17"/>
                <w:color w:val="auto"/>
              </w:rPr>
              <w:t>NORTHROP GRUMMAN CORPORATION</w:t>
            </w: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787"/>
        </w:trPr>
        <w:tc>
          <w:tcPr>
            <w:tcW w:w="2920" w:type="dxa"/>
            <w:vAlign w:val="bottom"/>
          </w:tcPr>
          <w:p>
            <w:pPr>
              <w:spacing w:after="0"/>
              <w:rPr>
                <w:sz w:val="20"/>
                <w:szCs w:val="20"/>
                <w:color w:val="auto"/>
              </w:rPr>
            </w:pPr>
            <w:r>
              <w:rPr>
                <w:rFonts w:ascii="Courier New" w:cs="Courier New" w:eastAsia="Courier New" w:hAnsi="Courier New"/>
                <w:sz w:val="17"/>
                <w:szCs w:val="17"/>
                <w:color w:val="auto"/>
              </w:rPr>
              <w:t>Year ended December 31, $ in</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millions</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1999</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Contract Acquisitions</w:t>
            </w: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040" w:type="dxa"/>
            <w:vAlign w:val="bottom"/>
          </w:tcPr>
          <w:p>
            <w:pPr>
              <w:ind w:left="220"/>
              <w:spacing w:after="0"/>
              <w:rPr>
                <w:sz w:val="20"/>
                <w:szCs w:val="20"/>
                <w:color w:val="auto"/>
              </w:rPr>
            </w:pPr>
            <w:r>
              <w:rPr>
                <w:rFonts w:ascii="Courier New" w:cs="Courier New" w:eastAsia="Courier New" w:hAnsi="Courier New"/>
                <w:sz w:val="17"/>
                <w:szCs w:val="17"/>
                <w:color w:val="auto"/>
              </w:rPr>
              <w:t>Integrated Systems &amp; Aerostructures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$ 4,434</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$ 3,896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$ 4,427</w:t>
            </w:r>
          </w:p>
        </w:tc>
      </w:tr>
      <w:tr>
        <w:trPr>
          <w:trHeight w:val="197"/>
        </w:trPr>
        <w:tc>
          <w:tcPr>
            <w:tcW w:w="4040" w:type="dxa"/>
            <w:vAlign w:val="bottom"/>
          </w:tcPr>
          <w:p>
            <w:pPr>
              <w:ind w:left="220"/>
              <w:spacing w:after="0"/>
              <w:rPr>
                <w:sz w:val="20"/>
                <w:szCs w:val="20"/>
                <w:color w:val="auto"/>
              </w:rPr>
            </w:pPr>
            <w:r>
              <w:rPr>
                <w:rFonts w:ascii="Courier New" w:cs="Courier New" w:eastAsia="Courier New" w:hAnsi="Courier New"/>
                <w:sz w:val="17"/>
                <w:szCs w:val="17"/>
                <w:color w:val="auto"/>
              </w:rPr>
              <w:t>Electronic Sensors &amp; Systems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3,055</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2,388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2,983</w:t>
            </w:r>
          </w:p>
        </w:tc>
      </w:tr>
      <w:tr>
        <w:trPr>
          <w:trHeight w:val="197"/>
        </w:trPr>
        <w:tc>
          <w:tcPr>
            <w:tcW w:w="4040" w:type="dxa"/>
            <w:vAlign w:val="bottom"/>
          </w:tcPr>
          <w:p>
            <w:pPr>
              <w:ind w:left="220"/>
              <w:spacing w:after="0"/>
              <w:rPr>
                <w:sz w:val="20"/>
                <w:szCs w:val="20"/>
                <w:color w:val="auto"/>
              </w:rPr>
            </w:pPr>
            <w:r>
              <w:rPr>
                <w:rFonts w:ascii="Courier New" w:cs="Courier New" w:eastAsia="Courier New" w:hAnsi="Courier New"/>
                <w:sz w:val="17"/>
                <w:szCs w:val="17"/>
                <w:color w:val="auto"/>
              </w:rPr>
              <w:t>Logicon</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1,481</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1,205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960" w:type="dxa"/>
            <w:vAlign w:val="bottom"/>
          </w:tcPr>
          <w:p>
            <w:pPr>
              <w:spacing w:after="0"/>
              <w:rPr>
                <w:sz w:val="20"/>
                <w:szCs w:val="20"/>
                <w:color w:val="auto"/>
              </w:rPr>
            </w:pPr>
            <w:r>
              <w:rPr>
                <w:rFonts w:ascii="Courier New" w:cs="Courier New" w:eastAsia="Courier New" w:hAnsi="Courier New"/>
                <w:sz w:val="17"/>
                <w:szCs w:val="17"/>
                <w:color w:val="auto"/>
              </w:rPr>
              <w:t>Total acquisitions</w:t>
            </w:r>
          </w:p>
        </w:tc>
        <w:tc>
          <w:tcPr>
            <w:tcW w:w="20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$ 8,970</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$ 7,489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$ 8,348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20"/>
                <w:szCs w:val="20"/>
                <w:color w:val="auto"/>
              </w:rPr>
            </w:pPr>
            <w:r>
              <w:rPr>
                <w:rFonts w:ascii="Courier New" w:cs="Courier New" w:eastAsia="Courier New" w:hAnsi="Courier New"/>
                <w:sz w:val="17"/>
                <w:szCs w:val="17"/>
                <w:color w:val="auto"/>
              </w:rPr>
              <w:t>Funded Order Backlog</w:t>
            </w: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Integrated Systems &amp; Aerostructures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$ 6,376</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$ 6,933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$ 8,130</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Electronic Sensors &amp; Systems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3,439</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2,951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3,285</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Logicon</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609</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565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700" w:type="dxa"/>
            <w:vAlign w:val="bottom"/>
          </w:tcPr>
          <w:p>
            <w:pPr>
              <w:spacing w:after="0"/>
              <w:rPr>
                <w:sz w:val="20"/>
                <w:szCs w:val="20"/>
                <w:color w:val="auto"/>
              </w:rPr>
            </w:pPr>
            <w:r>
              <w:rPr>
                <w:rFonts w:ascii="Courier New" w:cs="Courier New" w:eastAsia="Courier New" w:hAnsi="Courier New"/>
                <w:sz w:val="17"/>
                <w:szCs w:val="17"/>
                <w:color w:val="auto"/>
              </w:rPr>
              <w:t>Total backlog</w:t>
            </w:r>
          </w:p>
        </w:tc>
        <w:tc>
          <w:tcPr>
            <w:tcW w:w="22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$10,424</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$10,449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$11,862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Integrated Systems &amp; Aerostructures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$ 3,497</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$ 3,797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$ 3,847</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Electronic Sensors &amp; Systems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3,883</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3,913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3,990</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Logicon</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618</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assets</w:t>
            </w:r>
          </w:p>
        </w:tc>
        <w:tc>
          <w:tcPr>
            <w:tcW w:w="20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7,998</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8,328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8,396</w:t>
            </w:r>
          </w:p>
        </w:tc>
      </w:tr>
      <w:tr>
        <w:trPr>
          <w:trHeight w:val="197"/>
        </w:trPr>
        <w:tc>
          <w:tcPr>
            <w:tcW w:w="760" w:type="dxa"/>
            <w:vAlign w:val="bottom"/>
          </w:tcPr>
          <w:p>
            <w:pPr>
              <w:spacing w:after="0"/>
              <w:rPr>
                <w:sz w:val="20"/>
                <w:szCs w:val="20"/>
                <w:color w:val="auto"/>
              </w:rPr>
            </w:pPr>
            <w:r>
              <w:rPr>
                <w:rFonts w:ascii="Courier New" w:cs="Courier New" w:eastAsia="Courier New" w:hAnsi="Courier New"/>
                <w:sz w:val="17"/>
                <w:szCs w:val="17"/>
                <w:color w:val="auto"/>
              </w:rPr>
              <w:t>General</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corporate</w:t>
            </w:r>
          </w:p>
        </w:tc>
        <w:tc>
          <w:tcPr>
            <w:tcW w:w="20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1,287</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1,208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3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$ 9,285</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$ 9,536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$ 9,677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Integrated Systems &amp; Aerostructures</w:t>
            </w:r>
          </w:p>
        </w:tc>
        <w:tc>
          <w:tcPr>
            <w:tcW w:w="5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85</w:t>
            </w:r>
          </w:p>
        </w:tc>
        <w:tc>
          <w:tcPr>
            <w:tcW w:w="4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125</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Electronic Sensors &amp; Systems</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w:t>
            </w:r>
          </w:p>
        </w:tc>
        <w:tc>
          <w:tcPr>
            <w:tcW w:w="40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Logicon</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w:t>
            </w:r>
          </w:p>
        </w:tc>
        <w:tc>
          <w:tcPr>
            <w:tcW w:w="40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General corporate</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320"/>
        <w:spacing w:after="0"/>
        <w:tabs>
          <w:tab w:leader="none" w:pos="4380" w:val="left"/>
          <w:tab w:leader="none" w:pos="4800" w:val="left"/>
          <w:tab w:leader="none" w:pos="5400" w:val="left"/>
          <w:tab w:leader="none" w:pos="5820" w:val="left"/>
          <w:tab w:leader="none" w:pos="6420" w:val="left"/>
          <w:tab w:leader="none" w:pos="6840" w:val="left"/>
        </w:tabs>
        <w:rPr>
          <w:sz w:val="20"/>
          <w:szCs w:val="20"/>
          <w:color w:val="auto"/>
        </w:rPr>
      </w:pPr>
      <w:r>
        <w:rPr>
          <w:rFonts w:ascii="Courier New" w:cs="Courier New" w:eastAsia="Courier New" w:hAnsi="Courier New"/>
          <w:sz w:val="17"/>
          <w:szCs w:val="17"/>
          <w:color w:val="auto"/>
        </w:rPr>
        <w:t>Total expenditures</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201</w:t>
        <w:tab/>
        <w:t>$</w:t>
      </w:r>
      <w:r>
        <w:rPr>
          <w:sz w:val="20"/>
          <w:szCs w:val="20"/>
          <w:color w:val="auto"/>
        </w:rPr>
        <w:tab/>
      </w:r>
      <w:r>
        <w:rPr>
          <w:rFonts w:ascii="Courier New" w:cs="Courier New" w:eastAsia="Courier New" w:hAnsi="Courier New"/>
          <w:sz w:val="17"/>
          <w:szCs w:val="17"/>
          <w:color w:val="auto"/>
        </w:rPr>
        <w:t>211</w:t>
        <w:tab/>
        <w:t>$</w:t>
      </w:r>
      <w:r>
        <w:rPr>
          <w:sz w:val="20"/>
          <w:szCs w:val="20"/>
          <w:color w:val="auto"/>
        </w:rPr>
        <w:tab/>
      </w:r>
      <w:r>
        <w:rPr>
          <w:rFonts w:ascii="Courier New" w:cs="Courier New" w:eastAsia="Courier New" w:hAnsi="Courier New"/>
          <w:sz w:val="16"/>
          <w:szCs w:val="16"/>
          <w:color w:val="auto"/>
        </w:rPr>
        <w:t>238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Integrated Systems &amp; Aerostructures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133</w:t>
            </w:r>
          </w:p>
        </w:tc>
        <w:tc>
          <w:tcPr>
            <w:tcW w:w="4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173</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Electronic Sensors &amp; Systems</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222</w:t>
            </w:r>
          </w:p>
        </w:tc>
        <w:tc>
          <w:tcPr>
            <w:tcW w:w="40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208</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Logicon</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32</w:t>
            </w:r>
          </w:p>
        </w:tc>
        <w:tc>
          <w:tcPr>
            <w:tcW w:w="40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7"/>
        </w:trPr>
        <w:tc>
          <w:tcPr>
            <w:tcW w:w="4140" w:type="dxa"/>
            <w:vAlign w:val="bottom"/>
          </w:tcPr>
          <w:p>
            <w:pPr>
              <w:ind w:left="320"/>
              <w:spacing w:after="0"/>
              <w:rPr>
                <w:sz w:val="20"/>
                <w:szCs w:val="20"/>
                <w:color w:val="auto"/>
              </w:rPr>
            </w:pPr>
            <w:r>
              <w:rPr>
                <w:rFonts w:ascii="Courier New" w:cs="Courier New" w:eastAsia="Courier New" w:hAnsi="Courier New"/>
                <w:sz w:val="17"/>
                <w:szCs w:val="17"/>
                <w:color w:val="auto"/>
              </w:rPr>
              <w:t>General corporate</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320"/>
        <w:spacing w:after="0"/>
        <w:tabs>
          <w:tab w:leader="none" w:pos="4380" w:val="left"/>
          <w:tab w:leader="none" w:pos="4800" w:val="left"/>
          <w:tab w:leader="none" w:pos="5400" w:val="left"/>
          <w:tab w:leader="none" w:pos="5820" w:val="left"/>
          <w:tab w:leader="none" w:pos="6420" w:val="left"/>
          <w:tab w:leader="none" w:pos="6840" w:val="left"/>
        </w:tabs>
        <w:rPr>
          <w:sz w:val="20"/>
          <w:szCs w:val="20"/>
          <w:color w:val="auto"/>
        </w:rPr>
      </w:pPr>
      <w:r>
        <w:rPr>
          <w:rFonts w:ascii="Courier New" w:cs="Courier New" w:eastAsia="Courier New" w:hAnsi="Courier New"/>
          <w:sz w:val="17"/>
          <w:szCs w:val="17"/>
          <w:color w:val="auto"/>
        </w:rPr>
        <w:t>Total depreciation and amortization</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389</w:t>
        <w:tab/>
        <w:t>$</w:t>
      </w:r>
      <w:r>
        <w:rPr>
          <w:sz w:val="20"/>
          <w:szCs w:val="20"/>
          <w:color w:val="auto"/>
        </w:rPr>
        <w:tab/>
      </w:r>
      <w:r>
        <w:rPr>
          <w:rFonts w:ascii="Courier New" w:cs="Courier New" w:eastAsia="Courier New" w:hAnsi="Courier New"/>
          <w:sz w:val="17"/>
          <w:szCs w:val="17"/>
          <w:color w:val="auto"/>
        </w:rPr>
        <w:t>393</w:t>
        <w:tab/>
        <w:t>$</w:t>
      </w:r>
      <w:r>
        <w:rPr>
          <w:sz w:val="20"/>
          <w:szCs w:val="20"/>
          <w:color w:val="auto"/>
        </w:rPr>
        <w:tab/>
      </w:r>
      <w:r>
        <w:rPr>
          <w:rFonts w:ascii="Courier New" w:cs="Courier New" w:eastAsia="Courier New" w:hAnsi="Courier New"/>
          <w:sz w:val="16"/>
          <w:szCs w:val="16"/>
          <w:color w:val="auto"/>
        </w:rPr>
        <w:t>418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139"/>
          </w:cols>
          <w:pgMar w:left="320" w:top="50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An individual company's success in the competitive aerospace/defense environment depends upon its ability to develop and market its products, as well as, its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enhance these capabilities. The company also believes that it maintains good relations with its employees, approximately 16 percent of whom are covered by collective bargaining agreements.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 An important factor in determining Northrop Grumman's ability to compete successfully for future contracts will be its cost structure vis-a-vis other bidders.</w:t>
      </w:r>
    </w:p>
    <w:p>
      <w:pPr>
        <w:spacing w:after="0" w:line="197"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Although the ultimate size of future defense budgets remains uncertain, the defense needs of the nation are expected to provide substantial research and development (R&amp;D) funding and other business for the company to pursue well into the future.</w:t>
      </w:r>
    </w:p>
    <w:p>
      <w:pPr>
        <w:spacing w:after="0" w:line="200"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Northrop Grumman has historically concentrated its efforts in such high technology areas as stealth, airborne surveillance, battle management, precision weapons, systems integration, defense electronics, and information technology. Even though a high priority has been assigned by the Department of Defense to the company's major programs, there remains the possibility that one or more of them may be reduced, extended or terminated.</w:t>
      </w:r>
    </w:p>
    <w:p>
      <w:pPr>
        <w:spacing w:after="0" w:line="202" w:lineRule="exact"/>
        <w:rPr>
          <w:sz w:val="20"/>
          <w:szCs w:val="20"/>
          <w:color w:val="auto"/>
        </w:rPr>
      </w:pPr>
    </w:p>
    <w:p>
      <w:pPr>
        <w:ind w:right="2459" w:firstLine="511"/>
        <w:spacing w:after="0" w:line="244" w:lineRule="auto"/>
        <w:rPr>
          <w:sz w:val="20"/>
          <w:szCs w:val="20"/>
          <w:color w:val="auto"/>
        </w:rPr>
      </w:pPr>
      <w:r>
        <w:rPr>
          <w:rFonts w:ascii="Courier New" w:cs="Courier New" w:eastAsia="Courier New" w:hAnsi="Courier New"/>
          <w:sz w:val="17"/>
          <w:szCs w:val="17"/>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continues to capitalize on its technologies and skills by entering into joint ventures, partnerships or associations with other companies.</w:t>
      </w:r>
    </w:p>
    <w:p>
      <w:pPr>
        <w:spacing w:after="0" w:line="202"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the event of termination for the government's convenience, contractors are normally protected by provisions covering reimbursement for costs incurred subsequent to termination. The company received a termination for convenience notice on the Tri-Service Standoff Attack Missile (TSSAM) program in February 1995. In December 1996, the company filed a lawsuit against the U.S. Government in the U.S. Court of Federal Claims seeking the recovery of approximately $750 million for uncompensated performance costs, investments, and a reasonable profit on the program. In prior years, the company had charged to operations in excess of $600 million related to this program. Northrop Grumman is unable to predict whether it will realize some or all of its claims, none of which are recorded on the balance sheet, from the U.S. Government on the TSSAM contract.</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139"/>
          </w:cols>
          <w:pgMar w:left="320" w:top="70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Prime contracts with various agencies of the U.S. Government and subcontracts with other prime contractors are subject to a profusion of procurement regulations, including the International Traffic in Arms Regulations promulgated under the Arms Export Control Act, with noncompliance found by any one agency possibly resulting in fines, penalties, debarment or suspension from receiving additional contracts with all agencies. Given the company's dependence on U.S. Government business, suspension or debarment could have a material adverse effect on the company's future. Moreover, these contracts may be terminated at the U.S. Government's convenience.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Issues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Federal, state and local laws relating to the protection of the environment affect the company's manufacturing operations. The company has provided for the estimated cost to complete remediation where the company has determined that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13 hazardous waste sites and under state Superfund laws at eight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The company does not anticipate and record insurance recoveries before collection is probable. Management estimates that at December 31, 1999, the range of reasonably possible future costs for environmental remediation, including Superfund sites, is $80 million to $111 million, of which $87 million has been accrued. Should other PRPs not pay their allocable share of remediation costs, the company may have to incur costs in addition to those already estimated and accrued. The company is making the necessary investments to comply with environmental laws; the amounts, while not insignificant, are not considered material to the company's financial position, results of operations, or cash flows.</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139"/>
          </w:cols>
          <w:pgMar w:left="320" w:top="70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Issues</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The company established and implemented its program to address the possibility of computer failure upon entering the year 2000 (Year 2000), beginning in 1996. The program encompassed the entire company and all aspects of Year 2000 compliance including software applications, mainframe environment, desktop equipment, networks, telecommunications, department supported systems, facilities systems, embedded systems in product deliverables, review of major suppliers and major customers' Year 2000 status, and development of contingency plans and year end support plans. All phases of the program were completed by the end of 1999.</w:t>
      </w:r>
    </w:p>
    <w:p>
      <w:pPr>
        <w:spacing w:after="0" w:line="198" w:lineRule="exact"/>
        <w:rPr>
          <w:sz w:val="20"/>
          <w:szCs w:val="20"/>
          <w:color w:val="auto"/>
        </w:rPr>
      </w:pPr>
    </w:p>
    <w:p>
      <w:pPr>
        <w:ind w:right="2059" w:firstLine="409"/>
        <w:spacing w:after="0" w:line="245" w:lineRule="auto"/>
        <w:rPr>
          <w:sz w:val="20"/>
          <w:szCs w:val="20"/>
          <w:color w:val="auto"/>
        </w:rPr>
      </w:pPr>
      <w:r>
        <w:rPr>
          <w:rFonts w:ascii="Courier New" w:cs="Courier New" w:eastAsia="Courier New" w:hAnsi="Courier New"/>
          <w:sz w:val="17"/>
          <w:szCs w:val="17"/>
          <w:color w:val="auto"/>
        </w:rPr>
        <w:t>The company has separately identified the costs of Year 2000 remedial efforts only for internal information services personnel, principally as a planning and control tool. The total cost of these efforts incurred during the years 1996 through 1999 was approximately $41 million. Year 2000 costs are allowable costs under applicable government contracting regulations. Accordingly, the portion of Year 2000 costs allocable to contracts are charged as part of normal overhead pursuant to approved methods established for this purpose.</w:t>
      </w:r>
    </w:p>
    <w:p>
      <w:pPr>
        <w:spacing w:after="0" w:line="1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To date, the company has not experienced any major system failures or other adverse consequences due to Year 2000 noncompliance. While the possibility still exists for future computer failures, internally or among its customers and suppliers, management does not expect that these developments, should they occur, would have a material adverse impact on the financial position, results of operations, or cash flows of Northrop Grumman.</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139"/>
          </w:cols>
          <w:pgMar w:left="320" w:top="70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MEASURES OF VOLUME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Acquisitions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Contract acquisitions tend to fluctuate from year to year and are determined by the size and timing of new and add-on orders. The effects of multiyear orders and/or funding can be seen in the highs and lows shown in the following table.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Acquisitions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4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Integrated Systems &amp; Aerostructures</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ACS</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$1,421</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$1,430</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$1,607</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Aerostructures</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1,302</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1,453</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1,425</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AEW/EW</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1,106</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679</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728</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AGS/BM</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686</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434</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761</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Intrasegment eliminations</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7"/>
          <w:szCs w:val="17"/>
          <w:color w:val="auto"/>
        </w:rPr>
        <w:t>4,440</w:t>
      </w:r>
      <w:r>
        <w:rPr>
          <w:sz w:val="20"/>
          <w:szCs w:val="20"/>
          <w:color w:val="auto"/>
        </w:rPr>
        <w:tab/>
      </w:r>
      <w:r>
        <w:rPr>
          <w:rFonts w:ascii="Courier New" w:cs="Courier New" w:eastAsia="Courier New" w:hAnsi="Courier New"/>
          <w:sz w:val="17"/>
          <w:szCs w:val="17"/>
          <w:color w:val="auto"/>
        </w:rPr>
        <w:t>3,901</w:t>
      </w:r>
      <w:r>
        <w:rPr>
          <w:sz w:val="20"/>
          <w:szCs w:val="20"/>
          <w:color w:val="auto"/>
        </w:rPr>
        <w:tab/>
      </w:r>
      <w:r>
        <w:rPr>
          <w:rFonts w:ascii="Courier New" w:cs="Courier New" w:eastAsia="Courier New" w:hAnsi="Courier New"/>
          <w:sz w:val="16"/>
          <w:szCs w:val="16"/>
          <w:color w:val="auto"/>
        </w:rPr>
        <w:t>4,440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20"/>
                <w:szCs w:val="20"/>
                <w:color w:val="auto"/>
              </w:rPr>
            </w:pPr>
            <w:r>
              <w:rPr>
                <w:rFonts w:ascii="Courier New" w:cs="Courier New" w:eastAsia="Courier New" w:hAnsi="Courier New"/>
                <w:sz w:val="17"/>
                <w:szCs w:val="17"/>
                <w:color w:val="auto"/>
              </w:rPr>
              <w:t>Electronic Sensors &amp; Systems</w:t>
            </w: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Aerospace Electronic Systems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1,375</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1,047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1,496</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C3I&amp;N</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727</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907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964</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Defensive Electronic Systems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708</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311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508</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308</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7"/>
          <w:szCs w:val="17"/>
          <w:color w:val="auto"/>
        </w:rPr>
        <w:t>3,118</w:t>
      </w:r>
      <w:r>
        <w:rPr>
          <w:sz w:val="20"/>
          <w:szCs w:val="20"/>
          <w:color w:val="auto"/>
        </w:rPr>
        <w:tab/>
      </w:r>
      <w:r>
        <w:rPr>
          <w:rFonts w:ascii="Courier New" w:cs="Courier New" w:eastAsia="Courier New" w:hAnsi="Courier New"/>
          <w:sz w:val="17"/>
          <w:szCs w:val="17"/>
          <w:color w:val="auto"/>
        </w:rPr>
        <w:t>2,490</w:t>
      </w:r>
      <w:r>
        <w:rPr>
          <w:sz w:val="20"/>
          <w:szCs w:val="20"/>
          <w:color w:val="auto"/>
        </w:rPr>
        <w:tab/>
      </w:r>
      <w:r>
        <w:rPr>
          <w:rFonts w:ascii="Courier New" w:cs="Courier New" w:eastAsia="Courier New" w:hAnsi="Courier New"/>
          <w:sz w:val="16"/>
          <w:szCs w:val="16"/>
          <w:color w:val="auto"/>
        </w:rPr>
        <w:t>3,144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20"/>
                <w:szCs w:val="20"/>
                <w:color w:val="auto"/>
              </w:rPr>
            </w:pPr>
            <w:r>
              <w:rPr>
                <w:rFonts w:ascii="Courier New" w:cs="Courier New" w:eastAsia="Courier New" w:hAnsi="Courier New"/>
                <w:sz w:val="17"/>
                <w:szCs w:val="17"/>
                <w:color w:val="auto"/>
              </w:rPr>
              <w:t>Logicon</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7"/>
        </w:trPr>
        <w:tc>
          <w:tcPr>
            <w:tcW w:w="4200" w:type="dxa"/>
            <w:vAlign w:val="bottom"/>
          </w:tcPr>
          <w:p>
            <w:pPr>
              <w:ind w:left="420"/>
              <w:spacing w:after="0"/>
              <w:rPr>
                <w:sz w:val="20"/>
                <w:szCs w:val="20"/>
                <w:color w:val="auto"/>
              </w:rPr>
            </w:pPr>
            <w:r>
              <w:rPr>
                <w:rFonts w:ascii="Courier New" w:cs="Courier New" w:eastAsia="Courier New" w:hAnsi="Courier New"/>
                <w:sz w:val="17"/>
                <w:szCs w:val="17"/>
                <w:color w:val="auto"/>
              </w:rPr>
              <w:t>Government Information Technology</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1,015</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813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711</w:t>
            </w:r>
          </w:p>
        </w:tc>
      </w:tr>
      <w:tr>
        <w:trPr>
          <w:trHeight w:val="197"/>
        </w:trPr>
        <w:tc>
          <w:tcPr>
            <w:tcW w:w="4200" w:type="dxa"/>
            <w:vAlign w:val="bottom"/>
          </w:tcPr>
          <w:p>
            <w:pPr>
              <w:ind w:left="420"/>
              <w:spacing w:after="0"/>
              <w:rPr>
                <w:sz w:val="20"/>
                <w:szCs w:val="20"/>
                <w:color w:val="auto"/>
              </w:rPr>
            </w:pPr>
            <w:r>
              <w:rPr>
                <w:rFonts w:ascii="Courier New" w:cs="Courier New" w:eastAsia="Courier New" w:hAnsi="Courier New"/>
                <w:sz w:val="17"/>
                <w:szCs w:val="17"/>
                <w:color w:val="auto"/>
              </w:rPr>
              <w:t>Technology Services</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347</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300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7"/>
        </w:trPr>
        <w:tc>
          <w:tcPr>
            <w:tcW w:w="4200" w:type="dxa"/>
            <w:vAlign w:val="bottom"/>
          </w:tcPr>
          <w:p>
            <w:pPr>
              <w:ind w:left="420"/>
              <w:spacing w:after="0"/>
              <w:rPr>
                <w:sz w:val="20"/>
                <w:szCs w:val="20"/>
                <w:color w:val="auto"/>
              </w:rPr>
            </w:pPr>
            <w:r>
              <w:rPr>
                <w:rFonts w:ascii="Courier New" w:cs="Courier New" w:eastAsia="Courier New" w:hAnsi="Courier New"/>
                <w:sz w:val="17"/>
                <w:szCs w:val="17"/>
                <w:color w:val="auto"/>
              </w:rPr>
              <w:t>Commercial Information Technology</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140</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7040" w:val="left"/>
        </w:tabs>
        <w:rPr>
          <w:sz w:val="20"/>
          <w:szCs w:val="20"/>
          <w:color w:val="auto"/>
        </w:rPr>
      </w:pPr>
      <w:r>
        <w:rPr>
          <w:rFonts w:ascii="Courier New" w:cs="Courier New" w:eastAsia="Courier New" w:hAnsi="Courier New"/>
          <w:sz w:val="17"/>
          <w:szCs w:val="17"/>
          <w:color w:val="auto"/>
        </w:rPr>
        <w:t>1,502</w:t>
      </w:r>
      <w:r>
        <w:rPr>
          <w:sz w:val="20"/>
          <w:szCs w:val="20"/>
          <w:color w:val="auto"/>
        </w:rPr>
        <w:tab/>
      </w:r>
      <w:r>
        <w:rPr>
          <w:rFonts w:ascii="Courier New" w:cs="Courier New" w:eastAsia="Courier New" w:hAnsi="Courier New"/>
          <w:sz w:val="17"/>
          <w:szCs w:val="17"/>
          <w:color w:val="auto"/>
        </w:rPr>
        <w:t>1,226</w:t>
      </w:r>
      <w:r>
        <w:rPr>
          <w:sz w:val="20"/>
          <w:szCs w:val="20"/>
          <w:color w:val="auto"/>
        </w:rPr>
        <w:tab/>
      </w:r>
      <w:r>
        <w:rPr>
          <w:rFonts w:ascii="Courier New" w:cs="Courier New" w:eastAsia="Courier New" w:hAnsi="Courier New"/>
          <w:sz w:val="16"/>
          <w:szCs w:val="16"/>
          <w:color w:val="auto"/>
        </w:rPr>
        <w:t>958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20"/>
                <w:szCs w:val="20"/>
                <w:color w:val="auto"/>
              </w:rPr>
            </w:pPr>
            <w:r>
              <w:rPr>
                <w:rFonts w:ascii="Courier New" w:cs="Courier New" w:eastAsia="Courier New" w:hAnsi="Courier New"/>
                <w:sz w:val="17"/>
                <w:szCs w:val="17"/>
                <w:color w:val="auto"/>
              </w:rPr>
              <w:t>Intersegment eliminations</w:t>
            </w:r>
          </w:p>
        </w:tc>
        <w:tc>
          <w:tcPr>
            <w:tcW w:w="18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(90)</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20"/>
                <w:szCs w:val="20"/>
                <w:color w:val="auto"/>
              </w:rPr>
            </w:pPr>
            <w:r>
              <w:rPr>
                <w:rFonts w:ascii="Courier New" w:cs="Courier New" w:eastAsia="Courier New" w:hAnsi="Courier New"/>
                <w:sz w:val="17"/>
                <w:szCs w:val="17"/>
                <w:color w:val="auto"/>
              </w:rPr>
              <w:t>Total acquisitions</w:t>
            </w:r>
          </w:p>
        </w:tc>
        <w:tc>
          <w:tcPr>
            <w:tcW w:w="22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$8,970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$7,489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$8,348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139"/>
          </w:cols>
          <w:pgMar w:left="320" w:top="70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ISA acquisitions in 1999 were 14 percent higher than in 1998 reflecting increases in both the AEW/EW and AGS/BM business areas. Included in the AEW/EW business area in 1999 is funding for the multiyear buy for 25 E-2C aircraft. The AGS/BM business area received orders for two, one and two Joint STARS aircraft in 1999, 1998 and 1997, respectively.</w:t>
      </w:r>
    </w:p>
    <w:p>
      <w:pPr>
        <w:spacing w:after="0" w:line="201"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ACS business area recorded incremental B-2 funding for ongoing development work, spares and other customer support for the operational aircraft program in each of the last three years. The company still stands to gain future post production business, such as airframe depot maintenance, repair of components, operational software changes, and product improvement modifications. The company received orders for 30, 20 and 12 F/A-18E/F shipsets in 1999, 1998 and 1997, respectively. Acquisitions in 1998 included orders for 6 F/A-18C/D shipsets.</w:t>
      </w:r>
    </w:p>
    <w:p>
      <w:pPr>
        <w:spacing w:after="0" w:line="198" w:lineRule="exact"/>
        <w:rPr>
          <w:sz w:val="20"/>
          <w:szCs w:val="20"/>
          <w:color w:val="auto"/>
        </w:rPr>
      </w:pPr>
    </w:p>
    <w:p>
      <w:pPr>
        <w:jc w:val="both"/>
        <w:ind w:right="1959" w:firstLine="511"/>
        <w:spacing w:after="0" w:line="244" w:lineRule="auto"/>
        <w:rPr>
          <w:sz w:val="20"/>
          <w:szCs w:val="20"/>
          <w:color w:val="auto"/>
        </w:rPr>
      </w:pPr>
      <w:r>
        <w:rPr>
          <w:rFonts w:ascii="Courier New" w:cs="Courier New" w:eastAsia="Courier New" w:hAnsi="Courier New"/>
          <w:sz w:val="17"/>
          <w:szCs w:val="17"/>
          <w:color w:val="auto"/>
        </w:rPr>
        <w:t>The Aerostructures business area received authorization to produce 25, 50 and 50 747 jetliner shipsets in 1999, 1998 and 1997, respectively. The company recorded orders for 30, 27 and 6 wing shipsets for the Gulfstream V business jet in 1999, 1998 and 1997, respectively.</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ESS acquisitions in 1999 were 25 percent higher than in 1998. The Aerospace Electronic Systems business area received funding in 1999 for the Longbow missile multiyear contract and the BAT LRIP contract. In the C3I&amp;N business area, a lower level of international awards for air traffic control radar systems was posted in 1999 than in 1998. The Defensive Electronic Systems business area recorded increased orders in 1999 for the ALQ-135 and DIRCM programs.</w:t>
      </w:r>
    </w:p>
    <w:p>
      <w:pPr>
        <w:spacing w:after="0" w:line="197"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Logicon acquisitions increased by 23 percent in 1999 over 1998, reflecting higher volume in all three business areas. The increase in Government Information Technology acquisitions is due to a higher win rate on contracts bid as well as the inclusion of two new businesses acquired: INRI, purchased in September 1998, and DPC, purchased in June 1999. In the third quarter of 1998, Logicon won the Joint Base Operations Support Contract (J-BOSC), which is reported in the Technology Services business area. Under this contract, which has a five-year basic performance period with a five-year option, the segment provides base operations support for NASA's Kennedy Space Center and the U.S. Air Force's 45th Space Wing, which includes Cape Canaveral Air Station and Patrick Air Force Base.</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139"/>
          </w:cols>
          <w:pgMar w:left="320" w:top="70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Year-to-year sales vary less than contract acquisitions and reflect performance under new and ongoing contracts.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4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Integrated Systems &amp; Aerostructures</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ACS</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$2,059</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$2,114</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$2,446</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Aerostructures</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1,411</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1,583</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1,545</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AEW/EW</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888</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780</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739</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AGS/BM</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714</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716</w:t>
            </w: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631</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Intrasegment Eliminations</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7"/>
          <w:szCs w:val="17"/>
          <w:color w:val="auto"/>
        </w:rPr>
        <w:t>4,997</w:t>
      </w:r>
      <w:r>
        <w:rPr>
          <w:sz w:val="20"/>
          <w:szCs w:val="20"/>
          <w:color w:val="auto"/>
        </w:rPr>
        <w:tab/>
      </w:r>
      <w:r>
        <w:rPr>
          <w:rFonts w:ascii="Courier New" w:cs="Courier New" w:eastAsia="Courier New" w:hAnsi="Courier New"/>
          <w:sz w:val="17"/>
          <w:szCs w:val="17"/>
          <w:color w:val="auto"/>
        </w:rPr>
        <w:t>5,098</w:t>
      </w:r>
      <w:r>
        <w:rPr>
          <w:sz w:val="20"/>
          <w:szCs w:val="20"/>
          <w:color w:val="auto"/>
        </w:rPr>
        <w:tab/>
      </w:r>
      <w:r>
        <w:rPr>
          <w:rFonts w:ascii="Courier New" w:cs="Courier New" w:eastAsia="Courier New" w:hAnsi="Courier New"/>
          <w:sz w:val="16"/>
          <w:szCs w:val="16"/>
          <w:color w:val="auto"/>
        </w:rPr>
        <w:t>5,280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20"/>
                <w:szCs w:val="20"/>
                <w:color w:val="auto"/>
              </w:rPr>
            </w:pPr>
            <w:r>
              <w:rPr>
                <w:rFonts w:ascii="Courier New" w:cs="Courier New" w:eastAsia="Courier New" w:hAnsi="Courier New"/>
                <w:sz w:val="17"/>
                <w:szCs w:val="17"/>
                <w:color w:val="auto"/>
              </w:rPr>
              <w:t>Electronic Sensors &amp; Systems</w:t>
            </w: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Aerospace Electronic Systems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1,105</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1,265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1,240</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C3I&amp;N</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843</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904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887</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Defensive Electronic Systems</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536</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544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656</w:t>
            </w:r>
          </w:p>
        </w:tc>
      </w:tr>
      <w:tr>
        <w:trPr>
          <w:trHeight w:val="197"/>
        </w:trPr>
        <w:tc>
          <w:tcPr>
            <w:tcW w:w="394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229</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186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7"/>
          <w:szCs w:val="17"/>
          <w:color w:val="auto"/>
        </w:rPr>
        <w:t>2,713</w:t>
      </w:r>
      <w:r>
        <w:rPr>
          <w:sz w:val="20"/>
          <w:szCs w:val="20"/>
          <w:color w:val="auto"/>
        </w:rPr>
        <w:tab/>
      </w:r>
      <w:r>
        <w:rPr>
          <w:rFonts w:ascii="Courier New" w:cs="Courier New" w:eastAsia="Courier New" w:hAnsi="Courier New"/>
          <w:sz w:val="17"/>
          <w:szCs w:val="17"/>
          <w:color w:val="auto"/>
        </w:rPr>
        <w:t>2,899</w:t>
      </w:r>
      <w:r>
        <w:rPr>
          <w:sz w:val="20"/>
          <w:szCs w:val="20"/>
          <w:color w:val="auto"/>
        </w:rPr>
        <w:tab/>
      </w:r>
      <w:r>
        <w:rPr>
          <w:rFonts w:ascii="Courier New" w:cs="Courier New" w:eastAsia="Courier New" w:hAnsi="Courier New"/>
          <w:sz w:val="16"/>
          <w:szCs w:val="16"/>
          <w:color w:val="auto"/>
        </w:rPr>
        <w:t>3,064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00" w:type="dxa"/>
            <w:vAlign w:val="bottom"/>
          </w:tcPr>
          <w:p>
            <w:pPr>
              <w:spacing w:after="0"/>
              <w:rPr>
                <w:sz w:val="20"/>
                <w:szCs w:val="20"/>
                <w:color w:val="auto"/>
              </w:rPr>
            </w:pPr>
            <w:r>
              <w:rPr>
                <w:rFonts w:ascii="Courier New" w:cs="Courier New" w:eastAsia="Courier New" w:hAnsi="Courier New"/>
                <w:sz w:val="17"/>
                <w:szCs w:val="17"/>
                <w:color w:val="auto"/>
              </w:rPr>
              <w:t>Logicon</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7"/>
        </w:trPr>
        <w:tc>
          <w:tcPr>
            <w:tcW w:w="4300" w:type="dxa"/>
            <w:vAlign w:val="bottom"/>
          </w:tcPr>
          <w:p>
            <w:pPr>
              <w:ind w:left="420"/>
              <w:spacing w:after="0"/>
              <w:rPr>
                <w:sz w:val="20"/>
                <w:szCs w:val="20"/>
                <w:color w:val="auto"/>
              </w:rPr>
            </w:pPr>
            <w:r>
              <w:rPr>
                <w:rFonts w:ascii="Courier New" w:cs="Courier New" w:eastAsia="Courier New" w:hAnsi="Courier New"/>
                <w:sz w:val="17"/>
                <w:szCs w:val="17"/>
                <w:color w:val="auto"/>
              </w:rPr>
              <w:t>Government Information Technology</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971</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787</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770</w:t>
            </w:r>
          </w:p>
        </w:tc>
      </w:tr>
      <w:tr>
        <w:trPr>
          <w:trHeight w:val="197"/>
        </w:trPr>
        <w:tc>
          <w:tcPr>
            <w:tcW w:w="4300" w:type="dxa"/>
            <w:vAlign w:val="bottom"/>
          </w:tcPr>
          <w:p>
            <w:pPr>
              <w:ind w:left="420"/>
              <w:spacing w:after="0"/>
              <w:rPr>
                <w:sz w:val="20"/>
                <w:szCs w:val="20"/>
                <w:color w:val="auto"/>
              </w:rPr>
            </w:pPr>
            <w:r>
              <w:rPr>
                <w:rFonts w:ascii="Courier New" w:cs="Courier New" w:eastAsia="Courier New" w:hAnsi="Courier New"/>
                <w:sz w:val="17"/>
                <w:szCs w:val="17"/>
                <w:color w:val="auto"/>
              </w:rPr>
              <w:t>Technology Services</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346</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r>
      <w:tr>
        <w:trPr>
          <w:trHeight w:val="197"/>
        </w:trPr>
        <w:tc>
          <w:tcPr>
            <w:tcW w:w="4300" w:type="dxa"/>
            <w:vAlign w:val="bottom"/>
          </w:tcPr>
          <w:p>
            <w:pPr>
              <w:ind w:left="420"/>
              <w:spacing w:after="0"/>
              <w:rPr>
                <w:sz w:val="20"/>
                <w:szCs w:val="20"/>
                <w:color w:val="auto"/>
              </w:rPr>
            </w:pPr>
            <w:r>
              <w:rPr>
                <w:rFonts w:ascii="Courier New" w:cs="Courier New" w:eastAsia="Courier New" w:hAnsi="Courier New"/>
                <w:sz w:val="17"/>
                <w:szCs w:val="17"/>
                <w:color w:val="auto"/>
              </w:rPr>
              <w:t>Commercial Information Technology</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142</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107</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600"/>
        <w:spacing w:after="0"/>
        <w:tabs>
          <w:tab w:leader="none" w:pos="5720" w:val="left"/>
          <w:tab w:leader="none" w:pos="6840" w:val="left"/>
        </w:tabs>
        <w:rPr>
          <w:sz w:val="20"/>
          <w:szCs w:val="20"/>
          <w:color w:val="auto"/>
        </w:rPr>
      </w:pPr>
      <w:r>
        <w:rPr>
          <w:rFonts w:ascii="Courier New" w:cs="Courier New" w:eastAsia="Courier New" w:hAnsi="Courier New"/>
          <w:sz w:val="17"/>
          <w:szCs w:val="17"/>
          <w:color w:val="auto"/>
        </w:rPr>
        <w:t>1,459</w:t>
      </w:r>
      <w:r>
        <w:rPr>
          <w:sz w:val="20"/>
          <w:szCs w:val="20"/>
          <w:color w:val="auto"/>
        </w:rPr>
        <w:tab/>
      </w:r>
      <w:r>
        <w:rPr>
          <w:rFonts w:ascii="Courier New" w:cs="Courier New" w:eastAsia="Courier New" w:hAnsi="Courier New"/>
          <w:sz w:val="17"/>
          <w:szCs w:val="17"/>
          <w:color w:val="auto"/>
        </w:rPr>
        <w:t>1,107</w:t>
      </w:r>
      <w:r>
        <w:rPr>
          <w:sz w:val="20"/>
          <w:szCs w:val="20"/>
          <w:color w:val="auto"/>
        </w:rPr>
        <w:tab/>
      </w:r>
      <w:r>
        <w:rPr>
          <w:rFonts w:ascii="Courier New" w:cs="Courier New" w:eastAsia="Courier New" w:hAnsi="Courier New"/>
          <w:sz w:val="16"/>
          <w:szCs w:val="16"/>
          <w:color w:val="auto"/>
        </w:rPr>
        <w:t>1,022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Intersegment eliminations</w:t>
            </w:r>
          </w:p>
        </w:tc>
        <w:tc>
          <w:tcPr>
            <w:tcW w:w="18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(174)</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Courier New" w:cs="Courier New" w:eastAsia="Courier New" w:hAnsi="Courier New"/>
                <w:sz w:val="17"/>
                <w:szCs w:val="17"/>
                <w:color w:val="auto"/>
              </w:rPr>
              <w:t>Total sales</w:t>
            </w:r>
          </w:p>
        </w:tc>
        <w:tc>
          <w:tcPr>
            <w:tcW w:w="25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$8,995</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$8,902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ISA segment sales declined by 2 percent in 1999 as compared to 1998. The decreasing trend in ACS revenues is primarily attributable to the B-2 program, which decreased by $86 million in 1999 as compared to 1998, following a $291 million decrease in 1998 as compared to 1997. Current planning data indicate that the level of overall B-2 revenue for 2000, when production is expected to be substantially completed, will decline by approximately 40 percent from the 1999 level. Sales on the F/A-18 program increased by $74 million in 1999 as compared to 1998. The last 17 shipsets of the C/D version of the F/A-18 were delivered in 1999; shipsets delivered in 1998 and 1997 were 34 and 35, respectively. In 1999 the company delivered the first twelve shipsets under the F/A-18E/F production contract and the last five shipsets under the F/A-18E/F LRIP contract.</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139"/>
          </w:cols>
          <w:pgMar w:left="320" w:top="50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The production contract is accounted for under the units-of-delivery method, which results in revenue being recorded as deliveries are made. The LRIP contract, which began in 1996 and was completed in 1999, is accounted for under the cost-to-cost type of percentage-of-completion method, resulting in revenue being recorded as costs are incurred. In 2000 the company plans to deliver 28 F/A-18E/F shipsets under production contracts. Sales on the Kistler K-1 program were recorded on a cost recovery basis as cash was received. Such sales declined $10 million in 1998 from the $63 million recorded in 1997. Work on this program was discontinued in December 1998 due to difficulties encountered by Kistler Aerospace Corporation in obtaining financing. No operating margin was recorded on this program.</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Aerostructures sales declined in 1999 from 1998 levels due to a $251 million reduction in Boeing commercial aerostructures sales partially offset by a $69 million increase in C-17 revenue. The small increase in Aerostructures sales in 1998 over 1997 reflects a $192 million increase in Boeing commercial aerostructures sales and a reduction in other aerostructures revenue due to the sale in late 1997 of the company's Grumman Allied Industries subsidiary. Deliveries of 747 fuselage shipsets were 32 in 1999, 56 in 1998, and 46 in 1997. Northrop Grumman is producing the Gulfstream V wings under a revenue-sharing agreement with Gulfstream Aerospace (Gulfstream). Northrop Grumman recognizes revenue for its proportionate share of the revenue of each business jet when delivered to the ultimate customer by Gulfstream. The company is using program accounting for the Gulfstream V with an estimated 300 shipsets to be delivered over a fourteen-year period. Northrop Grumman has received 133 orders for the Gulfstream V through December 1999. Inventoried costs at December 31, 1999, include $116 million of costs representing the excess of the production cost of delivered units over the estimated average unit cost. All costs for the development of the wings have been expensed as incurred. The company expects commercial aerostructures revenues to be lower in 2000 than in 1999.</w:t>
      </w:r>
    </w:p>
    <w:p>
      <w:pPr>
        <w:spacing w:after="0" w:line="199"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AEW/EW sales increased in 1999 over 1998 primarily due to increased EA-6B revenue. AGS/BM sales in 1999 were unchanged from the level reported in 1998. Overall ISA revenue for 2000 is expected to be approximately 12 percent to 15 percent lower than 1999.</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ESS segment sales declined by 6 percent in 1999 as compared to 1998. Lower Aerospace Electronic Systems business area sales are attributable to lower space systems and combat avionics systems sales. The C3I&amp;N business area reflects lower marine volume. The improvement in the "Other" business area is due to the inclusion of California Microwave Systems, which was acquired by Northrop Grumman in April 1999. ESS segment sales for 1998 declined 5 percent as compared to 1997 due to lower Defensive Electronic Systems volume as well as lower revenues on a number of programs included in the "Other" business area. Within the C3I&amp;N business area, increased 1998 airspace management sales more than offset lower marine sales. For 2000, the company expects ESS segment sales to be between $2.8 billion and $3.1 billion.</w:t>
      </w:r>
    </w:p>
    <w:p>
      <w:pPr>
        <w:spacing w:after="0" w:line="1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Logicon sales in 1999 increased by 32 percent over 1998 sales, which follows an 8 percent increase in 1998 sales over 1997. All three business areas improved in both 1999 and 1998 over prior year sales.</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139"/>
          </w:cols>
          <w:pgMar w:left="320" w:top="70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The Government Information Technology and Commercial Information Technology business area improvements in 1999 reflect the higher level of acquisitions and higher win rate on contracts bid. Most of the additional sales generated in the Technology Services business area, in both 1999 and 1998, is attributable to the commencement of work in the fourth quarter of 1998 on the J-BOSC contract, which was won earlier in that year. The company expects Logicon sales to increase by approximately ten percent in 2000 over 1999.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Funded Order Backlog</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year-end funded order backlog is the sum of the previous year-end backlog plus the year's contract acquisitions minus the year's sales. Backlog is converted into the following years' sales as costs are incurred or deliveries are made. It is expected that approximately 60 percent of the 1999 year-end backlog will be converted into sales in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Funded Order Backlog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5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1999</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Integrated Systems &amp; Aerostructures</w:t>
            </w: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ACS</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$ 2,360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$ 2,998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$ 3,682</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Aerostructures</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1,925</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2,034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2,164</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AEW/EW</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1,209</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1,092</w:t>
            </w:r>
          </w:p>
        </w:tc>
      </w:tr>
      <w:tr>
        <w:trPr>
          <w:trHeight w:val="197"/>
        </w:trPr>
        <w:tc>
          <w:tcPr>
            <w:tcW w:w="4040" w:type="dxa"/>
            <w:vAlign w:val="bottom"/>
          </w:tcPr>
          <w:p>
            <w:pPr>
              <w:ind w:left="420"/>
              <w:spacing w:after="0"/>
              <w:rPr>
                <w:sz w:val="20"/>
                <w:szCs w:val="20"/>
                <w:color w:val="auto"/>
              </w:rPr>
            </w:pPr>
            <w:r>
              <w:rPr>
                <w:rFonts w:ascii="Courier New" w:cs="Courier New" w:eastAsia="Courier New" w:hAnsi="Courier New"/>
                <w:sz w:val="17"/>
                <w:szCs w:val="17"/>
                <w:color w:val="auto"/>
              </w:rPr>
              <w:t>AGS/BM</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882</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910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720"/>
        <w:spacing w:after="0"/>
        <w:tabs>
          <w:tab w:leader="none" w:pos="5920" w:val="left"/>
          <w:tab w:leader="none" w:pos="7140" w:val="left"/>
        </w:tabs>
        <w:rPr>
          <w:sz w:val="20"/>
          <w:szCs w:val="20"/>
          <w:color w:val="auto"/>
        </w:rPr>
      </w:pPr>
      <w:r>
        <w:rPr>
          <w:rFonts w:ascii="Courier New" w:cs="Courier New" w:eastAsia="Courier New" w:hAnsi="Courier New"/>
          <w:sz w:val="17"/>
          <w:szCs w:val="17"/>
          <w:color w:val="auto"/>
        </w:rPr>
        <w:t>6,376</w:t>
      </w:r>
      <w:r>
        <w:rPr>
          <w:sz w:val="20"/>
          <w:szCs w:val="20"/>
          <w:color w:val="auto"/>
        </w:rPr>
        <w:tab/>
      </w:r>
      <w:r>
        <w:rPr>
          <w:rFonts w:ascii="Courier New" w:cs="Courier New" w:eastAsia="Courier New" w:hAnsi="Courier New"/>
          <w:sz w:val="17"/>
          <w:szCs w:val="17"/>
          <w:color w:val="auto"/>
        </w:rPr>
        <w:t>6,933</w:t>
      </w:r>
      <w:r>
        <w:rPr>
          <w:sz w:val="20"/>
          <w:szCs w:val="20"/>
          <w:color w:val="auto"/>
        </w:rPr>
        <w:tab/>
      </w:r>
      <w:r>
        <w:rPr>
          <w:rFonts w:ascii="Courier New" w:cs="Courier New" w:eastAsia="Courier New" w:hAnsi="Courier New"/>
          <w:sz w:val="17"/>
          <w:szCs w:val="17"/>
          <w:color w:val="auto"/>
        </w:rPr>
        <w:t>8,130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Courier New" w:cs="Courier New" w:eastAsia="Courier New" w:hAnsi="Courier New"/>
                <w:sz w:val="17"/>
                <w:szCs w:val="17"/>
                <w:color w:val="auto"/>
              </w:rPr>
              <w:t>Electronic Sensors &amp; Systems</w:t>
            </w: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000" w:type="dxa"/>
            <w:vAlign w:val="bottom"/>
          </w:tcPr>
          <w:p>
            <w:pPr>
              <w:ind w:left="420"/>
              <w:spacing w:after="0"/>
              <w:rPr>
                <w:sz w:val="20"/>
                <w:szCs w:val="20"/>
                <w:color w:val="auto"/>
              </w:rPr>
            </w:pPr>
            <w:r>
              <w:rPr>
                <w:rFonts w:ascii="Courier New" w:cs="Courier New" w:eastAsia="Courier New" w:hAnsi="Courier New"/>
                <w:sz w:val="17"/>
                <w:szCs w:val="17"/>
                <w:color w:val="auto"/>
              </w:rPr>
              <w:t>Aerospace Electronic Systems</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1,761</w:t>
            </w:r>
          </w:p>
        </w:tc>
        <w:tc>
          <w:tcPr>
            <w:tcW w:w="12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1,491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1,709</w:t>
            </w:r>
          </w:p>
        </w:tc>
      </w:tr>
      <w:tr>
        <w:trPr>
          <w:trHeight w:val="197"/>
        </w:trPr>
        <w:tc>
          <w:tcPr>
            <w:tcW w:w="4000" w:type="dxa"/>
            <w:vAlign w:val="bottom"/>
          </w:tcPr>
          <w:p>
            <w:pPr>
              <w:ind w:left="420"/>
              <w:spacing w:after="0"/>
              <w:rPr>
                <w:sz w:val="20"/>
                <w:szCs w:val="20"/>
                <w:color w:val="auto"/>
              </w:rPr>
            </w:pPr>
            <w:r>
              <w:rPr>
                <w:rFonts w:ascii="Courier New" w:cs="Courier New" w:eastAsia="Courier New" w:hAnsi="Courier New"/>
                <w:sz w:val="17"/>
                <w:szCs w:val="17"/>
                <w:color w:val="auto"/>
              </w:rPr>
              <w:t>C3I&amp;N</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775</w:t>
            </w:r>
          </w:p>
        </w:tc>
        <w:tc>
          <w:tcPr>
            <w:tcW w:w="12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891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888</w:t>
            </w:r>
          </w:p>
        </w:tc>
      </w:tr>
      <w:tr>
        <w:trPr>
          <w:trHeight w:val="197"/>
        </w:trPr>
        <w:tc>
          <w:tcPr>
            <w:tcW w:w="4000" w:type="dxa"/>
            <w:vAlign w:val="bottom"/>
          </w:tcPr>
          <w:p>
            <w:pPr>
              <w:ind w:left="420"/>
              <w:spacing w:after="0"/>
              <w:rPr>
                <w:sz w:val="20"/>
                <w:szCs w:val="20"/>
                <w:color w:val="auto"/>
              </w:rPr>
            </w:pPr>
            <w:r>
              <w:rPr>
                <w:rFonts w:ascii="Courier New" w:cs="Courier New" w:eastAsia="Courier New" w:hAnsi="Courier New"/>
                <w:sz w:val="17"/>
                <w:szCs w:val="17"/>
                <w:color w:val="auto"/>
              </w:rPr>
              <w:t>Defensive Electronic Systems</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789</w:t>
            </w:r>
          </w:p>
        </w:tc>
        <w:tc>
          <w:tcPr>
            <w:tcW w:w="12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617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850</w:t>
            </w:r>
          </w:p>
        </w:tc>
      </w:tr>
      <w:tr>
        <w:trPr>
          <w:trHeight w:val="197"/>
        </w:trPr>
        <w:tc>
          <w:tcPr>
            <w:tcW w:w="400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w:t>
            </w:r>
          </w:p>
        </w:tc>
        <w:tc>
          <w:tcPr>
            <w:tcW w:w="12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720"/>
        <w:spacing w:after="0"/>
        <w:tabs>
          <w:tab w:leader="none" w:pos="5920" w:val="left"/>
          <w:tab w:leader="none" w:pos="7140" w:val="left"/>
        </w:tabs>
        <w:rPr>
          <w:sz w:val="20"/>
          <w:szCs w:val="20"/>
          <w:color w:val="auto"/>
        </w:rPr>
      </w:pPr>
      <w:r>
        <w:rPr>
          <w:rFonts w:ascii="Courier New" w:cs="Courier New" w:eastAsia="Courier New" w:hAnsi="Courier New"/>
          <w:sz w:val="17"/>
          <w:szCs w:val="17"/>
          <w:color w:val="auto"/>
        </w:rPr>
        <w:t>3,524</w:t>
      </w:r>
      <w:r>
        <w:rPr>
          <w:sz w:val="20"/>
          <w:szCs w:val="20"/>
          <w:color w:val="auto"/>
        </w:rPr>
        <w:tab/>
      </w:r>
      <w:r>
        <w:rPr>
          <w:rFonts w:ascii="Courier New" w:cs="Courier New" w:eastAsia="Courier New" w:hAnsi="Courier New"/>
          <w:sz w:val="17"/>
          <w:szCs w:val="17"/>
          <w:color w:val="auto"/>
        </w:rPr>
        <w:t>3,119</w:t>
      </w:r>
      <w:r>
        <w:rPr>
          <w:sz w:val="20"/>
          <w:szCs w:val="20"/>
          <w:color w:val="auto"/>
        </w:rPr>
        <w:tab/>
      </w:r>
      <w:r>
        <w:rPr>
          <w:rFonts w:ascii="Courier New" w:cs="Courier New" w:eastAsia="Courier New" w:hAnsi="Courier New"/>
          <w:sz w:val="17"/>
          <w:szCs w:val="17"/>
          <w:color w:val="auto"/>
        </w:rPr>
        <w:t>3,528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Logicon</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4360" w:type="dxa"/>
            <w:vAlign w:val="bottom"/>
          </w:tcPr>
          <w:p>
            <w:pPr>
              <w:ind w:left="420"/>
              <w:spacing w:after="0"/>
              <w:rPr>
                <w:sz w:val="20"/>
                <w:szCs w:val="20"/>
                <w:color w:val="auto"/>
              </w:rPr>
            </w:pPr>
            <w:r>
              <w:rPr>
                <w:rFonts w:ascii="Courier New" w:cs="Courier New" w:eastAsia="Courier New" w:hAnsi="Courier New"/>
                <w:sz w:val="17"/>
                <w:szCs w:val="17"/>
                <w:color w:val="auto"/>
              </w:rPr>
              <w:t>Government Information Technology</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412</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368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342</w:t>
            </w:r>
          </w:p>
        </w:tc>
      </w:tr>
      <w:tr>
        <w:trPr>
          <w:trHeight w:val="197"/>
        </w:trPr>
        <w:tc>
          <w:tcPr>
            <w:tcW w:w="4360" w:type="dxa"/>
            <w:vAlign w:val="bottom"/>
          </w:tcPr>
          <w:p>
            <w:pPr>
              <w:ind w:left="420"/>
              <w:spacing w:after="0"/>
              <w:rPr>
                <w:sz w:val="20"/>
                <w:szCs w:val="20"/>
                <w:color w:val="auto"/>
              </w:rPr>
            </w:pPr>
            <w:r>
              <w:rPr>
                <w:rFonts w:ascii="Courier New" w:cs="Courier New" w:eastAsia="Courier New" w:hAnsi="Courier New"/>
                <w:sz w:val="17"/>
                <w:szCs w:val="17"/>
                <w:color w:val="auto"/>
              </w:rPr>
              <w:t>Technology Services</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149</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7"/>
        </w:trPr>
        <w:tc>
          <w:tcPr>
            <w:tcW w:w="4360" w:type="dxa"/>
            <w:vAlign w:val="bottom"/>
          </w:tcPr>
          <w:p>
            <w:pPr>
              <w:ind w:left="420"/>
              <w:spacing w:after="0"/>
              <w:rPr>
                <w:sz w:val="20"/>
                <w:szCs w:val="20"/>
                <w:color w:val="auto"/>
              </w:rPr>
            </w:pPr>
            <w:r>
              <w:rPr>
                <w:rFonts w:ascii="Courier New" w:cs="Courier New" w:eastAsia="Courier New" w:hAnsi="Courier New"/>
                <w:sz w:val="17"/>
                <w:szCs w:val="17"/>
                <w:color w:val="auto"/>
              </w:rPr>
              <w:t>Commercial Information Technology</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48</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920"/>
        <w:spacing w:after="0"/>
        <w:tabs>
          <w:tab w:leader="none" w:pos="6120" w:val="left"/>
          <w:tab w:leader="none" w:pos="7340" w:val="left"/>
        </w:tabs>
        <w:rPr>
          <w:sz w:val="20"/>
          <w:szCs w:val="20"/>
          <w:color w:val="auto"/>
        </w:rPr>
      </w:pPr>
      <w:r>
        <w:rPr>
          <w:rFonts w:ascii="Courier New" w:cs="Courier New" w:eastAsia="Courier New" w:hAnsi="Courier New"/>
          <w:sz w:val="17"/>
          <w:szCs w:val="17"/>
          <w:color w:val="auto"/>
        </w:rPr>
        <w:t>609</w:t>
      </w:r>
      <w:r>
        <w:rPr>
          <w:sz w:val="20"/>
          <w:szCs w:val="20"/>
          <w:color w:val="auto"/>
        </w:rPr>
        <w:tab/>
      </w:r>
      <w:r>
        <w:rPr>
          <w:rFonts w:ascii="Courier New" w:cs="Courier New" w:eastAsia="Courier New" w:hAnsi="Courier New"/>
          <w:sz w:val="17"/>
          <w:szCs w:val="17"/>
          <w:color w:val="auto"/>
        </w:rPr>
        <w:t>566</w:t>
      </w:r>
      <w:r>
        <w:rPr>
          <w:sz w:val="20"/>
          <w:szCs w:val="20"/>
          <w:color w:val="auto"/>
        </w:rPr>
        <w:tab/>
      </w:r>
      <w:r>
        <w:rPr>
          <w:rFonts w:ascii="Courier New" w:cs="Courier New" w:eastAsia="Courier New" w:hAnsi="Courier New"/>
          <w:sz w:val="17"/>
          <w:szCs w:val="17"/>
          <w:color w:val="auto"/>
        </w:rPr>
        <w:t>447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Intersegment Eliminations</w:t>
            </w:r>
          </w:p>
        </w:tc>
        <w:tc>
          <w:tcPr>
            <w:tcW w:w="19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(85)</w:t>
            </w:r>
          </w:p>
        </w:tc>
        <w:tc>
          <w:tcPr>
            <w:tcW w:w="12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(169)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20"/>
                <w:szCs w:val="20"/>
                <w:color w:val="auto"/>
              </w:rPr>
            </w:pPr>
            <w:r>
              <w:rPr>
                <w:rFonts w:ascii="Courier New" w:cs="Courier New" w:eastAsia="Courier New" w:hAnsi="Courier New"/>
                <w:sz w:val="17"/>
                <w:szCs w:val="17"/>
                <w:color w:val="auto"/>
              </w:rPr>
              <w:t>Total backlog</w:t>
            </w:r>
          </w:p>
        </w:tc>
        <w:tc>
          <w:tcPr>
            <w:tcW w:w="25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$10,424</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$10,449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$11,862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139"/>
          </w:cols>
          <w:pgMar w:left="320" w:top="90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Total U.S. Government orders, including those made on behalf of foreign governments (FMS), comprised 74 percent of the backlog at the end of 1999 compared with 73 percent at the end of 1998 and 72 percent at the end of 1997. Total foreign customer orders, including FMS, accounted for 13 percent of the backlog at the end of 1999 compared with 15 percent in 1998 and 17 percent in 1997. Domestic commercial business in backlog was 16 percent at the end of 1999 and was 17 percent at the end of both 1998 and 1997.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MEASURES OF PERFORMANCE</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company's operating margin for 1999 was $969 million compared to $756 million for 1998, reflecting increases in the ISA and Logicon segments, as well as increased pension income.</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ISA segment operating margin in 1999 was $392 million as compared to $280 million in 1998, reflecting increases in both the ACS and AGS/BM business areas. In 1999 the ACS business area benefited from upward cumulative margin rate adjustments totaling $70 million on the B-2 program and $11 million on the F/A-18E/F program. In 1997, ACS recorded a $55 million cumulative margin rate adjustment on the B-2 production contract. In 1999, five B-2's were delivered under the production contract as compared to five in 1998 and four in 1997. Following the award of the last increment of production funding for the B-2, the company began recording future operating margin increases on all production aircraft as these units were delivered and accepted by the customer. At the time each unit is delivered, an assessment is made of the status of the production contract so as to estimate the amount of any probable additional margin available beyond that previously recognized. That unit's proportionate share of any such unrecognized remaining balance is then recorded. In this fashion it is believed that margin improvements will be recognized on a more demonstrable basis. All 15 production units have been initially delivered. Three units remain to be retrofitted and are scheduled for delivery in the first half of 2000.</w:t>
      </w:r>
    </w:p>
    <w:p>
      <w:pPr>
        <w:spacing w:after="0" w:line="395"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Since the beginning of the Joint STARS program, the company (and prior to 1994, the Grumman Corporation) as of December 31, 1998 had incurred over $100 million of costs in excess of revenues in the performance of the development and production phases of the program. Including support and other work, the company recorded on the Joint STARS program operating losses of $25 million and $29 million in 1998 and 1997, respectively. In 1998, the company submitted Requests for Equitable Adjustment (REAs) to the U.S. Air Force seeking adjustment to production contracts for cost increases incurred during the refurbishment and conversion of used Boeing 707 aircraft to Joint STARS platforms. The company and the U.S. Air Force executed an Alternate Dispute Resolution Agreement to attempt to resolve these REAs, and in April 1999 the company filed these REAs as certified claims. In December 1999, the company reached a settlement of these contract claims with the U.S. Air Force. The company is now able to recognize underlying improved performance on the production phase of this program. As a result, cumulative margin rate adjustments totaling $37 million were recorded in the fourth quarter. The company expects to record margin on Joint STARS in 2000 and beyond. Revenue on the Joint STARS program is recognized using the cost-to-cost percentage-of-completion method of accounting.</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139"/>
          </w:cols>
          <w:pgMar w:left="320" w:top="70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ISA segment operating margin in 1999 was reduced by downward cumulative rate adjustments on several Boeing commercial aerostructures contracts totaling $77 million, as well as by lower overall margin rates on this work. Operating margin in the ISA segment in 1998 was reduced by $104 million in charges on the Boeing 747 fuselage program. This included a charge of $47 million resulting from an increase in the estimated cost to complete work on the current production block due to reduced deliveries on the current contract; and a charge of $57 million for certain nonrecurring costs of the Accurate Fuselage Assembly (AFA) precision manufacturing system, which are no longer considered recoverable from sales of future deliveries. The company committed to the AFA program in 1996 as a condition of its current fuselage contract with Boeing, which completes in 2006. The AFA program involves the conversion to a digital manufacturing design and the implementation of advanced precision manufacturing techniques. The company's investment in this program was intended to be amortized over the life of the current production contract. The decline in production rates to two per month on the 747 program for an indefinite period significantly reduced the recoverability of this investment through future profits, thus causing the company to take the $57 million charge. In 1998 the company began discussions with Boeing regarding the company's claims for recovery of incurred and estimated future out-of-scope work and related delay and disruption costs associated with the AFA program. In the second quarter of 1999, the company resolved its claims with Boeing. The settlement had no material effect on the company's financial results for 1999.</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ESS segment operating margin in 1999 was $199 million, down from the $218 million reported for 1998. The decrease is a result of lower sales volume as well as a reduction of approximately $44 million resulting from the pension plan merger, which is described below. The decrease also reflects lower margins in the Defensive Electronic Systems business area, due in part to additional costs incurred in transitioning a development program to production. ESS segment 1998 operating margin was reduced by a $21 million fourth quarter charge for estimated future costs not considered recoverable from future revenues on the DIRCM program. The charge resulted from increased costs associated with solving technical design issues as well as difficulties in achieving timely completion of the second series of live-fire tests on the large turret version. In 1997, increases in the cost estimate to complete the company's work on DIRCM resulted in cumulative margin rate adjustments totaling $33 million. Partially offsetting these downward adjustments was the settlement of a claim involving work performed in the 1980's on the MX missile Interface Test Adapter (ITA), which resulted in an $8 million increase in operating margin and $12 million in interest income.</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139"/>
          </w:cols>
          <w:pgMar w:left="320" w:top="70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Logicon operating margin in 1999 was $80 million, a 33 percent increase over the $60 million recorded in 1998. The increase is attributable to increased sales volume in all business areas and improved performance in the Technology Services business area. These improvements were somewhat offset by $4 million of nonrecurring charges related to employee termination costs and legal accruals. Logicon operating margin in 1998 was reduced by $8 million for consolidation and reorganization charges.</w:t>
      </w:r>
    </w:p>
    <w:p>
      <w:pPr>
        <w:spacing w:after="0" w:line="197"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Operating margin in 1999 included $353 million of pension income compared with $266 million in 1998 and $133 million in 1997. The increases are primarily attributable to the high market returns on investments experienced over the last several years. Northrop Grumman has again experienced a high rate of return on plan assets in 1999, which in turn will affect 2000 pension income calculations. Additionally, the discount rate on obligations used to determine pension income for 2000 has been increased to 7.5 percent in order to reflect market conditions at December 31, 1999. For 2000, these two factors are expected to result in a significant increase in pension income and a small reduction to company contributions to the plans.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July 1999, the company merged three of its retirement plans into one, to include the former Northrop Grumman Pension Plan, the Electronic Sensors and Systems Sector Employees Pension Plan (non-represented), and the Commercial Aircraft Employees Pension Plan (salaried). The pension plan merger does not result in any changes to any participant's existing pension benefits, nor does it alter individual plan designs. The retirement plan merger resulted in a reduction to 1999 net income of approximately $16 million, or $.24 per share.</w:t>
      </w:r>
    </w:p>
    <w:p>
      <w:pPr>
        <w:spacing w:after="0" w:line="197"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Included in the 1998 results are pretax costs totaling $58 million related to activities to realign operating units, consolidate facilities and laboratories and exit certain business areas, which reduced operating margin by $43 million and other income by $15 million. The operating margin amount was reflected in segment results as follows: ISA, $6 million; ESS, $13 million; and Logicon, $8 million. The remaining $16 million was included in Corporate expenses. The charge included $20 million for employee termination costs, $12 million for write-down to estimated fair value of assets available for sale, $3 million for losses on disposals of assets, $9 million for write-off of purchased intangible assets no longer considered recoverable from future revenues, $9 million for loss on sale of a business, and $5 million for excess capacity lease costs, net of estimated sublease income through 2008. The employee termination costs represent cash severance payments made to employees.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Capital assets are transferred to assets available for sale when a decision is made to sell the facility and selling efforts are actively underway. In some cases, operations continue and, when costs are allowable under government contracts, depreciation expense is recorded until the facility is vacated or sold. In 1999, $2 million was transferred to assets available for sale and assets with a carrying value of $13 million were sold. In 1998, $37 million was transferred to assets available for sale, $2 million in depreciation expense on these assets was</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139"/>
          </w:cols>
          <w:pgMar w:left="320" w:top="70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recorded, and assets with a carrying value of $46 million were sold. Assets available for sale are evaluated at least annually for recoverability and written down to estimated fair value as necessary. In 1998, a write down adjustment of $12 million was recorded. In 1997, recovery of $24 million of the 1996 write-down, related to the sale of the company's Perry, Georgia, facility, was included in Other Income(Deductions). The assets available for sale at the end of 1999 are expected to be sold in 2000.</w:t>
      </w:r>
    </w:p>
    <w:p>
      <w:pPr>
        <w:spacing w:after="0" w:line="197"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Included in the 1998 results is a $30 million write-off of an investment related to Kistler Aerospace Corporation's K-1 program. The investment consisted of advances on behalf of Kistler Aerospace that were made in 1998 to continue the company's efforts in support of the K-1. The write off resulted from the company's assessment that the near-term likelihood of Kistler obtaining additional financing made recovery of the investment uncertain.</w:t>
      </w:r>
    </w:p>
    <w:p>
      <w:pPr>
        <w:spacing w:after="0" w:line="202"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Interest expense for 1999 was $224 million, a $9 million decrease from 1998, which in turn was down $24 million from the 1997 level. The 1999 interest expense includes $11 million related to settlement of various legal and tax issues. Total debt stood at $2.2 billion at the end of 1999 compared to $2.8 billion at the end of both 1998 and 1997.</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company's effective federal income tax rate was 36.6 percent in 1999, 37.8 percent in 1998, and 37.5 percent in 1997.</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Effective January 1, 1999, the company adopted the new accounting standard, SOP 98-5 - Reporting on the Costs of Start-Up Activities, which requires that certain costs that previously had been deferred be expensed and reported as a cumulative effect of a change in accounting principle. The company reported a $16 million after-tax charge, or $.24 per share, to write off the previously deferred start-up costs. All such costs incurred after January 1, 1999, approximately $7 million before tax, were expensed as incurred and included in cost of sales.</w:t>
      </w:r>
    </w:p>
    <w:p>
      <w:pPr>
        <w:spacing w:after="0" w:line="394"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139"/>
          </w:cols>
          <w:pgMar w:left="320" w:top="90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MEASURES OF LIQUIDITY AND CAPITAL RESOURCES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trend and relationship of sales volume with net accounts receivable and inventoried costs is a useful measure in assessing the company's liquidity. In 1999, the company's year-end net investment in these balances represented 29 percent of sales, compared with 32 percent in 1998 and 30 percent in 1997.</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1999 cash provided by operations was $1,207 million, a record level and considerably more than the $244 million generated in 1998 and the $730 million generated in 1997. The improvement in 1999 cash from operations is attributable to many factors, the more significant of which are: increased operating margin, improved cash management of working capital, lower pension plan contributions as a result of the pension plan merger, and accelerated cash collections in part due to customers' Year 2000 concerns. The lower generation of cash from operations in 1998 was driven by expenses related to the terminated merger with Lockheed Martin Corporation, as well as, an increase in working capital for Boeing jetliners in support of increased production levels.</w:t>
      </w:r>
    </w:p>
    <w:p>
      <w:pPr>
        <w:spacing w:after="0" w:line="1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Cash generated from operating activities in 1999 was sufficient to finance capital expenditures, pay dividends to shareholders, acquire new businesses for approximately $240 million in cash, and reduce net debt (total debt less cash balances) by $704 million. In 1998 additional borrowings under the revolving credit facility along with the cash generated by operating activities provided sufficient cash flows to service debt, finance capital expenditures, and pay dividends to shareholders.</w:t>
      </w:r>
    </w:p>
    <w:p>
      <w:pPr>
        <w:spacing w:after="0" w:line="197" w:lineRule="exact"/>
        <w:rPr>
          <w:sz w:val="20"/>
          <w:szCs w:val="20"/>
          <w:color w:val="auto"/>
        </w:rPr>
      </w:pPr>
    </w:p>
    <w:p>
      <w:pPr>
        <w:ind w:right="2659" w:firstLine="511"/>
        <w:spacing w:after="0" w:line="244" w:lineRule="auto"/>
        <w:rPr>
          <w:sz w:val="20"/>
          <w:szCs w:val="20"/>
          <w:color w:val="auto"/>
        </w:rPr>
      </w:pPr>
      <w:r>
        <w:rPr>
          <w:rFonts w:ascii="Courier New" w:cs="Courier New" w:eastAsia="Courier New" w:hAnsi="Courier New"/>
          <w:sz w:val="17"/>
          <w:szCs w:val="17"/>
          <w:color w:val="auto"/>
        </w:rPr>
        <w:t>The following table is a condensed summary of the detailed cash flow information contained in the Consolidated Statements of Cash Flows.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20"/>
                <w:szCs w:val="20"/>
                <w:color w:val="auto"/>
              </w:rPr>
            </w:pPr>
            <w:r>
              <w:rPr>
                <w:rFonts w:ascii="Courier New" w:cs="Courier New" w:eastAsia="Courier New" w:hAnsi="Courier New"/>
                <w:sz w:val="17"/>
                <w:szCs w:val="17"/>
                <w:color w:val="auto"/>
              </w:rPr>
              <w:t>Year ended December 31</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Cash came</w:t>
            </w:r>
          </w:p>
        </w:tc>
        <w:tc>
          <w:tcPr>
            <w:tcW w:w="2300" w:type="dxa"/>
            <w:vAlign w:val="bottom"/>
          </w:tcPr>
          <w:p>
            <w:pPr>
              <w:spacing w:after="0"/>
              <w:rPr>
                <w:sz w:val="20"/>
                <w:szCs w:val="20"/>
                <w:color w:val="auto"/>
              </w:rPr>
            </w:pPr>
            <w:r>
              <w:rPr>
                <w:rFonts w:ascii="Courier New" w:cs="Courier New" w:eastAsia="Courier New" w:hAnsi="Courier New"/>
                <w:sz w:val="17"/>
                <w:szCs w:val="17"/>
                <w:color w:val="auto"/>
              </w:rPr>
              <w:t>from</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7"/>
        </w:trPr>
        <w:tc>
          <w:tcPr>
            <w:tcW w:w="33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Customers</w:t>
            </w:r>
          </w:p>
        </w:tc>
        <w:tc>
          <w:tcPr>
            <w:tcW w:w="13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98%</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7"/>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w w:val="95"/>
              </w:rPr>
              <w:t>Lenders</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w:t>
            </w:r>
          </w:p>
        </w:tc>
      </w:tr>
      <w:tr>
        <w:trPr>
          <w:trHeight w:val="197"/>
        </w:trPr>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Buyers</w:t>
            </w:r>
          </w:p>
        </w:tc>
        <w:tc>
          <w:tcPr>
            <w:tcW w:w="2300" w:type="dxa"/>
            <w:vAlign w:val="bottom"/>
          </w:tcPr>
          <w:p>
            <w:pPr>
              <w:spacing w:after="0"/>
              <w:rPr>
                <w:sz w:val="20"/>
                <w:szCs w:val="20"/>
                <w:color w:val="auto"/>
              </w:rPr>
            </w:pPr>
            <w:r>
              <w:rPr>
                <w:rFonts w:ascii="Courier New" w:cs="Courier New" w:eastAsia="Courier New" w:hAnsi="Courier New"/>
                <w:sz w:val="17"/>
                <w:szCs w:val="17"/>
                <w:color w:val="auto"/>
              </w:rPr>
              <w:t>of assets/other</w:t>
            </w: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w:t>
            </w: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r>
    </w:tbl>
    <w:p>
      <w:pPr>
        <w:spacing w:after="0" w:line="4" w:lineRule="exact"/>
        <w:rPr>
          <w:sz w:val="20"/>
          <w:szCs w:val="20"/>
          <w:color w:val="auto"/>
        </w:rPr>
      </w:pPr>
    </w:p>
    <w:p>
      <w:pPr>
        <w:ind w:left="200" w:hanging="195"/>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4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100%100%</w:t>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20"/>
                <w:szCs w:val="20"/>
                <w:color w:val="auto"/>
              </w:rPr>
            </w:pPr>
            <w:r>
              <w:rPr>
                <w:rFonts w:ascii="Courier New" w:cs="Courier New" w:eastAsia="Courier New" w:hAnsi="Courier New"/>
                <w:sz w:val="17"/>
                <w:szCs w:val="17"/>
                <w:color w:val="auto"/>
              </w:rPr>
              <w:t>Cash went to</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7"/>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Employees and suppliers of</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7"/>
        </w:trPr>
        <w:tc>
          <w:tcPr>
            <w:tcW w:w="3680" w:type="dxa"/>
            <w:vAlign w:val="bottom"/>
          </w:tcPr>
          <w:p>
            <w:pPr>
              <w:ind w:left="420"/>
              <w:spacing w:after="0"/>
              <w:rPr>
                <w:sz w:val="20"/>
                <w:szCs w:val="20"/>
                <w:color w:val="auto"/>
              </w:rPr>
            </w:pPr>
            <w:r>
              <w:rPr>
                <w:rFonts w:ascii="Courier New" w:cs="Courier New" w:eastAsia="Courier New" w:hAnsi="Courier New"/>
                <w:sz w:val="17"/>
                <w:szCs w:val="17"/>
                <w:color w:val="auto"/>
              </w:rPr>
              <w:t>services and materials</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84%</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83%</w:t>
            </w:r>
          </w:p>
        </w:tc>
      </w:tr>
      <w:tr>
        <w:trPr>
          <w:trHeight w:val="197"/>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Sellers of assets</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w:t>
            </w: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r>
      <w:tr>
        <w:trPr>
          <w:trHeight w:val="197"/>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Lenders</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w:t>
            </w: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w:t>
            </w:r>
          </w:p>
        </w:tc>
      </w:tr>
      <w:tr>
        <w:trPr>
          <w:trHeight w:val="197"/>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Suppliers of facilities/other</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w:t>
            </w:r>
          </w:p>
        </w:tc>
      </w:tr>
      <w:tr>
        <w:trPr>
          <w:trHeight w:val="197"/>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Shareholders</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w:t>
            </w:r>
          </w:p>
        </w:tc>
      </w:tr>
    </w:tbl>
    <w:p>
      <w:pPr>
        <w:spacing w:after="0" w:line="4" w:lineRule="exact"/>
        <w:rPr>
          <w:sz w:val="20"/>
          <w:szCs w:val="20"/>
          <w:color w:val="auto"/>
        </w:rPr>
      </w:pPr>
    </w:p>
    <w:p>
      <w:pPr>
        <w:ind w:left="200" w:hanging="195"/>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4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100%100%</w:t>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139"/>
          </w:cols>
          <w:pgMar w:left="320" w:top="70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has a credit agreement with a group of domestic and foreign banks to provide for two credit facilities: $1.8 billion available on a revolving credit basis through March 2002; and a variable interest rate $450 million term loan payable in quarterly installments of $50 million plus interest through March 2002.</w:t>
      </w:r>
    </w:p>
    <w:p>
      <w:pPr>
        <w:spacing w:after="0" w:line="201"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Cash generated from operations, supplemented by borrowings under the credit agreement, are expected to be sufficient in 2000 to service debt, finance capital expansion projects, and continue paying dividends to the shareholders. With the completion of the B-2 EMD contract, federal and state income taxes that have been deferred since the inception of the contract in 1981, will become payable. The contract is expected to be completed in 2002 with taxes of approximately $1 billion due, to be paid that year. The company plans to use cash generated from operations supplemented by additional borrowings under the credit agreement and/or additional borrowings from public or private capital markets to pay these taxes.</w:t>
      </w:r>
    </w:p>
    <w:p>
      <w:pPr>
        <w:spacing w:after="0" w:line="1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Capital expenditure commitments at December 31, 1999, were approximately $145 million including $5 million for environmental control and compliance purposes. Capital expenditures for 1999 were $201 million including $22 million for capitalized software costs. For 2000, capital expenditures are expected to be approximately $250 to $275 million, including approximately $40 million for capitalized software costs.</w:t>
      </w:r>
    </w:p>
    <w:p>
      <w:pPr>
        <w:spacing w:after="0" w:line="202"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will continue to provide the productive capacity to perform its existing contracts,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INFORMATION</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Certain statements and assumptions in Management's Discussion and Analysis and elsewhere in Part I of this Form 10-K contain or are based on "forward-looking" information (that the company believes to be within the definition in the Private Securities Litigation and Reform Act of 1995) that involves risk and uncertainties, including statements and assumptions with respect to future revenues, program performance and cash flows, the outcome of contingencies including litigation and environmental remediation, and anticipated costs of capital investments and planned dispositions. The company's operations are necessarily subject to various risks and uncertainties; actual outcomes are dependent upon many factors, including, without limitation, the company's successful performance of internal plans; government customers' budgetary restraints; customer changes in short-range and long-range plans; domestic and international competition in both the defense and commercial areas; product performance; continued development and acceptance of new products; performance issues with key suppliers and subcontractors; government import and export policies; termination of government contracts; the outcome of political and legal processes; legal, financial, and governmental risks related to international</w:t>
      </w:r>
    </w:p>
    <w:p>
      <w:pPr>
        <w:spacing w:after="0" w:line="395"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139"/>
          </w:cols>
          <w:pgMar w:left="320" w:top="70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779"/>
        <w:spacing w:after="0" w:line="244" w:lineRule="auto"/>
        <w:rPr>
          <w:sz w:val="20"/>
          <w:szCs w:val="20"/>
          <w:color w:val="auto"/>
        </w:rPr>
      </w:pPr>
      <w:r>
        <w:rPr>
          <w:rFonts w:ascii="Courier New" w:cs="Courier New" w:eastAsia="Courier New" w:hAnsi="Courier New"/>
          <w:sz w:val="17"/>
          <w:szCs w:val="17"/>
          <w:color w:val="auto"/>
        </w:rPr>
        <w:t>transactions and global needs for military and commercial aircraft and electronic systems and support; as well as other economic, political and technological risks and uncertainties.</w:t>
      </w:r>
    </w:p>
    <w:p>
      <w:pPr>
        <w:spacing w:after="0" w:line="19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7A.</w:t>
        <w:tab/>
        <w:t>Quantitative and Qualitative Disclosures about Market Risk</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The company has fixed-rate long-term debt obligations, most of which are not callable. The company also has financial instruments that are subject to interest rate risk, principally variable-rate short-term debt outstanding under the Credit Agreement. The company may enter into interest rate swap agreements to offset the variable-rate characteristics of these loans. At December 31, 1999, no interest rate swap agreements were in effect. The company does not hold or issue derivative financial instruments for trading purposes.</w:t>
      </w:r>
    </w:p>
    <w:p>
      <w:pPr>
        <w:spacing w:after="0" w:line="197" w:lineRule="exact"/>
        <w:rPr>
          <w:sz w:val="20"/>
          <w:szCs w:val="20"/>
          <w:color w:val="auto"/>
        </w:rPr>
      </w:pPr>
    </w:p>
    <w:p>
      <w:pPr>
        <w:ind w:right="2459" w:firstLine="511"/>
        <w:spacing w:after="0" w:line="244" w:lineRule="auto"/>
        <w:rPr>
          <w:sz w:val="20"/>
          <w:szCs w:val="20"/>
          <w:color w:val="auto"/>
        </w:rPr>
      </w:pPr>
      <w:r>
        <w:rPr>
          <w:rFonts w:ascii="Courier New" w:cs="Courier New" w:eastAsia="Courier New" w:hAnsi="Courier New"/>
          <w:sz w:val="17"/>
          <w:szCs w:val="17"/>
          <w:color w:val="auto"/>
        </w:rPr>
        <w:t>Only a small portion of the company's transactions are contracted in foreign currencies. The company does not consider the market risk exposure relating to foreign currency exchange to be material.</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139"/>
          </w:cols>
          <w:pgMar w:left="320" w:top="90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Selected Financial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sz w:val="20"/>
                <w:szCs w:val="20"/>
                <w:color w:val="auto"/>
              </w:rPr>
            </w:pPr>
            <w:r>
              <w:rPr>
                <w:rFonts w:ascii="Courier New" w:cs="Courier New" w:eastAsia="Courier New" w:hAnsi="Courier New"/>
                <w:sz w:val="17"/>
                <w:szCs w:val="17"/>
                <w:color w:val="auto"/>
              </w:rPr>
              <w:t>Year ended December 31, $ in millions,</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460" w:type="dxa"/>
            <w:vAlign w:val="bottom"/>
          </w:tcPr>
          <w:p>
            <w:pPr>
              <w:ind w:left="200"/>
              <w:spacing w:after="0"/>
              <w:rPr>
                <w:sz w:val="20"/>
                <w:szCs w:val="20"/>
                <w:color w:val="auto"/>
              </w:rPr>
            </w:pPr>
            <w:r>
              <w:rPr>
                <w:rFonts w:ascii="Courier New" w:cs="Courier New" w:eastAsia="Courier New" w:hAnsi="Courier New"/>
                <w:sz w:val="17"/>
                <w:szCs w:val="17"/>
                <w:color w:val="auto"/>
              </w:rPr>
              <w:t>except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1999</w:t>
            </w:r>
          </w:p>
        </w:tc>
        <w:tc>
          <w:tcPr>
            <w:tcW w:w="13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1998</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bl>
    <w:p>
      <w:pPr>
        <w:spacing w:after="0" w:line="4" w:lineRule="exact"/>
        <w:rPr>
          <w:sz w:val="20"/>
          <w:szCs w:val="20"/>
          <w:color w:val="auto"/>
        </w:rPr>
      </w:pPr>
    </w:p>
    <w:p>
      <w:pPr>
        <w:ind w:left="200" w:hanging="195"/>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United States Government</w:t>
            </w:r>
          </w:p>
        </w:tc>
        <w:tc>
          <w:tcPr>
            <w:tcW w:w="18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$ 7,067</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$ 6,717</w:t>
            </w:r>
          </w:p>
        </w:tc>
        <w:tc>
          <w:tcPr>
            <w:tcW w:w="13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$ 7,210</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$ 7,224</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$ 6,148</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The Boeing Company</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733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1,075</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569</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569</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Other customers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1,195</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1,110</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814</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555</w:t>
            </w:r>
          </w:p>
        </w:tc>
      </w:tr>
      <w:tr>
        <w:trPr>
          <w:trHeight w:val="197"/>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Total net sales</w:t>
            </w:r>
          </w:p>
        </w:tc>
        <w:tc>
          <w:tcPr>
            <w:tcW w:w="18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$ 8,995</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$ 8,902</w:t>
            </w:r>
          </w:p>
        </w:tc>
        <w:tc>
          <w:tcPr>
            <w:tcW w:w="13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$ 9,153</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$ 8,607</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$ 7,272</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969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756</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703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572</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467</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194</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407</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264</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277</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6.73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2.83</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6.10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4.22</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4.79</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6.69</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2.79</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5.98</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4.15</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4.71</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Cash dividends per share</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1.60</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1.60</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1.60</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working capital</w:t>
            </w:r>
          </w:p>
        </w:tc>
        <w:tc>
          <w:tcPr>
            <w:tcW w:w="98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329</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666</w:t>
            </w:r>
          </w:p>
        </w:tc>
        <w:tc>
          <w:tcPr>
            <w:tcW w:w="4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221</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435</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Current ratio</w:t>
            </w:r>
          </w:p>
        </w:tc>
        <w:tc>
          <w:tcPr>
            <w:tcW w:w="18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1.13 to 1</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1.28 to 1</w:t>
            </w:r>
          </w:p>
        </w:tc>
        <w:tc>
          <w:tcPr>
            <w:tcW w:w="13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1.08 to 1</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1.04 to 1</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1.25 to 1</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8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$ 9,285</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$ 9,536</w:t>
            </w:r>
          </w:p>
        </w:tc>
        <w:tc>
          <w:tcPr>
            <w:tcW w:w="13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$ 9,677</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$ 9,645</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$ 5,642</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98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2,000</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2,562</w:t>
            </w:r>
          </w:p>
        </w:tc>
        <w:tc>
          <w:tcPr>
            <w:tcW w:w="4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2,500</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2,950</w:t>
            </w:r>
          </w:p>
        </w:tc>
        <w:tc>
          <w:tcPr>
            <w:tcW w:w="46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1,163</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Total long-term obligations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3,564</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4,319</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4,339</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4,694</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2,281</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Long-term debt as a percentage of</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7"/>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shareholders' equity</w:t>
            </w:r>
          </w:p>
        </w:tc>
        <w:tc>
          <w:tcPr>
            <w:tcW w:w="98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61.4%</w:t>
            </w:r>
          </w:p>
        </w:tc>
        <w:tc>
          <w:tcPr>
            <w:tcW w:w="46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89.9%</w:t>
            </w:r>
          </w:p>
        </w:tc>
        <w:tc>
          <w:tcPr>
            <w:tcW w:w="46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95.3%</w:t>
            </w:r>
          </w:p>
        </w:tc>
        <w:tc>
          <w:tcPr>
            <w:tcW w:w="46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129.3%</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73.3%</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margin as a percentage of</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10.8</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8.5</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9.6</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8.2</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Average segment assets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11.9</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9.0</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10.4</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10.3</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10.8</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as a percentage of</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4.5</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Average assets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Average shareholders' equity</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7.1</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16.6</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13.6</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18.5</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Research and development expenses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Contract</w:t>
            </w:r>
          </w:p>
        </w:tc>
        <w:tc>
          <w:tcPr>
            <w:tcW w:w="18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$ 1,149</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$ 1,489</w:t>
            </w:r>
          </w:p>
        </w:tc>
        <w:tc>
          <w:tcPr>
            <w:tcW w:w="13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$ 1,670</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$ 1,632</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$ 1,179</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Noncontract</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197</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203</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256</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255</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164</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Payroll and employee benefits</w:t>
            </w:r>
          </w:p>
        </w:tc>
        <w:tc>
          <w:tcPr>
            <w:tcW w:w="98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3,304</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3,476</w:t>
            </w:r>
          </w:p>
        </w:tc>
        <w:tc>
          <w:tcPr>
            <w:tcW w:w="4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3,504</w:t>
            </w:r>
          </w:p>
        </w:tc>
        <w:tc>
          <w:tcPr>
            <w:tcW w:w="460" w:type="dxa"/>
            <w:vAlign w:val="bottom"/>
          </w:tcPr>
          <w:p>
            <w:pPr>
              <w:spacing w:after="0"/>
              <w:rPr>
                <w:sz w:val="24"/>
                <w:szCs w:val="24"/>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3,378</w:t>
            </w:r>
          </w:p>
        </w:tc>
        <w:tc>
          <w:tcPr>
            <w:tcW w:w="46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2,883</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Number of employees at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year-end</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44,600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49,600</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52,000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51,600</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42,300</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Number of shareholders at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7"/>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year-end</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11,173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11,774</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11,400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11,773</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12,471</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231</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Amortization of</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Goodwill</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94</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94</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Other purchased intangibles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82</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Maintenance and repairs</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w:t>
            </w:r>
          </w:p>
        </w:tc>
      </w:tr>
      <w:tr>
        <w:trPr>
          <w:trHeight w:val="197"/>
        </w:trPr>
        <w:tc>
          <w:tcPr>
            <w:tcW w:w="3840" w:type="dxa"/>
            <w:vAlign w:val="bottom"/>
          </w:tcPr>
          <w:p>
            <w:pPr>
              <w:spacing w:after="0"/>
              <w:rPr>
                <w:sz w:val="20"/>
                <w:szCs w:val="20"/>
                <w:color w:val="auto"/>
              </w:rPr>
            </w:pPr>
            <w:r>
              <w:rPr>
                <w:rFonts w:ascii="Courier New" w:cs="Courier New" w:eastAsia="Courier New" w:hAnsi="Courier New"/>
                <w:sz w:val="17"/>
                <w:szCs w:val="17"/>
                <w:color w:val="auto"/>
              </w:rPr>
              <w:t>Rent expense</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117</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108</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110</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106</w:t>
            </w:r>
          </w:p>
        </w:tc>
      </w:tr>
      <w:tr>
        <w:trPr>
          <w:trHeight w:val="3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Floor area (millions of square feet)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Owned</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18.8</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19.2</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20.5</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22.5</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20.1</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Commercially leased</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10.0</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w:t>
            </w:r>
          </w:p>
        </w:tc>
      </w:tr>
      <w:tr>
        <w:trPr>
          <w:trHeight w:val="197"/>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Leased from United States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7"/>
        </w:trPr>
        <w:tc>
          <w:tcPr>
            <w:tcW w:w="3840" w:type="dxa"/>
            <w:vAlign w:val="bottom"/>
          </w:tcPr>
          <w:p>
            <w:pPr>
              <w:ind w:left="320"/>
              <w:spacing w:after="0"/>
              <w:rPr>
                <w:sz w:val="20"/>
                <w:szCs w:val="20"/>
                <w:color w:val="auto"/>
              </w:rPr>
            </w:pPr>
            <w:r>
              <w:rPr>
                <w:rFonts w:ascii="Courier New" w:cs="Courier New" w:eastAsia="Courier New" w:hAnsi="Courier New"/>
                <w:sz w:val="17"/>
                <w:szCs w:val="17"/>
                <w:color w:val="auto"/>
              </w:rPr>
              <w:t>Government</w:t>
            </w:r>
          </w:p>
        </w:tc>
        <w:tc>
          <w:tcPr>
            <w:tcW w:w="98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7.5</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7.6</w:t>
            </w:r>
          </w:p>
        </w:tc>
        <w:tc>
          <w:tcPr>
            <w:tcW w:w="46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w:t>
            </w:r>
          </w:p>
        </w:tc>
        <w:tc>
          <w:tcPr>
            <w:tcW w:w="46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9.0</w:t>
            </w:r>
          </w:p>
        </w:tc>
        <w:tc>
          <w:tcPr>
            <w:tcW w:w="4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10.2</w:t>
            </w:r>
          </w:p>
        </w:tc>
      </w:tr>
      <w:tr>
        <w:trPr>
          <w:trHeight w:val="590"/>
        </w:trPr>
        <w:tc>
          <w:tcPr>
            <w:tcW w:w="3840" w:type="dxa"/>
            <w:vAlign w:val="bottom"/>
          </w:tcPr>
          <w:p>
            <w:pPr>
              <w:spacing w:after="0"/>
              <w:rPr>
                <w:sz w:val="24"/>
                <w:szCs w:val="24"/>
                <w:color w:val="auto"/>
              </w:rPr>
            </w:pPr>
          </w:p>
        </w:tc>
        <w:tc>
          <w:tcPr>
            <w:tcW w:w="9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31</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940"/>
          </w:cols>
          <w:pgMar w:left="320" w:top="705" w:right="6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tab/>
        <w:t>Financial Statements and Supplementary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December 31, $ in millions</w:t>
            </w:r>
          </w:p>
        </w:tc>
        <w:tc>
          <w:tcPr>
            <w:tcW w:w="3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7"/>
        </w:trPr>
        <w:tc>
          <w:tcPr>
            <w:tcW w:w="78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41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assets</w:t>
            </w: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7"/>
        </w:trPr>
        <w:tc>
          <w:tcPr>
            <w:tcW w:w="780" w:type="dxa"/>
            <w:vAlign w:val="bottom"/>
          </w:tcPr>
          <w:p>
            <w:pPr>
              <w:ind w:left="320"/>
              <w:spacing w:after="0"/>
              <w:rPr>
                <w:sz w:val="20"/>
                <w:szCs w:val="20"/>
                <w:color w:val="auto"/>
              </w:rPr>
            </w:pPr>
            <w:r>
              <w:rPr>
                <w:rFonts w:ascii="Courier New" w:cs="Courier New" w:eastAsia="Courier New" w:hAnsi="Courier New"/>
                <w:sz w:val="17"/>
                <w:szCs w:val="17"/>
                <w:color w:val="auto"/>
              </w:rPr>
              <w:t>Cash</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3740" w:type="dxa"/>
            <w:vAlign w:val="bottom"/>
          </w:tcPr>
          <w:p>
            <w:pPr>
              <w:ind w:left="60"/>
              <w:spacing w:after="0"/>
              <w:rPr>
                <w:sz w:val="20"/>
                <w:szCs w:val="20"/>
                <w:color w:val="auto"/>
              </w:rPr>
            </w:pPr>
            <w:r>
              <w:rPr>
                <w:rFonts w:ascii="Courier New" w:cs="Courier New" w:eastAsia="Courier New" w:hAnsi="Courier New"/>
                <w:sz w:val="17"/>
                <w:szCs w:val="17"/>
                <w:color w:val="auto"/>
              </w:rPr>
              <w:t>cash equivalents</w:t>
            </w:r>
          </w:p>
        </w:tc>
        <w:tc>
          <w:tcPr>
            <w:tcW w:w="2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142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7"/>
        </w:trPr>
        <w:tc>
          <w:tcPr>
            <w:tcW w:w="1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Accounts</w:t>
            </w:r>
          </w:p>
        </w:tc>
        <w:tc>
          <w:tcPr>
            <w:tcW w:w="3740" w:type="dxa"/>
            <w:vAlign w:val="bottom"/>
          </w:tcPr>
          <w:p>
            <w:pPr>
              <w:ind w:left="60"/>
              <w:spacing w:after="0"/>
              <w:rPr>
                <w:sz w:val="20"/>
                <w:szCs w:val="20"/>
                <w:color w:val="auto"/>
              </w:rPr>
            </w:pPr>
            <w:r>
              <w:rPr>
                <w:rFonts w:ascii="Courier New" w:cs="Courier New" w:eastAsia="Courier New" w:hAnsi="Courier New"/>
                <w:sz w:val="17"/>
                <w:szCs w:val="17"/>
                <w:color w:val="auto"/>
              </w:rPr>
              <w:t>receivable</w:t>
            </w:r>
          </w:p>
        </w:tc>
        <w:tc>
          <w:tcPr>
            <w:tcW w:w="2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1,402</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1,507</w:t>
            </w:r>
          </w:p>
        </w:tc>
      </w:tr>
      <w:tr>
        <w:trPr>
          <w:trHeight w:val="197"/>
        </w:trPr>
        <w:tc>
          <w:tcPr>
            <w:tcW w:w="49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Inventoried costs</w:t>
            </w:r>
          </w:p>
        </w:tc>
        <w:tc>
          <w:tcPr>
            <w:tcW w:w="2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1,190</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1,373</w:t>
            </w:r>
          </w:p>
        </w:tc>
      </w:tr>
      <w:tr>
        <w:trPr>
          <w:trHeight w:val="197"/>
        </w:trPr>
        <w:tc>
          <w:tcPr>
            <w:tcW w:w="1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Deferred</w:t>
            </w:r>
          </w:p>
        </w:tc>
        <w:tc>
          <w:tcPr>
            <w:tcW w:w="3740" w:type="dxa"/>
            <w:vAlign w:val="bottom"/>
          </w:tcPr>
          <w:p>
            <w:pPr>
              <w:ind w:left="60"/>
              <w:spacing w:after="0"/>
              <w:rPr>
                <w:sz w:val="20"/>
                <w:szCs w:val="20"/>
                <w:color w:val="auto"/>
              </w:rPr>
            </w:pPr>
            <w:r>
              <w:rPr>
                <w:rFonts w:ascii="Courier New" w:cs="Courier New" w:eastAsia="Courier New" w:hAnsi="Courier New"/>
                <w:sz w:val="17"/>
                <w:szCs w:val="17"/>
                <w:color w:val="auto"/>
              </w:rPr>
              <w:t>income taxes</w:t>
            </w:r>
          </w:p>
        </w:tc>
        <w:tc>
          <w:tcPr>
            <w:tcW w:w="2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7"/>
        </w:trPr>
        <w:tc>
          <w:tcPr>
            <w:tcW w:w="49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Prepaid expenses</w:t>
            </w:r>
          </w:p>
        </w:tc>
        <w:tc>
          <w:tcPr>
            <w:tcW w:w="2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44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3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2,793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3,033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gridSpan w:val="2"/>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2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1700" w:type="dxa"/>
            <w:vAlign w:val="bottom"/>
          </w:tcPr>
          <w:p>
            <w:pPr>
              <w:ind w:left="320"/>
              <w:spacing w:after="0"/>
              <w:rPr>
                <w:sz w:val="20"/>
                <w:szCs w:val="20"/>
                <w:color w:val="auto"/>
              </w:rPr>
            </w:pPr>
            <w:r>
              <w:rPr>
                <w:rFonts w:ascii="Courier New" w:cs="Courier New" w:eastAsia="Courier New" w:hAnsi="Courier New"/>
                <w:sz w:val="17"/>
                <w:szCs w:val="17"/>
                <w:color w:val="auto"/>
              </w:rPr>
              <w:t>Land and land</w:t>
            </w:r>
          </w:p>
        </w:tc>
        <w:tc>
          <w:tcPr>
            <w:tcW w:w="3780" w:type="dxa"/>
            <w:vAlign w:val="bottom"/>
          </w:tcPr>
          <w:p>
            <w:pPr>
              <w:ind w:left="40"/>
              <w:spacing w:after="0"/>
              <w:rPr>
                <w:sz w:val="20"/>
                <w:szCs w:val="20"/>
                <w:color w:val="auto"/>
              </w:rPr>
            </w:pPr>
            <w:r>
              <w:rPr>
                <w:rFonts w:ascii="Courier New" w:cs="Courier New" w:eastAsia="Courier New" w:hAnsi="Courier New"/>
                <w:sz w:val="17"/>
                <w:szCs w:val="17"/>
                <w:color w:val="auto"/>
              </w:rPr>
              <w:t>improvements</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170</w:t>
            </w:r>
          </w:p>
        </w:tc>
      </w:tr>
      <w:tr>
        <w:trPr>
          <w:trHeight w:val="197"/>
        </w:trPr>
        <w:tc>
          <w:tcPr>
            <w:tcW w:w="1700" w:type="dxa"/>
            <w:vAlign w:val="bottom"/>
          </w:tcPr>
          <w:p>
            <w:pPr>
              <w:ind w:left="320"/>
              <w:spacing w:after="0"/>
              <w:rPr>
                <w:sz w:val="20"/>
                <w:szCs w:val="20"/>
                <w:color w:val="auto"/>
              </w:rPr>
            </w:pPr>
            <w:r>
              <w:rPr>
                <w:rFonts w:ascii="Courier New" w:cs="Courier New" w:eastAsia="Courier New" w:hAnsi="Courier New"/>
                <w:sz w:val="17"/>
                <w:szCs w:val="17"/>
                <w:color w:val="auto"/>
              </w:rPr>
              <w:t>Buildings</w:t>
            </w:r>
          </w:p>
        </w:tc>
        <w:tc>
          <w:tcPr>
            <w:tcW w:w="3780" w:type="dxa"/>
            <w:vAlign w:val="bottom"/>
          </w:tcPr>
          <w:p>
            <w:pPr>
              <w:spacing w:after="0"/>
              <w:rPr>
                <w:sz w:val="17"/>
                <w:szCs w:val="17"/>
                <w:color w:val="auto"/>
              </w:rPr>
            </w:pP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777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785</w:t>
            </w:r>
          </w:p>
        </w:tc>
      </w:tr>
      <w:tr>
        <w:trPr>
          <w:trHeight w:val="197"/>
        </w:trPr>
        <w:tc>
          <w:tcPr>
            <w:tcW w:w="1700" w:type="dxa"/>
            <w:vAlign w:val="bottom"/>
          </w:tcPr>
          <w:p>
            <w:pPr>
              <w:ind w:left="320"/>
              <w:spacing w:after="0"/>
              <w:rPr>
                <w:sz w:val="20"/>
                <w:szCs w:val="20"/>
                <w:color w:val="auto"/>
              </w:rPr>
            </w:pPr>
            <w:r>
              <w:rPr>
                <w:rFonts w:ascii="Courier New" w:cs="Courier New" w:eastAsia="Courier New" w:hAnsi="Courier New"/>
                <w:sz w:val="17"/>
                <w:szCs w:val="17"/>
                <w:color w:val="auto"/>
              </w:rPr>
              <w:t>Machinery and</w:t>
            </w:r>
          </w:p>
        </w:tc>
        <w:tc>
          <w:tcPr>
            <w:tcW w:w="3780" w:type="dxa"/>
            <w:vAlign w:val="bottom"/>
          </w:tcPr>
          <w:p>
            <w:pPr>
              <w:ind w:left="40"/>
              <w:spacing w:after="0"/>
              <w:rPr>
                <w:sz w:val="20"/>
                <w:szCs w:val="20"/>
                <w:color w:val="auto"/>
              </w:rPr>
            </w:pPr>
            <w:r>
              <w:rPr>
                <w:rFonts w:ascii="Courier New" w:cs="Courier New" w:eastAsia="Courier New" w:hAnsi="Courier New"/>
                <w:sz w:val="17"/>
                <w:szCs w:val="17"/>
                <w:color w:val="auto"/>
              </w:rPr>
              <w:t>other equipment</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1,860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2,014</w:t>
            </w:r>
          </w:p>
        </w:tc>
      </w:tr>
      <w:tr>
        <w:trPr>
          <w:trHeight w:val="197"/>
        </w:trPr>
        <w:tc>
          <w:tcPr>
            <w:tcW w:w="54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bl>
    <w:p>
      <w:pPr>
        <w:spacing w:after="0" w:line="4" w:lineRule="exact"/>
        <w:rPr>
          <w:sz w:val="20"/>
          <w:szCs w:val="20"/>
          <w:color w:val="auto"/>
        </w:rPr>
      </w:pPr>
    </w:p>
    <w:p>
      <w:pPr>
        <w:ind w:left="200" w:hanging="195"/>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7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2,895</w:t>
      </w:r>
      <w:r>
        <w:rPr>
          <w:rFonts w:ascii="Courier New" w:cs="Courier New" w:eastAsia="Courier New" w:hAnsi="Courier New"/>
          <w:sz w:val="16"/>
          <w:szCs w:val="16"/>
          <w:color w:val="auto"/>
        </w:rPr>
        <w:t>3,058</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Accumulated depreciation</w:t>
            </w:r>
          </w:p>
        </w:tc>
        <w:tc>
          <w:tcPr>
            <w:tcW w:w="3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(1,655)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7160"/>
        <w:spacing w:after="0"/>
        <w:tabs>
          <w:tab w:leader="none" w:pos="8280" w:val="left"/>
        </w:tabs>
        <w:rPr>
          <w:sz w:val="20"/>
          <w:szCs w:val="20"/>
          <w:color w:val="auto"/>
        </w:rPr>
      </w:pPr>
      <w:r>
        <w:rPr>
          <w:rFonts w:ascii="Courier New" w:cs="Courier New" w:eastAsia="Courier New" w:hAnsi="Courier New"/>
          <w:sz w:val="17"/>
          <w:szCs w:val="17"/>
          <w:color w:val="auto"/>
        </w:rPr>
        <w:t>1,240</w:t>
      </w:r>
      <w:r>
        <w:rPr>
          <w:sz w:val="20"/>
          <w:szCs w:val="20"/>
          <w:color w:val="auto"/>
        </w:rPr>
        <w:tab/>
      </w:r>
      <w:r>
        <w:rPr>
          <w:rFonts w:ascii="Courier New" w:cs="Courier New" w:eastAsia="Courier New" w:hAnsi="Courier New"/>
          <w:sz w:val="17"/>
          <w:szCs w:val="17"/>
          <w:color w:val="auto"/>
        </w:rPr>
        <w:t>1,274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Goodwill, net of accumulated amortization of $441 in 1999</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6760" w:type="dxa"/>
            <w:vAlign w:val="bottom"/>
          </w:tcPr>
          <w:p>
            <w:pPr>
              <w:ind w:left="420"/>
              <w:spacing w:after="0"/>
              <w:rPr>
                <w:sz w:val="20"/>
                <w:szCs w:val="20"/>
                <w:color w:val="auto"/>
              </w:rPr>
            </w:pPr>
            <w:r>
              <w:rPr>
                <w:rFonts w:ascii="Courier New" w:cs="Courier New" w:eastAsia="Courier New" w:hAnsi="Courier New"/>
                <w:sz w:val="17"/>
                <w:szCs w:val="17"/>
                <w:color w:val="auto"/>
              </w:rPr>
              <w:t>and $338 in 1998</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3,469</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3,381</w:t>
            </w: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Other purchased intangibles, net of accumulated</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676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$388 in 1999 and $295 in 1998</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761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795</w:t>
            </w: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Prepaid retiree benefits cost, intangible</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6760" w:type="dxa"/>
            <w:vAlign w:val="bottom"/>
          </w:tcPr>
          <w:p>
            <w:pPr>
              <w:ind w:left="420"/>
              <w:spacing w:after="0"/>
              <w:rPr>
                <w:sz w:val="20"/>
                <w:szCs w:val="20"/>
                <w:color w:val="auto"/>
              </w:rPr>
            </w:pPr>
            <w:r>
              <w:rPr>
                <w:rFonts w:ascii="Courier New" w:cs="Courier New" w:eastAsia="Courier New" w:hAnsi="Courier New"/>
                <w:sz w:val="17"/>
                <w:szCs w:val="17"/>
                <w:color w:val="auto"/>
              </w:rPr>
              <w:t>pension asset and benefit trust fund</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946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787</w:t>
            </w: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166</w:t>
            </w: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Assets available for sale</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7"/>
        </w:trPr>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Investments in and advances to affiliates and sundry assets</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7160"/>
        <w:spacing w:after="0"/>
        <w:tabs>
          <w:tab w:leader="none" w:pos="8280" w:val="left"/>
        </w:tabs>
        <w:rPr>
          <w:sz w:val="20"/>
          <w:szCs w:val="20"/>
          <w:color w:val="auto"/>
        </w:rPr>
      </w:pPr>
      <w:r>
        <w:rPr>
          <w:rFonts w:ascii="Courier New" w:cs="Courier New" w:eastAsia="Courier New" w:hAnsi="Courier New"/>
          <w:sz w:val="17"/>
          <w:szCs w:val="17"/>
          <w:color w:val="auto"/>
        </w:rPr>
        <w:t>5,252</w:t>
      </w:r>
      <w:r>
        <w:rPr>
          <w:sz w:val="20"/>
          <w:szCs w:val="20"/>
          <w:color w:val="auto"/>
        </w:rPr>
        <w:tab/>
      </w:r>
      <w:r>
        <w:rPr>
          <w:rFonts w:ascii="Courier New" w:cs="Courier New" w:eastAsia="Courier New" w:hAnsi="Courier New"/>
          <w:sz w:val="17"/>
          <w:szCs w:val="17"/>
          <w:color w:val="auto"/>
        </w:rPr>
        <w:t>5,229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960"/>
        <w:spacing w:after="0"/>
        <w:tabs>
          <w:tab w:leader="none" w:pos="8060" w:val="left"/>
        </w:tabs>
        <w:rPr>
          <w:sz w:val="20"/>
          <w:szCs w:val="20"/>
          <w:color w:val="auto"/>
        </w:rPr>
      </w:pPr>
      <w:r>
        <w:rPr>
          <w:rFonts w:ascii="Courier New" w:cs="Courier New" w:eastAsia="Courier New" w:hAnsi="Courier New"/>
          <w:sz w:val="17"/>
          <w:szCs w:val="17"/>
          <w:color w:val="auto"/>
        </w:rPr>
        <w:t>$ 9,285</w:t>
      </w:r>
      <w:r>
        <w:rPr>
          <w:sz w:val="20"/>
          <w:szCs w:val="20"/>
          <w:color w:val="auto"/>
        </w:rPr>
        <w:tab/>
      </w:r>
      <w:r>
        <w:rPr>
          <w:rFonts w:ascii="Courier New" w:cs="Courier New" w:eastAsia="Courier New" w:hAnsi="Courier New"/>
          <w:sz w:val="17"/>
          <w:szCs w:val="17"/>
          <w:color w:val="auto"/>
        </w:rPr>
        <w:t>$ 9,536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4"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139"/>
          </w:cols>
          <w:pgMar w:left="320" w:top="70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20"/>
                <w:szCs w:val="20"/>
                <w:color w:val="auto"/>
              </w:rPr>
            </w:pPr>
            <w:r>
              <w:rPr>
                <w:rFonts w:ascii="Courier New" w:cs="Courier New" w:eastAsia="Courier New" w:hAnsi="Courier New"/>
                <w:sz w:val="17"/>
                <w:szCs w:val="17"/>
                <w:color w:val="auto"/>
              </w:rPr>
              <w:t>December 31, $ in millions</w:t>
            </w:r>
          </w:p>
        </w:tc>
        <w:tc>
          <w:tcPr>
            <w:tcW w:w="23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7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Notes payable to banks</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69</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Current portion of long-term debt</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Trade accounts payable</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416</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Accrued employees' compensation</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366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337</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Advances on contracts</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354</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Income taxes payable</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w:t>
            </w:r>
          </w:p>
        </w:tc>
        <w:tc>
          <w:tcPr>
            <w:tcW w:w="860" w:type="dxa"/>
            <w:vAlign w:val="bottom"/>
          </w:tcPr>
          <w:p>
            <w:pPr>
              <w:spacing w:after="0"/>
              <w:rPr>
                <w:sz w:val="17"/>
                <w:szCs w:val="17"/>
                <w:color w:val="auto"/>
              </w:rPr>
            </w:pP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Deferred income taxes</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550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527</w:t>
            </w:r>
          </w:p>
        </w:tc>
      </w:tr>
      <w:tr>
        <w:trPr>
          <w:trHeight w:val="197"/>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Other current liabilities</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459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100" w:type="dxa"/>
            <w:vAlign w:val="bottom"/>
          </w:tcPr>
          <w:p>
            <w:pPr>
              <w:spacing w:after="0"/>
              <w:rPr>
                <w:sz w:val="20"/>
                <w:szCs w:val="20"/>
                <w:color w:val="auto"/>
              </w:rPr>
            </w:pPr>
            <w:r>
              <w:rPr>
                <w:rFonts w:ascii="Courier New" w:cs="Courier New" w:eastAsia="Courier New" w:hAnsi="Courier New"/>
                <w:sz w:val="17"/>
                <w:szCs w:val="17"/>
                <w:color w:val="auto"/>
              </w:rPr>
              <w:t>Total current liabilities</w:t>
            </w:r>
          </w:p>
        </w:tc>
        <w:tc>
          <w:tcPr>
            <w:tcW w:w="236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2,464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2,367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2,000</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2,562</w:t>
            </w:r>
          </w:p>
        </w:tc>
      </w:tr>
      <w:tr>
        <w:trPr>
          <w:trHeight w:val="197"/>
        </w:trPr>
        <w:tc>
          <w:tcPr>
            <w:tcW w:w="5320" w:type="dxa"/>
            <w:vAlign w:val="bottom"/>
          </w:tcPr>
          <w:p>
            <w:pPr>
              <w:spacing w:after="0"/>
              <w:rPr>
                <w:sz w:val="20"/>
                <w:szCs w:val="20"/>
                <w:color w:val="auto"/>
              </w:rPr>
            </w:pPr>
            <w:r>
              <w:rPr>
                <w:rFonts w:ascii="Courier New" w:cs="Courier New" w:eastAsia="Courier New" w:hAnsi="Courier New"/>
                <w:sz w:val="17"/>
                <w:szCs w:val="17"/>
                <w:color w:val="auto"/>
              </w:rPr>
              <w:t>Accrued retiree benefits</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1,458</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1,704</w:t>
            </w:r>
          </w:p>
        </w:tc>
      </w:tr>
      <w:tr>
        <w:trPr>
          <w:trHeight w:val="197"/>
        </w:trPr>
        <w:tc>
          <w:tcPr>
            <w:tcW w:w="5320" w:type="dxa"/>
            <w:vAlign w:val="bottom"/>
          </w:tcPr>
          <w:p>
            <w:pPr>
              <w:spacing w:after="0"/>
              <w:rPr>
                <w:sz w:val="20"/>
                <w:szCs w:val="20"/>
                <w:color w:val="auto"/>
              </w:rPr>
            </w:pPr>
            <w:r>
              <w:rPr>
                <w:rFonts w:ascii="Courier New" w:cs="Courier New" w:eastAsia="Courier New" w:hAnsi="Courier New"/>
                <w:sz w:val="17"/>
                <w:szCs w:val="17"/>
                <w:color w:val="auto"/>
              </w:rPr>
              <w:t>Other long-term liabilities</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42</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53</w:t>
            </w:r>
          </w:p>
        </w:tc>
      </w:tr>
      <w:tr>
        <w:trPr>
          <w:trHeight w:val="197"/>
        </w:trPr>
        <w:tc>
          <w:tcPr>
            <w:tcW w:w="53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64</w:t>
            </w:r>
          </w:p>
        </w:tc>
        <w:tc>
          <w:tcPr>
            <w:tcW w:w="880" w:type="dxa"/>
            <w:vAlign w:val="bottom"/>
          </w:tcPr>
          <w:p>
            <w:pPr>
              <w:spacing w:after="0"/>
              <w:rPr>
                <w:sz w:val="17"/>
                <w:szCs w:val="17"/>
                <w:color w:val="auto"/>
              </w:rPr>
            </w:pPr>
          </w:p>
        </w:tc>
      </w:tr>
      <w:tr>
        <w:trPr>
          <w:trHeight w:val="3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7"/>
        </w:trPr>
        <w:tc>
          <w:tcPr>
            <w:tcW w:w="5320" w:type="dxa"/>
            <w:vAlign w:val="bottom"/>
          </w:tcPr>
          <w:p>
            <w:pPr>
              <w:ind w:left="100"/>
              <w:spacing w:after="0"/>
              <w:rPr>
                <w:sz w:val="20"/>
                <w:szCs w:val="20"/>
                <w:color w:val="auto"/>
              </w:rPr>
            </w:pPr>
            <w:r>
              <w:rPr>
                <w:rFonts w:ascii="Courier New" w:cs="Courier New" w:eastAsia="Courier New" w:hAnsi="Courier New"/>
                <w:sz w:val="17"/>
                <w:szCs w:val="17"/>
                <w:color w:val="auto"/>
              </w:rPr>
              <w:t>Paid-in capital</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10,000,000 shares authorized;</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rPr>
              <w:t>Common stock, 200,000,000 shares authorized;</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420"/>
              <w:spacing w:after="0"/>
              <w:rPr>
                <w:sz w:val="20"/>
                <w:szCs w:val="20"/>
                <w:color w:val="auto"/>
              </w:rPr>
            </w:pPr>
            <w:r>
              <w:rPr>
                <w:rFonts w:ascii="Courier New" w:cs="Courier New" w:eastAsia="Courier New" w:hAnsi="Courier New"/>
                <w:sz w:val="17"/>
                <w:szCs w:val="17"/>
                <w:color w:val="auto"/>
              </w:rPr>
              <w:t>issued and outstanding:</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720"/>
              <w:spacing w:after="0"/>
              <w:rPr>
                <w:sz w:val="20"/>
                <w:szCs w:val="20"/>
                <w:color w:val="auto"/>
              </w:rPr>
            </w:pPr>
            <w:r>
              <w:rPr>
                <w:rFonts w:ascii="Courier New" w:cs="Courier New" w:eastAsia="Courier New" w:hAnsi="Courier New"/>
                <w:sz w:val="17"/>
                <w:szCs w:val="17"/>
                <w:color w:val="auto"/>
              </w:rPr>
              <w:t>1999 - 69,719,164</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5320" w:type="dxa"/>
            <w:vAlign w:val="bottom"/>
          </w:tcPr>
          <w:p>
            <w:pPr>
              <w:ind w:left="720"/>
              <w:spacing w:after="0"/>
              <w:rPr>
                <w:sz w:val="20"/>
                <w:szCs w:val="20"/>
                <w:color w:val="auto"/>
              </w:rPr>
            </w:pPr>
            <w:r>
              <w:rPr>
                <w:rFonts w:ascii="Courier New" w:cs="Courier New" w:eastAsia="Courier New" w:hAnsi="Courier New"/>
                <w:sz w:val="17"/>
                <w:szCs w:val="17"/>
                <w:color w:val="auto"/>
              </w:rPr>
              <w:t>1998 - 68,836,810</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1,028</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989</w:t>
            </w:r>
          </w:p>
        </w:tc>
      </w:tr>
      <w:tr>
        <w:trPr>
          <w:trHeight w:val="197"/>
        </w:trPr>
        <w:tc>
          <w:tcPr>
            <w:tcW w:w="5320" w:type="dxa"/>
            <w:vAlign w:val="bottom"/>
          </w:tcPr>
          <w:p>
            <w:pPr>
              <w:ind w:left="100"/>
              <w:spacing w:after="0"/>
              <w:rPr>
                <w:sz w:val="20"/>
                <w:szCs w:val="20"/>
                <w:color w:val="auto"/>
              </w:rPr>
            </w:pPr>
            <w:r>
              <w:rPr>
                <w:rFonts w:ascii="Courier New" w:cs="Courier New" w:eastAsia="Courier New" w:hAnsi="Courier New"/>
                <w:sz w:val="17"/>
                <w:szCs w:val="17"/>
                <w:color w:val="auto"/>
              </w:rPr>
              <w:t>Retained earnings</w:t>
            </w:r>
          </w:p>
        </w:tc>
        <w:tc>
          <w:tcPr>
            <w:tcW w:w="12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2,248</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1,892</w:t>
            </w:r>
          </w:p>
        </w:tc>
      </w:tr>
      <w:tr>
        <w:trPr>
          <w:trHeight w:val="197"/>
        </w:trPr>
        <w:tc>
          <w:tcPr>
            <w:tcW w:w="5320" w:type="dxa"/>
            <w:vAlign w:val="bottom"/>
          </w:tcPr>
          <w:p>
            <w:pPr>
              <w:ind w:left="100"/>
              <w:spacing w:after="0"/>
              <w:rPr>
                <w:sz w:val="20"/>
                <w:szCs w:val="20"/>
                <w:color w:val="auto"/>
              </w:rPr>
            </w:pPr>
            <w:r>
              <w:rPr>
                <w:rFonts w:ascii="Courier New" w:cs="Courier New" w:eastAsia="Courier New" w:hAnsi="Courier New"/>
                <w:sz w:val="17"/>
                <w:szCs w:val="17"/>
                <w:color w:val="auto"/>
              </w:rPr>
              <w:t>Accumulated other comprehensive loss</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740"/>
        <w:spacing w:after="0"/>
        <w:tabs>
          <w:tab w:leader="none" w:pos="6840" w:val="left"/>
        </w:tabs>
        <w:rPr>
          <w:sz w:val="20"/>
          <w:szCs w:val="20"/>
          <w:color w:val="auto"/>
        </w:rPr>
      </w:pPr>
      <w:r>
        <w:rPr>
          <w:rFonts w:ascii="Courier New" w:cs="Courier New" w:eastAsia="Courier New" w:hAnsi="Courier New"/>
          <w:sz w:val="17"/>
          <w:szCs w:val="17"/>
          <w:color w:val="auto"/>
        </w:rPr>
        <w:t>3,257</w:t>
      </w:r>
      <w:r>
        <w:rPr>
          <w:sz w:val="20"/>
          <w:szCs w:val="20"/>
          <w:color w:val="auto"/>
        </w:rPr>
        <w:tab/>
      </w:r>
      <w:r>
        <w:rPr>
          <w:rFonts w:ascii="Courier New" w:cs="Courier New" w:eastAsia="Courier New" w:hAnsi="Courier New"/>
          <w:sz w:val="17"/>
          <w:szCs w:val="17"/>
          <w:color w:val="auto"/>
        </w:rPr>
        <w:t>2,850</w:t>
      </w:r>
    </w:p>
    <w:p>
      <w:pPr>
        <w:spacing w:after="0" w:line="4" w:lineRule="exact"/>
        <w:rPr>
          <w:sz w:val="20"/>
          <w:szCs w:val="20"/>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5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$9,285</w:t>
      </w:r>
      <w:r>
        <w:rPr>
          <w:rFonts w:ascii="Courier New" w:cs="Courier New" w:eastAsia="Courier New" w:hAnsi="Courier New"/>
          <w:sz w:val="16"/>
          <w:szCs w:val="16"/>
          <w:color w:val="auto"/>
        </w:rPr>
        <w:t>$9,536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395"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139"/>
          </w:cols>
          <w:pgMar w:left="320" w:top="705"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3"/>
        </w:trPr>
        <w:tc>
          <w:tcPr>
            <w:tcW w:w="2920" w:type="dxa"/>
            <w:vAlign w:val="bottom"/>
            <w:gridSpan w:val="2"/>
          </w:tcPr>
          <w:p>
            <w:pPr>
              <w:spacing w:after="0"/>
              <w:rPr>
                <w:sz w:val="20"/>
                <w:szCs w:val="20"/>
                <w:color w:val="auto"/>
              </w:rPr>
            </w:pPr>
            <w:r>
              <w:rPr>
                <w:rFonts w:ascii="Courier New" w:cs="Courier New" w:eastAsia="Courier New" w:hAnsi="Courier New"/>
                <w:sz w:val="17"/>
                <w:szCs w:val="17"/>
                <w:color w:val="auto"/>
              </w:rPr>
              <w:t>NORTHROP GRUMMAN CORPORATION</w:t>
            </w:r>
          </w:p>
        </w:tc>
        <w:tc>
          <w:tcPr>
            <w:tcW w:w="3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90"/>
        </w:trPr>
        <w:tc>
          <w:tcPr>
            <w:tcW w:w="2400" w:type="dxa"/>
            <w:vAlign w:val="bottom"/>
          </w:tcPr>
          <w:p>
            <w:pPr>
              <w:spacing w:after="0"/>
              <w:rPr>
                <w:sz w:val="20"/>
                <w:szCs w:val="20"/>
                <w:color w:val="auto"/>
              </w:rPr>
            </w:pPr>
            <w:r>
              <w:rPr>
                <w:rFonts w:ascii="Courier New" w:cs="Courier New" w:eastAsia="Courier New" w:hAnsi="Courier New"/>
                <w:sz w:val="17"/>
                <w:szCs w:val="17"/>
                <w:color w:val="auto"/>
              </w:rPr>
              <w:t>CONSOLIDATED STATEMENTS</w:t>
            </w:r>
          </w:p>
        </w:tc>
        <w:tc>
          <w:tcPr>
            <w:tcW w:w="4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INCOME</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87"/>
        </w:trPr>
        <w:tc>
          <w:tcPr>
            <w:tcW w:w="2400" w:type="dxa"/>
            <w:vAlign w:val="bottom"/>
          </w:tcPr>
          <w:p>
            <w:pPr>
              <w:spacing w:after="0"/>
              <w:rPr>
                <w:sz w:val="20"/>
                <w:szCs w:val="20"/>
                <w:color w:val="auto"/>
              </w:rPr>
            </w:pPr>
            <w:r>
              <w:rPr>
                <w:rFonts w:ascii="Courier New" w:cs="Courier New" w:eastAsia="Courier New" w:hAnsi="Courier New"/>
                <w:sz w:val="17"/>
                <w:szCs w:val="17"/>
                <w:color w:val="auto"/>
              </w:rPr>
              <w:t>Year ended December 31,</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 in</w:t>
            </w:r>
          </w:p>
        </w:tc>
        <w:tc>
          <w:tcPr>
            <w:tcW w:w="3480" w:type="dxa"/>
            <w:vAlign w:val="bottom"/>
          </w:tcPr>
          <w:p>
            <w:pPr>
              <w:jc w:val="right"/>
              <w:ind w:right="2415"/>
              <w:spacing w:after="0"/>
              <w:rPr>
                <w:sz w:val="20"/>
                <w:szCs w:val="20"/>
                <w:color w:val="auto"/>
              </w:rPr>
            </w:pPr>
            <w:r>
              <w:rPr>
                <w:rFonts w:ascii="Courier New" w:cs="Courier New" w:eastAsia="Courier New" w:hAnsi="Courier New"/>
                <w:sz w:val="17"/>
                <w:szCs w:val="17"/>
                <w:color w:val="auto"/>
              </w:rPr>
              <w:t>millions,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7"/>
        </w:trPr>
        <w:tc>
          <w:tcPr>
            <w:tcW w:w="2400" w:type="dxa"/>
            <w:vAlign w:val="bottom"/>
          </w:tcPr>
          <w:p>
            <w:pPr>
              <w:spacing w:after="0"/>
              <w:rPr>
                <w:sz w:val="20"/>
                <w:szCs w:val="20"/>
                <w:color w:val="auto"/>
              </w:rPr>
            </w:pPr>
            <w:r>
              <w:rPr>
                <w:rFonts w:ascii="Courier New" w:cs="Courier New" w:eastAsia="Courier New" w:hAnsi="Courier New"/>
                <w:sz w:val="17"/>
                <w:szCs w:val="17"/>
                <w:color w:val="auto"/>
              </w:rPr>
              <w:t>except per share</w:t>
            </w:r>
          </w:p>
        </w:tc>
        <w:tc>
          <w:tcPr>
            <w:tcW w:w="520" w:type="dxa"/>
            <w:vAlign w:val="bottom"/>
          </w:tcPr>
          <w:p>
            <w:pPr>
              <w:spacing w:after="0"/>
              <w:rPr>
                <w:sz w:val="17"/>
                <w:szCs w:val="17"/>
                <w:color w:val="auto"/>
              </w:rPr>
            </w:pPr>
          </w:p>
        </w:tc>
        <w:tc>
          <w:tcPr>
            <w:tcW w:w="3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7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$8,995</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$8,902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$9,153</w:t>
            </w:r>
          </w:p>
        </w:tc>
      </w:tr>
      <w:tr>
        <w:trPr>
          <w:trHeight w:val="197"/>
        </w:trPr>
        <w:tc>
          <w:tcPr>
            <w:tcW w:w="456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Operating costs</w:t>
            </w:r>
          </w:p>
        </w:tc>
        <w:tc>
          <w:tcPr>
            <w:tcW w:w="17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6,852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6,930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7,040</w:t>
            </w:r>
          </w:p>
        </w:tc>
      </w:tr>
      <w:tr>
        <w:trPr>
          <w:trHeight w:val="197"/>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Administrative and general expenses</w:t>
            </w:r>
          </w:p>
        </w:tc>
        <w:tc>
          <w:tcPr>
            <w:tcW w:w="17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1,174</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1,216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Operating</w:t>
            </w:r>
          </w:p>
        </w:tc>
        <w:tc>
          <w:tcPr>
            <w:tcW w:w="3060" w:type="dxa"/>
            <w:vAlign w:val="bottom"/>
          </w:tcPr>
          <w:p>
            <w:pPr>
              <w:ind w:left="40"/>
              <w:spacing w:after="0"/>
              <w:rPr>
                <w:sz w:val="20"/>
                <w:szCs w:val="20"/>
                <w:color w:val="auto"/>
              </w:rPr>
            </w:pPr>
            <w:r>
              <w:rPr>
                <w:rFonts w:ascii="Courier New" w:cs="Courier New" w:eastAsia="Courier New" w:hAnsi="Courier New"/>
                <w:sz w:val="17"/>
                <w:szCs w:val="17"/>
                <w:color w:val="auto"/>
              </w:rPr>
              <w:t>margin</w:t>
            </w:r>
          </w:p>
        </w:tc>
        <w:tc>
          <w:tcPr>
            <w:tcW w:w="24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969</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756</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880</w:t>
            </w:r>
          </w:p>
        </w:tc>
      </w:tr>
      <w:tr>
        <w:trPr>
          <w:trHeight w:val="197"/>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Other income(deductions)</w:t>
            </w: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98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3060" w:type="dxa"/>
            <w:vAlign w:val="bottom"/>
          </w:tcPr>
          <w:p>
            <w:pPr>
              <w:ind w:left="40"/>
              <w:spacing w:after="0"/>
              <w:rPr>
                <w:sz w:val="20"/>
                <w:szCs w:val="20"/>
                <w:color w:val="auto"/>
              </w:rPr>
            </w:pPr>
            <w:r>
              <w:rPr>
                <w:rFonts w:ascii="Courier New" w:cs="Courier New" w:eastAsia="Courier New" w:hAnsi="Courier New"/>
                <w:sz w:val="17"/>
                <w:szCs w:val="17"/>
                <w:color w:val="auto"/>
              </w:rPr>
              <w:t>income</w:t>
            </w:r>
          </w:p>
        </w:tc>
        <w:tc>
          <w:tcPr>
            <w:tcW w:w="24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18</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w:t>
            </w:r>
          </w:p>
        </w:tc>
      </w:tr>
      <w:tr>
        <w:trPr>
          <w:trHeight w:val="197"/>
        </w:trPr>
        <w:tc>
          <w:tcPr>
            <w:tcW w:w="4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Merger costs</w:t>
            </w:r>
          </w:p>
        </w:tc>
        <w:tc>
          <w:tcPr>
            <w:tcW w:w="2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(186)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7"/>
        </w:trPr>
        <w:tc>
          <w:tcPr>
            <w:tcW w:w="98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3060" w:type="dxa"/>
            <w:vAlign w:val="bottom"/>
          </w:tcPr>
          <w:p>
            <w:pPr>
              <w:ind w:left="40"/>
              <w:spacing w:after="0"/>
              <w:rPr>
                <w:sz w:val="20"/>
                <w:szCs w:val="20"/>
                <w:color w:val="auto"/>
              </w:rPr>
            </w:pPr>
            <w:r>
              <w:rPr>
                <w:rFonts w:ascii="Courier New" w:cs="Courier New" w:eastAsia="Courier New" w:hAnsi="Courier New"/>
                <w:sz w:val="17"/>
                <w:szCs w:val="17"/>
                <w:color w:val="auto"/>
              </w:rPr>
              <w:t>expense</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(224)</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(257)</w:t>
            </w:r>
          </w:p>
        </w:tc>
      </w:tr>
      <w:tr>
        <w:trPr>
          <w:trHeight w:val="197"/>
        </w:trPr>
        <w:tc>
          <w:tcPr>
            <w:tcW w:w="4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Investment losses</w:t>
            </w:r>
          </w:p>
        </w:tc>
        <w:tc>
          <w:tcPr>
            <w:tcW w:w="2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(30)</w:t>
            </w:r>
          </w:p>
        </w:tc>
        <w:tc>
          <w:tcPr>
            <w:tcW w:w="820" w:type="dxa"/>
            <w:vAlign w:val="bottom"/>
          </w:tcPr>
          <w:p>
            <w:pPr>
              <w:spacing w:after="0"/>
              <w:rPr>
                <w:sz w:val="17"/>
                <w:szCs w:val="17"/>
                <w:color w:val="auto"/>
              </w:rPr>
            </w:pPr>
          </w:p>
        </w:tc>
      </w:tr>
      <w:tr>
        <w:trPr>
          <w:trHeight w:val="197"/>
        </w:trPr>
        <w:tc>
          <w:tcPr>
            <w:tcW w:w="4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net</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9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762</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651</w:t>
            </w:r>
          </w:p>
        </w:tc>
      </w:tr>
      <w:tr>
        <w:trPr>
          <w:trHeight w:val="197"/>
        </w:trPr>
        <w:tc>
          <w:tcPr>
            <w:tcW w:w="4500" w:type="dxa"/>
            <w:vAlign w:val="bottom"/>
          </w:tcPr>
          <w:p>
            <w:pPr>
              <w:spacing w:after="0"/>
              <w:rPr>
                <w:sz w:val="20"/>
                <w:szCs w:val="20"/>
                <w:color w:val="auto"/>
              </w:rPr>
            </w:pPr>
            <w:r>
              <w:rPr>
                <w:rFonts w:ascii="Courier New" w:cs="Courier New" w:eastAsia="Courier New" w:hAnsi="Courier New"/>
                <w:sz w:val="17"/>
                <w:szCs w:val="17"/>
                <w:color w:val="auto"/>
              </w:rPr>
              <w:t>Federal and foreign income taxes</w:t>
            </w:r>
          </w:p>
        </w:tc>
        <w:tc>
          <w:tcPr>
            <w:tcW w:w="19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279</w:t>
            </w: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244</w:t>
            </w:r>
          </w:p>
        </w:tc>
      </w:tr>
    </w:tbl>
    <w:p>
      <w:pPr>
        <w:spacing w:after="0" w:line="4" w:lineRule="exact"/>
        <w:rPr>
          <w:sz w:val="20"/>
          <w:szCs w:val="20"/>
          <w:color w:val="auto"/>
        </w:rPr>
      </w:pPr>
    </w:p>
    <w:p>
      <w:pPr>
        <w:ind w:left="200" w:hanging="195"/>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 cumulative effect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ind w:left="200"/>
              <w:spacing w:after="0"/>
              <w:rPr>
                <w:sz w:val="20"/>
                <w:szCs w:val="20"/>
                <w:color w:val="auto"/>
              </w:rPr>
            </w:pPr>
            <w:r>
              <w:rPr>
                <w:rFonts w:ascii="Courier New" w:cs="Courier New" w:eastAsia="Courier New" w:hAnsi="Courier New"/>
                <w:sz w:val="17"/>
                <w:szCs w:val="17"/>
                <w:color w:val="auto"/>
              </w:rPr>
              <w:t>of  accounting change</w:t>
            </w: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483</w:t>
            </w: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407</w:t>
            </w:r>
          </w:p>
        </w:tc>
      </w:t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 change</w:t>
            </w: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(16)</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467</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194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407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w w:val="99"/>
              </w:rPr>
              <w:t>Weighted average</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common shares</w:t>
            </w:r>
          </w:p>
        </w:tc>
        <w:tc>
          <w:tcPr>
            <w:tcW w:w="2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outstanding, in</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millions</w:t>
            </w:r>
          </w:p>
        </w:tc>
        <w:tc>
          <w:tcPr>
            <w:tcW w:w="20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69.3</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68.5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Basic earnings per share:</w:t>
            </w:r>
          </w:p>
        </w:tc>
        <w:tc>
          <w:tcPr>
            <w:tcW w:w="2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1900" w:type="dxa"/>
            <w:vAlign w:val="bottom"/>
          </w:tcPr>
          <w:p>
            <w:pPr>
              <w:ind w:left="100"/>
              <w:spacing w:after="0"/>
              <w:rPr>
                <w:sz w:val="20"/>
                <w:szCs w:val="20"/>
                <w:color w:val="auto"/>
              </w:rPr>
            </w:pPr>
            <w:r>
              <w:rPr>
                <w:rFonts w:ascii="Courier New" w:cs="Courier New" w:eastAsia="Courier New" w:hAnsi="Courier New"/>
                <w:sz w:val="17"/>
                <w:szCs w:val="17"/>
                <w:color w:val="auto"/>
              </w:rPr>
              <w:t>Before cumulative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effect</w:t>
            </w:r>
          </w:p>
        </w:tc>
        <w:tc>
          <w:tcPr>
            <w:tcW w:w="2440" w:type="dxa"/>
            <w:vAlign w:val="bottom"/>
          </w:tcPr>
          <w:p>
            <w:pPr>
              <w:ind w:left="40"/>
              <w:spacing w:after="0"/>
              <w:rPr>
                <w:sz w:val="20"/>
                <w:szCs w:val="20"/>
                <w:color w:val="auto"/>
              </w:rPr>
            </w:pPr>
            <w:r>
              <w:rPr>
                <w:rFonts w:ascii="Courier New" w:cs="Courier New" w:eastAsia="Courier New" w:hAnsi="Courier New"/>
                <w:sz w:val="17"/>
                <w:szCs w:val="17"/>
                <w:color w:val="auto"/>
              </w:rPr>
              <w:t>of accounting change</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$ 6.97</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$ 2.83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$ 6.10</w:t>
            </w:r>
          </w:p>
        </w:tc>
      </w:tr>
      <w:tr>
        <w:trPr>
          <w:trHeight w:val="197"/>
        </w:trPr>
        <w:tc>
          <w:tcPr>
            <w:tcW w:w="1900" w:type="dxa"/>
            <w:vAlign w:val="bottom"/>
          </w:tcPr>
          <w:p>
            <w:pPr>
              <w:ind w:left="100"/>
              <w:spacing w:after="0"/>
              <w:rPr>
                <w:sz w:val="20"/>
                <w:szCs w:val="20"/>
                <w:color w:val="auto"/>
              </w:rPr>
            </w:pPr>
            <w:r>
              <w:rPr>
                <w:rFonts w:ascii="Courier New" w:cs="Courier New" w:eastAsia="Courier New" w:hAnsi="Courier New"/>
                <w:sz w:val="17"/>
                <w:szCs w:val="17"/>
                <w:color w:val="auto"/>
              </w:rPr>
              <w:t>Accounting change</w:t>
            </w:r>
          </w:p>
        </w:tc>
        <w:tc>
          <w:tcPr>
            <w:tcW w:w="7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23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$ 6.73</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$ 2.83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Diluted</w:t>
            </w:r>
          </w:p>
        </w:tc>
        <w:tc>
          <w:tcPr>
            <w:tcW w:w="4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earnings per share:</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Before</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cumulative</w:t>
            </w:r>
          </w:p>
        </w:tc>
        <w:tc>
          <w:tcPr>
            <w:tcW w:w="3160" w:type="dxa"/>
            <w:vAlign w:val="bottom"/>
          </w:tcPr>
          <w:p>
            <w:pPr>
              <w:ind w:left="40"/>
              <w:spacing w:after="0"/>
              <w:rPr>
                <w:sz w:val="20"/>
                <w:szCs w:val="20"/>
                <w:color w:val="auto"/>
              </w:rPr>
            </w:pPr>
            <w:r>
              <w:rPr>
                <w:rFonts w:ascii="Courier New" w:cs="Courier New" w:eastAsia="Courier New" w:hAnsi="Courier New"/>
                <w:sz w:val="17"/>
                <w:szCs w:val="17"/>
                <w:color w:val="auto"/>
              </w:rPr>
              <w:t>effect of accounting change</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$ 6.93</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$ 2.79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$ 5.98</w:t>
            </w:r>
          </w:p>
        </w:tc>
      </w:tr>
      <w:tr>
        <w:trPr>
          <w:trHeight w:val="197"/>
        </w:trPr>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Accounting change</w:t>
            </w:r>
          </w:p>
        </w:tc>
        <w:tc>
          <w:tcPr>
            <w:tcW w:w="31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22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$ 6.69</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$ 2.79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$ 5.98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COMPREHENSIVE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Year ended December 31, $ in millions</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1999</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$ 467</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$ 194</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$ 407</w:t>
            </w:r>
          </w:p>
        </w:tc>
      </w:tr>
      <w:tr>
        <w:trPr>
          <w:trHeight w:val="197"/>
        </w:trPr>
        <w:tc>
          <w:tcPr>
            <w:tcW w:w="5420" w:type="dxa"/>
            <w:vAlign w:val="bottom"/>
          </w:tcPr>
          <w:p>
            <w:pPr>
              <w:spacing w:after="0"/>
              <w:rPr>
                <w:sz w:val="20"/>
                <w:szCs w:val="20"/>
                <w:color w:val="auto"/>
              </w:rPr>
            </w:pPr>
            <w:r>
              <w:rPr>
                <w:rFonts w:ascii="Courier New" w:cs="Courier New" w:eastAsia="Courier New" w:hAnsi="Courier New"/>
                <w:sz w:val="17"/>
                <w:szCs w:val="17"/>
                <w:color w:val="auto"/>
              </w:rPr>
              <w:t>Other comprehensive income</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5420" w:type="dxa"/>
            <w:vAlign w:val="bottom"/>
          </w:tcPr>
          <w:p>
            <w:pPr>
              <w:ind w:left="100"/>
              <w:spacing w:after="0"/>
              <w:rPr>
                <w:sz w:val="20"/>
                <w:szCs w:val="20"/>
                <w:color w:val="auto"/>
              </w:rPr>
            </w:pPr>
            <w:r>
              <w:rPr>
                <w:rFonts w:ascii="Courier New" w:cs="Courier New" w:eastAsia="Courier New" w:hAnsi="Courier New"/>
                <w:sz w:val="17"/>
                <w:szCs w:val="17"/>
                <w:color w:val="auto"/>
              </w:rPr>
              <w:t>Minimum pension liability adjustments, before tax</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7"/>
        </w:trPr>
        <w:tc>
          <w:tcPr>
            <w:tcW w:w="5420" w:type="dxa"/>
            <w:vAlign w:val="bottom"/>
          </w:tcPr>
          <w:p>
            <w:pPr>
              <w:ind w:left="100"/>
              <w:spacing w:after="0"/>
              <w:rPr>
                <w:sz w:val="20"/>
                <w:szCs w:val="20"/>
                <w:color w:val="auto"/>
              </w:rPr>
            </w:pPr>
            <w:r>
              <w:rPr>
                <w:rFonts w:ascii="Courier New" w:cs="Courier New" w:eastAsia="Courier New" w:hAnsi="Courier New"/>
                <w:sz w:val="17"/>
                <w:szCs w:val="17"/>
                <w:color w:val="auto"/>
              </w:rPr>
              <w:t>Income tax expense(benefit)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20"/>
                <w:szCs w:val="20"/>
                <w:color w:val="auto"/>
              </w:rPr>
            </w:pPr>
            <w:r>
              <w:rPr>
                <w:rFonts w:ascii="Courier New" w:cs="Courier New" w:eastAsia="Courier New" w:hAnsi="Courier New"/>
                <w:sz w:val="17"/>
                <w:szCs w:val="17"/>
                <w:color w:val="auto"/>
              </w:rPr>
              <w:t>Other comprehensive income(loss), net of tax</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25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$ 479</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$ 185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$ 389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139"/>
          </w:cols>
          <w:pgMar w:left="320" w:top="705" w:right="1440" w:bottom="82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NORTHROP GRUMMAN</w:t>
            </w:r>
          </w:p>
        </w:tc>
        <w:tc>
          <w:tcPr>
            <w:tcW w:w="12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CORPORATION</w:t>
            </w: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590"/>
        </w:trPr>
        <w:tc>
          <w:tcPr>
            <w:tcW w:w="240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STATEMENTS</w:t>
            </w:r>
          </w:p>
        </w:tc>
        <w:tc>
          <w:tcPr>
            <w:tcW w:w="3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CHANGES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7"/>
        </w:trPr>
        <w:tc>
          <w:tcPr>
            <w:tcW w:w="1700" w:type="dxa"/>
            <w:vAlign w:val="bottom"/>
          </w:tcPr>
          <w:p>
            <w:pPr>
              <w:spacing w:after="0"/>
              <w:rPr>
                <w:sz w:val="20"/>
                <w:szCs w:val="20"/>
                <w:color w:val="auto"/>
              </w:rPr>
            </w:pPr>
            <w:r>
              <w:rPr>
                <w:rFonts w:ascii="Courier New" w:cs="Courier New" w:eastAsia="Courier New" w:hAnsi="Courier New"/>
                <w:sz w:val="17"/>
                <w:szCs w:val="17"/>
                <w:color w:val="auto"/>
              </w:rPr>
              <w:t>IN SHAREHOLDERS'</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EQUITY</w:t>
            </w:r>
          </w:p>
        </w:tc>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87"/>
        </w:trPr>
        <w:tc>
          <w:tcPr>
            <w:tcW w:w="2400" w:type="dxa"/>
            <w:vAlign w:val="bottom"/>
            <w:gridSpan w:val="2"/>
          </w:tcPr>
          <w:p>
            <w:pPr>
              <w:spacing w:after="0"/>
              <w:rPr>
                <w:sz w:val="20"/>
                <w:szCs w:val="20"/>
                <w:color w:val="auto"/>
              </w:rPr>
            </w:pPr>
            <w:r>
              <w:rPr>
                <w:rFonts w:ascii="Courier New" w:cs="Courier New" w:eastAsia="Courier New" w:hAnsi="Courier New"/>
                <w:sz w:val="17"/>
                <w:szCs w:val="17"/>
                <w:color w:val="auto"/>
              </w:rPr>
              <w:t>Year ended December 31,</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 in</w:t>
            </w:r>
          </w:p>
        </w:tc>
        <w:tc>
          <w:tcPr>
            <w:tcW w:w="3060" w:type="dxa"/>
            <w:vAlign w:val="bottom"/>
          </w:tcPr>
          <w:p>
            <w:pPr>
              <w:jc w:val="right"/>
              <w:ind w:right="1995"/>
              <w:spacing w:after="0"/>
              <w:rPr>
                <w:sz w:val="20"/>
                <w:szCs w:val="20"/>
                <w:color w:val="auto"/>
              </w:rPr>
            </w:pPr>
            <w:r>
              <w:rPr>
                <w:rFonts w:ascii="Courier New" w:cs="Courier New" w:eastAsia="Courier New" w:hAnsi="Courier New"/>
                <w:sz w:val="17"/>
                <w:szCs w:val="17"/>
                <w:color w:val="auto"/>
              </w:rPr>
              <w:t>millions,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7"/>
        </w:trPr>
        <w:tc>
          <w:tcPr>
            <w:tcW w:w="2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except per share</w:t>
            </w:r>
          </w:p>
        </w:tc>
        <w:tc>
          <w:tcPr>
            <w:tcW w:w="520" w:type="dxa"/>
            <w:vAlign w:val="bottom"/>
          </w:tcPr>
          <w:p>
            <w:pPr>
              <w:spacing w:after="0"/>
              <w:rPr>
                <w:sz w:val="17"/>
                <w:szCs w:val="17"/>
                <w:color w:val="auto"/>
              </w:rPr>
            </w:pPr>
          </w:p>
        </w:tc>
        <w:tc>
          <w:tcPr>
            <w:tcW w:w="3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1999</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tcPr>
          <w:p>
            <w:pPr>
              <w:spacing w:after="0"/>
              <w:rPr>
                <w:sz w:val="20"/>
                <w:szCs w:val="20"/>
                <w:color w:val="auto"/>
              </w:rPr>
            </w:pPr>
            <w:r>
              <w:rPr>
                <w:rFonts w:ascii="Courier New" w:cs="Courier New" w:eastAsia="Courier New" w:hAnsi="Courier New"/>
                <w:sz w:val="17"/>
                <w:szCs w:val="17"/>
                <w:color w:val="auto"/>
              </w:rPr>
              <w:t>Paid-in Capital</w:t>
            </w:r>
          </w:p>
        </w:tc>
        <w:tc>
          <w:tcPr>
            <w:tcW w:w="2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At beginning of</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year</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989</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838</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784</w:t>
            </w:r>
          </w:p>
        </w:tc>
      </w:tr>
      <w:tr>
        <w:trPr>
          <w:trHeight w:val="197"/>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Stock issued in</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purchase of business</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45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Employee stock awards and options</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1900" w:type="dxa"/>
            <w:vAlign w:val="bottom"/>
          </w:tcPr>
          <w:p>
            <w:pPr>
              <w:ind w:left="420"/>
              <w:spacing w:after="0"/>
              <w:rPr>
                <w:sz w:val="20"/>
                <w:szCs w:val="20"/>
                <w:color w:val="auto"/>
              </w:rPr>
            </w:pPr>
            <w:r>
              <w:rPr>
                <w:rFonts w:ascii="Courier New" w:cs="Courier New" w:eastAsia="Courier New" w:hAnsi="Courier New"/>
                <w:sz w:val="17"/>
                <w:szCs w:val="17"/>
                <w:color w:val="auto"/>
              </w:rPr>
              <w:t>exercised, net</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of forfeitures</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151</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w:t>
            </w:r>
          </w:p>
        </w:tc>
      </w:tr>
      <w:tr>
        <w:trPr>
          <w:trHeight w:val="197"/>
        </w:trPr>
        <w:tc>
          <w:tcPr>
            <w:tcW w:w="45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Treasury stock transactions</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120" w:type="dxa"/>
            <w:vAlign w:val="bottom"/>
          </w:tcPr>
          <w:p>
            <w:pPr>
              <w:spacing w:after="0"/>
              <w:rPr>
                <w:sz w:val="20"/>
                <w:szCs w:val="20"/>
                <w:color w:val="auto"/>
              </w:rPr>
            </w:pPr>
            <w:r>
              <w:rPr>
                <w:rFonts w:ascii="Courier New" w:cs="Courier New" w:eastAsia="Courier New" w:hAnsi="Courier New"/>
                <w:sz w:val="17"/>
                <w:szCs w:val="17"/>
                <w:color w:val="auto"/>
              </w:rPr>
              <w:t>At end of year</w:t>
            </w:r>
          </w:p>
        </w:tc>
        <w:tc>
          <w:tcPr>
            <w:tcW w:w="26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1,028</w:t>
            </w: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989</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Retained Earnings</w:t>
            </w:r>
          </w:p>
        </w:tc>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3740" w:type="dxa"/>
            <w:vAlign w:val="bottom"/>
          </w:tcPr>
          <w:p>
            <w:pPr>
              <w:ind w:left="320"/>
              <w:spacing w:after="0"/>
              <w:rPr>
                <w:sz w:val="20"/>
                <w:szCs w:val="20"/>
                <w:color w:val="auto"/>
              </w:rPr>
            </w:pPr>
            <w:r>
              <w:rPr>
                <w:rFonts w:ascii="Courier New" w:cs="Courier New" w:eastAsia="Courier New" w:hAnsi="Courier New"/>
                <w:sz w:val="17"/>
                <w:szCs w:val="17"/>
                <w:color w:val="auto"/>
              </w:rPr>
              <w:t>At beginning of year</w:t>
            </w:r>
          </w:p>
        </w:tc>
        <w:tc>
          <w:tcPr>
            <w:tcW w:w="224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1,892</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1,807</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1,502</w:t>
            </w:r>
          </w:p>
        </w:tc>
      </w:tr>
      <w:tr>
        <w:trPr>
          <w:trHeight w:val="197"/>
        </w:trPr>
        <w:tc>
          <w:tcPr>
            <w:tcW w:w="37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224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467</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407</w:t>
            </w:r>
          </w:p>
        </w:tc>
      </w:tr>
      <w:tr>
        <w:trPr>
          <w:trHeight w:val="197"/>
        </w:trPr>
        <w:tc>
          <w:tcPr>
            <w:tcW w:w="3740" w:type="dxa"/>
            <w:vAlign w:val="bottom"/>
          </w:tcPr>
          <w:p>
            <w:pPr>
              <w:ind w:left="320"/>
              <w:spacing w:after="0"/>
              <w:rPr>
                <w:sz w:val="20"/>
                <w:szCs w:val="20"/>
                <w:color w:val="auto"/>
              </w:rPr>
            </w:pPr>
            <w:r>
              <w:rPr>
                <w:rFonts w:ascii="Courier New" w:cs="Courier New" w:eastAsia="Courier New" w:hAnsi="Courier New"/>
                <w:sz w:val="17"/>
                <w:szCs w:val="17"/>
                <w:color w:val="auto"/>
              </w:rPr>
              <w:t>Cash dividends</w:t>
            </w:r>
          </w:p>
        </w:tc>
        <w:tc>
          <w:tcPr>
            <w:tcW w:w="22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(111)</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120" w:type="dxa"/>
            <w:vAlign w:val="bottom"/>
          </w:tcPr>
          <w:p>
            <w:pPr>
              <w:spacing w:after="0"/>
              <w:rPr>
                <w:sz w:val="20"/>
                <w:szCs w:val="20"/>
                <w:color w:val="auto"/>
              </w:rPr>
            </w:pPr>
            <w:r>
              <w:rPr>
                <w:rFonts w:ascii="Courier New" w:cs="Courier New" w:eastAsia="Courier New" w:hAnsi="Courier New"/>
                <w:sz w:val="17"/>
                <w:szCs w:val="17"/>
                <w:color w:val="auto"/>
              </w:rPr>
              <w:t>At end of year</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2,248</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1,892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1,807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gridSpan w:val="2"/>
          </w:tcPr>
          <w:p>
            <w:pPr>
              <w:spacing w:after="0"/>
              <w:rPr>
                <w:sz w:val="20"/>
                <w:szCs w:val="20"/>
                <w:color w:val="auto"/>
              </w:rPr>
            </w:pPr>
            <w:r>
              <w:rPr>
                <w:rFonts w:ascii="Courier New" w:cs="Courier New" w:eastAsia="Courier New" w:hAnsi="Courier New"/>
                <w:sz w:val="17"/>
                <w:szCs w:val="17"/>
                <w:color w:val="auto"/>
              </w:rPr>
              <w:t>Accumulated Other Comprehensive Loss</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1900" w:type="dxa"/>
            <w:vAlign w:val="bottom"/>
          </w:tcPr>
          <w:p>
            <w:pPr>
              <w:ind w:left="320"/>
              <w:spacing w:after="0"/>
              <w:rPr>
                <w:sz w:val="20"/>
                <w:szCs w:val="20"/>
                <w:color w:val="auto"/>
              </w:rPr>
            </w:pPr>
            <w:r>
              <w:rPr>
                <w:rFonts w:ascii="Courier New" w:cs="Courier New" w:eastAsia="Courier New" w:hAnsi="Courier New"/>
                <w:sz w:val="17"/>
                <w:szCs w:val="17"/>
                <w:color w:val="auto"/>
              </w:rPr>
              <w:t>At beginning of</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year</w:t>
            </w:r>
          </w:p>
        </w:tc>
        <w:tc>
          <w:tcPr>
            <w:tcW w:w="9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(22)</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7"/>
        </w:trPr>
        <w:tc>
          <w:tcPr>
            <w:tcW w:w="5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Change in excess of additional minimum pension</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1900" w:type="dxa"/>
            <w:vAlign w:val="bottom"/>
          </w:tcPr>
          <w:p>
            <w:pPr>
              <w:ind w:left="420"/>
              <w:spacing w:after="0"/>
              <w:rPr>
                <w:sz w:val="20"/>
                <w:szCs w:val="20"/>
                <w:color w:val="auto"/>
              </w:rPr>
            </w:pPr>
            <w:r>
              <w:rPr>
                <w:rFonts w:ascii="Courier New" w:cs="Courier New" w:eastAsia="Courier New" w:hAnsi="Courier New"/>
                <w:sz w:val="17"/>
                <w:szCs w:val="17"/>
                <w:color w:val="auto"/>
              </w:rPr>
              <w:t>liability over</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unrecognized prior</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518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service costs, net of tax</w:t>
            </w:r>
          </w:p>
        </w:tc>
        <w:tc>
          <w:tcPr>
            <w:tcW w:w="9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12</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220" w:type="dxa"/>
            <w:vAlign w:val="bottom"/>
          </w:tcPr>
          <w:p>
            <w:pPr>
              <w:spacing w:after="0"/>
              <w:rPr>
                <w:sz w:val="20"/>
                <w:szCs w:val="20"/>
                <w:color w:val="auto"/>
              </w:rPr>
            </w:pPr>
            <w:r>
              <w:rPr>
                <w:rFonts w:ascii="Courier New" w:cs="Courier New" w:eastAsia="Courier New" w:hAnsi="Courier New"/>
                <w:sz w:val="17"/>
                <w:szCs w:val="17"/>
                <w:color w:val="auto"/>
              </w:rPr>
              <w:t>At end of year</w:t>
            </w:r>
          </w:p>
        </w:tc>
        <w:tc>
          <w:tcPr>
            <w:tcW w:w="25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Total shareholders' equity</w:t>
            </w:r>
          </w:p>
        </w:tc>
        <w:tc>
          <w:tcPr>
            <w:tcW w:w="20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$3,257</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$2,850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$2,623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Book value per share</w:t>
            </w:r>
          </w:p>
        </w:tc>
        <w:tc>
          <w:tcPr>
            <w:tcW w:w="23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$46.72</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$41.39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$38.99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Cash dividends per share</w:t>
            </w:r>
          </w:p>
        </w:tc>
        <w:tc>
          <w:tcPr>
            <w:tcW w:w="21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$ 1.60</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$ 1.60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$ 1.60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139"/>
          </w:cols>
          <w:pgMar w:left="320" w:top="705"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3"/>
        </w:trPr>
        <w:tc>
          <w:tcPr>
            <w:tcW w:w="2920" w:type="dxa"/>
            <w:vAlign w:val="bottom"/>
            <w:gridSpan w:val="2"/>
          </w:tcPr>
          <w:p>
            <w:pPr>
              <w:spacing w:after="0"/>
              <w:rPr>
                <w:sz w:val="20"/>
                <w:szCs w:val="20"/>
                <w:color w:val="auto"/>
              </w:rPr>
            </w:pPr>
            <w:r>
              <w:rPr>
                <w:rFonts w:ascii="Courier New" w:cs="Courier New" w:eastAsia="Courier New" w:hAnsi="Courier New"/>
                <w:sz w:val="17"/>
                <w:szCs w:val="17"/>
                <w:color w:val="auto"/>
              </w:rPr>
              <w:t>NORTHROP GRUMMAN CORPORATION</w:t>
            </w:r>
          </w:p>
        </w:tc>
        <w:tc>
          <w:tcPr>
            <w:tcW w:w="1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90"/>
        </w:trPr>
        <w:tc>
          <w:tcPr>
            <w:tcW w:w="2400" w:type="dxa"/>
            <w:vAlign w:val="bottom"/>
          </w:tcPr>
          <w:p>
            <w:pPr>
              <w:spacing w:after="0"/>
              <w:rPr>
                <w:sz w:val="20"/>
                <w:szCs w:val="20"/>
                <w:color w:val="auto"/>
              </w:rPr>
            </w:pPr>
            <w:r>
              <w:rPr>
                <w:rFonts w:ascii="Courier New" w:cs="Courier New" w:eastAsia="Courier New" w:hAnsi="Courier New"/>
                <w:sz w:val="17"/>
                <w:szCs w:val="17"/>
                <w:color w:val="auto"/>
              </w:rPr>
              <w:t>CONSOLIDATED STATEMENTS</w:t>
            </w:r>
          </w:p>
        </w:tc>
        <w:tc>
          <w:tcPr>
            <w:tcW w:w="2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CASH FLOWS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87"/>
        </w:trPr>
        <w:tc>
          <w:tcPr>
            <w:tcW w:w="2400" w:type="dxa"/>
            <w:vAlign w:val="bottom"/>
          </w:tcPr>
          <w:p>
            <w:pPr>
              <w:spacing w:after="0"/>
              <w:rPr>
                <w:sz w:val="20"/>
                <w:szCs w:val="20"/>
                <w:color w:val="auto"/>
              </w:rPr>
            </w:pPr>
            <w:r>
              <w:rPr>
                <w:rFonts w:ascii="Courier New" w:cs="Courier New" w:eastAsia="Courier New" w:hAnsi="Courier New"/>
                <w:sz w:val="17"/>
                <w:szCs w:val="17"/>
                <w:color w:val="auto"/>
              </w:rPr>
              <w:t>Year ended December 31,</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 in</w:t>
            </w: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millions</w:t>
            </w:r>
          </w:p>
        </w:tc>
        <w:tc>
          <w:tcPr>
            <w:tcW w:w="17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500" w:type="dxa"/>
            <w:vAlign w:val="bottom"/>
          </w:tcPr>
          <w:p>
            <w:pPr>
              <w:ind w:left="320"/>
              <w:spacing w:after="0"/>
              <w:rPr>
                <w:sz w:val="20"/>
                <w:szCs w:val="20"/>
                <w:color w:val="auto"/>
              </w:rPr>
            </w:pPr>
            <w:r>
              <w:rPr>
                <w:rFonts w:ascii="Courier New" w:cs="Courier New" w:eastAsia="Courier New" w:hAnsi="Courier New"/>
                <w:sz w:val="17"/>
                <w:szCs w:val="17"/>
                <w:color w:val="auto"/>
              </w:rPr>
              <w:t>Sources of Cash</w:t>
            </w:r>
          </w:p>
        </w:tc>
        <w:tc>
          <w:tcPr>
            <w:tcW w:w="2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500" w:type="dxa"/>
            <w:vAlign w:val="bottom"/>
          </w:tcPr>
          <w:p>
            <w:pPr>
              <w:ind w:left="520"/>
              <w:spacing w:after="0"/>
              <w:rPr>
                <w:sz w:val="20"/>
                <w:szCs w:val="20"/>
                <w:color w:val="auto"/>
              </w:rPr>
            </w:pPr>
            <w:r>
              <w:rPr>
                <w:rFonts w:ascii="Courier New" w:cs="Courier New" w:eastAsia="Courier New" w:hAnsi="Courier New"/>
                <w:sz w:val="17"/>
                <w:szCs w:val="17"/>
                <w:color w:val="auto"/>
              </w:rPr>
              <w:t>Cash received from customers</w:t>
            </w:r>
          </w:p>
        </w:tc>
        <w:tc>
          <w:tcPr>
            <w:tcW w:w="2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500" w:type="dxa"/>
            <w:vAlign w:val="bottom"/>
          </w:tcPr>
          <w:p>
            <w:pPr>
              <w:ind w:left="720"/>
              <w:spacing w:after="0"/>
              <w:rPr>
                <w:sz w:val="20"/>
                <w:szCs w:val="20"/>
                <w:color w:val="auto"/>
              </w:rPr>
            </w:pPr>
            <w:r>
              <w:rPr>
                <w:rFonts w:ascii="Courier New" w:cs="Courier New" w:eastAsia="Courier New" w:hAnsi="Courier New"/>
                <w:sz w:val="17"/>
                <w:szCs w:val="17"/>
                <w:color w:val="auto"/>
              </w:rPr>
              <w:t>Progress payments</w:t>
            </w:r>
          </w:p>
        </w:tc>
        <w:tc>
          <w:tcPr>
            <w:tcW w:w="20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$1,691</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$1,844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$2,264</w:t>
            </w:r>
          </w:p>
        </w:tc>
      </w:tr>
      <w:tr>
        <w:trPr>
          <w:trHeight w:val="197"/>
        </w:trPr>
        <w:tc>
          <w:tcPr>
            <w:tcW w:w="4500" w:type="dxa"/>
            <w:vAlign w:val="bottom"/>
          </w:tcPr>
          <w:p>
            <w:pPr>
              <w:ind w:left="720"/>
              <w:spacing w:after="0"/>
              <w:rPr>
                <w:sz w:val="20"/>
                <w:szCs w:val="20"/>
                <w:color w:val="auto"/>
              </w:rPr>
            </w:pPr>
            <w:r>
              <w:rPr>
                <w:rFonts w:ascii="Courier New" w:cs="Courier New" w:eastAsia="Courier New" w:hAnsi="Courier New"/>
                <w:sz w:val="17"/>
                <w:szCs w:val="17"/>
                <w:color w:val="auto"/>
              </w:rPr>
              <w:t>Other collections</w:t>
            </w:r>
          </w:p>
        </w:tc>
        <w:tc>
          <w:tcPr>
            <w:tcW w:w="20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7,450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6,929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7,050</w:t>
            </w:r>
          </w:p>
        </w:tc>
      </w:tr>
      <w:tr>
        <w:trPr>
          <w:trHeight w:val="197"/>
        </w:trPr>
        <w:tc>
          <w:tcPr>
            <w:tcW w:w="4500" w:type="dxa"/>
            <w:vAlign w:val="bottom"/>
          </w:tcPr>
          <w:p>
            <w:pPr>
              <w:ind w:left="520"/>
              <w:spacing w:after="0"/>
              <w:rPr>
                <w:sz w:val="20"/>
                <w:szCs w:val="20"/>
                <w:color w:val="auto"/>
              </w:rPr>
            </w:pPr>
            <w:r>
              <w:rPr>
                <w:rFonts w:ascii="Courier New" w:cs="Courier New" w:eastAsia="Courier New" w:hAnsi="Courier New"/>
                <w:sz w:val="17"/>
                <w:szCs w:val="17"/>
                <w:color w:val="auto"/>
              </w:rPr>
              <w:t>Interest received</w:t>
            </w:r>
          </w:p>
        </w:tc>
        <w:tc>
          <w:tcPr>
            <w:tcW w:w="20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7"/>
        </w:trPr>
        <w:tc>
          <w:tcPr>
            <w:tcW w:w="4500" w:type="dxa"/>
            <w:vAlign w:val="bottom"/>
          </w:tcPr>
          <w:p>
            <w:pPr>
              <w:ind w:left="520"/>
              <w:spacing w:after="0"/>
              <w:rPr>
                <w:sz w:val="20"/>
                <w:szCs w:val="20"/>
                <w:color w:val="auto"/>
              </w:rPr>
            </w:pPr>
            <w:r>
              <w:rPr>
                <w:rFonts w:ascii="Courier New" w:cs="Courier New" w:eastAsia="Courier New" w:hAnsi="Courier New"/>
                <w:sz w:val="17"/>
                <w:szCs w:val="17"/>
                <w:color w:val="auto"/>
              </w:rPr>
              <w:t>Income tax refunds received</w:t>
            </w:r>
          </w:p>
        </w:tc>
        <w:tc>
          <w:tcPr>
            <w:tcW w:w="20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75</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7"/>
        </w:trPr>
        <w:tc>
          <w:tcPr>
            <w:tcW w:w="4500" w:type="dxa"/>
            <w:vAlign w:val="bottom"/>
          </w:tcPr>
          <w:p>
            <w:pPr>
              <w:ind w:left="520"/>
              <w:spacing w:after="0"/>
              <w:rPr>
                <w:sz w:val="20"/>
                <w:szCs w:val="20"/>
                <w:color w:val="auto"/>
              </w:rPr>
            </w:pPr>
            <w:r>
              <w:rPr>
                <w:rFonts w:ascii="Courier New" w:cs="Courier New" w:eastAsia="Courier New" w:hAnsi="Courier New"/>
                <w:sz w:val="17"/>
                <w:szCs w:val="17"/>
                <w:color w:val="auto"/>
              </w:rPr>
              <w:t>Other cash receipts</w:t>
            </w:r>
          </w:p>
        </w:tc>
        <w:tc>
          <w:tcPr>
            <w:tcW w:w="20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Cash provided by operating activities</w:t>
            </w:r>
          </w:p>
        </w:tc>
        <w:tc>
          <w:tcPr>
            <w:tcW w:w="16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9,241</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8,816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9,351</w:t>
            </w:r>
          </w:p>
        </w:tc>
      </w:tr>
    </w:tbl>
    <w:p>
      <w:pPr>
        <w:spacing w:after="0" w:line="4" w:lineRule="exact"/>
        <w:rPr>
          <w:sz w:val="20"/>
          <w:szCs w:val="20"/>
          <w:color w:val="auto"/>
        </w:rPr>
      </w:pPr>
    </w:p>
    <w:p>
      <w:pPr>
        <w:ind w:left="200" w:hanging="195"/>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Uses of Cash</w:t>
      </w:r>
    </w:p>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440" w:type="dxa"/>
            <w:vAlign w:val="bottom"/>
          </w:tcPr>
          <w:p>
            <w:pPr>
              <w:spacing w:after="0"/>
              <w:rPr>
                <w:sz w:val="20"/>
                <w:szCs w:val="20"/>
                <w:color w:val="auto"/>
              </w:rPr>
            </w:pPr>
            <w:r>
              <w:rPr>
                <w:rFonts w:ascii="Courier New" w:cs="Courier New" w:eastAsia="Courier New" w:hAnsi="Courier New"/>
                <w:sz w:val="17"/>
                <w:szCs w:val="17"/>
                <w:color w:val="auto"/>
              </w:rPr>
              <w:t>Cash paid to suppliers and employees</w:t>
            </w:r>
          </w:p>
        </w:tc>
        <w:tc>
          <w:tcPr>
            <w:tcW w:w="16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7,715</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8,273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8,280</w:t>
            </w:r>
          </w:p>
        </w:tc>
      </w:tr>
      <w:tr>
        <w:trPr>
          <w:trHeight w:val="197"/>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Interest paid</w:t>
            </w:r>
          </w:p>
        </w:tc>
        <w:tc>
          <w:tcPr>
            <w:tcW w:w="16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216</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219</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251</w:t>
            </w:r>
          </w:p>
        </w:tc>
      </w:tr>
      <w:tr>
        <w:trPr>
          <w:trHeight w:val="197"/>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taxes paid</w:t>
            </w:r>
          </w:p>
        </w:tc>
        <w:tc>
          <w:tcPr>
            <w:tcW w:w="16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85</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7"/>
        </w:trPr>
        <w:tc>
          <w:tcPr>
            <w:tcW w:w="4440" w:type="dxa"/>
            <w:vAlign w:val="bottom"/>
          </w:tcPr>
          <w:p>
            <w:pPr>
              <w:spacing w:after="0"/>
              <w:rPr>
                <w:sz w:val="20"/>
                <w:szCs w:val="20"/>
                <w:color w:val="auto"/>
              </w:rPr>
            </w:pPr>
            <w:r>
              <w:rPr>
                <w:rFonts w:ascii="Courier New" w:cs="Courier New" w:eastAsia="Courier New" w:hAnsi="Courier New"/>
                <w:sz w:val="17"/>
                <w:szCs w:val="17"/>
                <w:color w:val="auto"/>
              </w:rPr>
              <w:t>Other cash payments</w:t>
            </w:r>
          </w:p>
        </w:tc>
        <w:tc>
          <w:tcPr>
            <w:tcW w:w="16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300" w:type="dxa"/>
            <w:vAlign w:val="bottom"/>
          </w:tcPr>
          <w:p>
            <w:pPr>
              <w:spacing w:after="0"/>
              <w:rPr>
                <w:sz w:val="20"/>
                <w:szCs w:val="20"/>
                <w:color w:val="auto"/>
              </w:rPr>
            </w:pPr>
            <w:r>
              <w:rPr>
                <w:rFonts w:ascii="Courier New" w:cs="Courier New" w:eastAsia="Courier New" w:hAnsi="Courier New"/>
                <w:sz w:val="17"/>
                <w:szCs w:val="17"/>
                <w:color w:val="auto"/>
              </w:rPr>
              <w:t>Cash used in operating activities</w:t>
            </w:r>
          </w:p>
        </w:tc>
        <w:tc>
          <w:tcPr>
            <w:tcW w:w="17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8,034</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8,572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8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1,207</w:t>
            </w: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244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730</w:t>
            </w:r>
          </w:p>
        </w:tc>
      </w:tr>
    </w:tbl>
    <w:p>
      <w:pPr>
        <w:spacing w:after="0" w:line="4" w:lineRule="exact"/>
        <w:rPr>
          <w:sz w:val="20"/>
          <w:szCs w:val="20"/>
          <w:color w:val="auto"/>
        </w:rPr>
      </w:pPr>
    </w:p>
    <w:p>
      <w:pPr>
        <w:ind w:left="200" w:hanging="195"/>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 Activities</w:t>
      </w:r>
    </w:p>
    <w:p>
      <w:pPr>
        <w:spacing w:after="0" w:line="4"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Payment for businesses purchased,</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9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of cash acquired</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(232)</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w:t>
            </w:r>
          </w:p>
        </w:tc>
        <w:tc>
          <w:tcPr>
            <w:tcW w:w="820" w:type="dxa"/>
            <w:vAlign w:val="bottom"/>
          </w:tcPr>
          <w:p>
            <w:pPr>
              <w:spacing w:after="0"/>
              <w:rPr>
                <w:sz w:val="16"/>
                <w:szCs w:val="16"/>
                <w:color w:val="auto"/>
              </w:rPr>
            </w:pPr>
          </w:p>
        </w:tc>
      </w:tr>
      <w:tr>
        <w:trPr>
          <w:trHeight w:val="197"/>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Additions to property, plant and equipment</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(201)</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(238)</w:t>
            </w:r>
          </w:p>
        </w:tc>
      </w:tr>
      <w:tr>
        <w:trPr>
          <w:trHeight w:val="197"/>
        </w:trPr>
        <w:tc>
          <w:tcPr>
            <w:tcW w:w="1880" w:type="dxa"/>
            <w:vAlign w:val="bottom"/>
          </w:tcPr>
          <w:p>
            <w:pPr>
              <w:spacing w:after="0"/>
              <w:rPr>
                <w:sz w:val="20"/>
                <w:szCs w:val="20"/>
                <w:color w:val="auto"/>
              </w:rPr>
            </w:pPr>
            <w:r>
              <w:rPr>
                <w:rFonts w:ascii="Courier New" w:cs="Courier New" w:eastAsia="Courier New" w:hAnsi="Courier New"/>
                <w:sz w:val="17"/>
                <w:szCs w:val="17"/>
                <w:color w:val="auto"/>
              </w:rPr>
              <w:t>Proceeds from sale</w:t>
            </w:r>
          </w:p>
        </w:tc>
        <w:tc>
          <w:tcPr>
            <w:tcW w:w="3080" w:type="dxa"/>
            <w:vAlign w:val="bottom"/>
          </w:tcPr>
          <w:p>
            <w:pPr>
              <w:ind w:left="60"/>
              <w:spacing w:after="0"/>
              <w:rPr>
                <w:sz w:val="20"/>
                <w:szCs w:val="20"/>
                <w:color w:val="auto"/>
              </w:rPr>
            </w:pPr>
            <w:r>
              <w:rPr>
                <w:rFonts w:ascii="Courier New" w:cs="Courier New" w:eastAsia="Courier New" w:hAnsi="Courier New"/>
                <w:sz w:val="17"/>
                <w:szCs w:val="17"/>
                <w:color w:val="auto"/>
              </w:rPr>
              <w:t>of property, plant</w:t>
            </w: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880" w:type="dxa"/>
            <w:vAlign w:val="bottom"/>
          </w:tcPr>
          <w:p>
            <w:pPr>
              <w:ind w:left="100"/>
              <w:spacing w:after="0"/>
              <w:rPr>
                <w:sz w:val="20"/>
                <w:szCs w:val="20"/>
                <w:color w:val="auto"/>
              </w:rPr>
            </w:pPr>
            <w:r>
              <w:rPr>
                <w:rFonts w:ascii="Courier New" w:cs="Courier New" w:eastAsia="Courier New" w:hAnsi="Courier New"/>
                <w:sz w:val="17"/>
                <w:szCs w:val="17"/>
                <w:color w:val="auto"/>
              </w:rPr>
              <w:t>and equipment</w:t>
            </w:r>
          </w:p>
        </w:tc>
        <w:tc>
          <w:tcPr>
            <w:tcW w:w="3080" w:type="dxa"/>
            <w:vAlign w:val="bottom"/>
          </w:tcPr>
          <w:p>
            <w:pPr>
              <w:spacing w:after="0"/>
              <w:rPr>
                <w:sz w:val="17"/>
                <w:szCs w:val="17"/>
                <w:color w:val="auto"/>
              </w:rPr>
            </w:pP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40</w:t>
            </w: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63</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106</w:t>
            </w:r>
          </w:p>
        </w:tc>
      </w:tr>
      <w:tr>
        <w:trPr>
          <w:trHeight w:val="197"/>
        </w:trPr>
        <w:tc>
          <w:tcPr>
            <w:tcW w:w="1880" w:type="dxa"/>
            <w:vAlign w:val="bottom"/>
          </w:tcPr>
          <w:p>
            <w:pPr>
              <w:spacing w:after="0"/>
              <w:rPr>
                <w:sz w:val="20"/>
                <w:szCs w:val="20"/>
                <w:color w:val="auto"/>
              </w:rPr>
            </w:pPr>
            <w:r>
              <w:rPr>
                <w:rFonts w:ascii="Courier New" w:cs="Courier New" w:eastAsia="Courier New" w:hAnsi="Courier New"/>
                <w:sz w:val="17"/>
                <w:szCs w:val="17"/>
                <w:color w:val="auto"/>
              </w:rPr>
              <w:t>Proceeds from sale</w:t>
            </w:r>
          </w:p>
        </w:tc>
        <w:tc>
          <w:tcPr>
            <w:tcW w:w="3080" w:type="dxa"/>
            <w:vAlign w:val="bottom"/>
          </w:tcPr>
          <w:p>
            <w:pPr>
              <w:ind w:left="60"/>
              <w:spacing w:after="0"/>
              <w:rPr>
                <w:sz w:val="20"/>
                <w:szCs w:val="20"/>
                <w:color w:val="auto"/>
              </w:rPr>
            </w:pPr>
            <w:r>
              <w:rPr>
                <w:rFonts w:ascii="Courier New" w:cs="Courier New" w:eastAsia="Courier New" w:hAnsi="Courier New"/>
                <w:sz w:val="17"/>
                <w:szCs w:val="17"/>
                <w:color w:val="auto"/>
              </w:rPr>
              <w:t>of affiliates/operations</w:t>
            </w: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w:t>
            </w:r>
          </w:p>
        </w:tc>
      </w:tr>
      <w:tr>
        <w:trPr>
          <w:trHeight w:val="197"/>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Advances to affiliate</w:t>
            </w:r>
          </w:p>
        </w:tc>
        <w:tc>
          <w:tcPr>
            <w:tcW w:w="138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(30)</w:t>
            </w:r>
          </w:p>
        </w:tc>
        <w:tc>
          <w:tcPr>
            <w:tcW w:w="820" w:type="dxa"/>
            <w:vAlign w:val="bottom"/>
          </w:tcPr>
          <w:p>
            <w:pPr>
              <w:spacing w:after="0"/>
              <w:rPr>
                <w:sz w:val="17"/>
                <w:szCs w:val="17"/>
                <w:color w:val="auto"/>
              </w:rPr>
            </w:pPr>
          </w:p>
        </w:tc>
      </w:tr>
      <w:tr>
        <w:trPr>
          <w:trHeight w:val="197"/>
        </w:trPr>
        <w:tc>
          <w:tcPr>
            <w:tcW w:w="1880" w:type="dxa"/>
            <w:vAlign w:val="bottom"/>
          </w:tcPr>
          <w:p>
            <w:pPr>
              <w:spacing w:after="0"/>
              <w:rPr>
                <w:sz w:val="20"/>
                <w:szCs w:val="20"/>
                <w:color w:val="auto"/>
              </w:rPr>
            </w:pPr>
            <w:r>
              <w:rPr>
                <w:rFonts w:ascii="Courier New" w:cs="Courier New" w:eastAsia="Courier New" w:hAnsi="Courier New"/>
                <w:sz w:val="17"/>
                <w:szCs w:val="17"/>
                <w:color w:val="auto"/>
              </w:rPr>
              <w:t>Funding of retiree</w:t>
            </w:r>
          </w:p>
        </w:tc>
        <w:tc>
          <w:tcPr>
            <w:tcW w:w="3080" w:type="dxa"/>
            <w:vAlign w:val="bottom"/>
          </w:tcPr>
          <w:p>
            <w:pPr>
              <w:ind w:left="60"/>
              <w:spacing w:after="0"/>
              <w:rPr>
                <w:sz w:val="20"/>
                <w:szCs w:val="20"/>
                <w:color w:val="auto"/>
              </w:rPr>
            </w:pPr>
            <w:r>
              <w:rPr>
                <w:rFonts w:ascii="Courier New" w:cs="Courier New" w:eastAsia="Courier New" w:hAnsi="Courier New"/>
                <w:sz w:val="17"/>
                <w:szCs w:val="17"/>
                <w:color w:val="auto"/>
              </w:rPr>
              <w:t>benefit trust</w:t>
            </w:r>
          </w:p>
        </w:tc>
        <w:tc>
          <w:tcPr>
            <w:tcW w:w="138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w:t>
            </w:r>
          </w:p>
        </w:tc>
        <w:tc>
          <w:tcPr>
            <w:tcW w:w="820" w:type="dxa"/>
            <w:vAlign w:val="bottom"/>
          </w:tcPr>
          <w:p>
            <w:pPr>
              <w:spacing w:after="0"/>
              <w:rPr>
                <w:sz w:val="17"/>
                <w:szCs w:val="17"/>
                <w:color w:val="auto"/>
              </w:rPr>
            </w:pPr>
          </w:p>
        </w:tc>
      </w:tr>
      <w:tr>
        <w:trPr>
          <w:trHeight w:val="197"/>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Other investing activities</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w:t>
            </w:r>
          </w:p>
        </w:tc>
        <w:tc>
          <w:tcPr>
            <w:tcW w:w="8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64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(392)</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(235)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bl>
    <w:p>
      <w:pPr>
        <w:spacing w:after="0" w:line="4" w:lineRule="exact"/>
        <w:rPr>
          <w:sz w:val="20"/>
          <w:szCs w:val="20"/>
          <w:color w:val="auto"/>
        </w:rPr>
      </w:pPr>
    </w:p>
    <w:p>
      <w:pPr>
        <w:ind w:left="200" w:hanging="195"/>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 Activities</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Borrowings under lines of credit</w:t>
            </w:r>
          </w:p>
        </w:tc>
        <w:tc>
          <w:tcPr>
            <w:tcW w:w="12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22</w:t>
            </w: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295</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422</w:t>
            </w:r>
          </w:p>
        </w:tc>
      </w:tr>
      <w:tr>
        <w:trPr>
          <w:trHeight w:val="1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Repayment of borrowings under lines of credit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(434)</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(808)</w:t>
            </w:r>
          </w:p>
        </w:tc>
      </w:tr>
      <w:tr>
        <w:trPr>
          <w:trHeight w:val="1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Principal payments of long-term</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debt/capital leases</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1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Proceeds from issuance of stock</w:t>
            </w:r>
          </w:p>
        </w:tc>
        <w:tc>
          <w:tcPr>
            <w:tcW w:w="12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w:t>
            </w: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36</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w:t>
            </w:r>
          </w:p>
        </w:tc>
      </w:tr>
      <w:tr>
        <w:trPr>
          <w:trHeight w:val="1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Dividends paid</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(111)</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(109)</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(102)</w:t>
            </w:r>
          </w:p>
        </w:tc>
      </w:tr>
      <w:tr>
        <w:trPr>
          <w:trHeight w:val="1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Other financing activities</w:t>
            </w:r>
          </w:p>
        </w:tc>
        <w:tc>
          <w:tcPr>
            <w:tcW w:w="1280" w:type="dxa"/>
            <w:vAlign w:val="bottom"/>
          </w:tcPr>
          <w:p>
            <w:pPr>
              <w:spacing w:after="0"/>
              <w:rPr>
                <w:sz w:val="17"/>
                <w:szCs w:val="17"/>
                <w:color w:val="auto"/>
              </w:rPr>
            </w:pP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640" w:type="dxa"/>
            <w:vAlign w:val="bottom"/>
          </w:tcPr>
          <w:p>
            <w:pPr>
              <w:spacing w:after="0"/>
              <w:rPr>
                <w:sz w:val="20"/>
                <w:szCs w:val="20"/>
                <w:color w:val="auto"/>
              </w:rPr>
            </w:pPr>
            <w:r>
              <w:rPr>
                <w:rFonts w:ascii="Courier New" w:cs="Courier New" w:eastAsia="Courier New" w:hAnsi="Courier New"/>
                <w:sz w:val="17"/>
                <w:szCs w:val="17"/>
                <w:color w:val="auto"/>
              </w:rPr>
              <w:t>Net cash used in financing activities</w:t>
            </w:r>
          </w:p>
        </w:tc>
        <w:tc>
          <w:tcPr>
            <w:tcW w:w="17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(717)</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(677)</w:t>
            </w:r>
          </w:p>
        </w:tc>
      </w:tr>
    </w:tbl>
    <w:p>
      <w:pPr>
        <w:spacing w:after="0" w:line="4" w:lineRule="exact"/>
        <w:rPr>
          <w:sz w:val="20"/>
          <w:szCs w:val="20"/>
          <w:color w:val="auto"/>
        </w:rPr>
      </w:pPr>
    </w:p>
    <w:p>
      <w:pPr>
        <w:ind w:left="200" w:hanging="195"/>
        <w:spacing w:after="0"/>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Increase(decrease) in cash and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cash equivalents</w:t>
            </w:r>
          </w:p>
        </w:tc>
        <w:tc>
          <w:tcPr>
            <w:tcW w:w="19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98</w:t>
            </w:r>
          </w:p>
        </w:tc>
        <w:tc>
          <w:tcPr>
            <w:tcW w:w="11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(19)</w:t>
            </w:r>
          </w:p>
        </w:tc>
        <w:tc>
          <w:tcPr>
            <w:tcW w:w="780" w:type="dxa"/>
            <w:vAlign w:val="bottom"/>
          </w:tcPr>
          <w:p>
            <w:pPr>
              <w:ind w:left="360"/>
              <w:spacing w:after="0"/>
              <w:rPr>
                <w:sz w:val="20"/>
                <w:szCs w:val="20"/>
                <w:color w:val="auto"/>
              </w:rPr>
            </w:pPr>
            <w:r>
              <w:rPr>
                <w:rFonts w:ascii="Courier New" w:cs="Courier New" w:eastAsia="Courier New" w:hAnsi="Courier New"/>
                <w:sz w:val="17"/>
                <w:szCs w:val="17"/>
                <w:color w:val="auto"/>
                <w:w w:val="97"/>
              </w:rPr>
              <w:t>(60)</w:t>
            </w:r>
          </w:p>
        </w:tc>
      </w:tr>
      <w:tr>
        <w:trPr>
          <w:trHeight w:val="197"/>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Cash</w:t>
            </w:r>
          </w:p>
        </w:tc>
        <w:tc>
          <w:tcPr>
            <w:tcW w:w="4240" w:type="dxa"/>
            <w:vAlign w:val="bottom"/>
          </w:tcPr>
          <w:p>
            <w:pPr>
              <w:ind w:left="60"/>
              <w:spacing w:after="0"/>
              <w:rPr>
                <w:sz w:val="20"/>
                <w:szCs w:val="20"/>
                <w:color w:val="auto"/>
              </w:rPr>
            </w:pPr>
            <w:r>
              <w:rPr>
                <w:rFonts w:ascii="Courier New" w:cs="Courier New" w:eastAsia="Courier New" w:hAnsi="Courier New"/>
                <w:sz w:val="17"/>
                <w:szCs w:val="17"/>
                <w:color w:val="auto"/>
              </w:rPr>
              <w:t>and cash equivalents balance</w:t>
            </w:r>
          </w:p>
        </w:tc>
        <w:tc>
          <w:tcPr>
            <w:tcW w:w="1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at</w:t>
            </w:r>
          </w:p>
        </w:tc>
        <w:tc>
          <w:tcPr>
            <w:tcW w:w="4240" w:type="dxa"/>
            <w:vAlign w:val="bottom"/>
          </w:tcPr>
          <w:p>
            <w:pPr>
              <w:ind w:left="60"/>
              <w:spacing w:after="0"/>
              <w:rPr>
                <w:sz w:val="20"/>
                <w:szCs w:val="20"/>
                <w:color w:val="auto"/>
              </w:rPr>
            </w:pPr>
            <w:r>
              <w:rPr>
                <w:rFonts w:ascii="Courier New" w:cs="Courier New" w:eastAsia="Courier New" w:hAnsi="Courier New"/>
                <w:sz w:val="17"/>
                <w:szCs w:val="17"/>
                <w:color w:val="auto"/>
              </w:rPr>
              <w:t>beginning of year</w:t>
            </w:r>
          </w:p>
        </w:tc>
        <w:tc>
          <w:tcPr>
            <w:tcW w:w="19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44</w:t>
            </w: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63</w:t>
            </w:r>
          </w:p>
        </w:tc>
        <w:tc>
          <w:tcPr>
            <w:tcW w:w="780" w:type="dxa"/>
            <w:vAlign w:val="bottom"/>
          </w:tcPr>
          <w:p>
            <w:pPr>
              <w:ind w:left="360"/>
              <w:spacing w:after="0"/>
              <w:rPr>
                <w:sz w:val="20"/>
                <w:szCs w:val="20"/>
                <w:color w:val="auto"/>
              </w:rPr>
            </w:pPr>
            <w:r>
              <w:rPr>
                <w:rFonts w:ascii="Courier New" w:cs="Courier New" w:eastAsia="Courier New" w:hAnsi="Courier New"/>
                <w:sz w:val="17"/>
                <w:szCs w:val="17"/>
                <w:color w:val="auto"/>
              </w:rPr>
              <w:t>123</w:t>
            </w:r>
          </w:p>
        </w:tc>
      </w:tr>
    </w:tbl>
    <w:p>
      <w:pPr>
        <w:spacing w:after="0" w:line="4" w:lineRule="exact"/>
        <w:rPr>
          <w:sz w:val="20"/>
          <w:szCs w:val="20"/>
          <w:color w:val="auto"/>
        </w:rPr>
      </w:pPr>
    </w:p>
    <w:p>
      <w:pPr>
        <w:ind w:left="200" w:hanging="195"/>
        <w:spacing w:after="0"/>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 cash equivalents balance</w:t>
      </w: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440" w:type="dxa"/>
            <w:vAlign w:val="bottom"/>
          </w:tcPr>
          <w:p>
            <w:pPr>
              <w:spacing w:after="0"/>
              <w:rPr>
                <w:sz w:val="20"/>
                <w:szCs w:val="20"/>
                <w:color w:val="auto"/>
              </w:rPr>
            </w:pPr>
            <w:r>
              <w:rPr>
                <w:rFonts w:ascii="Courier New" w:cs="Courier New" w:eastAsia="Courier New" w:hAnsi="Courier New"/>
                <w:sz w:val="17"/>
                <w:szCs w:val="17"/>
                <w:color w:val="auto"/>
              </w:rPr>
              <w:t>at end of year</w:t>
            </w:r>
          </w:p>
        </w:tc>
        <w:tc>
          <w:tcPr>
            <w:tcW w:w="2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142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44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4"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139"/>
          </w:cols>
          <w:pgMar w:left="320" w:top="70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Year ended December 31, $ in millions</w:t>
            </w:r>
          </w:p>
        </w:tc>
        <w:tc>
          <w:tcPr>
            <w:tcW w:w="22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00" w:type="dxa"/>
            <w:vAlign w:val="bottom"/>
          </w:tcPr>
          <w:p>
            <w:pPr>
              <w:spacing w:after="0"/>
              <w:rPr>
                <w:sz w:val="20"/>
                <w:szCs w:val="20"/>
                <w:color w:val="auto"/>
              </w:rPr>
            </w:pPr>
            <w:r>
              <w:rPr>
                <w:rFonts w:ascii="Courier New" w:cs="Courier New" w:eastAsia="Courier New" w:hAnsi="Courier New"/>
                <w:sz w:val="17"/>
                <w:szCs w:val="17"/>
                <w:color w:val="auto"/>
              </w:rPr>
              <w:t>Reconciliation of Net Income to Net Cash</w:t>
            </w: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6100" w:type="dxa"/>
            <w:vAlign w:val="bottom"/>
          </w:tcPr>
          <w:p>
            <w:pPr>
              <w:spacing w:after="0"/>
              <w:rPr>
                <w:sz w:val="20"/>
                <w:szCs w:val="20"/>
                <w:color w:val="auto"/>
              </w:rPr>
            </w:pPr>
            <w:r>
              <w:rPr>
                <w:rFonts w:ascii="Courier New" w:cs="Courier New" w:eastAsia="Courier New" w:hAnsi="Courier New"/>
                <w:sz w:val="17"/>
                <w:szCs w:val="17"/>
                <w:color w:val="auto"/>
              </w:rPr>
              <w:t>Provided by Operating Activities:</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61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467</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194</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$ 407</w:t>
            </w:r>
          </w:p>
        </w:tc>
      </w:tr>
      <w:tr>
        <w:trPr>
          <w:trHeight w:val="197"/>
        </w:trPr>
        <w:tc>
          <w:tcPr>
            <w:tcW w:w="610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Depreciation</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193</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207</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232</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intangible assets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196</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186</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186</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employees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24</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Loss on disposals of property,</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6100" w:type="dxa"/>
            <w:vAlign w:val="bottom"/>
          </w:tcPr>
          <w:p>
            <w:pPr>
              <w:ind w:left="420"/>
              <w:spacing w:after="0"/>
              <w:rPr>
                <w:sz w:val="20"/>
                <w:szCs w:val="20"/>
                <w:color w:val="auto"/>
              </w:rPr>
            </w:pPr>
            <w:r>
              <w:rPr>
                <w:rFonts w:ascii="Courier New" w:cs="Courier New" w:eastAsia="Courier New" w:hAnsi="Courier New"/>
                <w:sz w:val="17"/>
                <w:szCs w:val="17"/>
                <w:color w:val="auto"/>
              </w:rPr>
              <w:t>plant and equipment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18</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Loss(gain) on assets available for sale</w:t>
            </w:r>
          </w:p>
        </w:tc>
        <w:tc>
          <w:tcPr>
            <w:tcW w:w="12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Loss on investment</w:t>
            </w:r>
          </w:p>
        </w:tc>
        <w:tc>
          <w:tcPr>
            <w:tcW w:w="12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w:t>
            </w:r>
          </w:p>
        </w:tc>
        <w:tc>
          <w:tcPr>
            <w:tcW w:w="780" w:type="dxa"/>
            <w:vAlign w:val="bottom"/>
          </w:tcPr>
          <w:p>
            <w:pPr>
              <w:spacing w:after="0"/>
              <w:rPr>
                <w:sz w:val="17"/>
                <w:szCs w:val="17"/>
                <w:color w:val="auto"/>
              </w:rPr>
            </w:pP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Retiree benefits income</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(249)</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Decrease(increase) in</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Accounts receivable</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1,212</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Inventoried costs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172</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Prepaid expenses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45</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Increase(decrease) in</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Progress payments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(1,280)</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66</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Accounts payable and accruals</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(115)</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91</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Provisions for contract losses</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Deferred income taxes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112</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188</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Income taxes payable</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7"/>
        </w:trPr>
        <w:tc>
          <w:tcPr>
            <w:tcW w:w="6100" w:type="dxa"/>
            <w:vAlign w:val="bottom"/>
          </w:tcPr>
          <w:p>
            <w:pPr>
              <w:ind w:left="520"/>
              <w:spacing w:after="0"/>
              <w:rPr>
                <w:sz w:val="20"/>
                <w:szCs w:val="20"/>
                <w:color w:val="auto"/>
              </w:rPr>
            </w:pPr>
            <w:r>
              <w:rPr>
                <w:rFonts w:ascii="Courier New" w:cs="Courier New" w:eastAsia="Courier New" w:hAnsi="Courier New"/>
                <w:sz w:val="17"/>
                <w:szCs w:val="17"/>
                <w:color w:val="auto"/>
              </w:rPr>
              <w:t>Retiree benefits</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(129)</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(180)</w:t>
            </w:r>
          </w:p>
        </w:tc>
      </w:tr>
      <w:tr>
        <w:trPr>
          <w:trHeight w:val="197"/>
        </w:trPr>
        <w:tc>
          <w:tcPr>
            <w:tcW w:w="6100" w:type="dxa"/>
            <w:vAlign w:val="bottom"/>
          </w:tcPr>
          <w:p>
            <w:pPr>
              <w:ind w:left="320"/>
              <w:spacing w:after="0"/>
              <w:rPr>
                <w:sz w:val="20"/>
                <w:szCs w:val="20"/>
                <w:color w:val="auto"/>
              </w:rPr>
            </w:pPr>
            <w:r>
              <w:rPr>
                <w:rFonts w:ascii="Courier New" w:cs="Courier New" w:eastAsia="Courier New" w:hAnsi="Courier New"/>
                <w:sz w:val="17"/>
                <w:szCs w:val="17"/>
                <w:color w:val="auto"/>
              </w:rPr>
              <w:t>Other noncash transactions</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w:t>
            </w:r>
          </w:p>
        </w:tc>
        <w:tc>
          <w:tcPr>
            <w:tcW w:w="7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9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$1,207</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   244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$ 730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Noncash</w:t>
            </w:r>
          </w:p>
        </w:tc>
        <w:tc>
          <w:tcPr>
            <w:tcW w:w="4640" w:type="dxa"/>
            <w:vAlign w:val="bottom"/>
          </w:tcPr>
          <w:p>
            <w:pPr>
              <w:ind w:left="40"/>
              <w:spacing w:after="0"/>
              <w:rPr>
                <w:sz w:val="20"/>
                <w:szCs w:val="20"/>
                <w:color w:val="auto"/>
              </w:rPr>
            </w:pPr>
            <w:r>
              <w:rPr>
                <w:rFonts w:ascii="Courier New" w:cs="Courier New" w:eastAsia="Courier New" w:hAnsi="Courier New"/>
                <w:sz w:val="17"/>
                <w:szCs w:val="17"/>
                <w:color w:val="auto"/>
              </w:rPr>
              <w:t>Investing and Financing Activities:</w:t>
            </w:r>
          </w:p>
        </w:tc>
        <w:tc>
          <w:tcPr>
            <w:tcW w:w="1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7"/>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Purchase of businesses</w:t>
            </w: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7"/>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Fair</w:t>
            </w:r>
          </w:p>
        </w:tc>
        <w:tc>
          <w:tcPr>
            <w:tcW w:w="4640" w:type="dxa"/>
            <w:vAlign w:val="bottom"/>
          </w:tcPr>
          <w:p>
            <w:pPr>
              <w:ind w:left="40"/>
              <w:spacing w:after="0"/>
              <w:rPr>
                <w:sz w:val="20"/>
                <w:szCs w:val="20"/>
                <w:color w:val="auto"/>
              </w:rPr>
            </w:pPr>
            <w:r>
              <w:rPr>
                <w:rFonts w:ascii="Courier New" w:cs="Courier New" w:eastAsia="Courier New" w:hAnsi="Courier New"/>
                <w:sz w:val="17"/>
                <w:szCs w:val="17"/>
                <w:color w:val="auto"/>
              </w:rPr>
              <w:t>value of assets acquired</w:t>
            </w:r>
          </w:p>
        </w:tc>
        <w:tc>
          <w:tcPr>
            <w:tcW w:w="19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328</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71</w:t>
            </w:r>
          </w:p>
        </w:tc>
      </w:tr>
      <w:tr>
        <w:trPr>
          <w:trHeight w:val="197"/>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Cash</w:t>
            </w:r>
          </w:p>
        </w:tc>
        <w:tc>
          <w:tcPr>
            <w:tcW w:w="4640" w:type="dxa"/>
            <w:vAlign w:val="bottom"/>
          </w:tcPr>
          <w:p>
            <w:pPr>
              <w:ind w:left="40"/>
              <w:spacing w:after="0"/>
              <w:rPr>
                <w:sz w:val="20"/>
                <w:szCs w:val="20"/>
                <w:color w:val="auto"/>
              </w:rPr>
            </w:pPr>
            <w:r>
              <w:rPr>
                <w:rFonts w:ascii="Courier New" w:cs="Courier New" w:eastAsia="Courier New" w:hAnsi="Courier New"/>
                <w:sz w:val="17"/>
                <w:szCs w:val="17"/>
                <w:color w:val="auto"/>
              </w:rPr>
              <w:t>paid</w:t>
            </w:r>
          </w:p>
        </w:tc>
        <w:tc>
          <w:tcPr>
            <w:tcW w:w="19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(232)</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7"/>
        </w:trPr>
        <w:tc>
          <w:tcPr>
            <w:tcW w:w="54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Stock issued</w:t>
            </w:r>
          </w:p>
        </w:tc>
        <w:tc>
          <w:tcPr>
            <w:tcW w:w="19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320"/>
        <w:spacing w:after="0"/>
        <w:tabs>
          <w:tab w:leader="none" w:pos="6420" w:val="left"/>
          <w:tab w:leader="none" w:pos="6840" w:val="left"/>
          <w:tab w:leader="none" w:pos="7460" w:val="left"/>
          <w:tab w:leader="none" w:pos="7960" w:val="left"/>
        </w:tabs>
        <w:rPr>
          <w:sz w:val="20"/>
          <w:szCs w:val="20"/>
          <w:color w:val="auto"/>
        </w:rPr>
      </w:pPr>
      <w:r>
        <w:rPr>
          <w:rFonts w:ascii="Courier New" w:cs="Courier New" w:eastAsia="Courier New" w:hAnsi="Courier New"/>
          <w:sz w:val="17"/>
          <w:szCs w:val="17"/>
          <w:color w:val="auto"/>
        </w:rPr>
        <w:t>Liabilities assumed</w:t>
      </w:r>
      <w:r>
        <w:rPr>
          <w:sz w:val="20"/>
          <w:szCs w:val="20"/>
          <w:color w:val="auto"/>
        </w:rPr>
        <w:tab/>
      </w:r>
      <w:r>
        <w:rPr>
          <w:rFonts w:ascii="Courier New" w:cs="Courier New" w:eastAsia="Courier New" w:hAnsi="Courier New"/>
          <w:sz w:val="17"/>
          <w:szCs w:val="17"/>
          <w:color w:val="auto"/>
        </w:rPr>
        <w:t>$</w:t>
        <w:tab/>
        <w:t>66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The accompanying notes are an integral part of these consolidated financial statements.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139"/>
          </w:cols>
          <w:pgMar w:left="320" w:top="70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Principles of Consolidation and Significant Accounting Estimates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consolidated financial statements include the accounts of the corporation and its subsidiaries. All material intercompany accounts, transactions and profits are eliminated in consolidation.</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from those estimates.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Operations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Northrop Grumman is a major producer of military and commercial aircraft subassemblies and defense electronics and is the prime contractor on the U.S. Air Force B-2 Stealth Bomber. The company operates within the broadly defined aerospace industry. The majority of the company's products and services are ultimately sold to the U.S. Government and the company is therefore affected by, among other things, the federal budget process.</w:t>
      </w:r>
    </w:p>
    <w:p>
      <w:pPr>
        <w:spacing w:after="0" w:line="202" w:lineRule="exact"/>
        <w:rPr>
          <w:sz w:val="20"/>
          <w:szCs w:val="20"/>
          <w:color w:val="auto"/>
        </w:rPr>
      </w:pPr>
    </w:p>
    <w:p>
      <w:pPr>
        <w:ind w:right="2159" w:firstLine="511"/>
        <w:spacing w:after="0" w:line="245" w:lineRule="auto"/>
        <w:rPr>
          <w:sz w:val="20"/>
          <w:szCs w:val="20"/>
          <w:color w:val="auto"/>
        </w:rPr>
      </w:pPr>
      <w:r>
        <w:rPr>
          <w:rFonts w:ascii="Courier New" w:cs="Courier New" w:eastAsia="Courier New" w:hAnsi="Courier New"/>
          <w:sz w:val="17"/>
          <w:szCs w:val="17"/>
          <w:color w:val="auto"/>
        </w:rPr>
        <w:t>The company's three reportable segments are its three operating units: Integrated Systems and Aerostructures (ISA), Electronic Sensors and Systems (ESS), and Logicon, the company's information technology sector. Included in the Management's Discussion and Analysis section of this report are general descriptions of the company's principal products and services under the titles Integrated Systems and Aerostructures Segment, Electronic Sensors and Systems Segment, and Logicon Segment (see pages 9 through 13) and segment data in the table titled Results of Operations by Segment and Major Customer (see pages 14 and 15), which are considered to be an integral part of these financial statements. Only these portions of Management's Discussion and Analysis are incorporated by reference into these financial statements.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Sales to the U.S. Government (including foreign military sales) are reported within each segment and in total in the Selected Financial Data. The company does not conduct a significant volume of activity through foreign operations or in foreign currencies. Intersegment sales are transacted at cost incurred with no profit added. Management principally uses operating margin as the measure to evaluate segment profitability. The company does not allocate federal income tax expense, pension income, the deferred portion of state income tax expense, interest income, or interest expense to segments. General corporate assets include cash and cash equivalents, corporate office furnishings and equipment, other unallocable property, investments in affiliates, prepaid retiree benefits cost, intangible pension asset, benefit trust fund assets, deferred tax assets and certain assets available for sale.</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139"/>
          </w:cols>
          <w:pgMar w:left="320" w:top="70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the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future changes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Research and Development</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Customer-sponsored research and development costs (direct and indirect costs incurred pursuant to contractual arrangements) are accounted for like other contracts.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Noncontract Research and Development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U.S. Government contracts) whereas company-sponsored research and development costs are charged against income as incurred.</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139"/>
          </w:cols>
          <w:pgMar w:left="320" w:top="70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Costs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Environmental liabilities are accrued when the company determines it is responsible for remediation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Swap Agreements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The company may enter into interest rate swap agreements to offset the variable-rate characteristic of certain variable-rate term loans outstanding under the company's Credit Agreement. Interest on these interest rate swap agreements is recognized as an adjustment to interest expense in the period incurred.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197" w:lineRule="exact"/>
        <w:rPr>
          <w:sz w:val="20"/>
          <w:szCs w:val="20"/>
          <w:color w:val="auto"/>
        </w:rPr>
      </w:pPr>
    </w:p>
    <w:p>
      <w:pPr>
        <w:ind w:right="2459" w:firstLine="511"/>
        <w:spacing w:after="0" w:line="244" w:lineRule="auto"/>
        <w:rPr>
          <w:sz w:val="20"/>
          <w:szCs w:val="20"/>
          <w:color w:val="auto"/>
        </w:rPr>
      </w:pPr>
      <w:r>
        <w:rPr>
          <w:rFonts w:ascii="Courier New" w:cs="Courier New" w:eastAsia="Courier New" w:hAnsi="Courier New"/>
          <w:sz w:val="17"/>
          <w:szCs w:val="17"/>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200"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In accordance with industry practice, state and local income and franchise tax provisions are included in administrative and general expenses.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139"/>
          </w:cols>
          <w:pgMar w:left="320" w:top="70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Basic earnings per share is calculated using the weighted average number of shares of common stock outstanding during each period, after giving recognition to stock splits and stock dividends. Diluted earnings per share reflect the dilutive effect of stock options and other stock awards granted to employees under stock-based compensation plans.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Basic and diluted earnings per share are calculated as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180"/>
        <w:spacing w:after="0"/>
        <w:rPr>
          <w:sz w:val="20"/>
          <w:szCs w:val="20"/>
          <w:color w:val="auto"/>
        </w:rPr>
      </w:pPr>
      <w:r>
        <w:rPr>
          <w:rFonts w:ascii="Courier New" w:cs="Courier New" w:eastAsia="Courier New" w:hAnsi="Courier New"/>
          <w:sz w:val="17"/>
          <w:szCs w:val="17"/>
          <w:color w:val="auto"/>
        </w:rPr>
        <w:t>Earnings</w:t>
      </w:r>
    </w:p>
    <w:p>
      <w:pPr>
        <w:spacing w:after="0" w:line="4" w:lineRule="exact"/>
        <w:rPr>
          <w:sz w:val="20"/>
          <w:szCs w:val="20"/>
          <w:color w:val="auto"/>
        </w:rPr>
      </w:pPr>
    </w:p>
    <w:p>
      <w:pPr>
        <w:ind w:left="5520"/>
        <w:spacing w:after="0"/>
        <w:tabs>
          <w:tab w:leader="none" w:pos="6940" w:val="left"/>
          <w:tab w:leader="none" w:pos="8160" w:val="left"/>
        </w:tabs>
        <w:rPr>
          <w:sz w:val="20"/>
          <w:szCs w:val="20"/>
          <w:color w:val="auto"/>
        </w:rPr>
      </w:pPr>
      <w:r>
        <w:rPr>
          <w:rFonts w:ascii="Courier New" w:cs="Courier New" w:eastAsia="Courier New" w:hAnsi="Courier New"/>
          <w:sz w:val="17"/>
          <w:szCs w:val="17"/>
          <w:color w:val="auto"/>
        </w:rPr>
        <w:t>Net Income</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per share</w:t>
      </w:r>
    </w:p>
    <w:p>
      <w:pPr>
        <w:spacing w:after="0" w:line="4" w:lineRule="exact"/>
        <w:rPr>
          <w:sz w:val="20"/>
          <w:szCs w:val="20"/>
          <w:color w:val="auto"/>
        </w:rPr>
      </w:pPr>
    </w:p>
    <w:p>
      <w:pPr>
        <w:ind w:left="200" w:hanging="195"/>
        <w:spacing w:after="0"/>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5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Basic earnings per share before</w:t>
            </w: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5280" w:type="dxa"/>
            <w:vAlign w:val="bottom"/>
          </w:tcPr>
          <w:p>
            <w:pPr>
              <w:ind w:left="520"/>
              <w:spacing w:after="0"/>
              <w:rPr>
                <w:sz w:val="20"/>
                <w:szCs w:val="20"/>
                <w:color w:val="auto"/>
              </w:rPr>
            </w:pPr>
            <w:r>
              <w:rPr>
                <w:rFonts w:ascii="Courier New" w:cs="Courier New" w:eastAsia="Courier New" w:hAnsi="Courier New"/>
                <w:sz w:val="17"/>
                <w:szCs w:val="17"/>
                <w:color w:val="auto"/>
              </w:rPr>
              <w:t>cumulative effect of accounting change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$483</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$6.97</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Dilutive effect of stock options and awards</w:t>
            </w: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w:t>
            </w:r>
          </w:p>
        </w:tc>
        <w:tc>
          <w:tcPr>
            <w:tcW w:w="860" w:type="dxa"/>
            <w:vAlign w:val="bottom"/>
          </w:tcPr>
          <w:p>
            <w:pPr>
              <w:spacing w:after="0"/>
              <w:rPr>
                <w:sz w:val="17"/>
                <w:szCs w:val="17"/>
                <w:color w:val="auto"/>
              </w:rPr>
            </w:pPr>
          </w:p>
        </w:tc>
      </w:tr>
      <w:tr>
        <w:trPr>
          <w:trHeight w:val="197"/>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Diluted earnings per share before</w:t>
            </w: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5280" w:type="dxa"/>
            <w:vAlign w:val="bottom"/>
          </w:tcPr>
          <w:p>
            <w:pPr>
              <w:ind w:left="520"/>
              <w:spacing w:after="0"/>
              <w:rPr>
                <w:sz w:val="20"/>
                <w:szCs w:val="20"/>
                <w:color w:val="auto"/>
              </w:rPr>
            </w:pPr>
            <w:r>
              <w:rPr>
                <w:rFonts w:ascii="Courier New" w:cs="Courier New" w:eastAsia="Courier New" w:hAnsi="Courier New"/>
                <w:sz w:val="17"/>
                <w:szCs w:val="17"/>
                <w:color w:val="auto"/>
              </w:rPr>
              <w:t>cumulative effect of accounting change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$483</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$6.93</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0"/>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Basic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$467</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$6.73</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Dilutive effect of stock options and awards</w:t>
            </w: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w:t>
            </w:r>
          </w:p>
        </w:tc>
        <w:tc>
          <w:tcPr>
            <w:tcW w:w="860" w:type="dxa"/>
            <w:vAlign w:val="bottom"/>
          </w:tcPr>
          <w:p>
            <w:pPr>
              <w:spacing w:after="0"/>
              <w:rPr>
                <w:sz w:val="17"/>
                <w:szCs w:val="17"/>
                <w:color w:val="auto"/>
              </w:rPr>
            </w:pPr>
          </w:p>
        </w:tc>
      </w:tr>
      <w:tr>
        <w:trPr>
          <w:trHeight w:val="197"/>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Diluted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$467</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$6.69</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528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Basic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68.5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$2.83</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Dilutive effect of stock options and awards</w:t>
            </w: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w:t>
            </w:r>
          </w:p>
        </w:tc>
        <w:tc>
          <w:tcPr>
            <w:tcW w:w="860" w:type="dxa"/>
            <w:vAlign w:val="bottom"/>
          </w:tcPr>
          <w:p>
            <w:pPr>
              <w:spacing w:after="0"/>
              <w:rPr>
                <w:sz w:val="17"/>
                <w:szCs w:val="17"/>
                <w:color w:val="auto"/>
              </w:rPr>
            </w:pPr>
          </w:p>
        </w:tc>
      </w:tr>
      <w:tr>
        <w:trPr>
          <w:trHeight w:val="197"/>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Diluted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$2.79</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52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Basic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$407</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66.7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$6.10</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Dilutive effect of stock options and awards</w:t>
            </w: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w:t>
            </w:r>
          </w:p>
        </w:tc>
        <w:tc>
          <w:tcPr>
            <w:tcW w:w="860" w:type="dxa"/>
            <w:vAlign w:val="bottom"/>
          </w:tcPr>
          <w:p>
            <w:pPr>
              <w:spacing w:after="0"/>
              <w:rPr>
                <w:sz w:val="17"/>
                <w:szCs w:val="17"/>
                <w:color w:val="auto"/>
              </w:rPr>
            </w:pPr>
          </w:p>
        </w:tc>
      </w:tr>
      <w:tr>
        <w:trPr>
          <w:trHeight w:val="197"/>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r>
      <w:tr>
        <w:trPr>
          <w:trHeight w:val="197"/>
        </w:trPr>
        <w:tc>
          <w:tcPr>
            <w:tcW w:w="5280" w:type="dxa"/>
            <w:vAlign w:val="bottom"/>
          </w:tcPr>
          <w:p>
            <w:pPr>
              <w:ind w:left="320"/>
              <w:spacing w:after="0"/>
              <w:rPr>
                <w:sz w:val="20"/>
                <w:szCs w:val="20"/>
                <w:color w:val="auto"/>
              </w:rPr>
            </w:pPr>
            <w:r>
              <w:rPr>
                <w:rFonts w:ascii="Courier New" w:cs="Courier New" w:eastAsia="Courier New" w:hAnsi="Courier New"/>
                <w:sz w:val="17"/>
                <w:szCs w:val="17"/>
                <w:color w:val="auto"/>
              </w:rPr>
              <w:t>Diluted earnings per share</w:t>
            </w: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$407</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68.1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$5.98</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Cash and cash equivalents include interest-earning debt instruments that mature in three months or less from the date purchased.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Accounts receivable include amounts billed and currently due from customers, amounts currently due but unbilled (primarily related to contracts accounted for under the cost-to-cost type of percentage-of-completion method of accounting), certain estimated contract changes, claims in negotiation that are probable of recovery, and amounts retained by the customer pending contract completion.</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139"/>
          </w:cols>
          <w:pgMar w:left="320" w:top="70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Inventoried Costs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98" w:lineRule="exact"/>
        <w:rPr>
          <w:sz w:val="20"/>
          <w:szCs w:val="20"/>
          <w:color w:val="auto"/>
        </w:rPr>
      </w:pPr>
    </w:p>
    <w:p>
      <w:pPr>
        <w:jc w:val="both"/>
        <w:ind w:right="1959" w:firstLine="511"/>
        <w:spacing w:after="0" w:line="244" w:lineRule="auto"/>
        <w:rPr>
          <w:sz w:val="20"/>
          <w:szCs w:val="20"/>
          <w:color w:val="auto"/>
        </w:rPr>
      </w:pPr>
      <w:r>
        <w:rPr>
          <w:rFonts w:ascii="Courier New" w:cs="Courier New" w:eastAsia="Courier New" w:hAnsi="Courier New"/>
          <w:sz w:val="17"/>
          <w:szCs w:val="17"/>
          <w:color w:val="auto"/>
        </w:rPr>
        <w:t>In accordance with industry practice, inventoried costs are classified as a current asset and include amounts related to contracts having production cycles longer than one year.</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Depreciable Properties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 straight-line method, with the following lives:</w:t>
      </w:r>
    </w:p>
    <w:p>
      <w:pPr>
        <w:spacing w:after="0" w:line="200" w:lineRule="exact"/>
        <w:rPr>
          <w:sz w:val="20"/>
          <w:szCs w:val="20"/>
          <w:color w:val="auto"/>
        </w:rPr>
      </w:pPr>
    </w:p>
    <w:p>
      <w:pPr>
        <w:spacing w:after="0" w:line="395" w:lineRule="exact"/>
        <w:rPr>
          <w:sz w:val="20"/>
          <w:szCs w:val="20"/>
          <w:color w:val="auto"/>
        </w:rPr>
      </w:pPr>
    </w:p>
    <w:p>
      <w:pPr>
        <w:ind w:left="7580"/>
        <w:spacing w:after="0"/>
        <w:rPr>
          <w:sz w:val="20"/>
          <w:szCs w:val="20"/>
          <w:color w:val="auto"/>
        </w:rPr>
      </w:pPr>
      <w:r>
        <w:rPr>
          <w:rFonts w:ascii="Courier New" w:cs="Courier New" w:eastAsia="Courier New" w:hAnsi="Courier New"/>
          <w:sz w:val="17"/>
          <w:szCs w:val="17"/>
          <w:color w:val="auto"/>
        </w:rPr>
        <w:t>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Land improvements</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3-45</w:t>
            </w:r>
          </w:p>
        </w:tc>
      </w:t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Machinery and other equipment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2-33</w:t>
            </w:r>
          </w:p>
        </w:tc>
      </w:tr>
      <w:tr>
        <w:trPr>
          <w:trHeight w:val="197"/>
        </w:trPr>
        <w:tc>
          <w:tcPr>
            <w:tcW w:w="4820" w:type="dxa"/>
            <w:vAlign w:val="bottom"/>
          </w:tcPr>
          <w:p>
            <w:pPr>
              <w:spacing w:after="0"/>
              <w:rPr>
                <w:sz w:val="20"/>
                <w:szCs w:val="20"/>
                <w:color w:val="auto"/>
              </w:rPr>
            </w:pPr>
            <w:r>
              <w:rPr>
                <w:rFonts w:ascii="Courier New" w:cs="Courier New" w:eastAsia="Courier New" w:hAnsi="Courier New"/>
                <w:sz w:val="17"/>
                <w:szCs w:val="17"/>
                <w:color w:val="auto"/>
              </w:rPr>
              <w:t>Leasehold improvements</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Length of lease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 and Other Purchased Intangible Assets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Goodwill and other purchased intangible assets are amortized on a straight-line basis over weighted average periods of 38 years and 15 years, respectively. Goodwill and other purchased intangibles balances are included in the identifiable assets of the industry segment to which they have been assigned and amortization is charged against the respective industry segment operating margin. The recoverability of goodwill and other purchased intangibles is evaluated at least annually considering the projected future profitability and cash flow of the operations to which they relate. When it is determined that an impairment has occurred, an appropriate charge to operations is recorded. Charges of $7 million and $9 million were recorded in 1999 and 1998, respectively, for purchased intangible assets no longer considered recoverable from future revenues.</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139"/>
          </w:cols>
          <w:pgMar w:left="320" w:top="70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 Available for Sale</w:t>
      </w:r>
    </w:p>
    <w:p>
      <w:pPr>
        <w:spacing w:after="0" w:line="201" w:lineRule="exact"/>
        <w:rPr>
          <w:sz w:val="20"/>
          <w:szCs w:val="20"/>
          <w:color w:val="auto"/>
        </w:rPr>
      </w:pPr>
    </w:p>
    <w:p>
      <w:pPr>
        <w:ind w:right="2159"/>
        <w:spacing w:after="0" w:line="245" w:lineRule="auto"/>
        <w:rPr>
          <w:sz w:val="20"/>
          <w:szCs w:val="20"/>
          <w:color w:val="auto"/>
        </w:rPr>
      </w:pPr>
      <w:r>
        <w:rPr>
          <w:rFonts w:ascii="Courier New" w:cs="Courier New" w:eastAsia="Courier New" w:hAnsi="Courier New"/>
          <w:sz w:val="17"/>
          <w:szCs w:val="17"/>
          <w:color w:val="auto"/>
        </w:rPr>
        <w:t>Capital assets are transferred to assets available for sale when a decision is made to sell a facility and selling efforts are actively underway. In some cases, operations continue and, when costs are allowable under government contracts, depreciation expense is recorded until the facility is vacated or sold. Assets available for sale are evaluated at least annually for recoverability and written down to estimated fair value as necessary. When an asset is written down to estimated fair value, depreciation ceases.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 Reclassification</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To conform to the presentation in 1999, certain amounts for 1998 and 1997 have been reclassified in the Consolidated Financial Statements. The reclassifications had no effect on net income or earnings per share for any period presented.</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139"/>
          </w:cols>
          <w:pgMar w:left="320" w:top="70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COMBINATIONS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Effective August 1, 1997, the company consummated the merger of its wholly owned acquisition subsidiary with and into Logicon, Inc. a leading defense information technology and services company. Each share of Logicon's common stock was converted to .6161 of a share of the company's common stock. The merger was accounted for as a pooling of interests.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In 1998 the company acquired Inter-National Research Institute Inc. for $55 million in cash. In 1999 the company acquired three businesses, the Information Systems Division of California Microwave, Inc., Data Procurement Corporation, and Ryan Aeronautical, an operating unit of Allegheny Teledyne Incorporated, for a total of $271 million in cash and stock. The results of operations of the acquired companies were included in the consolidated results of Northrop Grumman Corporation from their respective acquisition dates.</w:t>
      </w:r>
    </w:p>
    <w:p>
      <w:pPr>
        <w:spacing w:after="0" w:line="197"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purchase method of accounting was used to record all four acquisitions with estimated fair values being assigned to assets and liabilities. The excess of the purchase price over the net tangible assets acquired was assigned to identifiable intangible assets and the remaining balance was assigned to goodwill.</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Unaudited pro forma consolidated results, after giving effect to the businesses acquired in 1998 and 1999, would not have been materially different from the reported amounts for 1997, 1998 or 1999.</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139"/>
          </w:cols>
          <w:pgMar w:left="320" w:top="70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TERMINATED MERGER AGREEMENT</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On July 16, 1998, Lockheed Martin notified the company that it was terminating its merger agreement with the company pursuant to the terms of the agreement.</w:t>
      </w:r>
    </w:p>
    <w:p>
      <w:pPr>
        <w:spacing w:after="0" w:line="202"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STANDARDS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In January 1999, the company adopted Statement of Position (SOP) 98-1 - Accounting for the Costs of Computer Software Developed or Obtained for Internal Use, which requires capitalization of certain costs incurred after the date of adoption to develop or obtain software for internal use. Adoption of this standard had no material effect on the company's results of operations, financial position, or cash flows.</w:t>
      </w:r>
    </w:p>
    <w:p>
      <w:pPr>
        <w:spacing w:after="0" w:line="202"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In January 1999, the company adopted SOP 98-5 - Reporting on the Costs of Start-Up Activities, which requires that certain costs, that previously had been deferred, be expensed and reported as a cumulative effect of a change in accounting principle, and all such future costs be expensed as incurred. In the first quarter of 1999, the company recorded a $16 million after-tax charge, or $.24 per share, as the cumulative effect of a change in accounting principle.</w:t>
      </w:r>
    </w:p>
    <w:p>
      <w:pPr>
        <w:spacing w:after="0" w:line="202"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June 1998, the Financial Accounting Standards Board issued SFAS No. 133-Accounting for Derivative Instruments and Hedging Activities, which becomes effective for fiscal years beginning after June 15, 2000. This standard provides authoritative guidance on accounting and financial reporting for derivative instruments. Management is currently evaluating the effect that adoption of this standard will have on the company's results of operations, financial position, and cash flows.</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139"/>
          </w:cols>
          <w:pgMar w:left="320" w:top="70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202"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claim receivable as of December 31, 1998, represents costs incurred to date on the Accurate Fuselage Assembly (AFA) program that the company expected to recover from The Boeing Company for out-of-scope work and related delay and disruption costs incurred on the program. In the second quarter of 1999, the company resolved its claims with Boeing. The settlement had no material effect on the company's financial results for 1999.</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Accounts receivable at December 31, 1999, are expected to be collected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except for approximately $89 million due in 2001 and $16 million due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and later.</w:t>
      </w:r>
    </w:p>
    <w:p>
      <w:pPr>
        <w:spacing w:after="0" w:line="201"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Allowances for doubtful amounts represent mainly estimates of overhead type costs which may not be successfully negotiated and collected.</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Accounts receivable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Due from U.S. Government, long-term contracts</w:t>
            </w: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4920" w:type="dxa"/>
            <w:vAlign w:val="bottom"/>
          </w:tcPr>
          <w:p>
            <w:pPr>
              <w:ind w:left="320"/>
              <w:spacing w:after="0"/>
              <w:rPr>
                <w:sz w:val="20"/>
                <w:szCs w:val="20"/>
                <w:color w:val="auto"/>
              </w:rPr>
            </w:pPr>
            <w:r>
              <w:rPr>
                <w:rFonts w:ascii="Courier New" w:cs="Courier New" w:eastAsia="Courier New" w:hAnsi="Courier New"/>
                <w:sz w:val="17"/>
                <w:szCs w:val="17"/>
                <w:color w:val="auto"/>
              </w:rPr>
              <w:t>Current accounts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4920" w:type="dxa"/>
            <w:vAlign w:val="bottom"/>
          </w:tcPr>
          <w:p>
            <w:pPr>
              <w:ind w:left="620"/>
              <w:spacing w:after="0"/>
              <w:rPr>
                <w:sz w:val="20"/>
                <w:szCs w:val="20"/>
                <w:color w:val="auto"/>
              </w:rPr>
            </w:pPr>
            <w:r>
              <w:rPr>
                <w:rFonts w:ascii="Courier New" w:cs="Courier New" w:eastAsia="Courier New" w:hAnsi="Courier New"/>
                <w:sz w:val="17"/>
                <w:szCs w:val="17"/>
                <w:color w:val="auto"/>
              </w:rPr>
              <w:t>Billed</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424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362</w:t>
            </w:r>
          </w:p>
        </w:tc>
      </w:tr>
      <w:tr>
        <w:trPr>
          <w:trHeight w:val="197"/>
        </w:trPr>
        <w:tc>
          <w:tcPr>
            <w:tcW w:w="4920" w:type="dxa"/>
            <w:vAlign w:val="bottom"/>
          </w:tcPr>
          <w:p>
            <w:pPr>
              <w:ind w:left="620"/>
              <w:spacing w:after="0"/>
              <w:rPr>
                <w:sz w:val="20"/>
                <w:szCs w:val="20"/>
                <w:color w:val="auto"/>
              </w:rPr>
            </w:pPr>
            <w:r>
              <w:rPr>
                <w:rFonts w:ascii="Courier New" w:cs="Courier New" w:eastAsia="Courier New" w:hAnsi="Courier New"/>
                <w:sz w:val="17"/>
                <w:szCs w:val="17"/>
                <w:color w:val="auto"/>
              </w:rPr>
              <w:t>Unbilled</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1,879</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2,145</w:t>
            </w:r>
          </w:p>
        </w:tc>
      </w:tr>
      <w:tr>
        <w:trPr>
          <w:trHeight w:val="197"/>
        </w:trPr>
        <w:tc>
          <w:tcPr>
            <w:tcW w:w="4920" w:type="dxa"/>
            <w:vAlign w:val="bottom"/>
          </w:tcPr>
          <w:p>
            <w:pPr>
              <w:ind w:left="620"/>
              <w:spacing w:after="0"/>
              <w:rPr>
                <w:sz w:val="20"/>
                <w:szCs w:val="20"/>
                <w:color w:val="auto"/>
              </w:rPr>
            </w:pPr>
            <w:r>
              <w:rPr>
                <w:rFonts w:ascii="Courier New" w:cs="Courier New" w:eastAsia="Courier New" w:hAnsi="Courier New"/>
                <w:sz w:val="17"/>
                <w:szCs w:val="17"/>
                <w:color w:val="auto"/>
              </w:rPr>
              <w:t>Progress payments received</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(1,283)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(1,388)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420"/>
        <w:spacing w:after="0"/>
        <w:tabs>
          <w:tab w:leader="none" w:pos="6540" w:val="left"/>
        </w:tabs>
        <w:rPr>
          <w:sz w:val="20"/>
          <w:szCs w:val="20"/>
          <w:color w:val="auto"/>
        </w:rPr>
      </w:pPr>
      <w:r>
        <w:rPr>
          <w:rFonts w:ascii="Courier New" w:cs="Courier New" w:eastAsia="Courier New" w:hAnsi="Courier New"/>
          <w:sz w:val="17"/>
          <w:szCs w:val="17"/>
          <w:color w:val="auto"/>
        </w:rPr>
        <w:t>1,020</w:t>
      </w:r>
      <w:r>
        <w:rPr>
          <w:sz w:val="20"/>
          <w:szCs w:val="20"/>
          <w:color w:val="auto"/>
        </w:rPr>
        <w:tab/>
      </w:r>
      <w:r>
        <w:rPr>
          <w:rFonts w:ascii="Courier New" w:cs="Courier New" w:eastAsia="Courier New" w:hAnsi="Courier New"/>
          <w:sz w:val="17"/>
          <w:szCs w:val="17"/>
          <w:color w:val="auto"/>
        </w:rPr>
        <w:t>1,119</w:t>
      </w:r>
    </w:p>
    <w:p>
      <w:pPr>
        <w:spacing w:after="0" w:line="4" w:lineRule="exact"/>
        <w:rPr>
          <w:sz w:val="20"/>
          <w:szCs w:val="20"/>
          <w:color w:val="auto"/>
        </w:rPr>
      </w:pPr>
    </w:p>
    <w:p>
      <w:pPr>
        <w:ind w:left="200" w:hanging="195"/>
        <w:spacing w:after="0"/>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320" w:right="5539" w:hanging="307"/>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Due from other customers, long-term contracts Current accounts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2920" w:type="dxa"/>
            <w:vAlign w:val="bottom"/>
          </w:tcPr>
          <w:p>
            <w:pPr>
              <w:spacing w:after="0"/>
              <w:rPr>
                <w:sz w:val="20"/>
                <w:szCs w:val="20"/>
                <w:color w:val="auto"/>
              </w:rPr>
            </w:pPr>
            <w:r>
              <w:rPr>
                <w:rFonts w:ascii="Courier New" w:cs="Courier New" w:eastAsia="Courier New" w:hAnsi="Courier New"/>
                <w:sz w:val="17"/>
                <w:szCs w:val="17"/>
                <w:color w:val="auto"/>
              </w:rPr>
              <w:t>Billed</w:t>
            </w:r>
          </w:p>
        </w:tc>
        <w:tc>
          <w:tcPr>
            <w:tcW w:w="28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7"/>
        </w:trPr>
        <w:tc>
          <w:tcPr>
            <w:tcW w:w="2920" w:type="dxa"/>
            <w:vAlign w:val="bottom"/>
          </w:tcPr>
          <w:p>
            <w:pPr>
              <w:spacing w:after="0"/>
              <w:rPr>
                <w:sz w:val="20"/>
                <w:szCs w:val="20"/>
                <w:color w:val="auto"/>
              </w:rPr>
            </w:pPr>
            <w:r>
              <w:rPr>
                <w:rFonts w:ascii="Courier New" w:cs="Courier New" w:eastAsia="Courier New" w:hAnsi="Courier New"/>
                <w:sz w:val="17"/>
                <w:szCs w:val="17"/>
                <w:color w:val="auto"/>
              </w:rPr>
              <w:t>Unbilled</w:t>
            </w:r>
          </w:p>
        </w:tc>
        <w:tc>
          <w:tcPr>
            <w:tcW w:w="28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137</w:t>
            </w:r>
          </w:p>
        </w:tc>
      </w:tr>
      <w:tr>
        <w:trPr>
          <w:trHeight w:val="197"/>
        </w:trPr>
        <w:tc>
          <w:tcPr>
            <w:tcW w:w="2920" w:type="dxa"/>
            <w:vAlign w:val="bottom"/>
          </w:tcPr>
          <w:p>
            <w:pPr>
              <w:spacing w:after="0"/>
              <w:rPr>
                <w:sz w:val="20"/>
                <w:szCs w:val="20"/>
                <w:color w:val="auto"/>
              </w:rPr>
            </w:pPr>
            <w:r>
              <w:rPr>
                <w:rFonts w:ascii="Courier New" w:cs="Courier New" w:eastAsia="Courier New" w:hAnsi="Courier New"/>
                <w:sz w:val="17"/>
                <w:szCs w:val="17"/>
                <w:color w:val="auto"/>
              </w:rPr>
              <w:t>Claim</w:t>
            </w:r>
          </w:p>
        </w:tc>
        <w:tc>
          <w:tcPr>
            <w:tcW w:w="28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640"/>
        <w:spacing w:after="0"/>
        <w:tabs>
          <w:tab w:leader="none" w:pos="6740" w:val="left"/>
        </w:tabs>
        <w:rPr>
          <w:sz w:val="20"/>
          <w:szCs w:val="20"/>
          <w:color w:val="auto"/>
        </w:rPr>
      </w:pPr>
      <w:r>
        <w:rPr>
          <w:rFonts w:ascii="Courier New" w:cs="Courier New" w:eastAsia="Courier New" w:hAnsi="Courier New"/>
          <w:sz w:val="17"/>
          <w:szCs w:val="17"/>
          <w:color w:val="auto"/>
        </w:rPr>
        <w:t>287</w:t>
      </w:r>
      <w:r>
        <w:rPr>
          <w:sz w:val="20"/>
          <w:szCs w:val="20"/>
          <w:color w:val="auto"/>
        </w:rPr>
        <w:tab/>
      </w:r>
      <w:r>
        <w:rPr>
          <w:rFonts w:ascii="Courier New" w:cs="Courier New" w:eastAsia="Courier New" w:hAnsi="Courier New"/>
          <w:sz w:val="17"/>
          <w:szCs w:val="17"/>
          <w:color w:val="auto"/>
        </w:rPr>
        <w:t>307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080" w:type="dxa"/>
            <w:vAlign w:val="bottom"/>
          </w:tcPr>
          <w:p>
            <w:pPr>
              <w:spacing w:after="0"/>
              <w:rPr>
                <w:sz w:val="20"/>
                <w:szCs w:val="20"/>
                <w:color w:val="auto"/>
              </w:rPr>
            </w:pPr>
            <w:r>
              <w:rPr>
                <w:rFonts w:ascii="Courier New" w:cs="Courier New" w:eastAsia="Courier New" w:hAnsi="Courier New"/>
                <w:sz w:val="17"/>
                <w:szCs w:val="17"/>
                <w:color w:val="auto"/>
              </w:rPr>
              <w:t>Total due, long-term contracts</w:t>
            </w:r>
          </w:p>
        </w:tc>
        <w:tc>
          <w:tcPr>
            <w:tcW w:w="18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1,307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1,426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gridSpan w:val="2"/>
          </w:tcPr>
          <w:p>
            <w:pPr>
              <w:spacing w:after="0"/>
              <w:rPr>
                <w:sz w:val="20"/>
                <w:szCs w:val="20"/>
                <w:color w:val="auto"/>
              </w:rPr>
            </w:pPr>
            <w:r>
              <w:rPr>
                <w:rFonts w:ascii="Courier New" w:cs="Courier New" w:eastAsia="Courier New" w:hAnsi="Courier New"/>
                <w:sz w:val="17"/>
                <w:szCs w:val="17"/>
                <w:color w:val="auto"/>
              </w:rPr>
              <w:t>Trade and other accounts receivable</w:t>
            </w: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1180" w:type="dxa"/>
            <w:vAlign w:val="bottom"/>
          </w:tcPr>
          <w:p>
            <w:pPr>
              <w:ind w:left="320"/>
              <w:spacing w:after="0"/>
              <w:rPr>
                <w:sz w:val="20"/>
                <w:szCs w:val="20"/>
                <w:color w:val="auto"/>
              </w:rPr>
            </w:pPr>
            <w:r>
              <w:rPr>
                <w:rFonts w:ascii="Courier New" w:cs="Courier New" w:eastAsia="Courier New" w:hAnsi="Courier New"/>
                <w:sz w:val="17"/>
                <w:szCs w:val="17"/>
                <w:color w:val="auto"/>
              </w:rPr>
              <w:t>Due from</w:t>
            </w:r>
          </w:p>
        </w:tc>
        <w:tc>
          <w:tcPr>
            <w:tcW w:w="3480" w:type="dxa"/>
            <w:vAlign w:val="bottom"/>
          </w:tcPr>
          <w:p>
            <w:pPr>
              <w:ind w:left="60"/>
              <w:spacing w:after="0"/>
              <w:rPr>
                <w:sz w:val="20"/>
                <w:szCs w:val="20"/>
                <w:color w:val="auto"/>
              </w:rPr>
            </w:pPr>
            <w:r>
              <w:rPr>
                <w:rFonts w:ascii="Courier New" w:cs="Courier New" w:eastAsia="Courier New" w:hAnsi="Courier New"/>
                <w:sz w:val="17"/>
                <w:szCs w:val="17"/>
                <w:color w:val="auto"/>
              </w:rPr>
              <w:t>U.S. Government</w:t>
            </w:r>
          </w:p>
        </w:tc>
        <w:tc>
          <w:tcPr>
            <w:tcW w:w="17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r>
        <w:trPr>
          <w:trHeight w:val="197"/>
        </w:trPr>
        <w:tc>
          <w:tcPr>
            <w:tcW w:w="1180" w:type="dxa"/>
            <w:vAlign w:val="bottom"/>
          </w:tcPr>
          <w:p>
            <w:pPr>
              <w:ind w:left="320"/>
              <w:spacing w:after="0"/>
              <w:rPr>
                <w:sz w:val="20"/>
                <w:szCs w:val="20"/>
                <w:color w:val="auto"/>
              </w:rPr>
            </w:pPr>
            <w:r>
              <w:rPr>
                <w:rFonts w:ascii="Courier New" w:cs="Courier New" w:eastAsia="Courier New" w:hAnsi="Courier New"/>
                <w:sz w:val="17"/>
                <w:szCs w:val="17"/>
                <w:color w:val="auto"/>
              </w:rPr>
              <w:t>Due from</w:t>
            </w:r>
          </w:p>
        </w:tc>
        <w:tc>
          <w:tcPr>
            <w:tcW w:w="3480" w:type="dxa"/>
            <w:vAlign w:val="bottom"/>
          </w:tcPr>
          <w:p>
            <w:pPr>
              <w:ind w:left="60"/>
              <w:spacing w:after="0"/>
              <w:rPr>
                <w:sz w:val="20"/>
                <w:szCs w:val="20"/>
                <w:color w:val="auto"/>
              </w:rPr>
            </w:pPr>
            <w:r>
              <w:rPr>
                <w:rFonts w:ascii="Courier New" w:cs="Courier New" w:eastAsia="Courier New" w:hAnsi="Courier New"/>
                <w:sz w:val="17"/>
                <w:szCs w:val="17"/>
                <w:color w:val="auto"/>
              </w:rPr>
              <w:t>other customers</w:t>
            </w:r>
          </w:p>
        </w:tc>
        <w:tc>
          <w:tcPr>
            <w:tcW w:w="17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980" w:type="dxa"/>
            <w:vAlign w:val="bottom"/>
          </w:tcPr>
          <w:p>
            <w:pPr>
              <w:spacing w:after="0"/>
              <w:rPr>
                <w:sz w:val="20"/>
                <w:szCs w:val="20"/>
                <w:color w:val="auto"/>
              </w:rPr>
            </w:pPr>
            <w:r>
              <w:rPr>
                <w:rFonts w:ascii="Courier New" w:cs="Courier New" w:eastAsia="Courier New" w:hAnsi="Courier New"/>
                <w:sz w:val="17"/>
                <w:szCs w:val="17"/>
                <w:color w:val="auto"/>
              </w:rPr>
              <w:t>Total due, trade and other</w:t>
            </w:r>
          </w:p>
        </w:tc>
        <w:tc>
          <w:tcPr>
            <w:tcW w:w="20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128</w:t>
            </w:r>
          </w:p>
        </w:tc>
      </w:tr>
    </w:tbl>
    <w:p>
      <w:pPr>
        <w:spacing w:after="0" w:line="4" w:lineRule="exact"/>
        <w:rPr>
          <w:sz w:val="20"/>
          <w:szCs w:val="20"/>
          <w:color w:val="auto"/>
        </w:rPr>
      </w:pPr>
    </w:p>
    <w:p>
      <w:pPr>
        <w:ind w:left="200" w:hanging="195"/>
        <w:spacing w:after="0"/>
        <w:tabs>
          <w:tab w:leader="none" w:pos="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5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1,440</w:t>
      </w:r>
      <w:r>
        <w:rPr>
          <w:rFonts w:ascii="Courier New" w:cs="Courier New" w:eastAsia="Courier New" w:hAnsi="Courier New"/>
          <w:sz w:val="16"/>
          <w:szCs w:val="16"/>
          <w:color w:val="auto"/>
        </w:rPr>
        <w:t>1,554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20"/>
                <w:szCs w:val="20"/>
                <w:color w:val="auto"/>
              </w:rPr>
            </w:pPr>
            <w:r>
              <w:rPr>
                <w:rFonts w:ascii="Courier New" w:cs="Courier New" w:eastAsia="Courier New" w:hAnsi="Courier New"/>
                <w:sz w:val="17"/>
                <w:szCs w:val="17"/>
                <w:color w:val="auto"/>
              </w:rPr>
              <w:t>Allowances for doubtful amounts</w:t>
            </w:r>
          </w:p>
        </w:tc>
        <w:tc>
          <w:tcPr>
            <w:tcW w:w="20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17"/>
          <w:szCs w:val="17"/>
          <w:color w:val="auto"/>
        </w:rPr>
        <w:t>$ 1,402</w:t>
      </w:r>
      <w:r>
        <w:rPr>
          <w:sz w:val="20"/>
          <w:szCs w:val="20"/>
          <w:color w:val="auto"/>
        </w:rPr>
        <w:tab/>
      </w:r>
      <w:r>
        <w:rPr>
          <w:rFonts w:ascii="Courier New" w:cs="Courier New" w:eastAsia="Courier New" w:hAnsi="Courier New"/>
          <w:sz w:val="17"/>
          <w:szCs w:val="17"/>
          <w:color w:val="auto"/>
        </w:rPr>
        <w:t>$ 1,507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139"/>
          </w:cols>
          <w:pgMar w:left="320" w:top="70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INVENTORIED COSTS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Inventoried costs were comprised of the following: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8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Production costs of contracts in process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$1,320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$1,487</w:t>
            </w:r>
          </w:p>
        </w:tc>
      </w:tr>
      <w:tr>
        <w:trPr>
          <w:trHeight w:val="197"/>
        </w:trPr>
        <w:tc>
          <w:tcPr>
            <w:tcW w:w="4860" w:type="dxa"/>
            <w:vAlign w:val="bottom"/>
          </w:tcPr>
          <w:p>
            <w:pPr>
              <w:spacing w:after="0"/>
              <w:rPr>
                <w:sz w:val="20"/>
                <w:szCs w:val="20"/>
                <w:color w:val="auto"/>
              </w:rPr>
            </w:pPr>
            <w:r>
              <w:rPr>
                <w:rFonts w:ascii="Courier New" w:cs="Courier New" w:eastAsia="Courier New" w:hAnsi="Courier New"/>
                <w:sz w:val="17"/>
                <w:szCs w:val="17"/>
                <w:color w:val="auto"/>
              </w:rPr>
              <w:t>Excess of production cost of delivered items</w:t>
            </w: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860" w:type="dxa"/>
            <w:vAlign w:val="bottom"/>
          </w:tcPr>
          <w:p>
            <w:pPr>
              <w:ind w:left="420"/>
              <w:spacing w:after="0"/>
              <w:rPr>
                <w:sz w:val="20"/>
                <w:szCs w:val="20"/>
                <w:color w:val="auto"/>
              </w:rPr>
            </w:pPr>
            <w:r>
              <w:rPr>
                <w:rFonts w:ascii="Courier New" w:cs="Courier New" w:eastAsia="Courier New" w:hAnsi="Courier New"/>
                <w:sz w:val="17"/>
                <w:szCs w:val="17"/>
                <w:color w:val="auto"/>
              </w:rPr>
              <w:t>over the estimated average unit cost</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162</w:t>
            </w:r>
          </w:p>
        </w:tc>
      </w:tr>
      <w:tr>
        <w:trPr>
          <w:trHeight w:val="197"/>
        </w:trPr>
        <w:tc>
          <w:tcPr>
            <w:tcW w:w="4860" w:type="dxa"/>
            <w:vAlign w:val="bottom"/>
          </w:tcPr>
          <w:p>
            <w:pPr>
              <w:spacing w:after="0"/>
              <w:rPr>
                <w:sz w:val="20"/>
                <w:szCs w:val="20"/>
                <w:color w:val="auto"/>
              </w:rPr>
            </w:pPr>
            <w:r>
              <w:rPr>
                <w:rFonts w:ascii="Courier New" w:cs="Courier New" w:eastAsia="Courier New" w:hAnsi="Courier New"/>
                <w:sz w:val="17"/>
                <w:szCs w:val="17"/>
                <w:color w:val="auto"/>
              </w:rPr>
              <w:t>Administrative and general expenses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245</w:t>
            </w:r>
          </w:p>
        </w:tc>
      </w:tr>
    </w:tbl>
    <w:p>
      <w:pPr>
        <w:spacing w:after="0" w:line="4" w:lineRule="exact"/>
        <w:rPr>
          <w:sz w:val="20"/>
          <w:szCs w:val="20"/>
          <w:color w:val="auto"/>
        </w:rPr>
      </w:pPr>
    </w:p>
    <w:p>
      <w:pPr>
        <w:ind w:left="200" w:hanging="195"/>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5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1,7111,894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Progress payments received</w:t>
            </w:r>
          </w:p>
        </w:tc>
        <w:tc>
          <w:tcPr>
            <w:tcW w:w="22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(521)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17"/>
          <w:szCs w:val="17"/>
          <w:color w:val="auto"/>
        </w:rPr>
        <w:t>$1,190</w:t>
      </w:r>
      <w:r>
        <w:rPr>
          <w:sz w:val="20"/>
          <w:szCs w:val="20"/>
          <w:color w:val="auto"/>
        </w:rPr>
        <w:tab/>
      </w:r>
      <w:r>
        <w:rPr>
          <w:rFonts w:ascii="Courier New" w:cs="Courier New" w:eastAsia="Courier New" w:hAnsi="Courier New"/>
          <w:sz w:val="17"/>
          <w:szCs w:val="17"/>
          <w:color w:val="auto"/>
        </w:rPr>
        <w:t>$1,373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excess of production costs of delivered and in process items over the estimated average costs is carried in inventory under the learning curve concept. Under this concept, production costs per unit are expected to decrease over time due to efficiencies arising from continuous improvement in the performance of repetitive tasks</w:t>
      </w:r>
    </w:p>
    <w:p>
      <w:pPr>
        <w:spacing w:after="0" w:line="1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ratio of inventoried administrative and general expenses to total inventoried costs is estimated to be the same as the ratio of total administrative and general expenses incurred to total contract costs incurred.</w:t>
      </w:r>
    </w:p>
    <w:p>
      <w:pPr>
        <w:spacing w:after="0" w:line="199"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According to the provisions of U.S. Government contracts, the customer has title to, or a security interest in, substantially all inventories related to such contracts.</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139"/>
          </w:cols>
          <w:pgMar w:left="320" w:top="70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expense, both federal and foreign, was comprised of the following: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3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Currently</w:t>
            </w:r>
          </w:p>
        </w:tc>
        <w:tc>
          <w:tcPr>
            <w:tcW w:w="24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payable</w:t>
            </w: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Federal</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income</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18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63</w:t>
            </w:r>
          </w:p>
        </w:tc>
        <w:tc>
          <w:tcPr>
            <w:tcW w:w="4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  26</w:t>
            </w:r>
          </w:p>
        </w:tc>
      </w:tr>
      <w:tr>
        <w:trPr>
          <w:trHeight w:val="197"/>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Foreign</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income</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18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w:t>
            </w:r>
          </w:p>
        </w:tc>
        <w:tc>
          <w:tcPr>
            <w:tcW w:w="400" w:type="dxa"/>
            <w:vAlign w:val="bottom"/>
          </w:tcPr>
          <w:p>
            <w:pPr>
              <w:spacing w:after="0"/>
              <w:rPr>
                <w:sz w:val="17"/>
                <w:szCs w:val="17"/>
                <w:color w:val="auto"/>
              </w:rPr>
            </w:pPr>
          </w:p>
        </w:tc>
        <w:tc>
          <w:tcPr>
            <w:tcW w:w="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bl>
    <w:p>
      <w:pPr>
        <w:spacing w:after="0" w:line="4" w:lineRule="exact"/>
        <w:rPr>
          <w:sz w:val="20"/>
          <w:szCs w:val="20"/>
          <w:color w:val="auto"/>
        </w:rPr>
      </w:pPr>
    </w:p>
    <w:p>
      <w:pPr>
        <w:ind w:left="200" w:hanging="195"/>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4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6711</w:t>
      </w:r>
      <w:r>
        <w:rPr>
          <w:rFonts w:ascii="Courier New" w:cs="Courier New" w:eastAsia="Courier New" w:hAnsi="Courier New"/>
          <w:sz w:val="16"/>
          <w:szCs w:val="16"/>
          <w:color w:val="auto"/>
        </w:rPr>
        <w:t>29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20"/>
                <w:szCs w:val="20"/>
                <w:color w:val="auto"/>
              </w:rPr>
            </w:pPr>
            <w:r>
              <w:rPr>
                <w:rFonts w:ascii="Courier New" w:cs="Courier New" w:eastAsia="Courier New" w:hAnsi="Courier New"/>
                <w:sz w:val="17"/>
                <w:szCs w:val="17"/>
                <w:color w:val="auto"/>
              </w:rPr>
              <w:t>Change in deferred federal income taxes</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212</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215</w:t>
            </w:r>
          </w:p>
        </w:tc>
      </w:tr>
    </w:tbl>
    <w:p>
      <w:pPr>
        <w:spacing w:after="0" w:line="4" w:lineRule="exact"/>
        <w:rPr>
          <w:sz w:val="20"/>
          <w:szCs w:val="20"/>
          <w:color w:val="auto"/>
        </w:rPr>
      </w:pPr>
    </w:p>
    <w:p>
      <w:pPr>
        <w:ind w:left="200" w:hanging="195"/>
        <w:spacing w:after="0"/>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4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$ 279   $ 118   $ 244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5" w:lineRule="exact"/>
        <w:rPr>
          <w:sz w:val="20"/>
          <w:szCs w:val="20"/>
          <w:color w:val="auto"/>
        </w:rPr>
      </w:pPr>
    </w:p>
    <w:p>
      <w:pPr>
        <w:ind w:right="2259" w:firstLine="511"/>
        <w:spacing w:after="0" w:line="244" w:lineRule="auto"/>
        <w:rPr>
          <w:sz w:val="20"/>
          <w:szCs w:val="20"/>
          <w:color w:val="auto"/>
        </w:rPr>
      </w:pPr>
      <w:r>
        <w:rPr>
          <w:rFonts w:ascii="Courier New" w:cs="Courier New" w:eastAsia="Courier New" w:hAnsi="Courier New"/>
          <w:sz w:val="17"/>
          <w:szCs w:val="17"/>
          <w:color w:val="auto"/>
        </w:rPr>
        <w:t>Income tax expense differs from the amount computed by multiplying the statutory federal income tax rate times the income before income taxes due to the following:</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6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20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1999</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Courier New" w:cs="Courier New" w:eastAsia="Courier New" w:hAnsi="Courier New"/>
                <w:sz w:val="17"/>
                <w:szCs w:val="17"/>
                <w:color w:val="auto"/>
              </w:rPr>
              <w:t>Income tax expense at statutory rate</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$ 267</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$ 109</w:t>
            </w:r>
          </w:p>
        </w:tc>
        <w:tc>
          <w:tcPr>
            <w:tcW w:w="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$ 228</w:t>
            </w: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w:t>
            </w:r>
          </w:p>
        </w:tc>
        <w:tc>
          <w:tcPr>
            <w:tcW w:w="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w:t>
            </w: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Benefit from ESOP dividends</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w:t>
            </w:r>
          </w:p>
        </w:tc>
        <w:tc>
          <w:tcPr>
            <w:tcW w:w="9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Other, net</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w:t>
            </w:r>
          </w:p>
        </w:tc>
        <w:tc>
          <w:tcPr>
            <w:tcW w:w="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300"/>
        <w:spacing w:after="0"/>
        <w:tabs>
          <w:tab w:leader="none" w:pos="5200" w:val="left"/>
          <w:tab w:leader="none" w:pos="6120" w:val="left"/>
        </w:tabs>
        <w:rPr>
          <w:sz w:val="20"/>
          <w:szCs w:val="20"/>
          <w:color w:val="auto"/>
        </w:rPr>
      </w:pPr>
      <w:r>
        <w:rPr>
          <w:rFonts w:ascii="Courier New" w:cs="Courier New" w:eastAsia="Courier New" w:hAnsi="Courier New"/>
          <w:sz w:val="17"/>
          <w:szCs w:val="17"/>
          <w:color w:val="auto"/>
        </w:rPr>
        <w:t>$ 279</w:t>
      </w:r>
      <w:r>
        <w:rPr>
          <w:sz w:val="20"/>
          <w:szCs w:val="20"/>
          <w:color w:val="auto"/>
        </w:rPr>
        <w:tab/>
      </w:r>
      <w:r>
        <w:rPr>
          <w:rFonts w:ascii="Courier New" w:cs="Courier New" w:eastAsia="Courier New" w:hAnsi="Courier New"/>
          <w:sz w:val="17"/>
          <w:szCs w:val="17"/>
          <w:color w:val="auto"/>
        </w:rPr>
        <w:t>$ 118</w:t>
      </w:r>
      <w:r>
        <w:rPr>
          <w:sz w:val="20"/>
          <w:szCs w:val="20"/>
          <w:color w:val="auto"/>
        </w:rPr>
        <w:tab/>
      </w:r>
      <w:r>
        <w:rPr>
          <w:rFonts w:ascii="Courier New" w:cs="Courier New" w:eastAsia="Courier New" w:hAnsi="Courier New"/>
          <w:sz w:val="17"/>
          <w:szCs w:val="17"/>
          <w:color w:val="auto"/>
        </w:rPr>
        <w:t>$ 244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w:t>
      </w:r>
    </w:p>
    <w:p>
      <w:pPr>
        <w:spacing w:after="0" w:line="201" w:lineRule="exact"/>
        <w:rPr>
          <w:sz w:val="20"/>
          <w:szCs w:val="20"/>
          <w:color w:val="auto"/>
        </w:rPr>
      </w:pPr>
    </w:p>
    <w:p>
      <w:pPr>
        <w:jc w:val="both"/>
        <w:ind w:right="1959" w:firstLine="511"/>
        <w:spacing w:after="0" w:line="244" w:lineRule="auto"/>
        <w:rPr>
          <w:sz w:val="20"/>
          <w:szCs w:val="20"/>
          <w:color w:val="auto"/>
        </w:rPr>
      </w:pPr>
      <w:r>
        <w:rPr>
          <w:rFonts w:ascii="Courier New" w:cs="Courier New" w:eastAsia="Courier New" w:hAnsi="Courier New"/>
          <w:sz w:val="17"/>
          <w:szCs w:val="17"/>
          <w:color w:val="auto"/>
        </w:rPr>
        <w:t>The tax effects of significant temporary differences and carryforwards that gave rise to year-end deferred federal and state tax balances, as categorized in the Consolidated Statements of Financial Position, were as follows:</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139"/>
          </w:cols>
          <w:pgMar w:left="320" w:top="70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3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Deductible temporary differences</w:t>
            </w:r>
          </w:p>
        </w:tc>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Provision for estimated expenses</w:t>
            </w:r>
          </w:p>
        </w:tc>
        <w:tc>
          <w:tcPr>
            <w:tcW w:w="20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33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41</w:t>
            </w:r>
          </w:p>
        </w:tc>
      </w:tr>
      <w:tr>
        <w:trPr>
          <w:trHeight w:val="197"/>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Retiree benefit plan expense</w:t>
            </w:r>
          </w:p>
        </w:tc>
        <w:tc>
          <w:tcPr>
            <w:tcW w:w="20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364</w:t>
            </w:r>
          </w:p>
        </w:tc>
      </w:tr>
      <w:tr>
        <w:trPr>
          <w:trHeight w:val="197"/>
        </w:trPr>
        <w:tc>
          <w:tcPr>
            <w:tcW w:w="48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20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440"/>
        <w:spacing w:after="0"/>
        <w:tabs>
          <w:tab w:leader="none" w:pos="746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417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Taxable temporary</w:t>
            </w:r>
          </w:p>
        </w:tc>
        <w:tc>
          <w:tcPr>
            <w:tcW w:w="3120" w:type="dxa"/>
            <w:vAlign w:val="bottom"/>
          </w:tcPr>
          <w:p>
            <w:pPr>
              <w:ind w:left="40"/>
              <w:spacing w:after="0"/>
              <w:rPr>
                <w:sz w:val="20"/>
                <w:szCs w:val="20"/>
                <w:color w:val="auto"/>
              </w:rPr>
            </w:pPr>
            <w:r>
              <w:rPr>
                <w:rFonts w:ascii="Courier New" w:cs="Courier New" w:eastAsia="Courier New" w:hAnsi="Courier New"/>
                <w:sz w:val="17"/>
                <w:szCs w:val="17"/>
                <w:color w:val="auto"/>
              </w:rPr>
              <w:t>differences</w:t>
            </w:r>
          </w:p>
        </w:tc>
        <w:tc>
          <w:tcPr>
            <w:tcW w:w="2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49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Income on contracts</w:t>
            </w:r>
          </w:p>
        </w:tc>
        <w:tc>
          <w:tcPr>
            <w:tcW w:w="2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7"/>
        </w:trPr>
        <w:tc>
          <w:tcPr>
            <w:tcW w:w="49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Purchased intangibles</w:t>
            </w:r>
          </w:p>
        </w:tc>
        <w:tc>
          <w:tcPr>
            <w:tcW w:w="2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197"/>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Excess tax over</w:t>
            </w:r>
          </w:p>
        </w:tc>
        <w:tc>
          <w:tcPr>
            <w:tcW w:w="3120" w:type="dxa"/>
            <w:vAlign w:val="bottom"/>
          </w:tcPr>
          <w:p>
            <w:pPr>
              <w:ind w:left="40"/>
              <w:spacing w:after="0"/>
              <w:rPr>
                <w:sz w:val="20"/>
                <w:szCs w:val="20"/>
                <w:color w:val="auto"/>
              </w:rPr>
            </w:pPr>
            <w:r>
              <w:rPr>
                <w:rFonts w:ascii="Courier New" w:cs="Courier New" w:eastAsia="Courier New" w:hAnsi="Courier New"/>
                <w:sz w:val="17"/>
                <w:szCs w:val="17"/>
                <w:color w:val="auto"/>
              </w:rPr>
              <w:t>book depreciation</w:t>
            </w:r>
          </w:p>
        </w:tc>
        <w:tc>
          <w:tcPr>
            <w:tcW w:w="2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197"/>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bl>
    <w:p>
      <w:pPr>
        <w:spacing w:after="0" w:line="4" w:lineRule="exact"/>
        <w:rPr>
          <w:sz w:val="20"/>
          <w:szCs w:val="20"/>
          <w:color w:val="auto"/>
        </w:rPr>
      </w:pPr>
    </w:p>
    <w:p>
      <w:pPr>
        <w:ind w:left="200" w:hanging="195"/>
        <w:spacing w:after="0"/>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7360" w:hanging="1013"/>
        <w:spacing w:after="0"/>
        <w:tabs>
          <w:tab w:leader="none" w:pos="736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(227)</w:t>
      </w:r>
    </w:p>
    <w:p>
      <w:pPr>
        <w:spacing w:after="0" w:line="4"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40"/>
        <w:spacing w:after="0"/>
        <w:tabs>
          <w:tab w:leader="none" w:pos="6420" w:val="left"/>
          <w:tab w:leader="none" w:pos="7140" w:val="left"/>
          <w:tab w:leader="none" w:pos="7460" w:val="left"/>
        </w:tabs>
        <w:rPr>
          <w:sz w:val="20"/>
          <w:szCs w:val="20"/>
          <w:color w:val="auto"/>
        </w:rPr>
      </w:pPr>
      <w:r>
        <w:rPr>
          <w:rFonts w:ascii="Courier New" w:cs="Courier New" w:eastAsia="Courier New" w:hAnsi="Courier New"/>
          <w:sz w:val="17"/>
          <w:szCs w:val="17"/>
          <w:color w:val="auto"/>
        </w:rPr>
        <w:t>$</w:t>
        <w:tab/>
        <w:t>23</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190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960" w:type="dxa"/>
            <w:vAlign w:val="bottom"/>
          </w:tcPr>
          <w:p>
            <w:pPr>
              <w:ind w:left="100"/>
              <w:spacing w:after="0"/>
              <w:rPr>
                <w:sz w:val="20"/>
                <w:szCs w:val="20"/>
                <w:color w:val="auto"/>
              </w:rPr>
            </w:pPr>
            <w:r>
              <w:rPr>
                <w:rFonts w:ascii="Courier New" w:cs="Courier New" w:eastAsia="Courier New" w:hAnsi="Courier New"/>
                <w:sz w:val="17"/>
                <w:szCs w:val="17"/>
                <w:color w:val="auto"/>
              </w:rPr>
              <w:t>Taxable temporary differences</w:t>
            </w: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Income on contracts</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913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865</w:t>
            </w: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Goodwill amortization</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95</w:t>
            </w:r>
          </w:p>
        </w:tc>
        <w:tc>
          <w:tcPr>
            <w:tcW w:w="880" w:type="dxa"/>
            <w:vAlign w:val="bottom"/>
          </w:tcPr>
          <w:p>
            <w:pPr>
              <w:spacing w:after="0"/>
              <w:rPr>
                <w:sz w:val="17"/>
                <w:szCs w:val="17"/>
                <w:color w:val="auto"/>
              </w:rPr>
            </w:pP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Purchased intangibles</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89</w:t>
            </w:r>
          </w:p>
        </w:tc>
        <w:tc>
          <w:tcPr>
            <w:tcW w:w="880" w:type="dxa"/>
            <w:vAlign w:val="bottom"/>
          </w:tcPr>
          <w:p>
            <w:pPr>
              <w:spacing w:after="0"/>
              <w:rPr>
                <w:sz w:val="17"/>
                <w:szCs w:val="17"/>
                <w:color w:val="auto"/>
              </w:rPr>
            </w:pP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Excess tax over book depreciation</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72</w:t>
            </w:r>
          </w:p>
        </w:tc>
        <w:tc>
          <w:tcPr>
            <w:tcW w:w="880" w:type="dxa"/>
            <w:vAlign w:val="bottom"/>
          </w:tcPr>
          <w:p>
            <w:pPr>
              <w:spacing w:after="0"/>
              <w:rPr>
                <w:sz w:val="17"/>
                <w:szCs w:val="17"/>
                <w:color w:val="auto"/>
              </w:rPr>
            </w:pP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Administrative and general expenses</w:t>
            </w: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4960" w:type="dxa"/>
            <w:vAlign w:val="bottom"/>
          </w:tcPr>
          <w:p>
            <w:pPr>
              <w:ind w:left="620"/>
              <w:spacing w:after="0"/>
              <w:rPr>
                <w:sz w:val="20"/>
                <w:szCs w:val="20"/>
                <w:color w:val="auto"/>
              </w:rPr>
            </w:pPr>
            <w:r>
              <w:rPr>
                <w:rFonts w:ascii="Courier New" w:cs="Courier New" w:eastAsia="Courier New" w:hAnsi="Courier New"/>
                <w:sz w:val="17"/>
                <w:szCs w:val="17"/>
                <w:color w:val="auto"/>
              </w:rPr>
              <w:t>period costed for tax purposes</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7"/>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94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w:t>
            </w:r>
          </w:p>
        </w:tc>
        <w:tc>
          <w:tcPr>
            <w:tcW w:w="8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140"/>
        <w:spacing w:after="0"/>
        <w:tabs>
          <w:tab w:leader="none" w:pos="7460" w:val="left"/>
        </w:tabs>
        <w:rPr>
          <w:sz w:val="20"/>
          <w:szCs w:val="20"/>
          <w:color w:val="auto"/>
        </w:rPr>
      </w:pPr>
      <w:r>
        <w:rPr>
          <w:rFonts w:ascii="Courier New" w:cs="Courier New" w:eastAsia="Courier New" w:hAnsi="Courier New"/>
          <w:sz w:val="17"/>
          <w:szCs w:val="17"/>
          <w:color w:val="auto"/>
        </w:rPr>
        <w:t>1,197</w:t>
      </w:r>
      <w:r>
        <w:rPr>
          <w:sz w:val="20"/>
          <w:szCs w:val="20"/>
          <w:color w:val="auto"/>
        </w:rPr>
        <w:tab/>
      </w:r>
      <w:r>
        <w:rPr>
          <w:rFonts w:ascii="Courier New" w:cs="Courier New" w:eastAsia="Courier New" w:hAnsi="Courier New"/>
          <w:sz w:val="17"/>
          <w:szCs w:val="17"/>
          <w:color w:val="auto"/>
        </w:rPr>
        <w:t>883</w:t>
      </w:r>
    </w:p>
    <w:p>
      <w:pPr>
        <w:spacing w:after="0" w:line="4" w:lineRule="exact"/>
        <w:rPr>
          <w:sz w:val="20"/>
          <w:szCs w:val="20"/>
          <w:color w:val="auto"/>
        </w:rPr>
      </w:pPr>
    </w:p>
    <w:p>
      <w:pPr>
        <w:ind w:left="200" w:hanging="195"/>
        <w:spacing w:after="0"/>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Deductible temporary differences</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Provision for estimated expenses</w:t>
            </w:r>
          </w:p>
        </w:tc>
        <w:tc>
          <w:tcPr>
            <w:tcW w:w="21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(174)</w:t>
            </w:r>
          </w:p>
        </w:tc>
      </w:tr>
      <w:tr>
        <w:trPr>
          <w:trHeight w:val="197"/>
        </w:trPr>
        <w:tc>
          <w:tcPr>
            <w:tcW w:w="4600" w:type="dxa"/>
            <w:vAlign w:val="bottom"/>
          </w:tcPr>
          <w:p>
            <w:pPr>
              <w:spacing w:after="0"/>
              <w:rPr>
                <w:sz w:val="20"/>
                <w:szCs w:val="20"/>
                <w:color w:val="auto"/>
              </w:rPr>
            </w:pPr>
            <w:r>
              <w:rPr>
                <w:rFonts w:ascii="Courier New" w:cs="Courier New" w:eastAsia="Courier New" w:hAnsi="Courier New"/>
                <w:sz w:val="17"/>
                <w:szCs w:val="17"/>
                <w:color w:val="auto"/>
              </w:rPr>
              <w:t>Retiree benefit plan expense</w:t>
            </w:r>
          </w:p>
        </w:tc>
        <w:tc>
          <w:tcPr>
            <w:tcW w:w="21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7"/>
        </w:trPr>
        <w:tc>
          <w:tcPr>
            <w:tcW w:w="460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1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bl>
    <w:p>
      <w:pPr>
        <w:spacing w:after="0" w:line="4" w:lineRule="exact"/>
        <w:rPr>
          <w:sz w:val="20"/>
          <w:szCs w:val="20"/>
          <w:color w:val="auto"/>
        </w:rPr>
      </w:pPr>
    </w:p>
    <w:p>
      <w:pPr>
        <w:ind w:left="200" w:hanging="195"/>
        <w:spacing w:after="0"/>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7360" w:hanging="1116"/>
        <w:spacing w:after="0"/>
        <w:tabs>
          <w:tab w:leader="none" w:pos="736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(220)</w:t>
      </w:r>
    </w:p>
    <w:p>
      <w:pPr>
        <w:spacing w:after="0" w:line="4"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Tax carryforwards</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Tax credits</w:t>
            </w:r>
          </w:p>
        </w:tc>
        <w:tc>
          <w:tcPr>
            <w:tcW w:w="3380" w:type="dxa"/>
            <w:vAlign w:val="bottom"/>
          </w:tcPr>
          <w:p>
            <w:pPr>
              <w:spacing w:after="0"/>
              <w:rPr>
                <w:sz w:val="16"/>
                <w:szCs w:val="16"/>
                <w:color w:val="auto"/>
              </w:rPr>
            </w:pPr>
          </w:p>
        </w:tc>
        <w:tc>
          <w:tcPr>
            <w:tcW w:w="22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197"/>
        </w:trPr>
        <w:tc>
          <w:tcPr>
            <w:tcW w:w="1160" w:type="dxa"/>
            <w:vAlign w:val="bottom"/>
          </w:tcPr>
          <w:p>
            <w:pPr>
              <w:spacing w:after="0"/>
              <w:rPr>
                <w:sz w:val="20"/>
                <w:szCs w:val="20"/>
                <w:color w:val="auto"/>
              </w:rPr>
            </w:pPr>
            <w:r>
              <w:rPr>
                <w:rFonts w:ascii="Courier New" w:cs="Courier New" w:eastAsia="Courier New" w:hAnsi="Courier New"/>
                <w:sz w:val="17"/>
                <w:szCs w:val="17"/>
                <w:color w:val="auto"/>
              </w:rPr>
              <w:t>Alternative</w:t>
            </w:r>
          </w:p>
        </w:tc>
        <w:tc>
          <w:tcPr>
            <w:tcW w:w="3380" w:type="dxa"/>
            <w:vAlign w:val="bottom"/>
          </w:tcPr>
          <w:p>
            <w:pPr>
              <w:ind w:left="60"/>
              <w:spacing w:after="0"/>
              <w:rPr>
                <w:sz w:val="20"/>
                <w:szCs w:val="20"/>
                <w:color w:val="auto"/>
              </w:rPr>
            </w:pPr>
            <w:r>
              <w:rPr>
                <w:rFonts w:ascii="Courier New" w:cs="Courier New" w:eastAsia="Courier New" w:hAnsi="Courier New"/>
                <w:sz w:val="17"/>
                <w:szCs w:val="17"/>
                <w:color w:val="auto"/>
              </w:rPr>
              <w:t>minimum tax credit</w:t>
            </w:r>
          </w:p>
        </w:tc>
        <w:tc>
          <w:tcPr>
            <w:tcW w:w="22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(54)</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bl>
    <w:p>
      <w:pPr>
        <w:spacing w:after="0" w:line="4" w:lineRule="exact"/>
        <w:rPr>
          <w:sz w:val="20"/>
          <w:szCs w:val="20"/>
          <w:color w:val="auto"/>
        </w:rPr>
      </w:pPr>
    </w:p>
    <w:p>
      <w:pPr>
        <w:ind w:left="200" w:hanging="195"/>
        <w:spacing w:after="0"/>
        <w:tabs>
          <w:tab w:leader="none" w:pos="2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7360" w:hanging="1116"/>
        <w:spacing w:after="0"/>
        <w:tabs>
          <w:tab w:leader="none" w:pos="736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(136)</w:t>
      </w:r>
    </w:p>
    <w:p>
      <w:pPr>
        <w:spacing w:after="0" w:line="4"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40"/>
        <w:spacing w:after="0"/>
        <w:tabs>
          <w:tab w:leader="none" w:pos="6320" w:val="left"/>
          <w:tab w:leader="none" w:pos="7140" w:val="left"/>
          <w:tab w:leader="none" w:pos="7460" w:val="left"/>
        </w:tabs>
        <w:rPr>
          <w:sz w:val="20"/>
          <w:szCs w:val="20"/>
          <w:color w:val="auto"/>
        </w:rPr>
      </w:pPr>
      <w:r>
        <w:rPr>
          <w:rFonts w:ascii="Courier New" w:cs="Courier New" w:eastAsia="Courier New" w:hAnsi="Courier New"/>
          <w:sz w:val="17"/>
          <w:szCs w:val="17"/>
          <w:color w:val="auto"/>
        </w:rPr>
        <w:t>$</w:t>
        <w:tab/>
        <w:t>614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527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gridSpan w:val="3"/>
          </w:tcPr>
          <w:p>
            <w:pPr>
              <w:spacing w:after="0"/>
              <w:rPr>
                <w:sz w:val="20"/>
                <w:szCs w:val="20"/>
                <w:color w:val="auto"/>
              </w:rPr>
            </w:pPr>
            <w:r>
              <w:rPr>
                <w:rFonts w:ascii="Courier New" w:cs="Courier New" w:eastAsia="Courier New" w:hAnsi="Courier New"/>
                <w:sz w:val="17"/>
                <w:szCs w:val="17"/>
                <w:color w:val="auto"/>
              </w:rPr>
              <w:t>Net deferred tax liability</w:t>
            </w:r>
          </w:p>
        </w:tc>
        <w:tc>
          <w:tcPr>
            <w:tcW w:w="2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56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Total deferred tax liabilities (taxable</w:t>
            </w: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temporary</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differences</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above)</w:t>
            </w:r>
          </w:p>
        </w:tc>
        <w:tc>
          <w:tcPr>
            <w:tcW w:w="2460" w:type="dxa"/>
            <w:vAlign w:val="bottom"/>
          </w:tcPr>
          <w:p>
            <w:pPr>
              <w:spacing w:after="0"/>
              <w:rPr>
                <w:sz w:val="17"/>
                <w:szCs w:val="17"/>
                <w:color w:val="auto"/>
              </w:rPr>
            </w:pPr>
          </w:p>
        </w:tc>
        <w:tc>
          <w:tcPr>
            <w:tcW w:w="12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$1,207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$1,110</w:t>
            </w:r>
          </w:p>
        </w:tc>
      </w:tr>
      <w:tr>
        <w:trPr>
          <w:trHeight w:val="197"/>
        </w:trPr>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Less total</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deferred tax assets</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(deductible</w:t>
            </w: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temporary</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differences</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and tax</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carryforwards above)</w:t>
            </w:r>
          </w:p>
        </w:tc>
        <w:tc>
          <w:tcPr>
            <w:tcW w:w="12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616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040"/>
        <w:spacing w:after="0"/>
        <w:tabs>
          <w:tab w:leader="none" w:pos="6320" w:val="left"/>
          <w:tab w:leader="none" w:pos="7140" w:val="left"/>
          <w:tab w:leader="none" w:pos="7460" w:val="left"/>
        </w:tabs>
        <w:rPr>
          <w:sz w:val="20"/>
          <w:szCs w:val="20"/>
          <w:color w:val="auto"/>
        </w:rPr>
      </w:pPr>
      <w:r>
        <w:rPr>
          <w:rFonts w:ascii="Courier New" w:cs="Courier New" w:eastAsia="Courier New" w:hAnsi="Courier New"/>
          <w:sz w:val="17"/>
          <w:szCs w:val="17"/>
          <w:color w:val="auto"/>
        </w:rPr>
        <w:t>$</w:t>
        <w:tab/>
        <w:t>591</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tax carryforward benefits are expected to be used in the periods in which net deferred tax liabilities mature. These tax credit carryforwards are in various amounts and expire over the years 2001 through 2007. The alternative minimum tax credit can be carried forward indefinitely.</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139"/>
          </w:cols>
          <w:pgMar w:left="320" w:top="90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PAYABLE TO BANKS AND LONG-TERM DEBT</w:t>
      </w:r>
    </w:p>
    <w:p>
      <w:pPr>
        <w:spacing w:after="0" w:line="201" w:lineRule="exact"/>
        <w:rPr>
          <w:sz w:val="20"/>
          <w:szCs w:val="20"/>
          <w:color w:val="auto"/>
        </w:rPr>
      </w:pPr>
    </w:p>
    <w:p>
      <w:pPr>
        <w:ind w:right="2259"/>
        <w:spacing w:after="0" w:line="245" w:lineRule="auto"/>
        <w:rPr>
          <w:sz w:val="20"/>
          <w:szCs w:val="20"/>
          <w:color w:val="auto"/>
        </w:rPr>
      </w:pPr>
      <w:r>
        <w:rPr>
          <w:rFonts w:ascii="Courier New" w:cs="Courier New" w:eastAsia="Courier New" w:hAnsi="Courier New"/>
          <w:sz w:val="17"/>
          <w:szCs w:val="17"/>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 At December 31, 1999, $25 million was outstanding at a weighted average interest rate of 6.75 percent. At December 31, 1998, $67 million was outstanding at a weighted average interest rate of 5.60 percent.</w:t>
      </w:r>
    </w:p>
    <w:p>
      <w:pPr>
        <w:spacing w:after="0" w:line="197"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Additionally, the company has a credit agreement with a group of domestic and foreign banks to provide for two credit facilities: $1.8 billion available on a revolving credit basis through March 2002; and a term loan payable in nine quarterly installments of $50 million plus interest through March 1, 2002. The company pays, at least quarterly, interest on the outstanding debt under the credit agreement at rates that vary based in part on the company's credit rating and leverage ratio.</w:t>
      </w:r>
    </w:p>
    <w:p>
      <w:pPr>
        <w:spacing w:after="0" w:line="197"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At December 31, 1999, $150 million at a weighted average interest rate of 6.76 percent was outstanding under the company's revolving credit facility. At December 31, 1998, $512 million at a weighted average interest rate of 5.66 percent was outstanding. At December 31, 1999, the $450 million term loan had a weighted average interest rate of 6.61 percent. At December 31, 1998, $650 million was outstanding at a weighted average interest rate of 5.68 percent. Principal payments permanently reduce the amount available under this agreement as well as the debt outstanding. Under these agreements, in the event of a "change in control," the banks are relieved of their commitments. Compensating balances are not required under these agreements.</w:t>
      </w:r>
    </w:p>
    <w:p>
      <w:pPr>
        <w:spacing w:after="0" w:line="1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company's credit agreements contain restrictions relating to the payment of dividends, acquisition of the company's stock, aggregate indebtedness for borrowed money and interest coverage. At December 31, 1999, $880 million of retained earnings were unrestricted as to the payment of dividends.</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139"/>
          </w:cols>
          <w:pgMar w:left="320" w:top="70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Long-term 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122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1999</w:t>
            </w:r>
          </w:p>
        </w:tc>
        <w:tc>
          <w:tcPr>
            <w:tcW w:w="8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1998</w:t>
            </w:r>
          </w:p>
        </w:tc>
      </w:tr>
      <w:tr>
        <w:trPr>
          <w:trHeight w:val="197"/>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Notes due 2004, 8.625%</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350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350</w:t>
            </w:r>
          </w:p>
        </w:tc>
      </w:t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Notes due 2006, 7%</w:t>
            </w:r>
          </w:p>
        </w:tc>
        <w:tc>
          <w:tcPr>
            <w:tcW w:w="1220" w:type="dxa"/>
            <w:vAlign w:val="bottom"/>
          </w:tcPr>
          <w:p>
            <w:pPr>
              <w:spacing w:after="0"/>
              <w:rPr>
                <w:sz w:val="17"/>
                <w:szCs w:val="17"/>
                <w:color w:val="auto"/>
              </w:rPr>
            </w:pP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400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w:t>
            </w:r>
          </w:p>
        </w:tc>
      </w:t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Debentures due 2016,</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7.75%</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300</w:t>
            </w:r>
          </w:p>
        </w:tc>
      </w:t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Debentures due 2024,</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9.375%</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250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250</w:t>
            </w:r>
          </w:p>
        </w:tc>
      </w:t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Debentures due 2026,</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7.875%</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300</w:t>
            </w:r>
          </w:p>
        </w:tc>
      </w:tr>
      <w:tr>
        <w:trPr>
          <w:trHeight w:val="197"/>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Revolving credit facility</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150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512</w:t>
            </w:r>
          </w:p>
        </w:tc>
      </w:tr>
      <w:tr>
        <w:trPr>
          <w:trHeight w:val="197"/>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Term loans payable to banks</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450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650</w:t>
            </w:r>
          </w:p>
        </w:tc>
      </w:tr>
      <w:tr>
        <w:trPr>
          <w:trHeight w:val="197"/>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7"/>
        </w:trPr>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2,200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2,762</w:t>
            </w:r>
          </w:p>
        </w:tc>
      </w:t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Less current portion</w:t>
            </w:r>
          </w:p>
        </w:tc>
        <w:tc>
          <w:tcPr>
            <w:tcW w:w="1220" w:type="dxa"/>
            <w:vAlign w:val="bottom"/>
          </w:tcPr>
          <w:p>
            <w:pPr>
              <w:spacing w:after="0"/>
              <w:rPr>
                <w:sz w:val="17"/>
                <w:szCs w:val="17"/>
                <w:color w:val="auto"/>
              </w:rPr>
            </w:pP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200</w:t>
            </w:r>
          </w:p>
        </w:tc>
        <w:tc>
          <w:tcPr>
            <w:tcW w:w="8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w:t>
            </w:r>
          </w:p>
        </w:tc>
      </w:tr>
    </w:tbl>
    <w:p>
      <w:pPr>
        <w:spacing w:after="0" w:line="4" w:lineRule="exact"/>
        <w:rPr>
          <w:sz w:val="20"/>
          <w:szCs w:val="20"/>
          <w:color w:val="auto"/>
        </w:rPr>
      </w:pPr>
    </w:p>
    <w:p>
      <w:pPr>
        <w:ind w:left="200" w:hanging="195"/>
        <w:spacing w:after="0"/>
        <w:tabs>
          <w:tab w:leader="none" w:pos="2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4" w:lineRule="exact"/>
        <w:rPr>
          <w:rFonts w:ascii="Courier New" w:cs="Courier New" w:eastAsia="Courier New" w:hAnsi="Courier New"/>
          <w:sz w:val="17"/>
          <w:szCs w:val="17"/>
          <w:color w:val="auto"/>
        </w:rPr>
      </w:pPr>
    </w:p>
    <w:p>
      <w:pPr>
        <w:ind w:left="3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$2,562</w:t>
      </w:r>
    </w:p>
    <w:p>
      <w:pPr>
        <w:spacing w:after="0" w:line="4" w:lineRule="exact"/>
        <w:rPr>
          <w:rFonts w:ascii="Courier New" w:cs="Courier New" w:eastAsia="Courier New" w:hAnsi="Courier New"/>
          <w:sz w:val="17"/>
          <w:szCs w:val="17"/>
          <w:color w:val="auto"/>
        </w:rPr>
      </w:pPr>
    </w:p>
    <w:p>
      <w:pPr>
        <w:ind w:left="3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395"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debt indenture contains restrictions relating to limitations on liens, sale and leaseback arrangements and funded debt of subsidiaries.</w:t>
      </w:r>
    </w:p>
    <w:p>
      <w:pPr>
        <w:spacing w:after="0" w:line="199"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principal amount of long-term debt outstanding at December 31, 1999, due in each of the years 2000 and 2001 is $200 million, with $50 million due in 2002, $350 million due in 2004 and $1,400 million due thereafter.</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139"/>
          </w:cols>
          <w:pgMar w:left="320" w:top="70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VALUE OF FINANCIAL INSTRUMENTS</w:t>
      </w:r>
    </w:p>
    <w:p>
      <w:pPr>
        <w:spacing w:after="0" w:line="5"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The following methods and assumptions were used by the company in estimating its fair value disclosures for financial instruments:</w:t>
      </w:r>
    </w:p>
    <w:p>
      <w:pPr>
        <w:spacing w:after="0" w:line="199" w:lineRule="exact"/>
        <w:rPr>
          <w:sz w:val="20"/>
          <w:szCs w:val="20"/>
          <w:color w:val="auto"/>
        </w:rPr>
      </w:pPr>
    </w:p>
    <w:p>
      <w:pPr>
        <w:ind w:left="520" w:right="2159"/>
        <w:spacing w:after="0" w:line="244" w:lineRule="auto"/>
        <w:rPr>
          <w:sz w:val="20"/>
          <w:szCs w:val="20"/>
          <w:color w:val="auto"/>
        </w:rPr>
      </w:pPr>
      <w:r>
        <w:rPr>
          <w:rFonts w:ascii="Courier New" w:cs="Courier New" w:eastAsia="Courier New" w:hAnsi="Courier New"/>
          <w:sz w:val="17"/>
          <w:szCs w:val="17"/>
          <w:color w:val="auto"/>
        </w:rPr>
        <w:t>Due to the short-term nature of these items, the carrying amount reported in the Consolidated Statements of Financial Position for Cash and Cash Equivalents and amounts borrowed under the company's short-term credit lines are estimated to approximate fair value.</w:t>
      </w:r>
    </w:p>
    <w:p>
      <w:pPr>
        <w:spacing w:after="0" w:line="200" w:lineRule="exact"/>
        <w:rPr>
          <w:sz w:val="20"/>
          <w:szCs w:val="20"/>
          <w:color w:val="auto"/>
        </w:rPr>
      </w:pPr>
    </w:p>
    <w:p>
      <w:pPr>
        <w:ind w:left="520" w:right="2259"/>
        <w:spacing w:after="0" w:line="244" w:lineRule="auto"/>
        <w:rPr>
          <w:sz w:val="20"/>
          <w:szCs w:val="20"/>
          <w:color w:val="auto"/>
        </w:rPr>
      </w:pPr>
      <w:r>
        <w:rPr>
          <w:rFonts w:ascii="Courier New" w:cs="Courier New" w:eastAsia="Courier New" w:hAnsi="Courier New"/>
          <w:sz w:val="17"/>
          <w:szCs w:val="17"/>
          <w:color w:val="auto"/>
        </w:rPr>
        <w:t>The fair value of the long-term debt at the respective year-ends was calculated based on interest rates available for debt with terms and due dates similar to the company's existing debt arrangements.</w:t>
      </w:r>
    </w:p>
    <w:p>
      <w:pPr>
        <w:spacing w:after="0" w:line="199"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 has limited involvement with derivative financial instruments and does not use them for trading purposes. To mitigate the variable rate characteristic of its term loans, the company has from time to time entered into interest rate swap agreements. No interest rate swap agreements were in effect at December 31, 1999, or December 31, 1998. If any interest rate swap agreements had existed, unrealized gains(losses) would be calculated based upon the amounts at which they could have been settled at then current interest rates.</w:t>
      </w:r>
    </w:p>
    <w:p>
      <w:pPr>
        <w:spacing w:after="0" w:line="394" w:lineRule="exact"/>
        <w:rPr>
          <w:sz w:val="20"/>
          <w:szCs w:val="20"/>
          <w:color w:val="auto"/>
        </w:rPr>
      </w:pPr>
    </w:p>
    <w:p>
      <w:pPr>
        <w:ind w:right="2359" w:firstLine="511"/>
        <w:spacing w:after="0" w:line="244" w:lineRule="auto"/>
        <w:rPr>
          <w:sz w:val="20"/>
          <w:szCs w:val="20"/>
          <w:color w:val="auto"/>
        </w:rPr>
      </w:pPr>
      <w:r>
        <w:rPr>
          <w:rFonts w:ascii="Courier New" w:cs="Courier New" w:eastAsia="Courier New" w:hAnsi="Courier New"/>
          <w:sz w:val="17"/>
          <w:szCs w:val="17"/>
          <w:color w:val="auto"/>
        </w:rPr>
        <w:t>Carrying amounts and the related estimated fair values of the company's financial instruments at December 31 of each year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1999</w:t>
            </w:r>
          </w:p>
        </w:tc>
        <w:tc>
          <w:tcPr>
            <w:tcW w:w="9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1998</w:t>
            </w:r>
          </w:p>
        </w:tc>
      </w:t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7"/>
        </w:trPr>
        <w:tc>
          <w:tcPr>
            <w:tcW w:w="2260" w:type="dxa"/>
            <w:vAlign w:val="bottom"/>
          </w:tcPr>
          <w:p>
            <w:pPr>
              <w:ind w:left="100"/>
              <w:spacing w:after="0"/>
              <w:rPr>
                <w:sz w:val="20"/>
                <w:szCs w:val="20"/>
                <w:color w:val="auto"/>
              </w:rPr>
            </w:pPr>
            <w:r>
              <w:rPr>
                <w:rFonts w:ascii="Courier New" w:cs="Courier New" w:eastAsia="Courier New" w:hAnsi="Courier New"/>
                <w:sz w:val="17"/>
                <w:szCs w:val="17"/>
                <w:color w:val="auto"/>
              </w:rPr>
              <w:t>Carrying amount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$2,200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$2,762</w:t>
            </w:r>
          </w:p>
        </w:tc>
      </w:tr>
      <w:tr>
        <w:trPr>
          <w:trHeight w:val="197"/>
        </w:trPr>
        <w:tc>
          <w:tcPr>
            <w:tcW w:w="2260" w:type="dxa"/>
            <w:vAlign w:val="bottom"/>
          </w:tcPr>
          <w:p>
            <w:pPr>
              <w:ind w:left="100"/>
              <w:spacing w:after="0"/>
              <w:rPr>
                <w:sz w:val="20"/>
                <w:szCs w:val="20"/>
                <w:color w:val="auto"/>
              </w:rPr>
            </w:pPr>
            <w:r>
              <w:rPr>
                <w:rFonts w:ascii="Courier New" w:cs="Courier New" w:eastAsia="Courier New" w:hAnsi="Courier New"/>
                <w:sz w:val="17"/>
                <w:szCs w:val="17"/>
                <w:color w:val="auto"/>
              </w:rPr>
              <w:t>Fair value</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2,154</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2,914</w:t>
            </w:r>
          </w:p>
        </w:tc>
      </w:t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0"/>
        </w:trPr>
        <w:tc>
          <w:tcPr>
            <w:tcW w:w="2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bl>
    <w:p>
      <w:pPr>
        <w:sectPr>
          <w:pgSz w:w="11900" w:h="16838" w:orient="portrait"/>
          <w:cols w:equalWidth="0" w:num="1">
            <w:col w:w="10139"/>
          </w:cols>
          <w:pgMar w:left="320" w:top="70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BENEFITS</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The company sponsors several defined-benefit pension plans covering over 80 percent of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Five of the company's fourteen qualified plans, which cover more than 70 percent of all employees, were in a legally defined full-funding limitation status at December 31, 1999.</w:t>
      </w:r>
    </w:p>
    <w:p>
      <w:pPr>
        <w:spacing w:after="0" w:line="1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and subsidiaries also sponsor defined-contribution plans in which most employees are eligible to participate. Company contributions for most plans are based on a matching of employee contributions up to 4 percent of compensation.</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70 percent of the company's current retirees participate in the medical plans. Plan documents reserve the company's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139"/>
          </w:cols>
          <w:pgMar w:left="320" w:top="70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cost to the company of these plans in each of the last three years is shown in the following table.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Pension</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Benefits</w:t>
            </w:r>
          </w:p>
        </w:tc>
        <w:tc>
          <w:tcPr>
            <w:tcW w:w="560" w:type="dxa"/>
            <w:vAlign w:val="bottom"/>
          </w:tcPr>
          <w:p>
            <w:pPr>
              <w:spacing w:after="0"/>
              <w:rPr>
                <w:sz w:val="16"/>
                <w:szCs w:val="16"/>
                <w:color w:val="auto"/>
              </w:rPr>
            </w:pPr>
          </w:p>
        </w:tc>
        <w:tc>
          <w:tcPr>
            <w:tcW w:w="272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Medical and Life Benefits</w:t>
            </w:r>
          </w:p>
        </w:tc>
      </w:tr>
      <w:tr>
        <w:trPr>
          <w:trHeight w:val="197"/>
        </w:trPr>
        <w:tc>
          <w:tcPr>
            <w:tcW w:w="2820" w:type="dxa"/>
            <w:vAlign w:val="bottom"/>
          </w:tcPr>
          <w:p>
            <w:pPr>
              <w:spacing w:after="0"/>
              <w:rPr>
                <w:sz w:val="20"/>
                <w:szCs w:val="20"/>
                <w:color w:val="auto"/>
              </w:rPr>
            </w:pPr>
            <w:r>
              <w:rPr>
                <w:rFonts w:ascii="Courier New" w:cs="Courier New" w:eastAsia="Courier New" w:hAnsi="Courier New"/>
                <w:sz w:val="17"/>
                <w:szCs w:val="17"/>
                <w:color w:val="auto"/>
              </w:rPr>
              <w:t>$ in millions</w:t>
            </w:r>
          </w:p>
        </w:tc>
        <w:tc>
          <w:tcPr>
            <w:tcW w:w="256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1999</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1999</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Components of net periodic</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benefit cost(income)</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3640" w:type="dxa"/>
            <w:vAlign w:val="bottom"/>
          </w:tcPr>
          <w:p>
            <w:pPr>
              <w:spacing w:after="0"/>
              <w:rPr>
                <w:sz w:val="20"/>
                <w:szCs w:val="20"/>
                <w:color w:val="auto"/>
              </w:rPr>
            </w:pPr>
            <w:r>
              <w:rPr>
                <w:rFonts w:ascii="Courier New" w:cs="Courier New" w:eastAsia="Courier New" w:hAnsi="Courier New"/>
                <w:sz w:val="17"/>
                <w:szCs w:val="17"/>
                <w:color w:val="auto"/>
              </w:rPr>
              <w:t>Service cost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200</w:t>
            </w: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187</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$ 162</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34</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27</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27</w:t>
            </w:r>
          </w:p>
        </w:tc>
      </w:tr>
      <w:tr>
        <w:trPr>
          <w:trHeight w:val="197"/>
        </w:trPr>
        <w:tc>
          <w:tcPr>
            <w:tcW w:w="3640" w:type="dxa"/>
            <w:vAlign w:val="bottom"/>
          </w:tcPr>
          <w:p>
            <w:pPr>
              <w:spacing w:after="0"/>
              <w:rPr>
                <w:sz w:val="20"/>
                <w:szCs w:val="20"/>
                <w:color w:val="auto"/>
              </w:rPr>
            </w:pPr>
            <w:r>
              <w:rPr>
                <w:rFonts w:ascii="Courier New" w:cs="Courier New" w:eastAsia="Courier New" w:hAnsi="Courier New"/>
                <w:sz w:val="17"/>
                <w:szCs w:val="17"/>
                <w:color w:val="auto"/>
              </w:rPr>
              <w:t>Interest cost</w:t>
            </w:r>
          </w:p>
        </w:tc>
        <w:tc>
          <w:tcPr>
            <w:tcW w:w="4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659</w:t>
            </w: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642</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618</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102</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98</w:t>
            </w:r>
          </w:p>
        </w:tc>
      </w:tr>
      <w:tr>
        <w:trPr>
          <w:trHeight w:val="197"/>
        </w:trPr>
        <w:tc>
          <w:tcPr>
            <w:tcW w:w="3640" w:type="dxa"/>
            <w:vAlign w:val="bottom"/>
          </w:tcPr>
          <w:p>
            <w:pPr>
              <w:spacing w:after="0"/>
              <w:rPr>
                <w:sz w:val="20"/>
                <w:szCs w:val="20"/>
                <w:color w:val="auto"/>
              </w:rPr>
            </w:pPr>
            <w:r>
              <w:rPr>
                <w:rFonts w:ascii="Courier New" w:cs="Courier New" w:eastAsia="Courier New" w:hAnsi="Courier New"/>
                <w:sz w:val="17"/>
                <w:szCs w:val="17"/>
                <w:color w:val="auto"/>
              </w:rPr>
              <w:t>Expected return on plan assets</w:t>
            </w:r>
          </w:p>
        </w:tc>
        <w:tc>
          <w:tcPr>
            <w:tcW w:w="4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(1,136)</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(1,008)</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(834)</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(34)</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7"/>
        </w:trPr>
        <w:tc>
          <w:tcPr>
            <w:tcW w:w="3640" w:type="dxa"/>
            <w:vAlign w:val="bottom"/>
          </w:tcPr>
          <w:p>
            <w:pPr>
              <w:spacing w:after="0"/>
              <w:rPr>
                <w:sz w:val="20"/>
                <w:szCs w:val="20"/>
                <w:color w:val="auto"/>
              </w:rPr>
            </w:pPr>
            <w:r>
              <w:rPr>
                <w:rFonts w:ascii="Courier New" w:cs="Courier New" w:eastAsia="Courier New" w:hAnsi="Courier New"/>
                <w:sz w:val="17"/>
                <w:szCs w:val="17"/>
                <w:color w:val="auto"/>
              </w:rPr>
              <w:t>Amortization of</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3640" w:type="dxa"/>
            <w:vAlign w:val="bottom"/>
          </w:tcPr>
          <w:p>
            <w:pPr>
              <w:ind w:left="420"/>
              <w:spacing w:after="0"/>
              <w:rPr>
                <w:sz w:val="20"/>
                <w:szCs w:val="20"/>
                <w:color w:val="auto"/>
              </w:rPr>
            </w:pPr>
            <w:r>
              <w:rPr>
                <w:rFonts w:ascii="Courier New" w:cs="Courier New" w:eastAsia="Courier New" w:hAnsi="Courier New"/>
                <w:sz w:val="17"/>
                <w:szCs w:val="17"/>
                <w:color w:val="auto"/>
              </w:rPr>
              <w:t>Prior service costs</w:t>
            </w:r>
          </w:p>
        </w:tc>
        <w:tc>
          <w:tcPr>
            <w:tcW w:w="4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35</w:t>
            </w: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3640" w:type="dxa"/>
            <w:vAlign w:val="bottom"/>
          </w:tcPr>
          <w:p>
            <w:pPr>
              <w:ind w:left="420"/>
              <w:spacing w:after="0"/>
              <w:rPr>
                <w:sz w:val="20"/>
                <w:szCs w:val="20"/>
                <w:color w:val="auto"/>
              </w:rPr>
            </w:pPr>
            <w:r>
              <w:rPr>
                <w:rFonts w:ascii="Courier New" w:cs="Courier New" w:eastAsia="Courier New" w:hAnsi="Courier New"/>
                <w:sz w:val="17"/>
                <w:szCs w:val="17"/>
                <w:color w:val="auto"/>
              </w:rPr>
              <w:t>Transition assets, net</w:t>
            </w:r>
          </w:p>
        </w:tc>
        <w:tc>
          <w:tcPr>
            <w:tcW w:w="4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(42)</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(42)</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7"/>
        </w:trPr>
        <w:tc>
          <w:tcPr>
            <w:tcW w:w="3640" w:type="dxa"/>
            <w:vAlign w:val="bottom"/>
          </w:tcPr>
          <w:p>
            <w:pPr>
              <w:ind w:left="420"/>
              <w:spacing w:after="0"/>
              <w:rPr>
                <w:sz w:val="20"/>
                <w:szCs w:val="20"/>
                <w:color w:val="auto"/>
              </w:rPr>
            </w:pPr>
            <w:r>
              <w:rPr>
                <w:rFonts w:ascii="Courier New" w:cs="Courier New" w:eastAsia="Courier New" w:hAnsi="Courier New"/>
                <w:sz w:val="17"/>
                <w:szCs w:val="17"/>
                <w:color w:val="auto"/>
              </w:rPr>
              <w:t>Net gain from previous years</w:t>
            </w:r>
          </w:p>
        </w:tc>
        <w:tc>
          <w:tcPr>
            <w:tcW w:w="4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(69)</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(71)</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20"/>
                <w:szCs w:val="20"/>
                <w:color w:val="auto"/>
              </w:rPr>
            </w:pPr>
            <w:r>
              <w:rPr>
                <w:rFonts w:ascii="Courier New" w:cs="Courier New" w:eastAsia="Courier New" w:hAnsi="Courier New"/>
                <w:sz w:val="17"/>
                <w:szCs w:val="17"/>
                <w:color w:val="auto"/>
              </w:rPr>
              <w:t>Net periodic benefit cost(income)</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(353)</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(266)</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$(133)</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$ 104</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72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  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3980" w:val="left"/>
          <w:tab w:leader="none" w:pos="4480" w:val="left"/>
          <w:tab w:leader="none" w:pos="5100" w:val="left"/>
          <w:tab w:leader="none" w:pos="5620" w:val="left"/>
          <w:tab w:leader="none" w:pos="6320" w:val="left"/>
          <w:tab w:leader="none" w:pos="6640" w:val="left"/>
        </w:tabs>
        <w:rPr>
          <w:sz w:val="20"/>
          <w:szCs w:val="20"/>
          <w:color w:val="auto"/>
        </w:rPr>
      </w:pPr>
      <w:r>
        <w:rPr>
          <w:rFonts w:ascii="Courier New" w:cs="Courier New" w:eastAsia="Courier New" w:hAnsi="Courier New"/>
          <w:sz w:val="17"/>
          <w:szCs w:val="17"/>
          <w:color w:val="auto"/>
        </w:rPr>
        <w:t>Defined contribution plans cost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1999</w:t>
            </w:r>
          </w:p>
        </w:tc>
        <w:tc>
          <w:tcPr>
            <w:tcW w:w="1120" w:type="dxa"/>
            <w:vAlign w:val="bottom"/>
          </w:tcPr>
          <w:p>
            <w:pPr>
              <w:ind w:left="300"/>
              <w:spacing w:after="0"/>
              <w:rPr>
                <w:sz w:val="20"/>
                <w:szCs w:val="20"/>
                <w:color w:val="auto"/>
              </w:rPr>
            </w:pPr>
            <w:r>
              <w:rPr>
                <w:rFonts w:ascii="Courier New" w:cs="Courier New" w:eastAsia="Courier New" w:hAnsi="Courier New"/>
                <w:sz w:val="17"/>
                <w:szCs w:val="17"/>
                <w:color w:val="auto"/>
              </w:rPr>
              <w:t>1998</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1997</w:t>
            </w:r>
          </w:p>
        </w:tc>
      </w:tr>
      <w:tr>
        <w:trPr>
          <w:trHeight w:val="197"/>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 ------------------------------------------------------------------------------------</w:t>
            </w:r>
          </w:p>
        </w:tc>
      </w:tr>
      <w:tr>
        <w:trPr>
          <w:trHeight w:val="393"/>
        </w:trPr>
        <w:tc>
          <w:tcPr>
            <w:tcW w:w="5380" w:type="dxa"/>
            <w:vAlign w:val="bottom"/>
          </w:tcPr>
          <w:p>
            <w:pPr>
              <w:spacing w:after="0"/>
              <w:rPr>
                <w:sz w:val="20"/>
                <w:szCs w:val="20"/>
                <w:color w:val="auto"/>
              </w:rPr>
            </w:pPr>
            <w:r>
              <w:rPr>
                <w:rFonts w:ascii="Courier New" w:cs="Courier New" w:eastAsia="Courier New" w:hAnsi="Courier New"/>
                <w:sz w:val="17"/>
                <w:szCs w:val="17"/>
                <w:color w:val="auto"/>
              </w:rPr>
              <w:t>Discount rate for obligations</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7.50%</w:t>
            </w:r>
          </w:p>
        </w:tc>
        <w:tc>
          <w:tcPr>
            <w:tcW w:w="1120" w:type="dxa"/>
            <w:vAlign w:val="bottom"/>
          </w:tcPr>
          <w:p>
            <w:pPr>
              <w:ind w:left="300"/>
              <w:spacing w:after="0"/>
              <w:rPr>
                <w:sz w:val="20"/>
                <w:szCs w:val="20"/>
                <w:color w:val="auto"/>
              </w:rPr>
            </w:pPr>
            <w:r>
              <w:rPr>
                <w:rFonts w:ascii="Courier New" w:cs="Courier New" w:eastAsia="Courier New" w:hAnsi="Courier New"/>
                <w:sz w:val="17"/>
                <w:szCs w:val="17"/>
                <w:color w:val="auto"/>
              </w:rPr>
              <w:t>6.50%</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7.00%</w:t>
            </w:r>
          </w:p>
        </w:tc>
      </w:tr>
      <w:tr>
        <w:trPr>
          <w:trHeight w:val="197"/>
        </w:trPr>
        <w:tc>
          <w:tcPr>
            <w:tcW w:w="5380" w:type="dxa"/>
            <w:vAlign w:val="bottom"/>
          </w:tcPr>
          <w:p>
            <w:pPr>
              <w:spacing w:after="0"/>
              <w:rPr>
                <w:sz w:val="20"/>
                <w:szCs w:val="20"/>
                <w:color w:val="auto"/>
              </w:rPr>
            </w:pPr>
            <w:r>
              <w:rPr>
                <w:rFonts w:ascii="Courier New" w:cs="Courier New" w:eastAsia="Courier New" w:hAnsi="Courier New"/>
                <w:sz w:val="17"/>
                <w:szCs w:val="17"/>
                <w:color w:val="auto"/>
              </w:rPr>
              <w:t>Rate of increase for compensation</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5.00</w:t>
            </w:r>
          </w:p>
        </w:tc>
        <w:tc>
          <w:tcPr>
            <w:tcW w:w="1120" w:type="dxa"/>
            <w:vAlign w:val="bottom"/>
          </w:tcPr>
          <w:p>
            <w:pPr>
              <w:ind w:left="300"/>
              <w:spacing w:after="0"/>
              <w:rPr>
                <w:sz w:val="20"/>
                <w:szCs w:val="20"/>
                <w:color w:val="auto"/>
              </w:rPr>
            </w:pPr>
            <w:r>
              <w:rPr>
                <w:rFonts w:ascii="Courier New" w:cs="Courier New" w:eastAsia="Courier New" w:hAnsi="Courier New"/>
                <w:sz w:val="17"/>
                <w:szCs w:val="17"/>
                <w:color w:val="auto"/>
              </w:rPr>
              <w:t>4.00</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4.50</w:t>
            </w:r>
          </w:p>
        </w:tc>
      </w:tr>
      <w:tr>
        <w:trPr>
          <w:trHeight w:val="197"/>
        </w:trPr>
        <w:tc>
          <w:tcPr>
            <w:tcW w:w="5380" w:type="dxa"/>
            <w:vAlign w:val="bottom"/>
          </w:tcPr>
          <w:p>
            <w:pPr>
              <w:spacing w:after="0"/>
              <w:rPr>
                <w:sz w:val="20"/>
                <w:szCs w:val="20"/>
                <w:color w:val="auto"/>
              </w:rPr>
            </w:pPr>
            <w:r>
              <w:rPr>
                <w:rFonts w:ascii="Courier New" w:cs="Courier New" w:eastAsia="Courier New" w:hAnsi="Courier New"/>
                <w:sz w:val="17"/>
                <w:szCs w:val="17"/>
                <w:color w:val="auto"/>
              </w:rPr>
              <w:t>Expected long-term rate of return on plan assets</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9.50</w:t>
            </w:r>
          </w:p>
        </w:tc>
        <w:tc>
          <w:tcPr>
            <w:tcW w:w="1120" w:type="dxa"/>
            <w:vAlign w:val="bottom"/>
          </w:tcPr>
          <w:p>
            <w:pPr>
              <w:ind w:left="300"/>
              <w:spacing w:after="0"/>
              <w:rPr>
                <w:sz w:val="20"/>
                <w:szCs w:val="20"/>
                <w:color w:val="auto"/>
              </w:rPr>
            </w:pPr>
            <w:r>
              <w:rPr>
                <w:rFonts w:ascii="Courier New" w:cs="Courier New" w:eastAsia="Courier New" w:hAnsi="Courier New"/>
                <w:sz w:val="17"/>
                <w:szCs w:val="17"/>
                <w:color w:val="auto"/>
              </w:rPr>
              <w:t>9.50</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9.50</w:t>
            </w:r>
          </w:p>
        </w:tc>
      </w:tr>
      <w:tr>
        <w:trPr>
          <w:trHeight w:val="197"/>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 ------------------------------------------------------------------------------------</w:t>
            </w:r>
          </w:p>
        </w:tc>
      </w:tr>
    </w:tbl>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These assumptions also were used in retiree health care and life insurance benefit calculations with one modification. Since, unlike the pension trust, the earnings of the VEBA trust are taxable, the above 9.5 percent expected rate of return on plan assets was reduced accordingly to 6 percent after taxes. A significant factor used in estimating future per capita cost of covered health care benefits for the company and its retirees is the health care cost trend rate assumption. The rate used was 10 percent for 1999 and is assumed to decrease gradually to 6 percent for 2006 and thereafter. A one-percentage-point change in that rate would have the following effects:</w:t>
      </w:r>
    </w:p>
    <w:p>
      <w:pPr>
        <w:spacing w:after="0" w:line="200" w:lineRule="exact"/>
        <w:rPr>
          <w:sz w:val="20"/>
          <w:szCs w:val="20"/>
          <w:color w:val="auto"/>
        </w:rPr>
      </w:pPr>
    </w:p>
    <w:p>
      <w:pPr>
        <w:spacing w:after="0" w:line="391" w:lineRule="exact"/>
        <w:rPr>
          <w:sz w:val="20"/>
          <w:szCs w:val="20"/>
          <w:color w:val="auto"/>
        </w:rPr>
      </w:pPr>
    </w:p>
    <w:p>
      <w:pPr>
        <w:ind w:left="5640"/>
        <w:spacing w:after="0"/>
        <w:tabs>
          <w:tab w:leader="none" w:pos="7760" w:val="left"/>
        </w:tabs>
        <w:rPr>
          <w:sz w:val="20"/>
          <w:szCs w:val="20"/>
          <w:color w:val="auto"/>
        </w:rPr>
      </w:pPr>
      <w:r>
        <w:rPr>
          <w:rFonts w:ascii="Courier New" w:cs="Courier New" w:eastAsia="Courier New" w:hAnsi="Courier New"/>
          <w:sz w:val="17"/>
          <w:szCs w:val="17"/>
          <w:color w:val="auto"/>
        </w:rPr>
        <w:t>1-Percentage-</w:t>
      </w:r>
      <w:r>
        <w:rPr>
          <w:sz w:val="20"/>
          <w:szCs w:val="20"/>
          <w:color w:val="auto"/>
        </w:rPr>
        <w:tab/>
      </w:r>
      <w:r>
        <w:rPr>
          <w:rFonts w:ascii="Courier New" w:cs="Courier New" w:eastAsia="Courier New" w:hAnsi="Courier New"/>
          <w:sz w:val="16"/>
          <w:szCs w:val="16"/>
          <w:color w:val="auto"/>
        </w:rPr>
        <w:t>1-Percentage-</w:t>
      </w:r>
    </w:p>
    <w:p>
      <w:pPr>
        <w:spacing w:after="0" w:line="4" w:lineRule="exact"/>
        <w:rPr>
          <w:sz w:val="20"/>
          <w:szCs w:val="20"/>
          <w:color w:val="auto"/>
        </w:rPr>
      </w:pPr>
    </w:p>
    <w:p>
      <w:pPr>
        <w:ind w:left="520"/>
        <w:spacing w:after="0"/>
        <w:tabs>
          <w:tab w:leader="none" w:pos="5620" w:val="left"/>
          <w:tab w:leader="none" w:pos="7760" w:val="left"/>
        </w:tabs>
        <w:rPr>
          <w:sz w:val="20"/>
          <w:szCs w:val="20"/>
          <w:color w:val="auto"/>
        </w:rPr>
      </w:pPr>
      <w:r>
        <w:rPr>
          <w:rFonts w:ascii="Courier New" w:cs="Courier New" w:eastAsia="Courier New" w:hAnsi="Courier New"/>
          <w:sz w:val="17"/>
          <w:szCs w:val="17"/>
          <w:color w:val="auto"/>
        </w:rPr>
        <w:t>$ in millions</w:t>
      </w:r>
      <w:r>
        <w:rPr>
          <w:sz w:val="20"/>
          <w:szCs w:val="20"/>
          <w:color w:val="auto"/>
        </w:rPr>
        <w:tab/>
      </w:r>
      <w:r>
        <w:rPr>
          <w:rFonts w:ascii="Courier New" w:cs="Courier New" w:eastAsia="Courier New" w:hAnsi="Courier New"/>
          <w:sz w:val="17"/>
          <w:szCs w:val="17"/>
          <w:color w:val="auto"/>
        </w:rPr>
        <w:t>Point Increase</w:t>
      </w:r>
      <w:r>
        <w:rPr>
          <w:sz w:val="20"/>
          <w:szCs w:val="20"/>
          <w:color w:val="auto"/>
        </w:rPr>
        <w:tab/>
      </w:r>
      <w:r>
        <w:rPr>
          <w:rFonts w:ascii="Courier New" w:cs="Courier New" w:eastAsia="Courier New" w:hAnsi="Courier New"/>
          <w:sz w:val="17"/>
          <w:szCs w:val="17"/>
          <w:color w:val="auto"/>
        </w:rPr>
        <w:t>Point Decrease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Effect</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total of service and interest</w:t>
            </w: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cost</w:t>
            </w:r>
          </w:p>
        </w:tc>
        <w:tc>
          <w:tcPr>
            <w:tcW w:w="4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components</w:t>
            </w:r>
          </w:p>
        </w:tc>
        <w:tc>
          <w:tcPr>
            <w:tcW w:w="15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$ 18</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 (15)</w:t>
            </w:r>
          </w:p>
        </w:tc>
      </w:tr>
      <w:tr>
        <w:trPr>
          <w:trHeight w:val="197"/>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Effect</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postretirement benefit obligation</w:t>
            </w:r>
          </w:p>
        </w:tc>
        <w:tc>
          <w:tcPr>
            <w:tcW w:w="15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166</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(146)</w:t>
            </w:r>
          </w:p>
        </w:tc>
      </w:tr>
      <w:tr>
        <w:trPr>
          <w:trHeight w:val="590"/>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54</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139"/>
          </w:cols>
          <w:pgMar w:left="320" w:top="70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The following tables set forth the funded status and amounts recognized in the Consolidated Statements of Financial Position at each year-end for the company's defined-benefit pension and retiree health care and life insurance benefit plans. Pension benefits data includes the qualified plans as well as thirteen unfunded non-qualified plans for benefits provided to directors, officers and employees either beyond those provided by, or payable under, the company's main plans.</w:t>
      </w:r>
    </w:p>
    <w:p>
      <w:pPr>
        <w:spacing w:after="0" w:line="200" w:lineRule="exact"/>
        <w:rPr>
          <w:sz w:val="20"/>
          <w:szCs w:val="20"/>
          <w:color w:val="auto"/>
        </w:rPr>
      </w:pPr>
    </w:p>
    <w:p>
      <w:pPr>
        <w:spacing w:after="0" w:line="391" w:lineRule="exact"/>
        <w:rPr>
          <w:sz w:val="20"/>
          <w:szCs w:val="20"/>
          <w:color w:val="auto"/>
        </w:rPr>
      </w:pPr>
    </w:p>
    <w:p>
      <w:pPr>
        <w:jc w:val="right"/>
        <w:ind w:right="719"/>
        <w:spacing w:after="0" w:line="244" w:lineRule="auto"/>
        <w:rPr>
          <w:sz w:val="20"/>
          <w:szCs w:val="20"/>
          <w:color w:val="auto"/>
        </w:rPr>
      </w:pPr>
      <w:r>
        <w:rPr>
          <w:rFonts w:ascii="Courier New" w:cs="Courier New" w:eastAsia="Courier New" w:hAnsi="Courier New"/>
          <w:sz w:val="17"/>
          <w:szCs w:val="17"/>
          <w:color w:val="auto"/>
        </w:rPr>
        <w:t>Pension Benefits      Medical and Life Benefits $ in millions                                  1999       1998           1999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Change in benefit obligation</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Benefit obligation at beginning</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of year</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$10,164</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$ 9,056</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$ 1,559</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$ 1,443</w:t>
            </w: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Service cost</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187</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34</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w:t>
            </w: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Interest cost</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659</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642</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102</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w:t>
            </w: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Plan participants' contributions</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w:t>
            </w:r>
          </w:p>
        </w:tc>
        <w:tc>
          <w:tcPr>
            <w:tcW w:w="1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w:t>
            </w: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Amendments</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w:t>
            </w: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Actuarial loss(gain)</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(771)</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851</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(72)</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67</w:t>
            </w:r>
          </w:p>
        </w:tc>
      </w:tr>
      <w:tr>
        <w:trPr>
          <w:trHeight w:val="197"/>
        </w:trPr>
        <w:tc>
          <w:tcPr>
            <w:tcW w:w="3900" w:type="dxa"/>
            <w:vAlign w:val="bottom"/>
          </w:tcPr>
          <w:p>
            <w:pPr>
              <w:spacing w:after="0"/>
              <w:rPr>
                <w:sz w:val="20"/>
                <w:szCs w:val="20"/>
                <w:color w:val="auto"/>
              </w:rPr>
            </w:pPr>
            <w:r>
              <w:rPr>
                <w:rFonts w:ascii="Courier New" w:cs="Courier New" w:eastAsia="Courier New" w:hAnsi="Courier New"/>
                <w:sz w:val="17"/>
                <w:szCs w:val="17"/>
                <w:color w:val="auto"/>
              </w:rPr>
              <w:t>Benefits paid</w:t>
            </w:r>
          </w:p>
        </w:tc>
        <w:tc>
          <w:tcPr>
            <w:tcW w:w="1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(612)</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(582)</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Benefit obligation at end of year</w:t>
            </w:r>
          </w:p>
        </w:tc>
        <w:tc>
          <w:tcPr>
            <w:tcW w:w="14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9,651</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10,164</w:t>
            </w:r>
          </w:p>
        </w:tc>
        <w:tc>
          <w:tcPr>
            <w:tcW w:w="15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1,534</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20"/>
                <w:szCs w:val="20"/>
                <w:color w:val="auto"/>
              </w:rPr>
            </w:pPr>
            <w:r>
              <w:rPr>
                <w:rFonts w:ascii="Courier New" w:cs="Courier New" w:eastAsia="Courier New" w:hAnsi="Courier New"/>
                <w:sz w:val="17"/>
                <w:szCs w:val="17"/>
                <w:color w:val="auto"/>
              </w:rPr>
              <w:t>Change in plan assets</w:t>
            </w:r>
          </w:p>
        </w:tc>
        <w:tc>
          <w:tcPr>
            <w:tcW w:w="1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Fair value of plan assets at</w:t>
            </w: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3940" w:type="dxa"/>
            <w:vAlign w:val="bottom"/>
          </w:tcPr>
          <w:p>
            <w:pPr>
              <w:ind w:left="200"/>
              <w:spacing w:after="0"/>
              <w:rPr>
                <w:sz w:val="20"/>
                <w:szCs w:val="20"/>
                <w:color w:val="auto"/>
              </w:rPr>
            </w:pPr>
            <w:r>
              <w:rPr>
                <w:rFonts w:ascii="Courier New" w:cs="Courier New" w:eastAsia="Courier New" w:hAnsi="Courier New"/>
                <w:sz w:val="17"/>
                <w:szCs w:val="17"/>
                <w:color w:val="auto"/>
              </w:rPr>
              <w:t>beginning of year</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12,033</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10,832</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570</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538</w:t>
            </w:r>
          </w:p>
        </w:tc>
      </w:t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Actual return on plan assets</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2,284</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1,651</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154</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w:t>
            </w:r>
          </w:p>
        </w:tc>
      </w:t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Employer contributions</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80</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125</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58</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44</w:t>
            </w:r>
          </w:p>
        </w:tc>
      </w:t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Plan participants' contributions</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7</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26</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w:t>
            </w:r>
          </w:p>
        </w:tc>
      </w:t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Benefits paid</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(612)</w:t>
            </w: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(582)</w:t>
            </w:r>
          </w:p>
        </w:tc>
        <w:tc>
          <w:tcPr>
            <w:tcW w:w="15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bl>
    <w:p>
      <w:pPr>
        <w:spacing w:after="0" w:line="4" w:lineRule="exact"/>
        <w:rPr>
          <w:sz w:val="20"/>
          <w:szCs w:val="20"/>
          <w:color w:val="auto"/>
        </w:rPr>
      </w:pPr>
    </w:p>
    <w:p>
      <w:pPr>
        <w:ind w:left="200" w:hanging="195"/>
        <w:spacing w:after="0"/>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Fair value of plan assets at</w:t>
      </w: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780" w:type="dxa"/>
            <w:vAlign w:val="bottom"/>
          </w:tcPr>
          <w:p>
            <w:pPr>
              <w:spacing w:after="0"/>
              <w:rPr>
                <w:sz w:val="20"/>
                <w:szCs w:val="20"/>
                <w:color w:val="auto"/>
              </w:rPr>
            </w:pPr>
            <w:r>
              <w:rPr>
                <w:rFonts w:ascii="Courier New" w:cs="Courier New" w:eastAsia="Courier New" w:hAnsi="Courier New"/>
                <w:sz w:val="17"/>
                <w:szCs w:val="17"/>
                <w:color w:val="auto"/>
              </w:rPr>
              <w:t>end of year</w:t>
            </w:r>
          </w:p>
        </w:tc>
        <w:tc>
          <w:tcPr>
            <w:tcW w:w="2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13,792</w:t>
            </w:r>
          </w:p>
        </w:tc>
        <w:tc>
          <w:tcPr>
            <w:tcW w:w="14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12,033</w:t>
            </w:r>
          </w:p>
        </w:tc>
        <w:tc>
          <w:tcPr>
            <w:tcW w:w="15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693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Courier New" w:cs="Courier New" w:eastAsia="Courier New" w:hAnsi="Courier New"/>
                <w:sz w:val="17"/>
                <w:szCs w:val="17"/>
                <w:color w:val="auto"/>
              </w:rPr>
              <w:t>Funded status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4,141</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1,869</w:t>
            </w:r>
          </w:p>
        </w:tc>
        <w:tc>
          <w:tcPr>
            <w:tcW w:w="15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(841)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(989)</w:t>
            </w: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Unrecognized prior service cost</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169</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200</w:t>
            </w:r>
          </w:p>
        </w:tc>
        <w:tc>
          <w:tcPr>
            <w:tcW w:w="15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Unrecognized net transition asset</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w:t>
            </w: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(162)</w:t>
            </w: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4000" w:type="dxa"/>
            <w:vAlign w:val="bottom"/>
          </w:tcPr>
          <w:p>
            <w:pPr>
              <w:spacing w:after="0"/>
              <w:rPr>
                <w:sz w:val="20"/>
                <w:szCs w:val="20"/>
                <w:color w:val="auto"/>
              </w:rPr>
            </w:pPr>
            <w:r>
              <w:rPr>
                <w:rFonts w:ascii="Courier New" w:cs="Courier New" w:eastAsia="Courier New" w:hAnsi="Courier New"/>
                <w:sz w:val="17"/>
                <w:szCs w:val="17"/>
                <w:color w:val="auto"/>
              </w:rPr>
              <w:t>Unrecognized net gain</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(3,573)</w:t>
            </w: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(1,723)</w:t>
            </w:r>
          </w:p>
        </w:tc>
        <w:tc>
          <w:tcPr>
            <w:tcW w:w="15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(319)</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asset(liability) recognized</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617</w:t>
            </w: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184</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$(1,158)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20"/>
                <w:szCs w:val="20"/>
                <w:color w:val="auto"/>
              </w:rPr>
            </w:pPr>
            <w:r>
              <w:rPr>
                <w:rFonts w:ascii="Courier New" w:cs="Courier New" w:eastAsia="Courier New" w:hAnsi="Courier New"/>
                <w:sz w:val="17"/>
                <w:szCs w:val="17"/>
                <w:color w:val="auto"/>
              </w:rPr>
              <w:t>Amounts recognized in the statement of</w:t>
            </w: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4200" w:type="dxa"/>
            <w:vAlign w:val="bottom"/>
          </w:tcPr>
          <w:p>
            <w:pPr>
              <w:ind w:left="320"/>
              <w:spacing w:after="0"/>
              <w:rPr>
                <w:sz w:val="20"/>
                <w:szCs w:val="20"/>
                <w:color w:val="auto"/>
              </w:rPr>
            </w:pPr>
            <w:r>
              <w:rPr>
                <w:rFonts w:ascii="Courier New" w:cs="Courier New" w:eastAsia="Courier New" w:hAnsi="Courier New"/>
                <w:sz w:val="17"/>
                <w:szCs w:val="17"/>
                <w:color w:val="auto"/>
              </w:rPr>
              <w:t>financial position</w:t>
            </w: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4200" w:type="dxa"/>
            <w:vAlign w:val="bottom"/>
          </w:tcPr>
          <w:p>
            <w:pPr>
              <w:spacing w:after="0"/>
              <w:rPr>
                <w:sz w:val="20"/>
                <w:szCs w:val="20"/>
                <w:color w:val="auto"/>
              </w:rPr>
            </w:pPr>
            <w:r>
              <w:rPr>
                <w:rFonts w:ascii="Courier New" w:cs="Courier New" w:eastAsia="Courier New" w:hAnsi="Courier New"/>
                <w:sz w:val="17"/>
                <w:szCs w:val="17"/>
                <w:color w:val="auto"/>
              </w:rPr>
              <w:t>Prepaid benefit cost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851</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   712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30</w:t>
            </w:r>
          </w:p>
        </w:tc>
        <w:tc>
          <w:tcPr>
            <w:tcW w:w="118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w:t>
            </w:r>
          </w:p>
        </w:tc>
      </w:tr>
      <w:tr>
        <w:trPr>
          <w:trHeight w:val="197"/>
        </w:trPr>
        <w:tc>
          <w:tcPr>
            <w:tcW w:w="4200" w:type="dxa"/>
            <w:vAlign w:val="bottom"/>
          </w:tcPr>
          <w:p>
            <w:pPr>
              <w:spacing w:after="0"/>
              <w:rPr>
                <w:sz w:val="20"/>
                <w:szCs w:val="20"/>
                <w:color w:val="auto"/>
              </w:rPr>
            </w:pPr>
            <w:r>
              <w:rPr>
                <w:rFonts w:ascii="Courier New" w:cs="Courier New" w:eastAsia="Courier New" w:hAnsi="Courier New"/>
                <w:sz w:val="17"/>
                <w:szCs w:val="17"/>
                <w:color w:val="auto"/>
              </w:rPr>
              <w:t>Accrued benefit liability</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(234)</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(528)</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7"/>
              </w:rPr>
              <w:t>(1,188)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(1,112)</w:t>
            </w:r>
          </w:p>
        </w:tc>
      </w:tr>
      <w:tr>
        <w:trPr>
          <w:trHeight w:val="197"/>
        </w:trPr>
        <w:tc>
          <w:tcPr>
            <w:tcW w:w="4200" w:type="dxa"/>
            <w:vAlign w:val="bottom"/>
          </w:tcPr>
          <w:p>
            <w:pPr>
              <w:spacing w:after="0"/>
              <w:rPr>
                <w:sz w:val="20"/>
                <w:szCs w:val="20"/>
                <w:color w:val="auto"/>
              </w:rPr>
            </w:pPr>
            <w:r>
              <w:rPr>
                <w:rFonts w:ascii="Courier New" w:cs="Courier New" w:eastAsia="Courier New" w:hAnsi="Courier New"/>
                <w:sz w:val="17"/>
                <w:szCs w:val="17"/>
                <w:color w:val="auto"/>
              </w:rPr>
              <w:t>Additional minimum liability</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(36)</w:t>
            </w:r>
          </w:p>
        </w:tc>
        <w:tc>
          <w:tcPr>
            <w:tcW w:w="13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(64)</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4200" w:type="dxa"/>
            <w:vAlign w:val="bottom"/>
          </w:tcPr>
          <w:p>
            <w:pPr>
              <w:spacing w:after="0"/>
              <w:rPr>
                <w:sz w:val="20"/>
                <w:szCs w:val="20"/>
                <w:color w:val="auto"/>
              </w:rPr>
            </w:pPr>
            <w:r>
              <w:rPr>
                <w:rFonts w:ascii="Courier New" w:cs="Courier New" w:eastAsia="Courier New" w:hAnsi="Courier New"/>
                <w:sz w:val="17"/>
                <w:szCs w:val="17"/>
                <w:color w:val="auto"/>
              </w:rPr>
              <w:t>Intangible asset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16</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4200" w:type="dxa"/>
            <w:vAlign w:val="bottom"/>
          </w:tcPr>
          <w:p>
            <w:pPr>
              <w:spacing w:after="0"/>
              <w:rPr>
                <w:sz w:val="20"/>
                <w:szCs w:val="20"/>
                <w:color w:val="auto"/>
              </w:rPr>
            </w:pPr>
            <w:r>
              <w:rPr>
                <w:rFonts w:ascii="Courier New" w:cs="Courier New" w:eastAsia="Courier New" w:hAnsi="Courier New"/>
                <w:sz w:val="17"/>
                <w:szCs w:val="17"/>
                <w:color w:val="auto"/>
              </w:rPr>
              <w:t>Accumulated other comprehensive loss</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48</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asset(liability) recognized</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617</w:t>
            </w: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184</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$(1,158)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139"/>
          </w:cols>
          <w:pgMar w:left="320" w:top="70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For pensions plans with benefit obligations in excess of assets as of December 31, 1999, the projected benefit obligation was $224 million, the accumulated benefit obligation was $203 million, and the fair value of assets was $7 million. As of December 31, 1998, the projected benefit obligation was $1,451 million, the accumulated benefit obligation was $1,285 million, and the fair value of assets was $784 million.</w:t>
      </w:r>
    </w:p>
    <w:p>
      <w:pPr>
        <w:spacing w:after="0" w:line="202"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Pension plan assets at December 31, 1999, comprised 48 percent domestic equity investments in listed companies (including 2 percent in Northrop Grumman common stock); 14 percent equity investments listed on international exchanges; 22 percent in fixed income investments; 5 percent in venture capital and real estate investments; and 11 percent in cash and cash equivalents. The investment in Northrop Grumman represents 4,111,669 shares, or 6 percent of the company's total shares outstanding.</w:t>
      </w:r>
    </w:p>
    <w:p>
      <w:pPr>
        <w:spacing w:after="0" w:line="197"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Retiree health care and life insurance plan assets at December 31, 1999, comprised 64 percent domestic equity investments in listed companies; 24 percent equity investments on international exchanges; and 12 percent in cash and equivalents.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COMMITMENTS AND CONTINGENCIES</w:t>
      </w:r>
    </w:p>
    <w:p>
      <w:pPr>
        <w:spacing w:after="0" w:line="201" w:lineRule="exact"/>
        <w:rPr>
          <w:sz w:val="20"/>
          <w:szCs w:val="20"/>
          <w:color w:val="auto"/>
        </w:rPr>
      </w:pPr>
    </w:p>
    <w:p>
      <w:pPr>
        <w:ind w:right="1959"/>
        <w:spacing w:after="0" w:line="244" w:lineRule="auto"/>
        <w:rPr>
          <w:sz w:val="20"/>
          <w:szCs w:val="20"/>
          <w:color w:val="auto"/>
        </w:rPr>
      </w:pPr>
      <w:r>
        <w:rPr>
          <w:rFonts w:ascii="Courier New" w:cs="Courier New" w:eastAsia="Courier New" w:hAnsi="Courier New"/>
          <w:sz w:val="17"/>
          <w:szCs w:val="17"/>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200"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1999, the range of reasonably possible future costs for environmental remediation is $80 million to $111 million, of which $87 million has been accrued. Although management cannot predict whether new information gained as projects progress will materially affect the estimated liability accrued, management does not anticipate that future remediation expenditures will have a material adverse effect on the company's results of operations, financial position, or cash flows.</w:t>
      </w:r>
    </w:p>
    <w:p>
      <w:pPr>
        <w:spacing w:after="0" w:line="199"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company has entered into standby letter of credit agreements and other arrangements with financial institutions primarily relating to the guarantee of future performance on certain contracts. Contingent liabilities on these agreements aggregated approximately $535 million at December 31, 1999.</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139"/>
          </w:cols>
          <w:pgMar w:left="320" w:top="90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company has agreed to invest an additional $30 million in Kistler Aerospace Corporation preferred stock. This investment will only be made when Kistler Aerospace Corporation has obtained additional funding from other sources and will represent the last increment of funding required to complete and test the first K-1 vehicle, and is subject to the company's then determination that the K-1 is a viable launch system.</w:t>
      </w:r>
    </w:p>
    <w:p>
      <w:pPr>
        <w:spacing w:after="0" w:line="202"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Minimum rental commitments under long-term noncancellable operating leases total $394 million which is payable as follows: 2000 - $93 million, 2001 - $70 million, 2002 - $60 million, 2003 - $51 million, 2004 - $42 million, and 2005 and thereafter - $78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RIGHTS</w:t>
      </w:r>
    </w:p>
    <w:p>
      <w:pPr>
        <w:spacing w:after="0" w:line="201" w:lineRule="exact"/>
        <w:rPr>
          <w:sz w:val="20"/>
          <w:szCs w:val="20"/>
          <w:color w:val="auto"/>
        </w:rPr>
      </w:pPr>
    </w:p>
    <w:p>
      <w:pPr>
        <w:ind w:right="2059"/>
        <w:spacing w:after="0" w:line="245" w:lineRule="auto"/>
        <w:rPr>
          <w:sz w:val="20"/>
          <w:szCs w:val="20"/>
          <w:color w:val="auto"/>
        </w:rPr>
      </w:pPr>
      <w:r>
        <w:rPr>
          <w:rFonts w:ascii="Courier New" w:cs="Courier New" w:eastAsia="Courier New" w:hAnsi="Courier New"/>
          <w:sz w:val="17"/>
          <w:szCs w:val="17"/>
          <w:color w:val="auto"/>
        </w:rPr>
        <w:t>The company has a Common Stock Purchase Rights plan with one right issued in tandem with each share of common stock.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$250.</w:t>
      </w:r>
    </w:p>
    <w:p>
      <w:pPr>
        <w:spacing w:after="0" w:line="198"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201"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 will be entitled to redeem the rights at $.01 per right at any time prior to the earlier of the date that a person has acquired or obtained the right to acquire 15 percent of the general voting power of the company or the expiration of the rights in October 2008.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COMPENSATION PLANS</w:t>
      </w:r>
    </w:p>
    <w:p>
      <w:pPr>
        <w:spacing w:after="0" w:line="201"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At December 31, 1999, Northrop Grumman had two stock-based compensation plans - the 1993 Long-Term Incentive Stock Plan (LTISP) applicable to employees and the 1995 Stock Option Plan for Non-Employee Directors (SOPND). The LTISP contains change in control provisions which were activated in February 1998 upon approval by the shareholders of the proposed merger of the company with Lockheed Martin Corporation, causing all then unvested stock awards to become immediately vested.</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139"/>
          </w:cols>
          <w:pgMar w:left="320" w:top="70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LTISP permits grants to key employees of three general types of stock incentive awards: stock options, stock appreciation rights (SARs) and stock awards. Under the LTISP, each stock option grant is made with an exercise price either at the closing price of the stock on the date of grant (market options) or at a premium over the closing price of the stock on the date of grant (premium options). Options generally vest in 25 percent increments two, three, four and five years from the grant date and expire ten years after the grant date. No SARs have been granted under the LTISP. Stock awards, in the form of restricted performance stock rights, are granted to key employees without payment to the company. Recipients of the rights earn shares of stock based on a total-shareholder-return measure of performance over a five-year period with interim distributions three and four years after grant. If at the end of the five-year period the performance objectives have not been met, unearned rights up to 100 percent of the original grant for five elected officers and, up to 70 percent of the original grant for all other recipients, will be forfeited. Termination of employment can result in forfeiture of some or all of the benefits extended under the plan. Each year 1.5% of the company's total issued and outstanding common stock at the end of the preceding fiscal year become available for issuance pursuant to incentive awards. During 1998 and 1999, a number of awards granted under the LTISP contained terms, including limitations and conditions on exercisability and vesting, that took into account and were predicated upon future annual share availability.</w:t>
      </w:r>
    </w:p>
    <w:p>
      <w:pPr>
        <w:spacing w:after="0" w:line="199" w:lineRule="exact"/>
        <w:rPr>
          <w:sz w:val="20"/>
          <w:szCs w:val="20"/>
          <w:color w:val="auto"/>
        </w:rPr>
      </w:pPr>
    </w:p>
    <w:p>
      <w:pPr>
        <w:ind w:right="2059" w:firstLine="511"/>
        <w:spacing w:after="0" w:line="244" w:lineRule="auto"/>
        <w:rPr>
          <w:sz w:val="20"/>
          <w:szCs w:val="20"/>
          <w:color w:val="auto"/>
        </w:rPr>
      </w:pPr>
      <w:r>
        <w:rPr>
          <w:rFonts w:ascii="Courier New" w:cs="Courier New" w:eastAsia="Courier New" w:hAnsi="Courier New"/>
          <w:sz w:val="17"/>
          <w:szCs w:val="17"/>
          <w:color w:val="auto"/>
        </w:rPr>
        <w:t>The SOPND permits grants of stock options to nonemployee directors. Each grant of a stock option is made at the closing market price on the date of the grant, is immediately exercisable, and expires ten years after the grant date. At December 31, 1999, 244,500 shares were available for future grants under the SOPND.</w:t>
      </w:r>
    </w:p>
    <w:p>
      <w:pPr>
        <w:spacing w:after="0" w:line="201"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The company applies Accounting Principles Board Opinion 25 - Accounting for Stock Issued to Employees and related Interpretations in accounting for awards made under the plans. When stock options are exercised, the amount of the cash proceeds to the company is recorded as an increase to paid-in capital. No compensation expense is recognized in connection with stock options.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$15 million in 1999, $163 million in 1998, and $57 million in 1997.</w:t>
      </w:r>
    </w:p>
    <w:p>
      <w:pPr>
        <w:spacing w:after="0" w:line="197"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139"/>
          </w:cols>
          <w:pgMar w:left="320" w:top="70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Stock option activity for the last three years is summarized below:</w:t>
      </w:r>
    </w:p>
    <w:p>
      <w:pPr>
        <w:spacing w:after="0" w:line="200" w:lineRule="exact"/>
        <w:rPr>
          <w:sz w:val="20"/>
          <w:szCs w:val="20"/>
          <w:color w:val="auto"/>
        </w:rPr>
      </w:pPr>
    </w:p>
    <w:p>
      <w:pPr>
        <w:spacing w:after="0" w:line="394"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Weighted-</w:t>
      </w:r>
    </w:p>
    <w:p>
      <w:pPr>
        <w:spacing w:after="0" w:line="4"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Average</w:t>
      </w:r>
    </w:p>
    <w:p>
      <w:pPr>
        <w:spacing w:after="0" w:line="4" w:lineRule="exact"/>
        <w:rPr>
          <w:sz w:val="20"/>
          <w:szCs w:val="20"/>
          <w:color w:val="auto"/>
        </w:rPr>
      </w:pPr>
    </w:p>
    <w:p>
      <w:pPr>
        <w:ind w:left="4100"/>
        <w:spacing w:after="0"/>
        <w:tabs>
          <w:tab w:leader="none" w:pos="5300" w:val="left"/>
          <w:tab w:leader="none" w:pos="704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Exercise</w:t>
      </w:r>
      <w:r>
        <w:rPr>
          <w:sz w:val="20"/>
          <w:szCs w:val="20"/>
          <w:color w:val="auto"/>
        </w:rPr>
        <w:tab/>
      </w:r>
      <w:r>
        <w:rPr>
          <w:rFonts w:ascii="Courier New" w:cs="Courier New" w:eastAsia="Courier New" w:hAnsi="Courier New"/>
          <w:sz w:val="17"/>
          <w:szCs w:val="17"/>
          <w:color w:val="auto"/>
        </w:rPr>
        <w:t>Shares</w:t>
      </w:r>
    </w:p>
    <w:p>
      <w:pPr>
        <w:spacing w:after="0" w:line="4" w:lineRule="exact"/>
        <w:rPr>
          <w:sz w:val="20"/>
          <w:szCs w:val="20"/>
          <w:color w:val="auto"/>
        </w:rPr>
      </w:pPr>
    </w:p>
    <w:p>
      <w:pPr>
        <w:ind w:left="3480"/>
        <w:spacing w:after="0"/>
        <w:tabs>
          <w:tab w:leader="none" w:pos="5500" w:val="left"/>
          <w:tab w:leader="none" w:pos="6640" w:val="left"/>
        </w:tabs>
        <w:rPr>
          <w:sz w:val="20"/>
          <w:szCs w:val="20"/>
          <w:color w:val="auto"/>
        </w:rPr>
      </w:pPr>
      <w:r>
        <w:rPr>
          <w:rFonts w:ascii="Courier New" w:cs="Courier New" w:eastAsia="Courier New" w:hAnsi="Courier New"/>
          <w:sz w:val="17"/>
          <w:szCs w:val="17"/>
          <w:color w:val="auto"/>
        </w:rPr>
        <w:t>Under Option</w:t>
      </w:r>
      <w:r>
        <w:rPr>
          <w:sz w:val="20"/>
          <w:szCs w:val="20"/>
          <w:color w:val="auto"/>
        </w:rPr>
        <w:tab/>
      </w:r>
      <w:r>
        <w:rPr>
          <w:rFonts w:ascii="Courier New" w:cs="Courier New" w:eastAsia="Courier New" w:hAnsi="Courier New"/>
          <w:sz w:val="17"/>
          <w:szCs w:val="17"/>
          <w:color w:val="auto"/>
        </w:rPr>
        <w:t>Prices</w:t>
      </w:r>
      <w:r>
        <w:rPr>
          <w:sz w:val="20"/>
          <w:szCs w:val="20"/>
          <w:color w:val="auto"/>
        </w:rPr>
        <w:tab/>
      </w:r>
      <w:r>
        <w:rPr>
          <w:rFonts w:ascii="Courier New" w:cs="Courier New" w:eastAsia="Courier New" w:hAnsi="Courier New"/>
          <w:sz w:val="16"/>
          <w:szCs w:val="16"/>
          <w:color w:val="auto"/>
        </w:rPr>
        <w:t>Exercisable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1996</w:t>
            </w:r>
          </w:p>
        </w:tc>
        <w:tc>
          <w:tcPr>
            <w:tcW w:w="19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4,027,272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1,384,026</w:t>
            </w: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Granted, market options</w:t>
            </w:r>
          </w:p>
        </w:tc>
        <w:tc>
          <w:tcPr>
            <w:tcW w:w="19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15,000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85</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Cancelled</w:t>
            </w:r>
          </w:p>
        </w:tc>
        <w:tc>
          <w:tcPr>
            <w:tcW w:w="190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(100,932)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Exercised</w:t>
            </w:r>
          </w:p>
        </w:tc>
        <w:tc>
          <w:tcPr>
            <w:tcW w:w="190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(570,182)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w:t>
            </w:r>
          </w:p>
        </w:tc>
        <w:tc>
          <w:tcPr>
            <w:tcW w:w="11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1997</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3,371,158</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1,556,475</w:t>
            </w: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Granted, market options</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992,000</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Granted, premium options</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1,986,450</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Cancelled</w:t>
            </w:r>
          </w:p>
        </w:tc>
        <w:tc>
          <w:tcPr>
            <w:tcW w:w="194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(5,700)</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65</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Exercised</w:t>
            </w:r>
          </w:p>
        </w:tc>
        <w:tc>
          <w:tcPr>
            <w:tcW w:w="194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(766,182)</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48</w:t>
            </w:r>
          </w:p>
        </w:tc>
        <w:tc>
          <w:tcPr>
            <w:tcW w:w="11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1998</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5,577,726</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2,624,276</w:t>
            </w: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Granted, market options</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69,200</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62</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Granted, premium options</w:t>
            </w:r>
          </w:p>
        </w:tc>
        <w:tc>
          <w:tcPr>
            <w:tcW w:w="19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106,800</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Cancelled</w:t>
            </w:r>
          </w:p>
        </w:tc>
        <w:tc>
          <w:tcPr>
            <w:tcW w:w="194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(221,015)</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88</w:t>
            </w:r>
          </w:p>
        </w:tc>
        <w:tc>
          <w:tcPr>
            <w:tcW w:w="1180" w:type="dxa"/>
            <w:vAlign w:val="bottom"/>
          </w:tcPr>
          <w:p>
            <w:pPr>
              <w:spacing w:after="0"/>
              <w:rPr>
                <w:sz w:val="17"/>
                <w:szCs w:val="17"/>
                <w:color w:val="auto"/>
              </w:rPr>
            </w:pPr>
          </w:p>
        </w:tc>
      </w:tr>
      <w:tr>
        <w:trPr>
          <w:trHeight w:val="197"/>
        </w:trPr>
        <w:tc>
          <w:tcPr>
            <w:tcW w:w="3580" w:type="dxa"/>
            <w:vAlign w:val="bottom"/>
          </w:tcPr>
          <w:p>
            <w:pPr>
              <w:ind w:left="520"/>
              <w:spacing w:after="0"/>
              <w:rPr>
                <w:sz w:val="20"/>
                <w:szCs w:val="20"/>
                <w:color w:val="auto"/>
              </w:rPr>
            </w:pPr>
            <w:r>
              <w:rPr>
                <w:rFonts w:ascii="Courier New" w:cs="Courier New" w:eastAsia="Courier New" w:hAnsi="Courier New"/>
                <w:sz w:val="17"/>
                <w:szCs w:val="17"/>
                <w:color w:val="auto"/>
              </w:rPr>
              <w:t>Exercised</w:t>
            </w:r>
          </w:p>
        </w:tc>
        <w:tc>
          <w:tcPr>
            <w:tcW w:w="194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(702,628)</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w:t>
            </w:r>
          </w:p>
        </w:tc>
        <w:tc>
          <w:tcPr>
            <w:tcW w:w="11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1999</w:t>
            </w:r>
          </w:p>
        </w:tc>
        <w:tc>
          <w:tcPr>
            <w:tcW w:w="19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4,830,083</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1,926,899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139"/>
          </w:cols>
          <w:pgMar w:left="320" w:top="70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Had compensation expense been determined based on the fair value at the grant dates for stock option awards granted in 1999, 1998 and 1997, consistent with the method of Financial Accounting Standards Board Statement 123 - Accounting for Stock Based Compensation, net income, basic earnings per share, and diluted earnings per share in 1999 would have been lower by $11 million, seventeen cents and sixteen cents, respectively. For 1998 net income, basic earnings per share and diluted earnings per share would have been lower by $5 million, seven cents and seven cents, respectively. For 1997 net income, basic earnings per share and diluted earnings per share would have been lower by $5 million, eight cents, and eight cents, respectively. These amounts were determined using weighted-average per share fair values for premium options granted in 1999 of $15 and 1998 of $15 and for market options granted in 1999, 1998 and 1997 of $18, $20 and $25 respectively. The fair value of each option grant was estimated on the date of grant using the Black-Scholes option-pricing model based on an expected life of six years and for 1999, 1998 and 1997, respectively, the following additional assumptions: dividend yield - 2.1 percent, 1.9 percent and 1.9 percent; expected volatility - 29 percent, 27 percent and 22 percent; and risk-free interest rate - 5.8 percent, 4.4 percent and 6.7 percent.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At December 31, 1999 the following stock options were outstanding: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80" w:type="dxa"/>
            <w:vAlign w:val="bottom"/>
          </w:tcPr>
          <w:p>
            <w:pPr>
              <w:spacing w:after="0"/>
              <w:rPr>
                <w:sz w:val="16"/>
                <w:szCs w:val="16"/>
                <w:color w:val="auto"/>
              </w:rPr>
            </w:pPr>
          </w:p>
        </w:tc>
        <w:tc>
          <w:tcPr>
            <w:tcW w:w="3380" w:type="dxa"/>
            <w:vAlign w:val="bottom"/>
            <w:gridSpan w:val="3"/>
          </w:tcPr>
          <w:p>
            <w:pPr>
              <w:jc w:val="right"/>
              <w:ind w:right="55"/>
              <w:spacing w:after="0"/>
              <w:rPr>
                <w:sz w:val="20"/>
                <w:szCs w:val="20"/>
                <w:color w:val="auto"/>
              </w:rPr>
            </w:pPr>
            <w:r>
              <w:rPr>
                <w:rFonts w:ascii="Courier New" w:cs="Courier New" w:eastAsia="Courier New" w:hAnsi="Courier New"/>
                <w:sz w:val="17"/>
                <w:szCs w:val="17"/>
                <w:color w:val="auto"/>
              </w:rPr>
              <w:t>Options Outstanding</w:t>
            </w:r>
          </w:p>
        </w:tc>
        <w:tc>
          <w:tcPr>
            <w:tcW w:w="1240" w:type="dxa"/>
            <w:vAlign w:val="bottom"/>
          </w:tcPr>
          <w:p>
            <w:pPr>
              <w:spacing w:after="0"/>
              <w:rPr>
                <w:sz w:val="16"/>
                <w:szCs w:val="16"/>
                <w:color w:val="auto"/>
              </w:rPr>
            </w:pPr>
          </w:p>
        </w:tc>
        <w:tc>
          <w:tcPr>
            <w:tcW w:w="250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Options Exercisable</w:t>
            </w:r>
          </w:p>
        </w:tc>
      </w:tr>
      <w:tr>
        <w:trPr>
          <w:trHeight w:val="197"/>
        </w:trPr>
        <w:tc>
          <w:tcPr>
            <w:tcW w:w="1480" w:type="dxa"/>
            <w:vAlign w:val="bottom"/>
          </w:tcPr>
          <w:p>
            <w:pPr>
              <w:spacing w:after="0"/>
              <w:rPr>
                <w:sz w:val="17"/>
                <w:szCs w:val="17"/>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0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3"/>
        </w:trPr>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Weighted-</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Weighted-</w:t>
            </w:r>
          </w:p>
        </w:tc>
        <w:tc>
          <w:tcPr>
            <w:tcW w:w="1380" w:type="dxa"/>
            <w:vAlign w:val="bottom"/>
          </w:tcPr>
          <w:p>
            <w:pPr>
              <w:spacing w:after="0"/>
              <w:rPr>
                <w:sz w:val="24"/>
                <w:szCs w:val="24"/>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Weighted-</w:t>
            </w:r>
          </w:p>
        </w:tc>
      </w:tr>
      <w:tr>
        <w:trPr>
          <w:trHeight w:val="197"/>
        </w:trPr>
        <w:tc>
          <w:tcPr>
            <w:tcW w:w="1480" w:type="dxa"/>
            <w:vAlign w:val="bottom"/>
          </w:tcPr>
          <w:p>
            <w:pPr>
              <w:spacing w:after="0"/>
              <w:rPr>
                <w:sz w:val="20"/>
                <w:szCs w:val="20"/>
                <w:color w:val="auto"/>
              </w:rPr>
            </w:pPr>
            <w:r>
              <w:rPr>
                <w:rFonts w:ascii="Courier New" w:cs="Courier New" w:eastAsia="Courier New" w:hAnsi="Courier New"/>
                <w:sz w:val="17"/>
                <w:szCs w:val="17"/>
                <w:color w:val="auto"/>
              </w:rPr>
              <w:t>Range of</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Number</w:t>
            </w:r>
          </w:p>
        </w:tc>
        <w:tc>
          <w:tcPr>
            <w:tcW w:w="18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Average</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Average</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Number</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Average</w:t>
            </w:r>
          </w:p>
        </w:tc>
      </w:tr>
      <w:tr>
        <w:trPr>
          <w:trHeight w:val="197"/>
        </w:trPr>
        <w:tc>
          <w:tcPr>
            <w:tcW w:w="1480" w:type="dxa"/>
            <w:vAlign w:val="bottom"/>
          </w:tcPr>
          <w:p>
            <w:pPr>
              <w:spacing w:after="0"/>
              <w:rPr>
                <w:sz w:val="20"/>
                <w:szCs w:val="20"/>
                <w:color w:val="auto"/>
              </w:rPr>
            </w:pPr>
            <w:r>
              <w:rPr>
                <w:rFonts w:ascii="Courier New" w:cs="Courier New" w:eastAsia="Courier New" w:hAnsi="Courier New"/>
                <w:sz w:val="17"/>
                <w:szCs w:val="17"/>
                <w:color w:val="auto"/>
              </w:rPr>
              <w:t>Exercise</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Outstanding</w:t>
            </w:r>
          </w:p>
        </w:tc>
        <w:tc>
          <w:tcPr>
            <w:tcW w:w="18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Remaining</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Exercise</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Exercisable</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Exercise</w:t>
            </w:r>
          </w:p>
        </w:tc>
      </w:tr>
      <w:tr>
        <w:trPr>
          <w:trHeight w:val="197"/>
        </w:trPr>
        <w:tc>
          <w:tcPr>
            <w:tcW w:w="1480" w:type="dxa"/>
            <w:vAlign w:val="bottom"/>
          </w:tcPr>
          <w:p>
            <w:pPr>
              <w:spacing w:after="0"/>
              <w:rPr>
                <w:sz w:val="20"/>
                <w:szCs w:val="20"/>
                <w:color w:val="auto"/>
              </w:rPr>
            </w:pPr>
            <w:r>
              <w:rPr>
                <w:rFonts w:ascii="Courier New" w:cs="Courier New" w:eastAsia="Courier New" w:hAnsi="Courier New"/>
                <w:sz w:val="17"/>
                <w:szCs w:val="17"/>
                <w:color w:val="auto"/>
              </w:rPr>
              <w:t>Prices</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at 12/31/99</w:t>
            </w:r>
          </w:p>
        </w:tc>
        <w:tc>
          <w:tcPr>
            <w:tcW w:w="18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8"/>
              </w:rPr>
              <w:t>Contractual Life</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Prices</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at 12/31/99</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Prices</w:t>
            </w:r>
          </w:p>
        </w:tc>
      </w:tr>
      <w:tr>
        <w:trPr>
          <w:trHeight w:val="197"/>
        </w:trPr>
        <w:tc>
          <w:tcPr>
            <w:tcW w:w="14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jc w:val="right"/>
              <w:ind w:right="36"/>
              <w:spacing w:after="0"/>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7"/>
                <w:szCs w:val="17"/>
                <w:color w:val="auto"/>
                <w:w w:val="99"/>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3"/>
        </w:trPr>
        <w:tc>
          <w:tcPr>
            <w:tcW w:w="1480" w:type="dxa"/>
            <w:vAlign w:val="bottom"/>
          </w:tcPr>
          <w:p>
            <w:pPr>
              <w:spacing w:after="0"/>
              <w:rPr>
                <w:sz w:val="20"/>
                <w:szCs w:val="20"/>
                <w:color w:val="auto"/>
              </w:rPr>
            </w:pPr>
            <w:r>
              <w:rPr>
                <w:rFonts w:ascii="Courier New" w:cs="Courier New" w:eastAsia="Courier New" w:hAnsi="Courier New"/>
                <w:sz w:val="17"/>
                <w:szCs w:val="17"/>
                <w:color w:val="auto"/>
              </w:rPr>
              <w:t>$16 to 35</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123,458</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2.8</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years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$ 25</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123,458</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$ 25</w:t>
            </w:r>
          </w:p>
        </w:tc>
      </w:tr>
      <w:tr>
        <w:trPr>
          <w:trHeight w:val="197"/>
        </w:trPr>
        <w:tc>
          <w:tcPr>
            <w:tcW w:w="1480" w:type="dxa"/>
            <w:vAlign w:val="bottom"/>
          </w:tcPr>
          <w:p>
            <w:pPr>
              <w:ind w:left="100"/>
              <w:spacing w:after="0"/>
              <w:rPr>
                <w:sz w:val="20"/>
                <w:szCs w:val="20"/>
                <w:color w:val="auto"/>
              </w:rPr>
            </w:pPr>
            <w:r>
              <w:rPr>
                <w:rFonts w:ascii="Courier New" w:cs="Courier New" w:eastAsia="Courier New" w:hAnsi="Courier New"/>
                <w:sz w:val="17"/>
                <w:szCs w:val="17"/>
                <w:color w:val="auto"/>
              </w:rPr>
              <w:t>36 to 55</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580,619</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5.0</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years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552,119</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w:t>
            </w:r>
          </w:p>
        </w:tc>
      </w:tr>
      <w:tr>
        <w:trPr>
          <w:trHeight w:val="197"/>
        </w:trPr>
        <w:tc>
          <w:tcPr>
            <w:tcW w:w="1480" w:type="dxa"/>
            <w:vAlign w:val="bottom"/>
          </w:tcPr>
          <w:p>
            <w:pPr>
              <w:ind w:left="100"/>
              <w:spacing w:after="0"/>
              <w:rPr>
                <w:sz w:val="20"/>
                <w:szCs w:val="20"/>
                <w:color w:val="auto"/>
              </w:rPr>
            </w:pPr>
            <w:r>
              <w:rPr>
                <w:rFonts w:ascii="Courier New" w:cs="Courier New" w:eastAsia="Courier New" w:hAnsi="Courier New"/>
                <w:sz w:val="17"/>
                <w:szCs w:val="17"/>
                <w:color w:val="auto"/>
              </w:rPr>
              <w:t>56 to 75</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1,490,122</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7.9</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years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68</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531,622</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w:t>
            </w:r>
          </w:p>
        </w:tc>
      </w:tr>
      <w:tr>
        <w:trPr>
          <w:trHeight w:val="197"/>
        </w:trPr>
        <w:tc>
          <w:tcPr>
            <w:tcW w:w="1480" w:type="dxa"/>
            <w:vAlign w:val="bottom"/>
          </w:tcPr>
          <w:p>
            <w:pPr>
              <w:ind w:left="100"/>
              <w:spacing w:after="0"/>
              <w:rPr>
                <w:sz w:val="20"/>
                <w:szCs w:val="20"/>
                <w:color w:val="auto"/>
              </w:rPr>
            </w:pPr>
            <w:r>
              <w:rPr>
                <w:rFonts w:ascii="Courier New" w:cs="Courier New" w:eastAsia="Courier New" w:hAnsi="Courier New"/>
                <w:sz w:val="17"/>
                <w:szCs w:val="17"/>
                <w:color w:val="auto"/>
              </w:rPr>
              <w:t>76 to 95</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1,599,459</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8.1</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years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85</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674,700</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w:t>
            </w:r>
          </w:p>
        </w:tc>
      </w:tr>
      <w:tr>
        <w:trPr>
          <w:trHeight w:val="197"/>
        </w:trPr>
        <w:tc>
          <w:tcPr>
            <w:tcW w:w="1480" w:type="dxa"/>
            <w:vAlign w:val="bottom"/>
          </w:tcPr>
          <w:p>
            <w:pPr>
              <w:spacing w:after="0"/>
              <w:rPr>
                <w:sz w:val="20"/>
                <w:szCs w:val="20"/>
                <w:color w:val="auto"/>
              </w:rPr>
            </w:pPr>
            <w:r>
              <w:rPr>
                <w:rFonts w:ascii="Courier New" w:cs="Courier New" w:eastAsia="Courier New" w:hAnsi="Courier New"/>
                <w:sz w:val="17"/>
                <w:szCs w:val="17"/>
                <w:color w:val="auto"/>
              </w:rPr>
              <w:t>96 to 118</w:t>
            </w: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1,036,425</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9.0</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years</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101</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45,000</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105</w:t>
            </w:r>
          </w:p>
        </w:tc>
      </w:tr>
      <w:tr>
        <w:trPr>
          <w:trHeight w:val="197"/>
        </w:trPr>
        <w:tc>
          <w:tcPr>
            <w:tcW w:w="1480" w:type="dxa"/>
            <w:vAlign w:val="bottom"/>
          </w:tcPr>
          <w:p>
            <w:pPr>
              <w:spacing w:after="0"/>
              <w:rPr>
                <w:sz w:val="17"/>
                <w:szCs w:val="17"/>
                <w:color w:val="auto"/>
              </w:rPr>
            </w:pP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spacing w:after="0"/>
              <w:rPr>
                <w:sz w:val="17"/>
                <w:szCs w:val="17"/>
                <w:color w:val="auto"/>
              </w:rPr>
            </w:pPr>
          </w:p>
        </w:tc>
      </w:tr>
      <w:tr>
        <w:trPr>
          <w:trHeight w:val="197"/>
        </w:trPr>
        <w:tc>
          <w:tcPr>
            <w:tcW w:w="1480" w:type="dxa"/>
            <w:vAlign w:val="bottom"/>
          </w:tcPr>
          <w:p>
            <w:pPr>
              <w:spacing w:after="0"/>
              <w:rPr>
                <w:sz w:val="17"/>
                <w:szCs w:val="17"/>
                <w:color w:val="auto"/>
              </w:rPr>
            </w:pP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4,830,083</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1,926,899</w:t>
            </w:r>
          </w:p>
        </w:tc>
        <w:tc>
          <w:tcPr>
            <w:tcW w:w="1120" w:type="dxa"/>
            <w:vAlign w:val="bottom"/>
          </w:tcPr>
          <w:p>
            <w:pPr>
              <w:spacing w:after="0"/>
              <w:rPr>
                <w:sz w:val="17"/>
                <w:szCs w:val="17"/>
                <w:color w:val="auto"/>
              </w:rPr>
            </w:pPr>
          </w:p>
        </w:tc>
      </w:tr>
      <w:tr>
        <w:trPr>
          <w:trHeight w:val="197"/>
        </w:trPr>
        <w:tc>
          <w:tcPr>
            <w:tcW w:w="1480" w:type="dxa"/>
            <w:vAlign w:val="bottom"/>
          </w:tcPr>
          <w:p>
            <w:pPr>
              <w:spacing w:after="0"/>
              <w:rPr>
                <w:sz w:val="17"/>
                <w:szCs w:val="17"/>
                <w:color w:val="auto"/>
              </w:rPr>
            </w:pPr>
          </w:p>
        </w:tc>
        <w:tc>
          <w:tcPr>
            <w:tcW w:w="150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spacing w:after="0"/>
              <w:rPr>
                <w:sz w:val="17"/>
                <w:szCs w:val="17"/>
                <w:color w:val="auto"/>
              </w:rPr>
            </w:pPr>
          </w:p>
        </w:tc>
      </w:tr>
    </w:tbl>
    <w:p>
      <w:pPr>
        <w:spacing w:after="0" w:line="398" w:lineRule="exact"/>
        <w:rPr>
          <w:sz w:val="20"/>
          <w:szCs w:val="20"/>
          <w:color w:val="auto"/>
        </w:rPr>
      </w:pPr>
    </w:p>
    <w:p>
      <w:pPr>
        <w:jc w:val="both"/>
        <w:ind w:right="2459" w:firstLine="511"/>
        <w:spacing w:after="0" w:line="244" w:lineRule="auto"/>
        <w:rPr>
          <w:sz w:val="20"/>
          <w:szCs w:val="20"/>
          <w:color w:val="auto"/>
        </w:rPr>
      </w:pPr>
      <w:r>
        <w:rPr>
          <w:rFonts w:ascii="Courier New" w:cs="Courier New" w:eastAsia="Courier New" w:hAnsi="Courier New"/>
          <w:sz w:val="17"/>
          <w:szCs w:val="17"/>
          <w:color w:val="auto"/>
        </w:rPr>
        <w:t>Restricted performance stock rights were granted with weighted-average grant-date fair values per share as follows: 1999 - 75,300 at $64; 1998 - 794,050 at $73; and 1997 - 7,700 at $80.</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139"/>
          </w:cols>
          <w:pgMar w:left="320" w:top="705"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NORTHROP GRUMMAN CORPORATION</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90"/>
        </w:trPr>
        <w:tc>
          <w:tcPr>
            <w:tcW w:w="4600" w:type="dxa"/>
            <w:vAlign w:val="bottom"/>
          </w:tcPr>
          <w:p>
            <w:pPr>
              <w:spacing w:after="0"/>
              <w:rPr>
                <w:sz w:val="20"/>
                <w:szCs w:val="20"/>
                <w:color w:val="auto"/>
              </w:rPr>
            </w:pPr>
            <w:r>
              <w:rPr>
                <w:rFonts w:ascii="Courier New" w:cs="Courier New" w:eastAsia="Courier New" w:hAnsi="Courier New"/>
                <w:sz w:val="17"/>
                <w:szCs w:val="17"/>
                <w:color w:val="auto"/>
              </w:rPr>
              <w:t>UNAUDITED SELECTED QUARTERLY DATA</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7"/>
        </w:trPr>
        <w:tc>
          <w:tcPr>
            <w:tcW w:w="8440" w:type="dxa"/>
            <w:vAlign w:val="bottom"/>
            <w:gridSpan w:val="4"/>
          </w:tcPr>
          <w:p>
            <w:pPr>
              <w:spacing w:after="0"/>
              <w:rPr>
                <w:sz w:val="20"/>
                <w:szCs w:val="20"/>
                <w:color w:val="auto"/>
              </w:rPr>
            </w:pPr>
            <w:r>
              <w:rPr>
                <w:rFonts w:ascii="Courier New" w:cs="Courier New" w:eastAsia="Courier New" w:hAnsi="Courier New"/>
                <w:sz w:val="17"/>
                <w:szCs w:val="17"/>
                <w:color w:val="auto"/>
              </w:rPr>
              <w:t>Quarterly financial results are set forth in the following tables together with</w:t>
            </w:r>
          </w:p>
        </w:tc>
        <w:tc>
          <w:tcPr>
            <w:tcW w:w="460" w:type="dxa"/>
            <w:vAlign w:val="bottom"/>
          </w:tcPr>
          <w:p>
            <w:pPr>
              <w:spacing w:after="0"/>
              <w:rPr>
                <w:sz w:val="17"/>
                <w:szCs w:val="17"/>
                <w:color w:val="auto"/>
              </w:rPr>
            </w:pPr>
          </w:p>
        </w:tc>
      </w:tr>
      <w:tr>
        <w:trPr>
          <w:trHeight w:val="197"/>
        </w:trPr>
        <w:tc>
          <w:tcPr>
            <w:tcW w:w="4600" w:type="dxa"/>
            <w:vAlign w:val="bottom"/>
          </w:tcPr>
          <w:p>
            <w:pPr>
              <w:spacing w:after="0"/>
              <w:rPr>
                <w:sz w:val="20"/>
                <w:szCs w:val="20"/>
                <w:color w:val="auto"/>
              </w:rPr>
            </w:pPr>
            <w:r>
              <w:rPr>
                <w:rFonts w:ascii="Courier New" w:cs="Courier New" w:eastAsia="Courier New" w:hAnsi="Courier New"/>
                <w:sz w:val="17"/>
                <w:szCs w:val="17"/>
                <w:color w:val="auto"/>
              </w:rPr>
              <w:t>dividend and common stock price data.</w:t>
            </w: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87"/>
        </w:trPr>
        <w:tc>
          <w:tcPr>
            <w:tcW w:w="4600" w:type="dxa"/>
            <w:vAlign w:val="bottom"/>
          </w:tcPr>
          <w:p>
            <w:pPr>
              <w:spacing w:after="0"/>
              <w:rPr>
                <w:sz w:val="20"/>
                <w:szCs w:val="20"/>
                <w:color w:val="auto"/>
              </w:rPr>
            </w:pPr>
            <w:r>
              <w:rPr>
                <w:rFonts w:ascii="Courier New" w:cs="Courier New" w:eastAsia="Courier New" w:hAnsi="Courier New"/>
                <w:sz w:val="17"/>
                <w:szCs w:val="17"/>
                <w:color w:val="auto"/>
              </w:rPr>
              <w:t>1999 Quarters</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7"/>
        </w:trPr>
        <w:tc>
          <w:tcPr>
            <w:tcW w:w="4600" w:type="dxa"/>
            <w:vAlign w:val="bottom"/>
          </w:tcPr>
          <w:p>
            <w:pPr>
              <w:spacing w:after="0"/>
              <w:rPr>
                <w:sz w:val="20"/>
                <w:szCs w:val="20"/>
                <w:color w:val="auto"/>
              </w:rPr>
            </w:pPr>
            <w:r>
              <w:rPr>
                <w:rFonts w:ascii="Courier New" w:cs="Courier New" w:eastAsia="Courier New" w:hAnsi="Courier New"/>
                <w:sz w:val="17"/>
                <w:szCs w:val="17"/>
                <w:color w:val="auto"/>
              </w:rPr>
              <w:t>$ in millions, except per share</w:t>
            </w:r>
          </w:p>
        </w:tc>
        <w:tc>
          <w:tcPr>
            <w:tcW w:w="1500" w:type="dxa"/>
            <w:vAlign w:val="bottom"/>
          </w:tcPr>
          <w:p>
            <w:pPr>
              <w:jc w:val="right"/>
              <w:ind w:right="495"/>
              <w:spacing w:after="0"/>
              <w:rPr>
                <w:sz w:val="20"/>
                <w:szCs w:val="20"/>
                <w:color w:val="auto"/>
              </w:rPr>
            </w:pPr>
            <w:r>
              <w:rPr>
                <w:rFonts w:ascii="Courier New" w:cs="Courier New" w:eastAsia="Courier New" w:hAnsi="Courier New"/>
                <w:sz w:val="17"/>
                <w:szCs w:val="17"/>
                <w:color w:val="auto"/>
              </w:rPr>
              <w:t>4</w:t>
            </w:r>
          </w:p>
        </w:tc>
        <w:tc>
          <w:tcPr>
            <w:tcW w:w="11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w:t>
            </w:r>
          </w:p>
        </w:tc>
        <w:tc>
          <w:tcPr>
            <w:tcW w:w="11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2,506</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2,122</w:t>
            </w: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2,274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$ 2,093</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253</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262</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216</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of accounting change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138</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128</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104</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138</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128</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88</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Basic earnings per share before</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1.97</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1.84</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1.65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1.51</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1.97</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1.84</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1.65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1.27</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Diluted earnings per share before</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1.96</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1.83</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1.64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1.96</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1.83</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1.64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1.26</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Dividend per share</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.40</w:t>
            </w:r>
          </w:p>
        </w:tc>
        <w:tc>
          <w:tcPr>
            <w:tcW w:w="58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Stock price:</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High</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5/16</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75 11/16</w:t>
            </w: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73 5/16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73 1/4</w:t>
            </w:r>
          </w:p>
        </w:tc>
      </w:tr>
      <w:tr>
        <w:trPr>
          <w:trHeight w:val="197"/>
        </w:trPr>
        <w:tc>
          <w:tcPr>
            <w:tcW w:w="4400" w:type="dxa"/>
            <w:vAlign w:val="bottom"/>
          </w:tcPr>
          <w:p>
            <w:pPr>
              <w:spacing w:after="0"/>
              <w:rPr>
                <w:sz w:val="20"/>
                <w:szCs w:val="20"/>
                <w:color w:val="auto"/>
              </w:rPr>
            </w:pPr>
            <w:r>
              <w:rPr>
                <w:rFonts w:ascii="Courier New" w:cs="Courier New" w:eastAsia="Courier New" w:hAnsi="Courier New"/>
                <w:sz w:val="17"/>
                <w:szCs w:val="17"/>
                <w:color w:val="auto"/>
              </w:rPr>
              <w:t>Low</w:t>
            </w:r>
          </w:p>
        </w:tc>
        <w:tc>
          <w:tcPr>
            <w:tcW w:w="6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59 15/16</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In the fourth quarter of 1999 the company reached a settlement of its contract claims with the U. S. Air Force relating to the remanufacturing of Joint STARS aircraft. The company was able to recognize underlying improved performance on the production phase of the program and recorded upward cumulative margin rate adjustments totaling $37 million. Operating margin includes positive cumulative margin rate adjustments on the B-2 program of $23 million, $11 million and $36 million in the fourth, third and second quarters, respectively. Charges on Boeing commercial aerostructures work, to reflect increases in cost estimates to complete work on several contracts, of $27 million in the fourth quarter, $10 million in the third quarter and $40 million in the second quarter were also recorded.</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139"/>
          </w:cols>
          <w:pgMar w:left="320" w:top="70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rPr>
              <w:t>Quarters</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7"/>
        </w:trPr>
        <w:tc>
          <w:tcPr>
            <w:tcW w:w="460" w:type="dxa"/>
            <w:vAlign w:val="bottom"/>
          </w:tcPr>
          <w:p>
            <w:pPr>
              <w:spacing w:after="0"/>
              <w:rPr>
                <w:sz w:val="20"/>
                <w:szCs w:val="20"/>
                <w:color w:val="auto"/>
              </w:rPr>
            </w:pPr>
            <w:r>
              <w:rPr>
                <w:rFonts w:ascii="Courier New" w:cs="Courier New" w:eastAsia="Courier New" w:hAnsi="Courier New"/>
                <w:sz w:val="17"/>
                <w:szCs w:val="17"/>
                <w:color w:val="auto"/>
              </w:rPr>
              <w:t>$ in</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rPr>
              <w:t>millions, except per share</w:t>
            </w:r>
          </w:p>
        </w:tc>
        <w:tc>
          <w:tcPr>
            <w:tcW w:w="13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w:t>
            </w:r>
          </w:p>
        </w:tc>
        <w:tc>
          <w:tcPr>
            <w:tcW w:w="11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w:t>
            </w:r>
          </w:p>
        </w:tc>
        <w:tc>
          <w:tcPr>
            <w:tcW w:w="11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2,536</w:t>
            </w: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2,213</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2,139</w:t>
            </w:r>
          </w:p>
        </w:tc>
        <w:tc>
          <w:tcPr>
            <w:tcW w:w="10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  2,014</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Operating margin</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103</w:t>
            </w:r>
          </w:p>
        </w:tc>
        <w:tc>
          <w:tcPr>
            <w:tcW w:w="5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238</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208</w:t>
            </w:r>
          </w:p>
        </w:tc>
        <w:tc>
          <w:tcPr>
            <w:tcW w:w="10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207</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Net income(loss)</w:t>
            </w:r>
          </w:p>
        </w:tc>
        <w:tc>
          <w:tcPr>
            <w:tcW w:w="13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116</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Basic earnings(loss) per share</w:t>
            </w:r>
          </w:p>
        </w:tc>
        <w:tc>
          <w:tcPr>
            <w:tcW w:w="13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(.04)</w:t>
            </w:r>
          </w:p>
        </w:tc>
        <w:tc>
          <w:tcPr>
            <w:tcW w:w="5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1.68</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Diluted earnings(loss) per share</w:t>
            </w:r>
          </w:p>
        </w:tc>
        <w:tc>
          <w:tcPr>
            <w:tcW w:w="13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(.04)</w:t>
            </w:r>
          </w:p>
        </w:tc>
        <w:tc>
          <w:tcPr>
            <w:tcW w:w="5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1.67</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Dividend per share</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.40</w:t>
            </w:r>
          </w:p>
        </w:tc>
        <w:tc>
          <w:tcPr>
            <w:tcW w:w="5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w:t>
            </w:r>
          </w:p>
        </w:tc>
        <w:tc>
          <w:tcPr>
            <w:tcW w:w="10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.40</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Stock price:</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High</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c>
          <w:tcPr>
            <w:tcW w:w="5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5/8</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110 3/4</w:t>
            </w:r>
          </w:p>
        </w:tc>
        <w:tc>
          <w:tcPr>
            <w:tcW w:w="10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139</w:t>
            </w:r>
          </w:p>
        </w:tc>
      </w:tr>
      <w:tr>
        <w:trPr>
          <w:trHeight w:val="197"/>
        </w:trPr>
        <w:tc>
          <w:tcPr>
            <w:tcW w:w="3580" w:type="dxa"/>
            <w:vAlign w:val="bottom"/>
          </w:tcPr>
          <w:p>
            <w:pPr>
              <w:spacing w:after="0"/>
              <w:rPr>
                <w:sz w:val="20"/>
                <w:szCs w:val="20"/>
                <w:color w:val="auto"/>
              </w:rPr>
            </w:pPr>
            <w:r>
              <w:rPr>
                <w:rFonts w:ascii="Courier New" w:cs="Courier New" w:eastAsia="Courier New" w:hAnsi="Courier New"/>
                <w:sz w:val="17"/>
                <w:szCs w:val="17"/>
                <w:color w:val="auto"/>
              </w:rPr>
              <w:t>Low</w:t>
            </w:r>
          </w:p>
        </w:tc>
        <w:tc>
          <w:tcPr>
            <w:tcW w:w="13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68 7/16</w:t>
            </w: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59 5/16</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 3/16</w:t>
            </w:r>
          </w:p>
        </w:tc>
        <w:tc>
          <w:tcPr>
            <w:tcW w:w="10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102 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Operating margin in the fourth quarter of 1998 includes charges of $104 million related to the 747 fuselage program and $21 million due to an increase in the cost estimate to complete work on the test phase of development for the Directional Infrared Countermeasures (DIRCM) program. The Boeing 747 charge resulted from a reduction in future fuselage deliveries that caused an increase in the estimated cost to complete work on the current production block and a charge to operations of certain nonrecurring costs for the Accurate Fuselage Assembly (AFA) precision manufacturing system, which are no longer considered recoverable from sales of future deliveries. Pretax costs of $16 million and $42 million are included in the third and fourth quarter, respectively, related to activities to realign operating units, consolidate facilities and exit certain business areas. Cumulative margin rate adjustments on the Joint STARS and E-2C programs reduced operating margin in the second quarter by $25 million. Charges related to the company's terminated merger with Lockheed Martin Corporation of $180 million and $6 million were recorded in the first and second quarter, respectively. Included in the 1998 fourth quarter results is the write off of the company's $30 million investment comprised of advances on behalf of the Kistler Aerospace Corporation. The write off resulted from the company's assessment that the near-term likelihood of Kistler obtaining additional financing made recovery of the investment uncertain.</w:t>
      </w:r>
    </w:p>
    <w:p>
      <w:pPr>
        <w:spacing w:after="0" w:line="199" w:lineRule="exact"/>
        <w:rPr>
          <w:sz w:val="20"/>
          <w:szCs w:val="20"/>
          <w:color w:val="auto"/>
        </w:rPr>
      </w:pPr>
    </w:p>
    <w:p>
      <w:pPr>
        <w:jc w:val="both"/>
        <w:ind w:right="2059" w:firstLine="511"/>
        <w:spacing w:after="0" w:line="244" w:lineRule="auto"/>
        <w:rPr>
          <w:sz w:val="20"/>
          <w:szCs w:val="20"/>
          <w:color w:val="auto"/>
        </w:rPr>
      </w:pPr>
      <w:r>
        <w:rPr>
          <w:rFonts w:ascii="Courier New" w:cs="Courier New" w:eastAsia="Courier New" w:hAnsi="Courier New"/>
          <w:sz w:val="17"/>
          <w:szCs w:val="17"/>
          <w:color w:val="auto"/>
        </w:rPr>
        <w:t>The corporation's common stock is traded on the New York and Pacific Stock Exchanges (trading symbol NOC). The approximate number of holders of record of the corporation's common stock at February 14, 2000, was 11,135.</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139"/>
          </w:cols>
          <w:pgMar w:left="320" w:top="70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201"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We have audited the accompanying consolidated statements of financial position of Northrop Grumman Corporation and Subsidiaries as of December 31, 1999 and 1998, and the related consolidated statements of income, comprehensive income, changes in shareholders' equity, and cash flows for each of the three years in the period ended December 31, 1999. Our audit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98" w:lineRule="exact"/>
        <w:rPr>
          <w:sz w:val="20"/>
          <w:szCs w:val="20"/>
          <w:color w:val="auto"/>
        </w:rPr>
      </w:pPr>
    </w:p>
    <w:p>
      <w:pPr>
        <w:ind w:right="1959" w:firstLine="511"/>
        <w:spacing w:after="0" w:line="245"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8" w:lineRule="exact"/>
        <w:rPr>
          <w:sz w:val="20"/>
          <w:szCs w:val="20"/>
          <w:color w:val="auto"/>
        </w:rPr>
      </w:pPr>
    </w:p>
    <w:p>
      <w:pPr>
        <w:ind w:right="2059" w:firstLine="511"/>
        <w:spacing w:after="0" w:line="245" w:lineRule="auto"/>
        <w:rPr>
          <w:sz w:val="20"/>
          <w:szCs w:val="20"/>
          <w:color w:val="auto"/>
        </w:rPr>
      </w:pPr>
      <w:r>
        <w:rPr>
          <w:rFonts w:ascii="Courier New" w:cs="Courier New" w:eastAsia="Courier New" w:hAnsi="Courier New"/>
          <w:sz w:val="17"/>
          <w:szCs w:val="17"/>
          <w:color w:val="auto"/>
        </w:rPr>
        <w:t>In our opinion, such consolidated financial statements present fairly, in all material respects, the financial position of Northrop Grumman Corporation and Subsidiaries at December 31, 1999 and 1998, and the results of their operations and their cash flows for each of the three years in the period ended December 31, 1999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As discussed in the footnotes to the consolidated financial statements, in</w:t>
      </w:r>
    </w:p>
    <w:p>
      <w:pPr>
        <w:spacing w:after="0" w:line="5"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1999 the Company changed its method of accounting for start-up activities by adopting Statement of Position 98-5 -- Reporting on the Costs of Start-up Activities.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26, 2000</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139"/>
          </w:cols>
          <w:pgMar w:left="320" w:top="705"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left="920" w:right="2779" w:hanging="919"/>
        <w:spacing w:after="0" w:line="244" w:lineRule="auto"/>
        <w:tabs>
          <w:tab w:leader="none" w:pos="900" w:val="left"/>
        </w:tabs>
        <w:rPr>
          <w:sz w:val="20"/>
          <w:szCs w:val="20"/>
          <w:color w:val="auto"/>
        </w:rPr>
      </w:pPr>
      <w:r>
        <w:rPr>
          <w:rFonts w:ascii="Courier New" w:cs="Courier New" w:eastAsia="Courier New" w:hAnsi="Courier New"/>
          <w:sz w:val="17"/>
          <w:szCs w:val="17"/>
          <w:color w:val="auto"/>
        </w:rPr>
        <w:t>Item 9.</w:t>
        <w:tab/>
        <w:t>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information is required in response to this Item.</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III</w:t>
      </w:r>
    </w:p>
    <w:p>
      <w:pPr>
        <w:spacing w:after="0" w:line="201"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01"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The information as to Directors will be incorporated herein by reference to the Proxy Statement for the 2000 Annual Meeting of Stockholders to be filed within 120 days after the end of the company's fiscal year. Information with respect to Executive Officers is included in Part I under the caption "Executive Officers of the Registrant".</w:t>
      </w:r>
    </w:p>
    <w:p>
      <w:pPr>
        <w:spacing w:after="0" w:line="201"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01" w:lineRule="exact"/>
        <w:rPr>
          <w:sz w:val="20"/>
          <w:szCs w:val="20"/>
          <w:color w:val="auto"/>
        </w:rPr>
      </w:pPr>
    </w:p>
    <w:p>
      <w:pPr>
        <w:jc w:val="both"/>
        <w:ind w:right="1959" w:firstLine="511"/>
        <w:spacing w:after="0" w:line="244" w:lineRule="auto"/>
        <w:rPr>
          <w:sz w:val="20"/>
          <w:szCs w:val="20"/>
          <w:color w:val="auto"/>
        </w:rPr>
      </w:pPr>
      <w:r>
        <w:rPr>
          <w:rFonts w:ascii="Courier New" w:cs="Courier New" w:eastAsia="Courier New" w:hAnsi="Courier New"/>
          <w:sz w:val="17"/>
          <w:szCs w:val="17"/>
          <w:color w:val="auto"/>
        </w:rPr>
        <w:t>The information as to Executive Compensation will be incorporated herein by reference to the Proxy Statement for the 2000 Annual Meeting of Stockholders to be filed within 120 days after the end of the company's fiscal year.</w:t>
      </w:r>
    </w:p>
    <w:p>
      <w:pPr>
        <w:spacing w:after="0" w:line="19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information as to Security Ownership of Certain Beneficial Owners and Management will be incorporated herein by reference to the Proxy Statement for the 2000 Annual Meeting of Stockholders to be filed within 120 days after the end of the company's fiscal year.</w:t>
      </w:r>
    </w:p>
    <w:p>
      <w:pPr>
        <w:spacing w:after="0" w:line="20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The information as to Certain Relationships and Related Transactions will be incorporated herein by reference to the Proxy Statement for the 2000 Annual Meeting of Stockholders to be filed within 120 days after the end of the company's fiscal year.</w:t>
      </w:r>
    </w:p>
    <w:p>
      <w:pPr>
        <w:spacing w:after="0" w:line="20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14.</w:t>
        <w:tab/>
        <w:t>Exhibits, Financial Statement Schedules and Reports on Form 8-K</w:t>
      </w:r>
    </w:p>
    <w:p>
      <w:pPr>
        <w:spacing w:after="0" w:line="201" w:lineRule="exact"/>
        <w:rPr>
          <w:sz w:val="20"/>
          <w:szCs w:val="20"/>
          <w:color w:val="auto"/>
        </w:rPr>
      </w:pPr>
    </w:p>
    <w:p>
      <w:pPr>
        <w:ind w:left="520" w:hanging="515"/>
        <w:spacing w:after="0"/>
        <w:tabs>
          <w:tab w:leader="none" w:pos="5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Financial Statements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Consolidated Statements of Financial Position</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Consolidated Statements of Changes in Shareholders' Equity</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Independent Auditors' Report</w:t>
      </w:r>
    </w:p>
    <w:p>
      <w:pPr>
        <w:spacing w:after="0" w:line="201" w:lineRule="exact"/>
        <w:rPr>
          <w:sz w:val="20"/>
          <w:szCs w:val="20"/>
          <w:color w:val="auto"/>
        </w:rPr>
      </w:pPr>
    </w:p>
    <w:p>
      <w:pPr>
        <w:ind w:left="920" w:hanging="404"/>
        <w:spacing w:after="0"/>
        <w:tabs>
          <w:tab w:leader="none" w:pos="9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w:t>
      </w:r>
    </w:p>
    <w:p>
      <w:pPr>
        <w:spacing w:after="0" w:line="4"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II -Valuation and Qualifying Accounts</w:t>
      </w:r>
    </w:p>
    <w:p>
      <w:pPr>
        <w:spacing w:after="0" w:line="201" w:lineRule="exact"/>
        <w:rPr>
          <w:sz w:val="20"/>
          <w:szCs w:val="20"/>
          <w:color w:val="auto"/>
        </w:rPr>
      </w:pPr>
    </w:p>
    <w:p>
      <w:pPr>
        <w:ind w:right="2159" w:firstLine="511"/>
        <w:spacing w:after="0" w:line="244" w:lineRule="auto"/>
        <w:rPr>
          <w:sz w:val="20"/>
          <w:szCs w:val="20"/>
          <w:color w:val="auto"/>
        </w:rPr>
      </w:pPr>
      <w:r>
        <w:rPr>
          <w:rFonts w:ascii="Courier New" w:cs="Courier New" w:eastAsia="Courier New" w:hAnsi="Courier New"/>
          <w:sz w:val="17"/>
          <w:szCs w:val="17"/>
          <w:color w:val="auto"/>
        </w:rPr>
        <w:t>All other schedules are omitted either because they are not applicable or not required or because the required information is included in the financial statements or notes thereto.</w:t>
      </w:r>
    </w:p>
    <w:p>
      <w:pPr>
        <w:spacing w:after="0" w:line="199" w:lineRule="exact"/>
        <w:rPr>
          <w:sz w:val="20"/>
          <w:szCs w:val="20"/>
          <w:color w:val="auto"/>
        </w:rPr>
      </w:pPr>
    </w:p>
    <w:p>
      <w:pPr>
        <w:ind w:right="1959" w:firstLine="511"/>
        <w:spacing w:after="0" w:line="244" w:lineRule="auto"/>
        <w:rPr>
          <w:sz w:val="20"/>
          <w:szCs w:val="20"/>
          <w:color w:val="auto"/>
        </w:rPr>
      </w:pPr>
      <w:r>
        <w:rPr>
          <w:rFonts w:ascii="Courier New" w:cs="Courier New" w:eastAsia="Courier New" w:hAnsi="Courier New"/>
          <w:sz w:val="17"/>
          <w:szCs w:val="17"/>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1999.</w:t>
      </w:r>
    </w:p>
    <w:p>
      <w:pPr>
        <w:spacing w:after="0" w:line="201" w:lineRule="exact"/>
        <w:rPr>
          <w:sz w:val="20"/>
          <w:szCs w:val="20"/>
          <w:color w:val="auto"/>
        </w:rPr>
      </w:pPr>
    </w:p>
    <w:p>
      <w:pPr>
        <w:ind w:right="2359" w:firstLine="5"/>
        <w:spacing w:after="0" w:line="244" w:lineRule="auto"/>
        <w:tabs>
          <w:tab w:leader="none" w:pos="51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were filed during the last quarter of the period covered by this report.</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139"/>
          </w:cols>
          <w:pgMar w:left="320" w:top="70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201" w:lineRule="exact"/>
        <w:rPr>
          <w:sz w:val="20"/>
          <w:szCs w:val="20"/>
          <w:color w:val="auto"/>
        </w:rPr>
      </w:pPr>
    </w:p>
    <w:p>
      <w:pPr>
        <w:ind w:left="620" w:right="235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3(a)</w:t>
        <w:tab/>
        <w:t>Certificate of Incorporation, as amended (incorporated by reference to Form S-3 Registration Statement, filed August 18, 1994)</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3(b)</w:t>
        <w:tab/>
        <w:t>Northrop Grumman Corporation Bylaws, as amended and restated February 16,</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2000</w:t>
      </w: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4(a)</w:t>
        <w:tab/>
        <w:t>Common Stock Purchase Rights Agreement (incorporated by reference to Form</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8-A filed November 13, 1998)</w:t>
      </w:r>
    </w:p>
    <w:p>
      <w:pPr>
        <w:spacing w:after="0" w:line="201" w:lineRule="exact"/>
        <w:rPr>
          <w:sz w:val="20"/>
          <w:szCs w:val="20"/>
          <w:color w:val="auto"/>
        </w:rPr>
      </w:pPr>
    </w:p>
    <w:p>
      <w:pPr>
        <w:ind w:left="620" w:right="287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4(b)</w:t>
        <w:tab/>
        <w:t>Indenture Agreement dated as of October 15, 1994 (incorporated by reference to Form 8-K filed October 25, 1994)</w:t>
      </w:r>
    </w:p>
    <w:p>
      <w:pPr>
        <w:spacing w:after="0" w:line="199" w:lineRule="exact"/>
        <w:rPr>
          <w:sz w:val="20"/>
          <w:szCs w:val="20"/>
          <w:color w:val="auto"/>
        </w:rPr>
      </w:pPr>
    </w:p>
    <w:p>
      <w:pPr>
        <w:ind w:left="620" w:right="195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4(c)</w:t>
        <w:tab/>
        <w:t>Form of Officer's Certificate (without exhibits) establishing the terms of Northrop Grumman Corporation's 7% Notes Due 2006, 7 3/4% Debentures Due 2016 and 7 7/8% Debentures Due 2026 (incorporated by reference to Form S-4 Registration Statement, filed April 19, 1996)</w:t>
      </w:r>
    </w:p>
    <w:p>
      <w:pPr>
        <w:spacing w:after="0" w:line="200" w:lineRule="exact"/>
        <w:rPr>
          <w:sz w:val="20"/>
          <w:szCs w:val="20"/>
          <w:color w:val="auto"/>
        </w:rPr>
      </w:pPr>
    </w:p>
    <w:p>
      <w:pPr>
        <w:ind w:left="620" w:right="205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4(d)</w:t>
        <w:tab/>
        <w:t>Form of Northrop Grumman Corporation's 7% Notes Due 2006 (incorporated by reference to Form S-4 Registration Statement, filed April 19, 1996)</w:t>
      </w:r>
    </w:p>
    <w:p>
      <w:pPr>
        <w:spacing w:after="0" w:line="199" w:lineRule="exact"/>
        <w:rPr>
          <w:sz w:val="20"/>
          <w:szCs w:val="20"/>
          <w:color w:val="auto"/>
        </w:rPr>
      </w:pPr>
    </w:p>
    <w:p>
      <w:pPr>
        <w:ind w:left="620" w:right="195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4(e)</w:t>
        <w:tab/>
        <w:t>Form of Northrop Grumman Corporation's 7 3/4% Debentures Due 2016 (incorporated by reference to Form S-4 Registration Statement, filed April 19, 1996)</w:t>
      </w:r>
    </w:p>
    <w:p>
      <w:pPr>
        <w:spacing w:after="0" w:line="199" w:lineRule="exact"/>
        <w:rPr>
          <w:sz w:val="20"/>
          <w:szCs w:val="20"/>
          <w:color w:val="auto"/>
        </w:rPr>
      </w:pPr>
    </w:p>
    <w:p>
      <w:pPr>
        <w:ind w:left="620" w:right="1959" w:hanging="619"/>
        <w:spacing w:after="0" w:line="244" w:lineRule="auto"/>
        <w:tabs>
          <w:tab w:leader="none" w:pos="600" w:val="left"/>
        </w:tabs>
        <w:rPr>
          <w:sz w:val="20"/>
          <w:szCs w:val="20"/>
          <w:color w:val="auto"/>
        </w:rPr>
      </w:pPr>
      <w:r>
        <w:rPr>
          <w:rFonts w:ascii="Courier New" w:cs="Courier New" w:eastAsia="Courier New" w:hAnsi="Courier New"/>
          <w:sz w:val="17"/>
          <w:szCs w:val="17"/>
          <w:color w:val="auto"/>
        </w:rPr>
        <w:t>4(f)</w:t>
        <w:tab/>
        <w:t>Form of Northrop Grumman Corporation's 7 7/8% Debentures Due 2026 (incorporated by reference to Form S-4 Registration Statement, filed April 19, 1996)</w:t>
      </w:r>
    </w:p>
    <w:p>
      <w:pPr>
        <w:spacing w:after="0" w:line="199" w:lineRule="exact"/>
        <w:rPr>
          <w:sz w:val="20"/>
          <w:szCs w:val="20"/>
          <w:color w:val="auto"/>
        </w:rPr>
      </w:pPr>
    </w:p>
    <w:p>
      <w:pPr>
        <w:ind w:left="620" w:right="1959" w:hanging="613"/>
        <w:spacing w:after="0" w:line="245" w:lineRule="auto"/>
        <w:rPr>
          <w:sz w:val="20"/>
          <w:szCs w:val="20"/>
          <w:color w:val="auto"/>
        </w:rPr>
      </w:pPr>
      <w:r>
        <w:rPr>
          <w:rFonts w:ascii="Courier New" w:cs="Courier New" w:eastAsia="Courier New" w:hAnsi="Courier New"/>
          <w:sz w:val="17"/>
          <w:szCs w:val="17"/>
          <w:color w:val="auto"/>
        </w:rPr>
        <w:t>10(a) Second Amended and Restated Credit Agreement dated as of April 15, 1994, Amended and Restated as of March 1, 1996 among Northrop Grumman Corporation, Bank of America National Trust and Savings Association, as Documentation Agent, Chemical Securities, Inc., as Syndication Agent, the Chase Manhattan Bank (National Association), as Administrative Agent, and the Banks Signatories thereto (incorporated by reference to Form 8-K, filed March 18, 1996), and amended as of November 1, 1996 (incorporated by reference to Form 10-K filed February 25, 1997)</w:t>
      </w:r>
    </w:p>
    <w:p>
      <w:pPr>
        <w:spacing w:after="0" w:line="198" w:lineRule="exact"/>
        <w:rPr>
          <w:sz w:val="20"/>
          <w:szCs w:val="20"/>
          <w:color w:val="auto"/>
        </w:rPr>
      </w:pPr>
    </w:p>
    <w:p>
      <w:pPr>
        <w:ind w:left="620" w:right="1959" w:hanging="613"/>
        <w:spacing w:after="0" w:line="244" w:lineRule="auto"/>
        <w:rPr>
          <w:sz w:val="20"/>
          <w:szCs w:val="20"/>
          <w:color w:val="auto"/>
        </w:rPr>
      </w:pPr>
      <w:r>
        <w:rPr>
          <w:rFonts w:ascii="Courier New" w:cs="Courier New" w:eastAsia="Courier New" w:hAnsi="Courier New"/>
          <w:sz w:val="17"/>
          <w:szCs w:val="17"/>
          <w:color w:val="auto"/>
        </w:rPr>
        <w:t>10(b) Uncommitted Credit Facility dated October 10, 1994, between Northrop Grumman Corporation and Wachovia Bank of Georgia, N.A., which is substantially identical to facilities between Northrop Grumman Corporation and certain banks some of which are parties to the Credit Agreement filed as Exhibit 10(a) hereto (incorporated by reference to Form 10-K filed February 22, 1996)</w:t>
      </w:r>
    </w:p>
    <w:p>
      <w:pPr>
        <w:spacing w:after="0" w:line="202" w:lineRule="exact"/>
        <w:rPr>
          <w:sz w:val="20"/>
          <w:szCs w:val="20"/>
          <w:color w:val="auto"/>
        </w:rPr>
      </w:pPr>
    </w:p>
    <w:p>
      <w:pPr>
        <w:jc w:val="right"/>
        <w:ind w:right="3279"/>
        <w:spacing w:after="0" w:line="244" w:lineRule="auto"/>
        <w:rPr>
          <w:sz w:val="20"/>
          <w:szCs w:val="20"/>
          <w:color w:val="auto"/>
        </w:rPr>
      </w:pPr>
      <w:r>
        <w:rPr>
          <w:rFonts w:ascii="Courier New" w:cs="Courier New" w:eastAsia="Courier New" w:hAnsi="Courier New"/>
          <w:sz w:val="17"/>
          <w:szCs w:val="17"/>
          <w:color w:val="auto"/>
        </w:rPr>
        <w:t>10(c) 1973 Incentive Compensation Plan as amended December 16, 1998 (incorporated by reference to Form 10-K filed March 23, 1999)</w:t>
      </w:r>
    </w:p>
    <w:p>
      <w:pPr>
        <w:spacing w:after="0" w:line="199" w:lineRule="exact"/>
        <w:rPr>
          <w:sz w:val="20"/>
          <w:szCs w:val="20"/>
          <w:color w:val="auto"/>
        </w:rPr>
      </w:pPr>
    </w:p>
    <w:p>
      <w:pPr>
        <w:ind w:left="620" w:right="2159" w:hanging="613"/>
        <w:spacing w:after="0" w:line="244" w:lineRule="auto"/>
        <w:rPr>
          <w:sz w:val="20"/>
          <w:szCs w:val="20"/>
          <w:color w:val="auto"/>
        </w:rPr>
      </w:pPr>
      <w:r>
        <w:rPr>
          <w:rFonts w:ascii="Courier New" w:cs="Courier New" w:eastAsia="Courier New" w:hAnsi="Courier New"/>
          <w:sz w:val="17"/>
          <w:szCs w:val="17"/>
          <w:color w:val="auto"/>
        </w:rPr>
        <w:t>10(d) 1973 Performance Achievement Plan (incorporated by reference to Form 8-B filed June 21, 1985)</w:t>
      </w:r>
    </w:p>
    <w:p>
      <w:pPr>
        <w:spacing w:after="0" w:line="199" w:lineRule="exact"/>
        <w:rPr>
          <w:sz w:val="20"/>
          <w:szCs w:val="20"/>
          <w:color w:val="auto"/>
        </w:rPr>
      </w:pPr>
    </w:p>
    <w:p>
      <w:pPr>
        <w:ind w:left="620" w:right="2159" w:hanging="613"/>
        <w:spacing w:after="0" w:line="244" w:lineRule="auto"/>
        <w:rPr>
          <w:sz w:val="20"/>
          <w:szCs w:val="20"/>
          <w:color w:val="auto"/>
        </w:rPr>
      </w:pPr>
      <w:r>
        <w:rPr>
          <w:rFonts w:ascii="Courier New" w:cs="Courier New" w:eastAsia="Courier New" w:hAnsi="Courier New"/>
          <w:sz w:val="17"/>
          <w:szCs w:val="17"/>
          <w:color w:val="auto"/>
        </w:rPr>
        <w:t>10(e) Northrop Supplement Plan 2 (incorporated by reference to Form 10-K filed February 22, 1996) and amended as of June 19, 1996 (incorporated by reference to Form 10-K filed March 30, 1998)</w:t>
      </w:r>
    </w:p>
    <w:p>
      <w:pPr>
        <w:spacing w:after="0" w:line="199" w:lineRule="exact"/>
        <w:rPr>
          <w:sz w:val="20"/>
          <w:szCs w:val="20"/>
          <w:color w:val="auto"/>
        </w:rPr>
      </w:pPr>
    </w:p>
    <w:p>
      <w:pPr>
        <w:ind w:left="620" w:right="2259" w:hanging="613"/>
        <w:spacing w:after="0" w:line="244" w:lineRule="auto"/>
        <w:rPr>
          <w:sz w:val="20"/>
          <w:szCs w:val="20"/>
          <w:color w:val="auto"/>
        </w:rPr>
      </w:pPr>
      <w:r>
        <w:rPr>
          <w:rFonts w:ascii="Courier New" w:cs="Courier New" w:eastAsia="Courier New" w:hAnsi="Courier New"/>
          <w:sz w:val="17"/>
          <w:szCs w:val="17"/>
          <w:color w:val="auto"/>
        </w:rPr>
        <w:t>10(f) Northrop Grumman Corporation ERISA Supplemental Plan I (incorporated by reference to Form 10-K filed February 28, 1994)</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139"/>
          </w:cols>
          <w:pgMar w:left="320" w:top="70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left="720" w:right="22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10(g)</w:t>
        <w:tab/>
        <w:t>Retirement Plan for Independent Outside Directors as amended April 24, 1998 (incorporated by reference to Form 10-K filed March 23,1999)</w:t>
      </w:r>
    </w:p>
    <w:p>
      <w:pPr>
        <w:spacing w:after="0" w:line="199" w:lineRule="exact"/>
        <w:rPr>
          <w:sz w:val="20"/>
          <w:szCs w:val="20"/>
          <w:color w:val="auto"/>
        </w:rPr>
      </w:pPr>
    </w:p>
    <w:p>
      <w:pPr>
        <w:ind w:left="720" w:right="21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10(h)</w:t>
        <w:tab/>
        <w:t>1987 Long-Term Incentive Plan, as amended (incorporated by reference to Form SE filed March 30, 1989)</w:t>
      </w:r>
    </w:p>
    <w:p>
      <w:pPr>
        <w:spacing w:after="0" w:line="199" w:lineRule="exact"/>
        <w:rPr>
          <w:sz w:val="20"/>
          <w:szCs w:val="20"/>
          <w:color w:val="auto"/>
        </w:rPr>
      </w:pPr>
    </w:p>
    <w:p>
      <w:pPr>
        <w:ind w:left="720" w:right="21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10(i)</w:t>
        <w:tab/>
        <w:t>Executive Life Insurance Policy (incorporated by reference to Form 10-K filed February 22, 1996)</w:t>
      </w:r>
    </w:p>
    <w:p>
      <w:pPr>
        <w:spacing w:after="0" w:line="199" w:lineRule="exact"/>
        <w:rPr>
          <w:sz w:val="20"/>
          <w:szCs w:val="20"/>
          <w:color w:val="auto"/>
        </w:rPr>
      </w:pPr>
    </w:p>
    <w:p>
      <w:pPr>
        <w:ind w:left="720" w:right="23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10(j)</w:t>
        <w:tab/>
        <w:t>Executive Accidental Death, Dismemberment and Plegia Insurance Policy (incorporated by reference to Form 10-K filed February 22, 1996)</w:t>
      </w:r>
    </w:p>
    <w:p>
      <w:pPr>
        <w:spacing w:after="0" w:line="199" w:lineRule="exact"/>
        <w:rPr>
          <w:sz w:val="20"/>
          <w:szCs w:val="20"/>
          <w:color w:val="auto"/>
        </w:rPr>
      </w:pPr>
    </w:p>
    <w:p>
      <w:pPr>
        <w:ind w:left="720" w:right="287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10(k)</w:t>
        <w:tab/>
        <w:t>Executive Long-Term Disability Insurance Policy (incorporated by reference to Form 10-K filed February 22, 1996)</w:t>
      </w:r>
    </w:p>
    <w:p>
      <w:pPr>
        <w:spacing w:after="0" w:line="199" w:lineRule="exact"/>
        <w:rPr>
          <w:sz w:val="20"/>
          <w:szCs w:val="20"/>
          <w:color w:val="auto"/>
        </w:rPr>
      </w:pPr>
    </w:p>
    <w:p>
      <w:pPr>
        <w:ind w:left="720" w:right="21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10(l)</w:t>
        <w:tab/>
        <w:t>Key Executive Medical Plan Benefit Matrix (incorporated by reference to Form 10-K filed February 22, 1996)</w:t>
      </w:r>
    </w:p>
    <w:p>
      <w:pPr>
        <w:spacing w:after="0" w:line="199" w:lineRule="exact"/>
        <w:rPr>
          <w:sz w:val="20"/>
          <w:szCs w:val="20"/>
          <w:color w:val="auto"/>
        </w:rPr>
      </w:pPr>
    </w:p>
    <w:p>
      <w:pPr>
        <w:ind w:left="720" w:right="287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10(m)</w:t>
        <w:tab/>
        <w:t>Executive Dental Insurance Policy Group Numbers 5134 and 5135 (incorporated by reference to Form 10-K filed February 22, 1996)</w:t>
      </w:r>
    </w:p>
    <w:p>
      <w:pPr>
        <w:spacing w:after="0" w:line="199" w:lineRule="exact"/>
        <w:rPr>
          <w:sz w:val="20"/>
          <w:szCs w:val="20"/>
          <w:color w:val="auto"/>
        </w:rPr>
      </w:pPr>
    </w:p>
    <w:p>
      <w:pPr>
        <w:ind w:left="720" w:right="23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10(n)</w:t>
        <w:tab/>
        <w:t>Group Excess Liability Policy (incorporated by reference to Form 10-K filed February 22, 1996)</w:t>
      </w:r>
    </w:p>
    <w:p>
      <w:pPr>
        <w:spacing w:after="0" w:line="199"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10(o)</w:t>
        <w:tab/>
        <w:t>Northrop Grumman 1993 Long-Term Incentive Stock Plan, as amended and restated (incorporated by reference to Northrop Grumman Corporation Form S-8 Registration Statement filed November 25, 1998)</w:t>
      </w:r>
    </w:p>
    <w:p>
      <w:pPr>
        <w:spacing w:after="0" w:line="199"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10(p)</w:t>
        <w:tab/>
        <w:t>Northrop Corporation 1993 Stock Plan for Non-Employee Directors (incorporated by reference to Northrop Corporation 1993 Proxy Statement filed March 30, 1993), amended as of September 21, 1994 (incorporated by reference to Form 10-K filed March 21, 1995)</w:t>
      </w:r>
    </w:p>
    <w:p>
      <w:pPr>
        <w:spacing w:after="0" w:line="200"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10(q)</w:t>
        <w:tab/>
        <w:t>Northrop Grumman Corporation 1995 Stock Option Plan for Non-Employee Directors (incorporated by reference to 1995 Proxy Statement filed March 30, 1995)</w:t>
      </w:r>
    </w:p>
    <w:p>
      <w:pPr>
        <w:spacing w:after="0" w:line="199"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10(r)</w:t>
        <w:tab/>
        <w:t>Form of Northrop Grumman Corporation March 2000 Special Agreement (effective March 1, 2000) (incorporated by reference to Form 10-Q filed November 4, 1999).</w:t>
      </w:r>
    </w:p>
    <w:p>
      <w:pPr>
        <w:spacing w:after="0" w:line="199"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10(s)</w:t>
        <w:tab/>
        <w:t>Executive Deferred Compensation Plan (effective December 29, 1994)</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(incorporated by reference to Form 10-K filed February 25, 1997)</w:t>
      </w:r>
    </w:p>
    <w:p>
      <w:pPr>
        <w:spacing w:after="0" w:line="201" w:lineRule="exact"/>
        <w:rPr>
          <w:sz w:val="20"/>
          <w:szCs w:val="20"/>
          <w:color w:val="auto"/>
        </w:rPr>
      </w:pPr>
    </w:p>
    <w:p>
      <w:pPr>
        <w:jc w:val="both"/>
        <w:ind w:left="720" w:right="19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10(t)</w:t>
        <w:tab/>
        <w:t>Northrop Grumman Corporation Non-Employee Directors Equity Participation Plan, as amended December 16, 1998 (incorporated by reference to Form 10-K filed March 23, 1999)</w:t>
      </w:r>
    </w:p>
    <w:p>
      <w:pPr>
        <w:spacing w:after="0" w:line="199"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10(u)</w:t>
        <w:tab/>
        <w:t>CPC Supplemental Executive Retirement Program (incorporated by reference to Form 10-K filed March 30, 1998)</w:t>
      </w:r>
    </w:p>
    <w:p>
      <w:pPr>
        <w:spacing w:after="0" w:line="199" w:lineRule="exact"/>
        <w:rPr>
          <w:sz w:val="20"/>
          <w:szCs w:val="20"/>
          <w:color w:val="auto"/>
        </w:rPr>
      </w:pPr>
    </w:p>
    <w:p>
      <w:pPr>
        <w:ind w:left="720" w:right="19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10(v)</w:t>
        <w:tab/>
        <w:t>Form of Ownership Retention Agreement and Amendment No. 1 by letter dated April 18, 1998 (incorporated by reference to Form 10-Q filed April 24, 1998)</w:t>
      </w:r>
    </w:p>
    <w:p>
      <w:pPr>
        <w:spacing w:after="0" w:line="199" w:lineRule="exact"/>
        <w:rPr>
          <w:sz w:val="20"/>
          <w:szCs w:val="20"/>
          <w:color w:val="auto"/>
        </w:rPr>
      </w:pPr>
    </w:p>
    <w:p>
      <w:pPr>
        <w:ind w:left="720" w:right="21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10(w)</w:t>
        <w:tab/>
        <w:t>Master Escrow Agreement and Master Escrow Agreement Clarification dated April 8, 1998 (incorporated by reference to Form 10-Q filed April 24, 1998)</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139"/>
          </w:cols>
          <w:pgMar w:left="320" w:top="70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ind w:left="720" w:right="23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10(x)</w:t>
        <w:tab/>
        <w:t>Northrop Grumman 1998 Restricted Stock Rights Plan (incorporated by reference to Form S-8 Registration Statement filed November 25, 1998)</w:t>
      </w:r>
    </w:p>
    <w:p>
      <w:pPr>
        <w:spacing w:after="0" w:line="19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10(y)</w:t>
        <w:tab/>
        <w:t>Special Officer Retiree Medical Plan as amended August 18, 1999.</w:t>
      </w:r>
    </w:p>
    <w:p>
      <w:pPr>
        <w:spacing w:after="0" w:line="201" w:lineRule="exact"/>
        <w:rPr>
          <w:sz w:val="20"/>
          <w:szCs w:val="20"/>
          <w:color w:val="auto"/>
        </w:rPr>
      </w:pPr>
    </w:p>
    <w:p>
      <w:pPr>
        <w:ind w:left="720" w:right="20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10(z)</w:t>
        <w:tab/>
        <w:t>Northrop Grumman Corporation March 2000 Change-in-Control Severance Plan (incorporated by reference to Form 10-Q filed November 4, 1999)</w:t>
      </w:r>
    </w:p>
    <w:p>
      <w:pPr>
        <w:spacing w:after="0" w:line="19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Subsidiaries</w:t>
      </w:r>
    </w:p>
    <w:p>
      <w:pPr>
        <w:spacing w:after="0" w:line="201" w:lineRule="exact"/>
        <w:rPr>
          <w:sz w:val="20"/>
          <w:szCs w:val="20"/>
          <w:color w:val="auto"/>
        </w:rPr>
      </w:pPr>
    </w:p>
    <w:p>
      <w:pPr>
        <w:ind w:left="720" w:hanging="715"/>
        <w:spacing w:after="0"/>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Auditors' Consent</w:t>
      </w:r>
    </w:p>
    <w:p>
      <w:pPr>
        <w:spacing w:after="0" w:line="200" w:lineRule="exact"/>
        <w:rPr>
          <w:rFonts w:ascii="Courier New" w:cs="Courier New" w:eastAsia="Courier New" w:hAnsi="Courier New"/>
          <w:sz w:val="17"/>
          <w:szCs w:val="17"/>
          <w:color w:val="auto"/>
        </w:rPr>
      </w:pPr>
    </w:p>
    <w:p>
      <w:pPr>
        <w:ind w:left="720" w:hanging="715"/>
        <w:spacing w:after="0"/>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w:t>
      </w:r>
    </w:p>
    <w:p>
      <w:pPr>
        <w:spacing w:after="0" w:line="20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139"/>
          </w:cols>
          <w:pgMar w:left="320" w:top="705"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 on the 24th day of February 2000.</w:t>
      </w: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Northrop Grumman Corporation</w:t>
      </w:r>
    </w:p>
    <w:p>
      <w:pPr>
        <w:sectPr>
          <w:pgSz w:w="11900" w:h="16838" w:orient="portrait"/>
          <w:cols w:equalWidth="0" w:num="1">
            <w:col w:w="10139"/>
          </w:cols>
          <w:pgMar w:left="320" w:top="705" w:right="1440" w:bottom="1440" w:gutter="0" w:footer="0" w:header="0"/>
        </w:sectPr>
      </w:pPr>
    </w:p>
    <w:p>
      <w:pPr>
        <w:spacing w:after="0" w:line="39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Richard B. Waugh,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Richard B. Waugh, Jr.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Corporate Vice President and</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2">
            <w:col w:w="4200" w:space="0"/>
            <w:col w:w="5939"/>
          </w:cols>
          <w:pgMar w:left="320" w:top="70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requirements of the Securities Exchange Act of 1934, this report</w:t>
      </w:r>
    </w:p>
    <w:p>
      <w:pPr>
        <w:sectPr>
          <w:pgSz w:w="11900" w:h="16838" w:orient="portrait"/>
          <w:cols w:equalWidth="0" w:num="1">
            <w:col w:w="10139"/>
          </w:cols>
          <w:pgMar w:left="320" w:top="70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been signed on behalf of the registrant this the 24th day of February 2000,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gridSpan w:val="3"/>
          </w:tcPr>
          <w:p>
            <w:pPr>
              <w:spacing w:after="0"/>
              <w:rPr>
                <w:sz w:val="20"/>
                <w:szCs w:val="20"/>
                <w:color w:val="auto"/>
              </w:rPr>
            </w:pPr>
            <w:r>
              <w:rPr>
                <w:rFonts w:ascii="Courier New" w:cs="Courier New" w:eastAsia="Courier New" w:hAnsi="Courier New"/>
                <w:sz w:val="17"/>
                <w:szCs w:val="17"/>
                <w:color w:val="auto"/>
              </w:rPr>
              <w:t>by the following persons and in the</w:t>
            </w: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capacities indicated.</w:t>
            </w:r>
          </w:p>
        </w:tc>
      </w:tr>
      <w:tr>
        <w:trPr>
          <w:trHeight w:val="787"/>
        </w:trPr>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rPr>
              <w:t>Signature</w:t>
            </w:r>
          </w:p>
        </w:tc>
        <w:tc>
          <w:tcPr>
            <w:tcW w:w="9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Title</w:t>
            </w:r>
          </w:p>
        </w:tc>
        <w:tc>
          <w:tcPr>
            <w:tcW w:w="4540" w:type="dxa"/>
            <w:vAlign w:val="bottom"/>
          </w:tcPr>
          <w:p>
            <w:pPr>
              <w:spacing w:after="0"/>
              <w:rPr>
                <w:sz w:val="24"/>
                <w:szCs w:val="24"/>
                <w:color w:val="auto"/>
              </w:rPr>
            </w:pPr>
          </w:p>
        </w:tc>
      </w:tr>
      <w:tr>
        <w:trPr>
          <w:trHeight w:val="197"/>
        </w:trPr>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4540" w:type="dxa"/>
            <w:vAlign w:val="bottom"/>
          </w:tcPr>
          <w:p>
            <w:pPr>
              <w:spacing w:after="0"/>
              <w:rPr>
                <w:sz w:val="17"/>
                <w:szCs w:val="17"/>
                <w:color w:val="auto"/>
              </w:rPr>
            </w:pPr>
          </w:p>
        </w:tc>
      </w:tr>
      <w:tr>
        <w:trPr>
          <w:trHeight w:val="393"/>
        </w:trPr>
        <w:tc>
          <w:tcPr>
            <w:tcW w:w="1540" w:type="dxa"/>
            <w:vAlign w:val="bottom"/>
          </w:tcPr>
          <w:p>
            <w:pPr>
              <w:spacing w:after="0"/>
              <w:rPr>
                <w:sz w:val="20"/>
                <w:szCs w:val="20"/>
                <w:color w:val="auto"/>
              </w:rPr>
            </w:pPr>
            <w:r>
              <w:rPr>
                <w:rFonts w:ascii="Courier New" w:cs="Courier New" w:eastAsia="Courier New" w:hAnsi="Courier New"/>
                <w:sz w:val="17"/>
                <w:szCs w:val="17"/>
                <w:color w:val="auto"/>
              </w:rPr>
              <w:t>Kent Kresa*</w:t>
            </w:r>
          </w:p>
        </w:tc>
        <w:tc>
          <w:tcPr>
            <w:tcW w:w="9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Chairman</w:t>
            </w: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w w:val="99"/>
              </w:rPr>
              <w:t>of the Board, President and  Chief Executive</w:t>
            </w:r>
          </w:p>
        </w:tc>
      </w:tr>
      <w:tr>
        <w:trPr>
          <w:trHeight w:val="197"/>
        </w:trPr>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7"/>
                <w:szCs w:val="17"/>
                <w:color w:val="auto"/>
              </w:rPr>
              <w:t>Officer</w:t>
            </w: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and Director (Principal Executive Officer)</w:t>
            </w: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Jack R. Borsting*</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John T. Chain, Jr.*</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1540" w:type="dxa"/>
            <w:vAlign w:val="bottom"/>
          </w:tcPr>
          <w:p>
            <w:pPr>
              <w:spacing w:after="0"/>
              <w:rPr>
                <w:sz w:val="20"/>
                <w:szCs w:val="20"/>
                <w:color w:val="auto"/>
              </w:rPr>
            </w:pPr>
            <w:r>
              <w:rPr>
                <w:rFonts w:ascii="Courier New" w:cs="Courier New" w:eastAsia="Courier New" w:hAnsi="Courier New"/>
                <w:sz w:val="17"/>
                <w:szCs w:val="17"/>
                <w:color w:val="auto"/>
              </w:rPr>
              <w:t>Jack Edwards*</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1540" w:type="dxa"/>
            <w:vAlign w:val="bottom"/>
          </w:tcPr>
          <w:p>
            <w:pPr>
              <w:spacing w:after="0"/>
              <w:rPr>
                <w:sz w:val="20"/>
                <w:szCs w:val="20"/>
                <w:color w:val="auto"/>
              </w:rPr>
            </w:pPr>
            <w:r>
              <w:rPr>
                <w:rFonts w:ascii="Courier New" w:cs="Courier New" w:eastAsia="Courier New" w:hAnsi="Courier New"/>
                <w:sz w:val="17"/>
                <w:szCs w:val="17"/>
                <w:color w:val="auto"/>
              </w:rPr>
              <w:t>Vic Fazio</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1540" w:type="dxa"/>
            <w:vAlign w:val="bottom"/>
          </w:tcPr>
          <w:p>
            <w:pPr>
              <w:spacing w:after="0"/>
              <w:rPr>
                <w:sz w:val="20"/>
                <w:szCs w:val="20"/>
                <w:color w:val="auto"/>
              </w:rPr>
            </w:pPr>
            <w:r>
              <w:rPr>
                <w:rFonts w:ascii="Courier New" w:cs="Courier New" w:eastAsia="Courier New" w:hAnsi="Courier New"/>
                <w:sz w:val="17"/>
                <w:szCs w:val="17"/>
                <w:color w:val="auto"/>
              </w:rPr>
              <w:t>Phillip Frost*</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1540" w:type="dxa"/>
            <w:vAlign w:val="bottom"/>
          </w:tcPr>
          <w:p>
            <w:pPr>
              <w:spacing w:after="0"/>
              <w:rPr>
                <w:sz w:val="20"/>
                <w:szCs w:val="20"/>
                <w:color w:val="auto"/>
              </w:rPr>
            </w:pPr>
            <w:r>
              <w:rPr>
                <w:rFonts w:ascii="Courier New" w:cs="Courier New" w:eastAsia="Courier New" w:hAnsi="Courier New"/>
                <w:sz w:val="17"/>
                <w:szCs w:val="17"/>
                <w:color w:val="auto"/>
                <w:w w:val="99"/>
              </w:rPr>
              <w:t>Robert A. Lutz*</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Aulana L. Peters*</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1540" w:type="dxa"/>
            <w:vAlign w:val="bottom"/>
          </w:tcPr>
          <w:p>
            <w:pPr>
              <w:spacing w:after="0"/>
              <w:rPr>
                <w:sz w:val="20"/>
                <w:szCs w:val="20"/>
                <w:color w:val="auto"/>
              </w:rPr>
            </w:pPr>
            <w:r>
              <w:rPr>
                <w:rFonts w:ascii="Courier New" w:cs="Courier New" w:eastAsia="Courier New" w:hAnsi="Courier New"/>
                <w:sz w:val="17"/>
                <w:szCs w:val="17"/>
                <w:color w:val="auto"/>
                <w:w w:val="99"/>
              </w:rPr>
              <w:t>John E. Robson*</w:t>
            </w:r>
          </w:p>
        </w:tc>
        <w:tc>
          <w:tcPr>
            <w:tcW w:w="98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Richard R. Rosenberg*</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John Brooks Slaughter*</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197"/>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Richard J. Stegemeier*</w:t>
            </w:r>
          </w:p>
        </w:tc>
        <w:tc>
          <w:tcPr>
            <w:tcW w:w="1120" w:type="dxa"/>
            <w:vAlign w:val="bottom"/>
          </w:tcPr>
          <w:p>
            <w:pPr>
              <w:ind w:left="240"/>
              <w:spacing w:after="0"/>
              <w:rPr>
                <w:sz w:val="20"/>
                <w:szCs w:val="20"/>
                <w:color w:val="auto"/>
              </w:rPr>
            </w:pPr>
            <w:r>
              <w:rPr>
                <w:rFonts w:ascii="Courier New" w:cs="Courier New" w:eastAsia="Courier New" w:hAnsi="Courier New"/>
                <w:sz w:val="17"/>
                <w:szCs w:val="17"/>
                <w:color w:val="auto"/>
              </w:rPr>
              <w:t>Director</w:t>
            </w:r>
          </w:p>
        </w:tc>
        <w:tc>
          <w:tcPr>
            <w:tcW w:w="4540" w:type="dxa"/>
            <w:vAlign w:val="bottom"/>
          </w:tcPr>
          <w:p>
            <w:pPr>
              <w:spacing w:after="0"/>
              <w:rPr>
                <w:sz w:val="17"/>
                <w:szCs w:val="17"/>
                <w:color w:val="auto"/>
              </w:rPr>
            </w:pPr>
          </w:p>
        </w:tc>
      </w:tr>
      <w:tr>
        <w:trPr>
          <w:trHeight w:val="787"/>
        </w:trPr>
        <w:tc>
          <w:tcPr>
            <w:tcW w:w="154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2100" w:type="dxa"/>
            <w:vAlign w:val="bottom"/>
            <w:gridSpan w:val="2"/>
          </w:tcPr>
          <w:p>
            <w:pPr>
              <w:spacing w:after="0"/>
              <w:rPr>
                <w:sz w:val="20"/>
                <w:szCs w:val="20"/>
                <w:color w:val="auto"/>
              </w:rPr>
            </w:pPr>
            <w:r>
              <w:rPr>
                <w:rFonts w:ascii="Courier New" w:cs="Courier New" w:eastAsia="Courier New" w:hAnsi="Courier New"/>
                <w:sz w:val="17"/>
                <w:szCs w:val="17"/>
                <w:color w:val="auto"/>
              </w:rPr>
              <w:t>John H. Mullan</w:t>
            </w:r>
          </w:p>
        </w:tc>
        <w:tc>
          <w:tcPr>
            <w:tcW w:w="4540" w:type="dxa"/>
            <w:vAlign w:val="bottom"/>
          </w:tcPr>
          <w:p>
            <w:pPr>
              <w:spacing w:after="0"/>
              <w:rPr>
                <w:sz w:val="24"/>
                <w:szCs w:val="2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7"/>
          <w:szCs w:val="17"/>
          <w:color w:val="auto"/>
        </w:rPr>
        <w:t>John H. Mullan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Attorney-in-Fact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pursuant to a power of attorney</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139"/>
          </w:cols>
          <w:pgMar w:left="320" w:top="705"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200" w:lineRule="exact"/>
        <w:rPr>
          <w:sz w:val="20"/>
          <w:szCs w:val="20"/>
          <w:color w:val="auto"/>
        </w:rPr>
      </w:pPr>
    </w:p>
    <w:p>
      <w:pPr>
        <w:spacing w:after="0" w:line="39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(Dollars in Thousands)</w:t>
      </w:r>
    </w:p>
    <w:p>
      <w:pPr>
        <w:sectPr>
          <w:pgSz w:w="11900" w:h="16838" w:orient="portrait"/>
          <w:cols w:equalWidth="0" w:num="1">
            <w:col w:w="10139"/>
          </w:cols>
          <w:pgMar w:left="320" w:top="705"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 B</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 C</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 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 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3580" w:space="720"/>
            <w:col w:w="820" w:space="400"/>
            <w:col w:w="820" w:space="720"/>
            <w:col w:w="820" w:space="620"/>
            <w:col w:w="1639"/>
          </w:cols>
          <w:pgMar w:left="320" w:top="705" w:right="1440"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at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Beginning</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Cost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7"/>
          <w:szCs w:val="17"/>
          <w:color w:val="auto"/>
        </w:rPr>
        <w:t>Other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Changes--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Add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(Deduct)(1)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Balance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at End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Period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3380" w:space="720"/>
            <w:col w:w="1220" w:space="100"/>
            <w:col w:w="1140" w:space="300"/>
            <w:col w:w="1320" w:space="220"/>
            <w:col w:w="1739"/>
          </w:cols>
          <w:pgMar w:left="320" w:top="70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December 31, 1997</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Reserves and allowances deducted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from asset accounts:</w:t>
      </w:r>
    </w:p>
    <w:p>
      <w:pPr>
        <w:sectPr>
          <w:pgSz w:w="11900" w:h="16838" w:orient="portrait"/>
          <w:cols w:equalWidth="0" w:num="1">
            <w:col w:w="10139"/>
          </w:cols>
          <w:pgMar w:left="320" w:top="705"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$55,445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$(17,746)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$54,978</w:t>
      </w:r>
    </w:p>
    <w:p>
      <w:pPr>
        <w:spacing w:after="0" w:line="200" w:lineRule="exact"/>
        <w:rPr>
          <w:sz w:val="20"/>
          <w:szCs w:val="20"/>
          <w:color w:val="auto"/>
        </w:rPr>
      </w:pPr>
    </w:p>
    <w:p>
      <w:pPr>
        <w:sectPr>
          <w:pgSz w:w="11900" w:h="16838" w:orient="portrait"/>
          <w:cols w:equalWidth="0" w:num="5">
            <w:col w:w="3680" w:space="720"/>
            <w:col w:w="720" w:space="520"/>
            <w:col w:w="800" w:space="720"/>
            <w:col w:w="920" w:space="520"/>
            <w:col w:w="1539"/>
          </w:cols>
          <w:pgMar w:left="320" w:top="70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December 31, 1998</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Reserves and allowances deducted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from asset accounts:</w:t>
      </w:r>
    </w:p>
    <w:p>
      <w:pPr>
        <w:sectPr>
          <w:pgSz w:w="11900" w:h="16838" w:orient="portrait"/>
          <w:cols w:equalWidth="0" w:num="1">
            <w:col w:w="10139"/>
          </w:cols>
          <w:pgMar w:left="320" w:top="705"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$54,978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$ 8,076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$(16,013)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$47,041</w:t>
      </w:r>
    </w:p>
    <w:p>
      <w:pPr>
        <w:spacing w:after="0" w:line="200" w:lineRule="exact"/>
        <w:rPr>
          <w:sz w:val="20"/>
          <w:szCs w:val="20"/>
          <w:color w:val="auto"/>
        </w:rPr>
      </w:pPr>
    </w:p>
    <w:p>
      <w:pPr>
        <w:sectPr>
          <w:pgSz w:w="11900" w:h="16838" w:orient="portrait"/>
          <w:cols w:equalWidth="0" w:num="5">
            <w:col w:w="3680" w:space="720"/>
            <w:col w:w="720" w:space="520"/>
            <w:col w:w="800" w:space="720"/>
            <w:col w:w="920" w:space="520"/>
            <w:col w:w="1539"/>
          </w:cols>
          <w:pgMar w:left="320" w:top="70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December 31, 1999</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Reserves and allowances deducted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from asset accounts:</w:t>
      </w:r>
    </w:p>
    <w:p>
      <w:pPr>
        <w:sectPr>
          <w:pgSz w:w="11900" w:h="16838" w:orient="portrait"/>
          <w:cols w:equalWidth="0" w:num="1">
            <w:col w:w="10139"/>
          </w:cols>
          <w:pgMar w:left="320" w:top="705"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Allowances for doubtful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$47,041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$21,088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$(30,455)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$37,674</w:t>
      </w:r>
    </w:p>
    <w:p>
      <w:pPr>
        <w:spacing w:after="0" w:line="200" w:lineRule="exact"/>
        <w:rPr>
          <w:sz w:val="20"/>
          <w:szCs w:val="20"/>
          <w:color w:val="auto"/>
        </w:rPr>
      </w:pPr>
    </w:p>
    <w:p>
      <w:pPr>
        <w:sectPr>
          <w:pgSz w:w="11900" w:h="16838" w:orient="portrait"/>
          <w:cols w:equalWidth="0" w:num="5">
            <w:col w:w="3680" w:space="720"/>
            <w:col w:w="720" w:space="520"/>
            <w:col w:w="800" w:space="720"/>
            <w:col w:w="920" w:space="520"/>
            <w:col w:w="1539"/>
          </w:cols>
          <w:pgMar w:left="320" w:top="70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w:t>
      </w:r>
    </w:p>
    <w:p>
      <w:pPr>
        <w:spacing w:after="0" w:line="5" w:lineRule="exact"/>
        <w:rPr>
          <w:sz w:val="20"/>
          <w:szCs w:val="20"/>
          <w:color w:val="auto"/>
        </w:rPr>
      </w:pPr>
    </w:p>
    <w:p>
      <w:pPr>
        <w:ind w:left="4000" w:right="4199" w:hanging="3995"/>
        <w:spacing w:after="0" w:line="489" w:lineRule="auto"/>
        <w:tabs>
          <w:tab w:leader="none" w:pos="522"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Uncollectible amounts written off, net of recoveries. 69</w:t>
      </w:r>
    </w:p>
    <w:p>
      <w:pPr>
        <w:sectPr>
          <w:pgSz w:w="11900" w:h="16838" w:orient="portrait"/>
          <w:cols w:equalWidth="0" w:num="1">
            <w:col w:w="10139"/>
          </w:cols>
          <w:pgMar w:left="320" w:top="705"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7"/>
          <w:szCs w:val="17"/>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consent to the incorporation by reference in Registration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Nos. 333-68029 and 333-75363 of Northrop Grumman Corporation on Form S-8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Registration Statements Nos. 333-78251 and 333-85633 of Northrop Grumman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on Form S-3 of our report dated January 26, 2000 appearing in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Report on Form 10-K of Northrop Grumman Corporation for the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24, 2000</w:t>
      </w:r>
    </w:p>
    <w:p>
      <w:pPr>
        <w:spacing w:after="0" w:line="200" w:lineRule="exact"/>
        <w:rPr>
          <w:sz w:val="20"/>
          <w:szCs w:val="20"/>
          <w:color w:val="auto"/>
        </w:rPr>
      </w:pPr>
    </w:p>
    <w:p>
      <w:pPr>
        <w:spacing w:after="0" w:line="3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139"/>
          </w:cols>
          <w:pgMar w:left="320" w:top="705" w:right="1440" w:bottom="1440" w:gutter="0" w:footer="0" w:header="0"/>
        </w:sectPr>
      </w:pPr>
    </w:p>
    <w:bookmarkStart w:id="71" w:name="page72"/>
    <w:bookmarkEnd w:id="71"/>
    <w:p>
      <w:pPr>
        <w:jc w:val="right"/>
        <w:ind w:right="1959"/>
        <w:spacing w:after="0"/>
        <w:rPr>
          <w:sz w:val="20"/>
          <w:szCs w:val="20"/>
          <w:color w:val="auto"/>
        </w:rPr>
      </w:pPr>
      <w:r>
        <w:rPr>
          <w:rFonts w:ascii="Courier New" w:cs="Courier New" w:eastAsia="Courier New" w:hAnsi="Courier New"/>
          <w:sz w:val="17"/>
          <w:szCs w:val="17"/>
          <w:color w:val="auto"/>
        </w:rPr>
        <w:t>EXHIBIT 3(B)</w:t>
      </w: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BYLAWS</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OF</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NORTHROP GRUMMAN CORPORATION</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 Delaware Corporation)</w:t>
      </w:r>
    </w:p>
    <w:p>
      <w:pPr>
        <w:spacing w:after="0" w:line="398"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I</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OFFICES</w:t>
      </w:r>
    </w:p>
    <w:p>
      <w:pPr>
        <w:spacing w:after="0" w:line="201"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1.01. REGISTERED OFFICE. The registered office of Northrop Grumman Corporation (the "Corporation") in the State of Delaware shall be at Corporation Trust Center, 1209 Orange Street, City of Wilmington, County of New Castle, and the name of the registered agent at that address shall be The Corporation Trust Company.</w:t>
      </w:r>
    </w:p>
    <w:p>
      <w:pPr>
        <w:spacing w:after="0" w:line="201" w:lineRule="exact"/>
        <w:rPr>
          <w:sz w:val="20"/>
          <w:szCs w:val="20"/>
          <w:color w:val="auto"/>
        </w:rPr>
      </w:pPr>
    </w:p>
    <w:p>
      <w:pPr>
        <w:ind w:right="2259" w:firstLine="1023"/>
        <w:spacing w:after="0" w:line="244" w:lineRule="auto"/>
        <w:rPr>
          <w:sz w:val="20"/>
          <w:szCs w:val="20"/>
          <w:color w:val="auto"/>
        </w:rPr>
      </w:pPr>
      <w:r>
        <w:rPr>
          <w:rFonts w:ascii="Courier New" w:cs="Courier New" w:eastAsia="Courier New" w:hAnsi="Courier New"/>
          <w:sz w:val="17"/>
          <w:szCs w:val="17"/>
          <w:color w:val="auto"/>
        </w:rPr>
        <w:t>Section 1.02. PRINCIPAL EXECUTIVE OFFICE. The principal executive office of the Corporation shall be located at 1840 Century Park East, Los Angeles, California 90067. The Board of Directors of the Corporation (the "Board of Directors") may change the location of said principal executive office.</w:t>
      </w:r>
    </w:p>
    <w:p>
      <w:pPr>
        <w:spacing w:after="0" w:line="201"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1.03. OTHER OFFICES. The Corporation may also have an office or offices at such other place or places, either within or without the State of Delaware, as the Board of Directors may from time to time determine or as the business of the Corporation may require.</w:t>
      </w:r>
    </w:p>
    <w:p>
      <w:pPr>
        <w:spacing w:after="0" w:line="396"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MEETINGS OF STOCKHOLDERS</w:t>
      </w:r>
    </w:p>
    <w:p>
      <w:pPr>
        <w:spacing w:after="0" w:line="201"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2.01. ANNUAL MEETINGS. The annual meeting of stockholders of the Corporation shall be held between May 1 and July 1 of each year on such date and at such time as the Board of Directors shall determine. At each annual meeting of stockholders, directors shall be elected in accordance with the provisions of Section 3.04 hereof and any other proper business may be transacted.</w:t>
      </w:r>
    </w:p>
    <w:p>
      <w:pPr>
        <w:spacing w:after="0" w:line="202"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2.02. SPECIAL MEETINGS. Special meetings of stockholders for any purpose or purposes may be called at any time by a majority of the Board of Directors, the Chairman of the Board, or by the President and Chief Executive Officer. Special meetings may not be called by any other person or persons. Each special meeting shall be held at such date and time as is requested by the person or persons calling the meeting, within the limits fixed by law.</w:t>
      </w:r>
    </w:p>
    <w:p>
      <w:pPr>
        <w:spacing w:after="0" w:line="202"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2.03. PLACE OF MEETINGS. Each annual or special meeting of stockholders shall be held at such location as may be determined by the Board of Directors or, if no such determination is made, at such place as may be determined by the Chairman of the Board. If no location is so determined, any annual or special meeting shall be held at the principal executive office of the Corporation.</w:t>
      </w:r>
    </w:p>
    <w:p>
      <w:pPr>
        <w:spacing w:after="0" w:line="202"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2.04. NOTICE OF MEETINGS. Written notice of each annual or special meeting of stockholders stating the date and time when, and the place where, it is to be held shall be delivered either personally or by mail to stockholders entitled to vote at such meeting not less than ten (10) nor more than sixty (60) days before the date of the meeting. The purpose or purposes for which the meeting is called may, in the case of an annual meeting, and shall, in the case of a special meeting, also be stated. If mailed, such notice shall be directed to a stockholder at his address as it shall appear on the stock books of the Corporation, unless he shall have filed with the Secretary of the Corporation a written request that notices intended for him be mailed to some other address, in which case such notice shall be mailed to the address designated in such request.</w:t>
      </w:r>
    </w:p>
    <w:p>
      <w:pPr>
        <w:sectPr>
          <w:pgSz w:w="11900" w:h="16838" w:orient="portrait"/>
          <w:cols w:equalWidth="0" w:num="1">
            <w:col w:w="10139"/>
          </w:cols>
          <w:pgMar w:left="320" w:top="535" w:right="1440" w:bottom="1440" w:gutter="0" w:footer="0" w:header="0"/>
        </w:sectPr>
      </w:pPr>
    </w:p>
    <w:bookmarkStart w:id="72" w:name="page73"/>
    <w:bookmarkEnd w:id="72"/>
    <w:p>
      <w:pPr>
        <w:ind w:right="2059" w:firstLine="1023"/>
        <w:spacing w:after="0" w:line="245" w:lineRule="auto"/>
        <w:rPr>
          <w:sz w:val="20"/>
          <w:szCs w:val="20"/>
          <w:color w:val="auto"/>
        </w:rPr>
      </w:pPr>
      <w:r>
        <w:rPr>
          <w:rFonts w:ascii="Courier New" w:cs="Courier New" w:eastAsia="Courier New" w:hAnsi="Courier New"/>
          <w:sz w:val="17"/>
          <w:szCs w:val="17"/>
          <w:color w:val="auto"/>
        </w:rPr>
        <w:t>Section 2.05. CONDUCT OF MEETINGS. All annual and special meetings of stockholders shall be conducted in accordance with such rules and procedures as the Board of Directors may determine subject to the requirements of applicable law and, as to matters not governed by such rules and procedures, as the chairman of such meeting shall determine. The chairman of any annual or special meeting of stockholders shall be the Chairman of the Board. The Secretary, or in the absence of the Secretary, a person designated by the Chairman of the Board, shall act as secretary of the meeting.</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2.06. NOTICE OF STOCKHOLDER BUSINESS AND NOMINATIONS. Nominations of persons for election to the Board and the proposal of business to be transacted by the stockholders may be made at an annual meeting of stockholders (a) pursuant to the Corporation's notice with respect to such meeting, (b) by or at the direction of the Board or (c) by any stockholder of record of the Corporation who was a stockholder of record at the time of the giving of the notice provided for in the following paragraph, who is entitled to vote at the meeting and who has complied with the notice procedures set forth in this section.</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For nominations or other business to be properly brought before an annual meeting by a stockholder pursuant to clause (c) of the foregoing paragraph, (1) the stockholder must have given timely notice thereof in writing to the Secretary of the Corporation, (2) such business must be a proper matter for stockholder action under the General Corporation Law of the State of Delaware, (3) if the stockholder, or the beneficial owner on whose behalf any such proposal or nomination is made, has provided the Corporation with a Solicitation Notice, as that term is defined in subclause (c )(iii) of this paragraph,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less than 45 or more than 75 days prior to the first anniversary (the "Anniversary") of the date on which the Corporation first mailed its proxy materials for the preceding year's annual meeting of stockholders; provided, however, that if the date of the annual meeting is advanced more than 30 days prior to or delayed by more than 30 days after the anniversary of the preceding year's annual meeting, notice by the stockholder to be more timely must be so delivered not later than the close of business on the later of (i) the 90/th/ day prior to such annual meeting or (ii) the 10/th/ day following the day on which public announcement of the date of such meeting is first made. In no event shall the public announcement of an adjournment of an annual meeting commence a new time period for the filing of a stockholder's notice as described herein. Such stockholder's notice shall set forth (a) as to each person whom the stockholder proposes to nominate for election or reelection as a director all information relating to such person as would be required to be disclosed in solicitations of proxies for the election of such nominees as directors pursuant to Regulation 14A under the Securities Exchange Act of 1934, as amended (the "Exchange Act") and Rule 14a-11 thereunder (including such person's written consent to serve as a director if elected); (b) as to any other business that the stockholder proposes to bring before the meeting, a brief description of such business,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w:t>
      </w:r>
    </w:p>
    <w:p>
      <w:pPr>
        <w:spacing w:after="0" w:line="6" w:lineRule="exact"/>
        <w:rPr>
          <w:sz w:val="20"/>
          <w:szCs w:val="20"/>
          <w:color w:val="auto"/>
        </w:rPr>
      </w:pPr>
    </w:p>
    <w:p>
      <w:pPr>
        <w:ind w:right="2159" w:firstLine="5"/>
        <w:spacing w:after="0" w:line="244" w:lineRule="auto"/>
        <w:tabs>
          <w:tab w:leader="none" w:pos="61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w:t>
      </w:r>
    </w:p>
    <w:p>
      <w:pPr>
        <w:spacing w:after="0" w:line="20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139"/>
          </w:cols>
          <w:pgMar w:left="320" w:top="706" w:right="1440" w:bottom="1017" w:gutter="0" w:footer="0" w:header="0"/>
        </w:sectPr>
      </w:pPr>
    </w:p>
    <w:bookmarkStart w:id="73" w:name="page74"/>
    <w:bookmarkEnd w:id="73"/>
    <w:p>
      <w:pPr>
        <w:ind w:right="2159"/>
        <w:spacing w:after="0" w:line="244" w:lineRule="auto"/>
        <w:rPr>
          <w:sz w:val="20"/>
          <w:szCs w:val="20"/>
          <w:color w:val="auto"/>
        </w:rPr>
      </w:pPr>
      <w:r>
        <w:rPr>
          <w:rFonts w:ascii="Courier New" w:cs="Courier New" w:eastAsia="Courier New" w:hAnsi="Courier New"/>
          <w:sz w:val="17"/>
          <w:szCs w:val="17"/>
          <w:color w:val="auto"/>
        </w:rPr>
        <w:t>nominations, a sufficient number of holders of the Corporation's voting shares to elect such nominee or nominees (an affirmative statement of such intent, a "Solicitation Notice").</w:t>
      </w:r>
    </w:p>
    <w:p>
      <w:pPr>
        <w:spacing w:after="0" w:line="199" w:lineRule="exact"/>
        <w:rPr>
          <w:sz w:val="20"/>
          <w:szCs w:val="20"/>
          <w:color w:val="auto"/>
        </w:rPr>
      </w:pPr>
    </w:p>
    <w:p>
      <w:pPr>
        <w:ind w:right="2059" w:firstLine="1023"/>
        <w:spacing w:after="0" w:line="245" w:lineRule="auto"/>
        <w:rPr>
          <w:sz w:val="20"/>
          <w:szCs w:val="20"/>
          <w:color w:val="auto"/>
        </w:rPr>
      </w:pPr>
      <w:r>
        <w:rPr>
          <w:rFonts w:ascii="Courier New" w:cs="Courier New" w:eastAsia="Courier New" w:hAnsi="Courier New"/>
          <w:sz w:val="17"/>
          <w:szCs w:val="17"/>
          <w:color w:val="auto"/>
        </w:rPr>
        <w:t>Notwithstanding anything in the second sentence of the second paragraph of this Section 2.06 to the contrary, in the event that the number of directors to be elected to the Board is increased and there is no public announcement naming all of the nominees for director or specifying the size of the increased Board made by the Corporation at least 55 days prior to the Anniversary,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Only persons nominated in accordance with the procedures set forth in this Section 2.06 shall be eligible to serve as directors and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 proposed business or nomination shall not be presented for stockholder action at the meeting and shall be disregarded.</w:t>
      </w:r>
    </w:p>
    <w:p>
      <w:pPr>
        <w:spacing w:after="0" w:line="395"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(a) by or at the direction of the Board or (b) by any stockholder of record of the Corporation who is a stockholder of record at the time of giving of notice provided for in this paragraph, who shall be entitled to vote at the meeting and who complies with the notice procedures set forth in this Section 2.06. Nominations by stockholders of persons for election to the Board may be made at such a special meeting of stockholders if the stockholder's notice required by the second paragraph of this Section 2.06 shall be delivered to the Secretary at the principal executive offices of the Corporation not later than the close of business on the later of the 90/th/ day prior to such special meeting or the 10/th/ day following on which public announcement is first made of the date of the special meeting an of the nominees proposed by the Board to be elected at such meeting.</w:t>
      </w:r>
    </w:p>
    <w:p>
      <w:pPr>
        <w:spacing w:after="0" w:line="199"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For purposes of this section,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201"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Notwithstanding the foregoing provisions of this Section 2.06, a stockholder shall also comply with all applicable requirements of the Exchange Act and the rules and regulations thereunder with respect to matters set forth in this Section 2.06. Nothing in this Section 2.06 shall be deemed to affect any rights of stockholders to request inclusion of proposals in the Corporation's proxy statement pursuant to Rule 14a-8 under the Exchange Act.</w:t>
      </w:r>
    </w:p>
    <w:p>
      <w:pPr>
        <w:spacing w:after="0" w:line="202"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2.07. QUORUM. At any meeting of stockholders, the presence, in person or by proxy, of the holders of record of a majority of shares then issued and outstanding and entitled to vote at the meeting shall constitute a quorum for the transaction of business; provided, however, that this Section</w:t>
      </w:r>
    </w:p>
    <w:p>
      <w:pPr>
        <w:spacing w:after="0" w:line="4"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2.07 shall not affect any different requirement which may exist under statute, pursuant to the rights of any authorized class or series of stock, or under the Certificate of Incorporation of the Corporation (the "Certificate") for the vote necessary for the adoption of any measure governed thereby. In the absence of a quorum, the stockholders present in person or by proxy, by majority vote and without further notice, may adjourn the meeting from time to time until a quorum is attained. At any reconvened meeting following such an adjournment at which a quorum shall be present, any</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139"/>
          </w:cols>
          <w:pgMar w:left="320" w:top="706" w:right="1440" w:bottom="1440" w:gutter="0" w:footer="0" w:header="0"/>
        </w:sectPr>
      </w:pPr>
    </w:p>
    <w:bookmarkStart w:id="74" w:name="page75"/>
    <w:bookmarkEnd w:id="74"/>
    <w:p>
      <w:pPr>
        <w:ind w:right="2259"/>
        <w:spacing w:after="0" w:line="244" w:lineRule="auto"/>
        <w:rPr>
          <w:sz w:val="20"/>
          <w:szCs w:val="20"/>
          <w:color w:val="auto"/>
        </w:rPr>
      </w:pPr>
      <w:r>
        <w:rPr>
          <w:rFonts w:ascii="Courier New" w:cs="Courier New" w:eastAsia="Courier New" w:hAnsi="Courier New"/>
          <w:sz w:val="17"/>
          <w:szCs w:val="17"/>
          <w:color w:val="auto"/>
        </w:rPr>
        <w:t>business may be transacted which might have been transacted at the meeting as originally notified.</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2.08. VOTES REQUIRED. A majority of the votes cast at a duly called meeting of stockholders, at which a quorum is present, shall be sufficient to take or authorize action upon any matter which may properly come before the meeting, unless the vote of a greater or different number thereof is required by statute, by the rights of any authorized class of stock or by the Certificate.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spacing w:after="0" w:line="198" w:lineRule="exact"/>
        <w:rPr>
          <w:sz w:val="20"/>
          <w:szCs w:val="20"/>
          <w:color w:val="auto"/>
        </w:rPr>
      </w:pPr>
    </w:p>
    <w:p>
      <w:pPr>
        <w:ind w:right="2059" w:firstLine="1023"/>
        <w:spacing w:after="0" w:line="245" w:lineRule="auto"/>
        <w:rPr>
          <w:sz w:val="20"/>
          <w:szCs w:val="20"/>
          <w:color w:val="auto"/>
        </w:rPr>
      </w:pPr>
      <w:r>
        <w:rPr>
          <w:rFonts w:ascii="Courier New" w:cs="Courier New" w:eastAsia="Courier New" w:hAnsi="Courier New"/>
          <w:sz w:val="17"/>
          <w:szCs w:val="17"/>
          <w:color w:val="auto"/>
        </w:rPr>
        <w:t>Section 2.09. PROXIES. A stockholder may vote the shares owned of record by him either in person or by proxy executed in writing (which shall include writings sent by telex, telegraph, cable or facsimile transmission) by the stockholder himself or by his duly authorized attorney-in-fact. No proxy shall be valid after three (3) years from its date, unless the proxy provides for a longer period. Each proxy shall be in writing, subscribed by the stockholder or his duly authorized attorney-in-fact, and dated, but it need not be sealed, witnessed or acknowledged.</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2.10. STOCKHOLDER ACTION. Any action required or permitted to be taken by the stockholders of the Corporation must be effected at a duly called annual meeting or special meeting of stockholders of the Corporation, unless such action requiring or permitting shareholder approval is approved by a majority of the Continuing Directors (as defined in the Certificate), in which case such action may be authorized or taken by the written consent of the holders of outstanding shares of stock having not less than the minimum voting power that would be necessary to authorize or take such action at a meeting of stockholders at which all shares entitled to vote thereon were present and voted, provided all other requirements of applicable law and the Certificate have been satisfied.</w:t>
      </w:r>
    </w:p>
    <w:p>
      <w:pPr>
        <w:spacing w:after="0" w:line="395"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2.11. LIST OF STOCKHOLDERS. The Secretary of the Corporation shall prepare and make (or cause to be prepared and made), at least ten (10) days before every meeting of stockholders, a complete list of the stockholders entitled to vote at the meeting,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duration thereof, and may be inspected by any stockholder who is present.</w:t>
      </w:r>
    </w:p>
    <w:p>
      <w:pPr>
        <w:spacing w:after="0" w:line="198"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2.12. INSPECTORS OF ELECTION. In advance of any meeting of stockholders, the Board of Directors may appoint Inspectors of Election to act at such meeting or at any adjournment or adjournments thereof. If such Inspectors are not so appointed or fail or refuse to act, the chairman of any such meeting may (and, upon the demand of any stockholder or stockholder's proxy, shall) make such an appointment.</w:t>
      </w:r>
    </w:p>
    <w:p>
      <w:pPr>
        <w:spacing w:after="0" w:line="202"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The number of Inspectors of Election shall be one (1) or three (3). If there are three (3) Inspectors of Election, the decision, act or certificate of a majority shall be effective and shall represent the decision, act or certificate of all. No such Inspector need be a stockholder of the Corporation.</w:t>
      </w:r>
    </w:p>
    <w:p>
      <w:pPr>
        <w:spacing w:after="0" w:line="200"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The Inspectors of Election shall determine the number of shares outstanding, the voting power of each, the shares represented at the meeting, the existence of a quorum and the authenticity, validity and effect of proxies; they shall receive votes, ballots or consents, hear and determine all challenges and questions in any way arising in connection with the right to vote, count and tabulate all votes or consents, determine when the polls shall close and</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139"/>
          </w:cols>
          <w:pgMar w:left="320" w:top="706" w:right="1440" w:bottom="1440" w:gutter="0" w:footer="0" w:header="0"/>
        </w:sectPr>
      </w:pPr>
    </w:p>
    <w:bookmarkStart w:id="75" w:name="page76"/>
    <w:bookmarkEnd w:id="75"/>
    <w:p>
      <w:pPr>
        <w:ind w:right="1959"/>
        <w:spacing w:after="0" w:line="244" w:lineRule="auto"/>
        <w:rPr>
          <w:sz w:val="20"/>
          <w:szCs w:val="20"/>
          <w:color w:val="auto"/>
        </w:rPr>
      </w:pPr>
      <w:r>
        <w:rPr>
          <w:rFonts w:ascii="Courier New" w:cs="Courier New" w:eastAsia="Courier New" w:hAnsi="Courier New"/>
          <w:sz w:val="17"/>
          <w:szCs w:val="17"/>
          <w:color w:val="auto"/>
        </w:rPr>
        <w:t>determine the result; and finally, they shall do such acts as may be proper to conduct the election or vote with fairness to all stockholders. On request, the Inspectors shall make a report in writing to the secretary of the meeting concerning any challenge, question or other matter as may have been determined by them and shall execute and deliver to such secretary a certificate of any fact found by them.</w:t>
      </w:r>
    </w:p>
    <w:p>
      <w:pPr>
        <w:spacing w:after="0" w:line="202"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DIRECTORS</w:t>
      </w:r>
    </w:p>
    <w:p>
      <w:pPr>
        <w:spacing w:after="0" w:line="201"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3.01. POWERS. The business and affairs of the Corporation shall be managed by and be under the direction of the Board of Directors. The Board of Directors shall exercise all the powers of the Corporation, except those that are conferred upon or reserved to the stockholders by statute, the Certificate or these Bylaws.</w:t>
      </w:r>
    </w:p>
    <w:p>
      <w:pPr>
        <w:spacing w:after="0" w:line="201" w:lineRule="exact"/>
        <w:rPr>
          <w:sz w:val="20"/>
          <w:szCs w:val="20"/>
          <w:color w:val="auto"/>
        </w:rPr>
      </w:pPr>
    </w:p>
    <w:p>
      <w:pPr>
        <w:ind w:right="2059" w:firstLine="1023"/>
        <w:spacing w:after="0" w:line="245" w:lineRule="auto"/>
        <w:rPr>
          <w:sz w:val="20"/>
          <w:szCs w:val="20"/>
          <w:color w:val="auto"/>
        </w:rPr>
      </w:pPr>
      <w:r>
        <w:rPr>
          <w:rFonts w:ascii="Courier New" w:cs="Courier New" w:eastAsia="Courier New" w:hAnsi="Courier New"/>
          <w:sz w:val="17"/>
          <w:szCs w:val="17"/>
          <w:color w:val="auto"/>
        </w:rPr>
        <w:t>Section 3.02. NUMBER. Except as otherwise fixed pursuant to the provisions of Section 2 of Article Fourth of the Certificate in connection with rights to elect additional directors under specified circumstances which may be granted to the holders of any class or series of Preferred Stock, par value One Dollar ($1.00) per share of the Corporation ("Preferred Stock"), the number of directors shall be fixed from time to time by resolution of the Board of Directors but shall not be less than three (3). The Board of Directors, as of May 17, 1989, and thereafter, shall consist of fourteen (14) directors until changed as herein provided.</w:t>
      </w:r>
    </w:p>
    <w:p>
      <w:pPr>
        <w:spacing w:after="0" w:line="198" w:lineRule="exact"/>
        <w:rPr>
          <w:sz w:val="20"/>
          <w:szCs w:val="20"/>
          <w:color w:val="auto"/>
        </w:rPr>
      </w:pPr>
    </w:p>
    <w:p>
      <w:pPr>
        <w:jc w:val="both"/>
        <w:ind w:right="2059" w:firstLine="1023"/>
        <w:spacing w:after="0" w:line="244" w:lineRule="auto"/>
        <w:rPr>
          <w:sz w:val="20"/>
          <w:szCs w:val="20"/>
          <w:color w:val="auto"/>
        </w:rPr>
      </w:pPr>
      <w:r>
        <w:rPr>
          <w:rFonts w:ascii="Courier New" w:cs="Courier New" w:eastAsia="Courier New" w:hAnsi="Courier New"/>
          <w:sz w:val="17"/>
          <w:szCs w:val="17"/>
          <w:color w:val="auto"/>
        </w:rPr>
        <w:t>Section 3.03. INDEPENDENT OUTSIDE DIRECTORS. At least sixty percent (60%) of the members of the Board of Directors of the Corporation shall at all times be "Independent Outside Directors", which term is hereby defined to mean any director who:</w:t>
      </w:r>
    </w:p>
    <w:p>
      <w:pPr>
        <w:spacing w:after="0" w:line="397" w:lineRule="exact"/>
        <w:rPr>
          <w:sz w:val="20"/>
          <w:szCs w:val="20"/>
          <w:color w:val="auto"/>
        </w:rPr>
      </w:pPr>
    </w:p>
    <w:p>
      <w:pPr>
        <w:ind w:right="1959" w:firstLine="1028"/>
        <w:spacing w:after="0" w:line="244" w:lineRule="auto"/>
        <w:tabs>
          <w:tab w:leader="none" w:pos="153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not in the last five (5) years been an officer or employee of the Corporation or any of its subsidiaries or affiliates; and</w:t>
      </w:r>
    </w:p>
    <w:p>
      <w:pPr>
        <w:spacing w:after="0" w:line="198" w:lineRule="exact"/>
        <w:rPr>
          <w:rFonts w:ascii="Courier New" w:cs="Courier New" w:eastAsia="Courier New" w:hAnsi="Courier New"/>
          <w:sz w:val="17"/>
          <w:szCs w:val="17"/>
          <w:color w:val="auto"/>
        </w:rPr>
      </w:pPr>
    </w:p>
    <w:p>
      <w:pPr>
        <w:jc w:val="both"/>
        <w:ind w:right="1959" w:firstLine="1028"/>
        <w:spacing w:after="0" w:line="244" w:lineRule="auto"/>
        <w:tabs>
          <w:tab w:leader="none" w:pos="153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related to an officer of the Corporation (or an officer of any of the Corporation's parents, subsidiaries or affiliates) by blood, marriage or adoption (except relationships more remote than first cousin); and</w:t>
      </w:r>
    </w:p>
    <w:p>
      <w:pPr>
        <w:spacing w:after="0" w:line="199" w:lineRule="exact"/>
        <w:rPr>
          <w:rFonts w:ascii="Courier New" w:cs="Courier New" w:eastAsia="Courier New" w:hAnsi="Courier New"/>
          <w:sz w:val="17"/>
          <w:szCs w:val="17"/>
          <w:color w:val="auto"/>
        </w:rPr>
      </w:pPr>
    </w:p>
    <w:p>
      <w:pPr>
        <w:ind w:right="1959" w:firstLine="1028"/>
        <w:spacing w:after="0" w:line="245" w:lineRule="auto"/>
        <w:tabs>
          <w:tab w:leader="none" w:pos="153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and has not within the last two (2) years has been, an officer, director or employee of, and does not own, and has not within the last two (2) years owned, directly or indirectly, in excess of one percent (1%) of any firm, corporation or other business or professional entity which has made or proposes to make during either the Corporation's or such entity's last or next fiscal year payments for property or services in excess of one percent (1%) of the gross revenues either of the Corporation for its last fiscal year or of such entity for its last fiscal year, but excluding payments determined by competitive bids, public utility services at rates set by law or government authority, or payments arising solely from the ownership of securities, or to which the Corporation was indebted at any time during the Corporation's last fiscal year in an aggregate amount in excess of one percent (1%) of the Corporation's total assets at the end of such fiscal year or Five Million dollars ($5,000,000), whichever is less, but excluding debt securities which have been publicly offered or which are publicly traded; and</w:t>
      </w:r>
    </w:p>
    <w:p>
      <w:pPr>
        <w:spacing w:after="0" w:line="198" w:lineRule="exact"/>
        <w:rPr>
          <w:rFonts w:ascii="Courier New" w:cs="Courier New" w:eastAsia="Courier New" w:hAnsi="Courier New"/>
          <w:sz w:val="17"/>
          <w:szCs w:val="17"/>
          <w:color w:val="auto"/>
        </w:rPr>
      </w:pPr>
    </w:p>
    <w:p>
      <w:pPr>
        <w:ind w:right="2059" w:firstLine="1028"/>
        <w:spacing w:after="0" w:line="244" w:lineRule="auto"/>
        <w:tabs>
          <w:tab w:leader="none" w:pos="153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a director, partner, officer or employee of an investment banking firm which has performed services for the Corporation in the last two</w:t>
      </w:r>
    </w:p>
    <w:p>
      <w:pPr>
        <w:spacing w:after="0" w:line="1" w:lineRule="exact"/>
        <w:rPr>
          <w:rFonts w:ascii="Courier New" w:cs="Courier New" w:eastAsia="Courier New" w:hAnsi="Courier New"/>
          <w:sz w:val="17"/>
          <w:szCs w:val="17"/>
          <w:color w:val="auto"/>
        </w:rPr>
      </w:pPr>
    </w:p>
    <w:p>
      <w:pPr>
        <w:ind w:right="1959" w:firstLine="5"/>
        <w:spacing w:after="0" w:line="244" w:lineRule="auto"/>
        <w:tabs>
          <w:tab w:leader="none" w:pos="40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or which the Corporation proposes to have perform services in the next year other than as a participating underwriter in a syndicate; and</w:t>
      </w:r>
    </w:p>
    <w:p>
      <w:pPr>
        <w:spacing w:after="0" w:line="198" w:lineRule="exact"/>
        <w:rPr>
          <w:rFonts w:ascii="Courier New" w:cs="Courier New" w:eastAsia="Courier New" w:hAnsi="Courier New"/>
          <w:sz w:val="17"/>
          <w:szCs w:val="17"/>
          <w:color w:val="auto"/>
        </w:rPr>
      </w:pPr>
    </w:p>
    <w:p>
      <w:pPr>
        <w:ind w:right="1959" w:firstLine="1028"/>
        <w:spacing w:after="0" w:line="244" w:lineRule="auto"/>
        <w:tabs>
          <w:tab w:leader="none" w:pos="153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a control person of the Corporation (other than as a director of the Corporation) as defined by the regulations of the Securities and Exchange Commission.</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139"/>
          </w:cols>
          <w:pgMar w:left="320" w:top="706" w:right="1440" w:bottom="1440" w:gutter="0" w:footer="0" w:header="0"/>
        </w:sectPr>
      </w:pPr>
    </w:p>
    <w:bookmarkStart w:id="76" w:name="page77"/>
    <w:bookmarkEnd w:id="76"/>
    <w:p>
      <w:pPr>
        <w:ind w:right="1959" w:firstLine="1023"/>
        <w:spacing w:after="0" w:line="245" w:lineRule="auto"/>
        <w:rPr>
          <w:sz w:val="20"/>
          <w:szCs w:val="20"/>
          <w:color w:val="auto"/>
        </w:rPr>
      </w:pPr>
      <w:r>
        <w:rPr>
          <w:rFonts w:ascii="Courier New" w:cs="Courier New" w:eastAsia="Courier New" w:hAnsi="Courier New"/>
          <w:sz w:val="17"/>
          <w:szCs w:val="17"/>
          <w:color w:val="auto"/>
        </w:rPr>
        <w:t>Section 3.04. ELECTION AND TERM OF OFFICE. Except as provided in Section 3.07 hereof and subject to the right to elect additional directors under specified circumstances which may be granted, pursuant to the provisions of Section 2 of Article Fourth of the Certificate, to the holders of any class or series of Preferred Stock, directors shall be elected by the stockholders of the Corporation. The Board of Directors shall be and is divided into three classes: Class I, Class II and Class III. The number of directors in each class shall be the whole number contained in the quotient obtained by dividing the authorized number of directors (fixed pursuant to Section 3.02 hereof)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Each director shall serve for a term ending on the date of the third annual meeting of stockholders of the Corporation following the annual meeting at which such director was elected; provided, however, that the directors first elected to Class I shall serve for a term ending on the date of the annual meeting next following the end of the calendar year 1985, the directors first elected to Class II shall serve for a term ending on the date of the second annual meeting next following the end of the calendar year 1985 and the directors first elected to Class III shall serve for a term ending on the date of the third annual meeting next following the end of the calendar year 1985.</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Notwithstanding the foregoing provisions of this Section 3.04: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of the Certificate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Nominations for the election of directors may be made by the Board or a committee thereof or by any stockholder entitled to vote in the election of directors; provided, however, that a stockholder may nominate a person for election as a director at a meeting only if written notice of such stockholder's intent to make such nomination has been given by such stockholder to, and received by, the Secretary of the Corporation at the principal executive offices of the Corporation not less than sixty (60) days nor more than ninety (90) days prior to the meeting; provided, however, that (a) 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and (b) in the event that less than seventy (70) days shall remain from the date of public disclosure of the adoption of this bylaw provision to the date of any meeting, notice by the stockholder to be timely with respect to such meeting must be so received not later than the close of business on the 10th day following the date on which such public disclosure was made. Each such notice shall set forth: (a) the name and address of the stockholder who intends to make the nomination and of the person or persons to be nominated; (b) the name and address as they appear on the Corporation's books of the stockholder intending to make such nomination;</w:t>
      </w:r>
    </w:p>
    <w:p>
      <w:pPr>
        <w:spacing w:after="0" w:line="2" w:lineRule="exact"/>
        <w:rPr>
          <w:sz w:val="20"/>
          <w:szCs w:val="20"/>
          <w:color w:val="auto"/>
        </w:rPr>
      </w:pPr>
    </w:p>
    <w:p>
      <w:pPr>
        <w:ind w:right="1959" w:firstLine="5"/>
        <w:spacing w:after="0" w:line="245" w:lineRule="auto"/>
        <w:tabs>
          <w:tab w:leader="none" w:pos="409"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class and number of shares of capital stock of the Corporation which are beneficially owned by such stockholder (d) a description of all arrangements or understandings between the stockholder and each nominee and any other person or persons (naming such person or persons) pursuant to which the nomination or nominations are to be made by the stockholder; (e) the occupations and business history for the previous five years, other directorships, names of business entities of which the proposed nominee owns a 10 percent or more equity interest, a list of any criminal convictions, including federal and state securities violations and such other information regarding each proposed nominee as may be required by the federal proxy rules in effect at the time the notice is submitted and (f) the consent of each nominee to serve as a director of the Corporation if so elected. No person shall be eligible for election as a director of the Corporation unless nominated in accordance with the procedures set forth in this</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139"/>
          </w:cols>
          <w:pgMar w:left="320" w:top="706" w:right="1440" w:bottom="1440" w:gutter="0" w:footer="0" w:header="0"/>
        </w:sectPr>
      </w:pPr>
    </w:p>
    <w:bookmarkStart w:id="77" w:name="page78"/>
    <w:bookmarkEnd w:id="77"/>
    <w:p>
      <w:pPr>
        <w:ind w:right="2059"/>
        <w:spacing w:after="0" w:line="244" w:lineRule="auto"/>
        <w:rPr>
          <w:sz w:val="20"/>
          <w:szCs w:val="20"/>
          <w:color w:val="auto"/>
        </w:rPr>
      </w:pPr>
      <w:r>
        <w:rPr>
          <w:rFonts w:ascii="Courier New" w:cs="Courier New" w:eastAsia="Courier New" w:hAnsi="Courier New"/>
          <w:sz w:val="17"/>
          <w:szCs w:val="17"/>
          <w:color w:val="auto"/>
        </w:rPr>
        <w:t>Section 3.04. The Chairman of any meeting of stockholders shall direct that any nomination not made in accordance with these procedures be disregarded.</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3.05. ELECTION OF CHAIRMAN OF THE BOARD. At the organizational meeting immediately following the annual meeting of stockholders, the directors shall elect a Chairman of the Board from among the directors who shall hold office until the corresponding meeting of the Board of Directors in the next year and until his successor shall have been elected or until his earlier resignation or removal. Any vacancy in such office may be filled for the unexpired portion of the term in the same manner by the Board of Directors at any regular or special meeting.</w:t>
      </w:r>
    </w:p>
    <w:p>
      <w:pPr>
        <w:spacing w:after="0" w:line="198"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3.06. REMOVAL. Subject to the right to elect directors under specified circumstances which may be granted pursuant to Section 2 of Article Fourth of the Certificate to the holders of any class or series of Preferred Stock, any director may be removed from office only as provided in Article Tenth of the Certificate.</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3.07. VACANCIES AND ADDITIONAL DIRECTORSHIPS. Except as otherwise provided pursuant to Section 2 of Article Fourth of the Certificate in 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3.08. REGULAR AND SPECIAL MEETINGS. Promptly after, and on the same day as, each annual election of directors by the shareholders, the Board shall, if a quorum be present, meet in an organizational meeting to elect a chairman, appoint members of the standing committees of the Board, elect officers of the Corporation and conduct other business as appropriate. Additional notice of such meeting need not be given if such meeting is conducted promptly after the annual meeting to elect directors and if the meeting is held in the same location where the election of directors was conducted. Regular meetings of the Board shall be held at such times and places as the Board shall determine. Notice of regular meetings shall be mailed to each director at least five days before the meeting, addressed to the director's usual place of business or to his or her residence address or to an address specifically designated by the director.</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3.09. QUORUM. At all meetings of the Board of Directors, a majority of the fixed number of directors shall constitute a quorum for the transaction of business, except that when the Board of Directors consists of one director, then the one director shall constitute a quorum. In the absence of a quorum, the directors present, by majority vote and without notice other than by announcement, may adjourn the meeting from time to time until a quorum shall be present. At any reconvened meeting following such an adjournment at which a quorum shall be present, any business may be transacted which might have been transacted at the meeting as originally notified.</w:t>
      </w:r>
    </w:p>
    <w:p>
      <w:pPr>
        <w:spacing w:after="0" w:line="198"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3.10. VOTES REQUIRED. Except as otherwise provided by applicable law or by the Certificate, the vote of a majority of the directors present at a meeting duly held at which a quorum is present shall be sufficient to pass any measure.</w:t>
      </w:r>
    </w:p>
    <w:p>
      <w:pPr>
        <w:spacing w:after="0" w:line="200"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3.11. PLACE AND CONDUCT OF MEETINGS. Each regular meeting and special meeting of the Board of Directors shall be held at a location determined as follows: The Board of Directors may designate any place, within or without the State of Delaware, for the holding of any meeting. If no such designation is made: (i) any meeting called by a majority of the directors shall be held at such location, within the county of the</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139"/>
          </w:cols>
          <w:pgMar w:left="320" w:top="706" w:right="1440" w:bottom="1440" w:gutter="0" w:footer="0" w:header="0"/>
        </w:sectPr>
      </w:pPr>
    </w:p>
    <w:bookmarkStart w:id="78" w:name="page79"/>
    <w:bookmarkEnd w:id="78"/>
    <w:p>
      <w:pPr>
        <w:ind w:right="1959"/>
        <w:spacing w:after="0" w:line="245" w:lineRule="auto"/>
        <w:rPr>
          <w:sz w:val="20"/>
          <w:szCs w:val="20"/>
          <w:color w:val="auto"/>
        </w:rPr>
      </w:pPr>
      <w:r>
        <w:rPr>
          <w:rFonts w:ascii="Courier New" w:cs="Courier New" w:eastAsia="Courier New" w:hAnsi="Courier New"/>
          <w:sz w:val="17"/>
          <w:szCs w:val="17"/>
          <w:color w:val="auto"/>
        </w:rPr>
        <w:t>Corporation's principal executive office, as the directors calling the meeting shall designate; and (ii) any other meeting shall be held at such location, within the county of the Corporation's principal executive office, as the Chairman of the Board may designate or, in the absence of such designation, at the Corporation's principal executive office. Subject to the requirements of applicable law, all regular and special meetings of the Board of Directors shall be conducted in accordance with such rules and procedures as the Board of Directors may approve and, as to matters not governed by such rules and procedures, as the chairman of such meeting shall determine. The chairman of any regular or special meeting shall be the Chairman of the Board, or in his absence a person designated by the Board of Directors. The Secretary, or in the absence of the Secretary a person designated by the chairman of the meeting, shall act as secretary of the meeting.</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3.12. FEES AND COMPENSATION. Directors shall be paid such compensation as may be fixed from time to time by resolutions of the Board of Directors (a) for their usual and contemplated services as directors, (b) for their services as members of committees appointed by the Board of Directors, including attendance at committee meetings as well as services which may be required when committee members must consult with management staff, and (c) for extraordinary services as directors or as members of committees appointed by the Board of Directors, over and above those services for which compensation is fixed pursuant to items (a) and (b) in this Section 3.12.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3.13. COMMITTEES OF THE BOARD OF DIRECTORS. Subject to the requirements of applicable law, the Board of Directors may from time to time establish committees, including standing or special committees, which shall have such duties and powers as are authorized by these Bylaws or by the Board of Directors. Committee members, and the chairman of each committee, shall be appointed by the Board of Directors. The Chairman of the Board, in conjunction with the several committee chairmen, shall make recommendations to the Board of Directors for its final action concerning members to be appointed to the several committees of the Board of Directors. Any member of any committee may be removed at any time with or without cause by the Board of Directors. Vacancies which occur in any committee shall be filled by a resolution of the Board of Directors. If any vacancy shall occur in any committee by reason of death, resignation, disqualification, removal or otherwise, the remaining members of such committee, so long as a quorum is present, may continue to act until such vacancy is filled by the Board of Directors. The Board of Directors may, by resolution, at any time deemed desirable, discontinue any standing or special committee. Members of standing committees, and their chairmen, shall be elected yearly at the organizational meeting of the Board of Directors which is held immediately following the annual meeting of stockholders.</w:t>
      </w:r>
    </w:p>
    <w:p>
      <w:pPr>
        <w:spacing w:after="0" w:line="199"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3.14. AUDIT COMMITTEE. There shall be an Audit Committee of the Board of Directors which shall serve at the pleasure of the Board of Directors and be subject to its control. The Committee shall have the following membership and powers:</w:t>
      </w:r>
    </w:p>
    <w:p>
      <w:pPr>
        <w:spacing w:after="0" w:line="200" w:lineRule="exact"/>
        <w:rPr>
          <w:sz w:val="20"/>
          <w:szCs w:val="20"/>
          <w:color w:val="auto"/>
        </w:rPr>
      </w:pPr>
    </w:p>
    <w:p>
      <w:pPr>
        <w:ind w:left="1020" w:right="1959" w:firstLine="519"/>
        <w:spacing w:after="0" w:line="244" w:lineRule="auto"/>
        <w:tabs>
          <w:tab w:leader="none" w:pos="194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at least three (3) members. All members of the Committee shall be Independent Directors, which term is hereby defined to mean any director that is "Independent" within the meaning of Rule 303.01 of the New York Stock Exchange Listed Company Manual, as such rule (or any successor rule) may be amended from time to time.</w:t>
      </w:r>
    </w:p>
    <w:p>
      <w:pPr>
        <w:spacing w:after="0" w:line="202"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recommend to the Board of Directors for its action the appointment or</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139"/>
          </w:cols>
          <w:pgMar w:left="320" w:top="705" w:right="1440" w:bottom="1440" w:gutter="0" w:footer="0" w:header="0"/>
        </w:sectPr>
      </w:pPr>
    </w:p>
    <w:bookmarkStart w:id="79" w:name="page80"/>
    <w:bookmarkEnd w:id="79"/>
    <w:p>
      <w:pPr>
        <w:ind w:left="1020" w:right="1959"/>
        <w:spacing w:after="0" w:line="245" w:lineRule="auto"/>
        <w:rPr>
          <w:sz w:val="20"/>
          <w:szCs w:val="20"/>
          <w:color w:val="auto"/>
        </w:rPr>
      </w:pPr>
      <w:r>
        <w:rPr>
          <w:rFonts w:ascii="Courier New" w:cs="Courier New" w:eastAsia="Courier New" w:hAnsi="Courier New"/>
          <w:sz w:val="17"/>
          <w:szCs w:val="17"/>
          <w:color w:val="auto"/>
        </w:rPr>
        <w:t>discharge of the Corporation's independent auditors, based upon the Committee's judgment of the independence of the auditors (taking into account the fees charged both for audit and non-audit services) and the quality of its audit work. Ratification by the stockholders of the Board of Directors' appointment of the Corporation's independent auditors may be sought in conjunction with management's solicitation of proxies for the annual meeting of stockholders, if so determined by the Board of Directors. If the auditors must be replaced, the Committee shall recommend to the Board of Directors for its action the appointment of new auditors until the next annual meeting of stockholders.</w:t>
      </w:r>
    </w:p>
    <w:p>
      <w:pPr>
        <w:spacing w:after="0" w:line="198" w:lineRule="exact"/>
        <w:rPr>
          <w:sz w:val="20"/>
          <w:szCs w:val="20"/>
          <w:color w:val="auto"/>
        </w:rPr>
      </w:pPr>
    </w:p>
    <w:p>
      <w:pPr>
        <w:ind w:left="1020" w:right="2059" w:firstLine="519"/>
        <w:spacing w:after="0" w:line="244"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approve the scope and plan of the audit.</w:t>
      </w:r>
    </w:p>
    <w:p>
      <w:pPr>
        <w:spacing w:after="0" w:line="198" w:lineRule="exact"/>
        <w:rPr>
          <w:rFonts w:ascii="Courier New" w:cs="Courier New" w:eastAsia="Courier New" w:hAnsi="Courier New"/>
          <w:sz w:val="17"/>
          <w:szCs w:val="17"/>
          <w:color w:val="auto"/>
        </w:rPr>
      </w:pPr>
    </w:p>
    <w:p>
      <w:pPr>
        <w:ind w:left="1020" w:right="2259" w:firstLine="519"/>
        <w:spacing w:after="0" w:line="244"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meet with the independent auditors at appropriate times to review, among other things, the results of the audit and any certification, report or opinion which the auditors propose to render in connection with the Corporation's financial statements.</w:t>
      </w:r>
    </w:p>
    <w:p>
      <w:pPr>
        <w:spacing w:after="0" w:line="201" w:lineRule="exact"/>
        <w:rPr>
          <w:rFonts w:ascii="Courier New" w:cs="Courier New" w:eastAsia="Courier New" w:hAnsi="Courier New"/>
          <w:sz w:val="17"/>
          <w:szCs w:val="17"/>
          <w:color w:val="auto"/>
        </w:rPr>
      </w:pPr>
    </w:p>
    <w:p>
      <w:pPr>
        <w:ind w:left="1020" w:right="2459" w:firstLine="519"/>
        <w:spacing w:after="0" w:line="244"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approve each professional service of a non-audit nature to be provided by the auditors.</w:t>
      </w:r>
    </w:p>
    <w:p>
      <w:pPr>
        <w:spacing w:after="0" w:line="198"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meet with the Corporation's chief internal auditor at least once a year to review his comments concerning the adequacy of the Corporation's system of internal controls and such other matters as the Committee may deem appropriate.</w:t>
      </w:r>
    </w:p>
    <w:p>
      <w:pPr>
        <w:spacing w:after="0" w:line="200" w:lineRule="exact"/>
        <w:rPr>
          <w:rFonts w:ascii="Courier New" w:cs="Courier New" w:eastAsia="Courier New" w:hAnsi="Courier New"/>
          <w:sz w:val="17"/>
          <w:szCs w:val="17"/>
          <w:color w:val="auto"/>
        </w:rPr>
      </w:pPr>
    </w:p>
    <w:p>
      <w:pPr>
        <w:ind w:left="1020" w:right="1959" w:firstLine="519"/>
        <w:spacing w:after="0" w:line="245"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the power to direct the auditors and the internal audit staff to inquire into and report to it with respect to any of the Corporation's contracts, transactions or procedures, or the conduct of the Corporate Office, or any division, profit center, subsidiary or other unit, or any other matter having to do with the Corporation's business and affairs. If authorized by the Board of Directors, the Committee may initiate special investigations in these regards.</w:t>
      </w:r>
    </w:p>
    <w:p>
      <w:pPr>
        <w:spacing w:after="0" w:line="197"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such other duties as may be lawfully delegated to it from time to time by the Board of Directors.</w:t>
      </w:r>
    </w:p>
    <w:p>
      <w:pPr>
        <w:spacing w:after="0" w:line="199"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3.15. COMPENSATION AND MANAGEMENT DEVELOPMENT COMMITTEE. There shall be a Compensation and Management Development Committee of the Board of Directors which shall serve at the pleasure of the Board of Directors and be subject to its control. The Committee shall have the following membership and powers:</w:t>
      </w:r>
    </w:p>
    <w:p>
      <w:pPr>
        <w:spacing w:after="0" w:line="201" w:lineRule="exact"/>
        <w:rPr>
          <w:sz w:val="20"/>
          <w:szCs w:val="20"/>
          <w:color w:val="auto"/>
        </w:rPr>
      </w:pPr>
    </w:p>
    <w:p>
      <w:pPr>
        <w:ind w:left="1020" w:right="2259" w:firstLine="519"/>
        <w:spacing w:after="0" w:line="244" w:lineRule="auto"/>
        <w:tabs>
          <w:tab w:leader="none" w:pos="194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be composed of at least three (3) members. All members of the Committee shall be Independent Outside Directors. The principal Human Resources officer of the Corporation shall be a non-voting member of the Committee.</w:t>
      </w:r>
    </w:p>
    <w:p>
      <w:pPr>
        <w:spacing w:after="0" w:line="200"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recommend to the Board of Directors for its action the amount to be appropriated for awards to be made each year to elected officers under the Corporation's incentive compensation plan.</w:t>
      </w:r>
    </w:p>
    <w:p>
      <w:pPr>
        <w:spacing w:after="0" w:line="200" w:lineRule="exact"/>
        <w:rPr>
          <w:rFonts w:ascii="Courier New" w:cs="Courier New" w:eastAsia="Courier New" w:hAnsi="Courier New"/>
          <w:sz w:val="17"/>
          <w:szCs w:val="17"/>
          <w:color w:val="auto"/>
        </w:rPr>
      </w:pPr>
    </w:p>
    <w:p>
      <w:pPr>
        <w:ind w:left="1020" w:right="2059" w:firstLine="519"/>
        <w:spacing w:after="0" w:line="244" w:lineRule="auto"/>
        <w:tabs>
          <w:tab w:leader="none" w:pos="194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establish the Corporation's annual performance objectives under the Corporation's incentive compensation plans.</w:t>
      </w:r>
    </w:p>
    <w:p>
      <w:pPr>
        <w:spacing w:after="0" w:line="199" w:lineRule="exact"/>
        <w:rPr>
          <w:rFonts w:ascii="Courier New" w:cs="Courier New" w:eastAsia="Courier New" w:hAnsi="Courier New"/>
          <w:sz w:val="17"/>
          <w:szCs w:val="17"/>
          <w:color w:val="auto"/>
        </w:rPr>
      </w:pPr>
    </w:p>
    <w:p>
      <w:pPr>
        <w:ind w:left="1020" w:right="2059" w:firstLine="519"/>
        <w:spacing w:after="0" w:line="244" w:lineRule="auto"/>
        <w:tabs>
          <w:tab w:leader="none" w:pos="194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make recommendations to the Board of Directors with respect to the base salary and incentive compensation of the elected officers. The Committee shall take final action with respect to the base salary and incentive compensation of the ten (10) employees, who are not elected officers, receiving the highest base salaries immediately preceding the date of any such action.</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139"/>
          </w:cols>
          <w:pgMar w:left="320" w:top="706" w:right="1440" w:bottom="1440" w:gutter="0" w:footer="0" w:header="0"/>
        </w:sectPr>
      </w:pPr>
    </w:p>
    <w:bookmarkStart w:id="80" w:name="page81"/>
    <w:bookmarkEnd w:id="80"/>
    <w:p>
      <w:pPr>
        <w:ind w:left="1020" w:right="1959" w:firstLine="519"/>
        <w:spacing w:after="0" w:line="245" w:lineRule="auto"/>
        <w:tabs>
          <w:tab w:leader="none" w:pos="19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management's recommendations and take final action with respect to all awards to be made under the Corporation's long-term incentive plans or other similar benefit plans which may be adopted by the Board of Directors or the stockholders and in which corporate officers or directors are eligible to participate, provided however that all such awards relative to the five (5) most highly compensated officers must be reported to the Board of Directors.</w:t>
      </w:r>
    </w:p>
    <w:p>
      <w:pPr>
        <w:spacing w:after="0" w:line="197" w:lineRule="exact"/>
        <w:rPr>
          <w:rFonts w:ascii="Courier New" w:cs="Courier New" w:eastAsia="Courier New" w:hAnsi="Courier New"/>
          <w:sz w:val="17"/>
          <w:szCs w:val="17"/>
          <w:color w:val="auto"/>
        </w:rPr>
      </w:pPr>
    </w:p>
    <w:p>
      <w:pPr>
        <w:ind w:left="1020" w:right="1959" w:firstLine="519"/>
        <w:spacing w:after="0" w:line="245" w:lineRule="auto"/>
        <w:tabs>
          <w:tab w:leader="none" w:pos="19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on a continuing basis the Corporation's general compensation policies and practices, fringe benefits and the Corporation's compliance with its various affirmative action plans and programs. The committee shall also review and recommend to the Board of Directors for its final action all compensation plans in which elected officers or directors are eligible to participate.</w:t>
      </w:r>
    </w:p>
    <w:p>
      <w:pPr>
        <w:spacing w:after="0" w:line="197"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from time to time and report to the Board of Directors actions taken by management concerning the Corporation's overall executive structure and the steps being taken to assure the succession of qualified management.</w:t>
      </w:r>
    </w:p>
    <w:p>
      <w:pPr>
        <w:spacing w:after="0" w:line="200"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such other duties as may be lawfully delegated to it from time to time by the Board of Directors.</w:t>
      </w:r>
    </w:p>
    <w:p>
      <w:pPr>
        <w:spacing w:after="0" w:line="199" w:lineRule="exact"/>
        <w:rPr>
          <w:sz w:val="20"/>
          <w:szCs w:val="20"/>
          <w:color w:val="auto"/>
        </w:rPr>
      </w:pPr>
    </w:p>
    <w:p>
      <w:pPr>
        <w:jc w:val="both"/>
        <w:ind w:right="2059" w:firstLine="1023"/>
        <w:spacing w:after="0" w:line="244" w:lineRule="auto"/>
        <w:rPr>
          <w:sz w:val="20"/>
          <w:szCs w:val="20"/>
          <w:color w:val="auto"/>
        </w:rPr>
      </w:pPr>
      <w:r>
        <w:rPr>
          <w:rFonts w:ascii="Courier New" w:cs="Courier New" w:eastAsia="Courier New" w:hAnsi="Courier New"/>
          <w:sz w:val="17"/>
          <w:szCs w:val="17"/>
          <w:color w:val="auto"/>
        </w:rPr>
        <w:t>Section 3.16. EXECUTIVE AND PUBLIC POLICY COMMITTEE. There shall be an Executive and Public Policy Committee of the Board of Directors which shall serve at the pleasure of the Board of Directors and be subject to its control. The Committee shall have the following membership and powers:</w:t>
      </w:r>
    </w:p>
    <w:p>
      <w:pPr>
        <w:spacing w:after="0" w:line="200" w:lineRule="exact"/>
        <w:rPr>
          <w:sz w:val="20"/>
          <w:szCs w:val="20"/>
          <w:color w:val="auto"/>
        </w:rPr>
      </w:pPr>
    </w:p>
    <w:p>
      <w:pPr>
        <w:ind w:left="1020" w:right="20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at least five (5) members. At least sixty percent (60%) of the members shall be Independent Outside Directors.</w:t>
      </w:r>
    </w:p>
    <w:p>
      <w:pPr>
        <w:spacing w:after="0" w:line="199"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approve and monitor the policy, organization, charter and implementation of the Northrop Grumman Employees Political Action Committee.</w:t>
      </w:r>
    </w:p>
    <w:p>
      <w:pPr>
        <w:spacing w:after="0" w:line="199" w:lineRule="exact"/>
        <w:rPr>
          <w:rFonts w:ascii="Courier New" w:cs="Courier New" w:eastAsia="Courier New" w:hAnsi="Courier New"/>
          <w:sz w:val="17"/>
          <w:szCs w:val="17"/>
          <w:color w:val="auto"/>
        </w:rPr>
      </w:pPr>
    </w:p>
    <w:p>
      <w:pPr>
        <w:ind w:left="1020" w:right="22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approve the policy of the Corporation for engaging the services of Consultants and Commission Agents.</w:t>
      </w:r>
    </w:p>
    <w:p>
      <w:pPr>
        <w:spacing w:after="0" w:line="199"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report to the Board of Directors from time to time concerning the Corporation's compliance with the Corporation's policies, practices and procedures with respect to consultants and commission agents.</w:t>
      </w:r>
    </w:p>
    <w:p>
      <w:pPr>
        <w:spacing w:after="0" w:line="200"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make policy and budget recommendations to the Board of Directors for its actions concerning proposed charitable contributions and aid to higher education to be given by the Corporation each year.</w:t>
      </w:r>
    </w:p>
    <w:p>
      <w:pPr>
        <w:spacing w:after="0" w:line="200"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such other duties as lawfully may be delegated to it from time to time by the Board of Directors.</w:t>
      </w:r>
    </w:p>
    <w:p>
      <w:pPr>
        <w:spacing w:after="0" w:line="199"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3.17. FINANCE COMMITTEE. There shall be a Finance Committee of the Board of Directors which shall serve at the pleasure of the Board of Directors and be subject to its control. The Committee shall have the following membership and powers:</w:t>
      </w:r>
    </w:p>
    <w:p>
      <w:pPr>
        <w:spacing w:after="0" w:line="200" w:lineRule="exact"/>
        <w:rPr>
          <w:sz w:val="20"/>
          <w:szCs w:val="20"/>
          <w:color w:val="auto"/>
        </w:rPr>
      </w:pPr>
    </w:p>
    <w:p>
      <w:pPr>
        <w:ind w:left="1020" w:right="2059" w:firstLine="519"/>
        <w:spacing w:after="0" w:line="244" w:lineRule="auto"/>
        <w:tabs>
          <w:tab w:leader="none" w:pos="194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at least five (5) members. At least fifty percent (50%) of the members of the Committee shall be Independent Outside Directors. The chief financial officer of the</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139"/>
          </w:cols>
          <w:pgMar w:left="320" w:top="706" w:right="1440" w:bottom="1440" w:gutter="0" w:footer="0" w:header="0"/>
        </w:sectPr>
      </w:pPr>
    </w:p>
    <w:bookmarkStart w:id="81" w:name="page82"/>
    <w:bookmarkEnd w:id="81"/>
    <w:p>
      <w:pPr>
        <w:ind w:left="1020"/>
        <w:spacing w:after="0"/>
        <w:rPr>
          <w:sz w:val="20"/>
          <w:szCs w:val="20"/>
          <w:color w:val="auto"/>
        </w:rPr>
      </w:pPr>
      <w:r>
        <w:rPr>
          <w:rFonts w:ascii="Courier New" w:cs="Courier New" w:eastAsia="Courier New" w:hAnsi="Courier New"/>
          <w:sz w:val="17"/>
          <w:szCs w:val="17"/>
          <w:color w:val="auto"/>
        </w:rPr>
        <w:t>Corporation shall be a non-voting member of the Committee.</w:t>
      </w:r>
    </w:p>
    <w:p>
      <w:pPr>
        <w:spacing w:after="0" w:line="201" w:lineRule="exact"/>
        <w:rPr>
          <w:sz w:val="20"/>
          <w:szCs w:val="20"/>
          <w:color w:val="auto"/>
        </w:rPr>
      </w:pPr>
    </w:p>
    <w:p>
      <w:pPr>
        <w:ind w:left="1940" w:hanging="401"/>
        <w:spacing w:after="0"/>
        <w:tabs>
          <w:tab w:leader="none" w:pos="19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give consideration to</w:t>
      </w:r>
    </w:p>
    <w:p>
      <w:pPr>
        <w:spacing w:after="0" w:line="4" w:lineRule="exact"/>
        <w:rPr>
          <w:rFonts w:ascii="Courier New" w:cs="Courier New" w:eastAsia="Courier New" w:hAnsi="Courier New"/>
          <w:sz w:val="17"/>
          <w:szCs w:val="17"/>
          <w:color w:val="auto"/>
        </w:rPr>
      </w:pPr>
    </w:p>
    <w:p>
      <w:pPr>
        <w:ind w:left="1020" w:right="19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requests for required specific new financing of a long-term nature, whether debt or equity, and make recommendations to the Board of Directors for its final action.</w:t>
      </w:r>
    </w:p>
    <w:p>
      <w:pPr>
        <w:spacing w:after="0" w:line="199"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the current financial condition of the Company and planned financial requirements.</w:t>
      </w:r>
    </w:p>
    <w:p>
      <w:pPr>
        <w:spacing w:after="0" w:line="198" w:lineRule="exact"/>
        <w:rPr>
          <w:rFonts w:ascii="Courier New" w:cs="Courier New" w:eastAsia="Courier New" w:hAnsi="Courier New"/>
          <w:sz w:val="17"/>
          <w:szCs w:val="17"/>
          <w:color w:val="auto"/>
        </w:rPr>
      </w:pPr>
    </w:p>
    <w:p>
      <w:pPr>
        <w:ind w:left="1020" w:right="23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periodically the Corporation's dividend policy in connection with dividend declarations and make recommendations to the Board of Directors for its final action.</w:t>
      </w:r>
    </w:p>
    <w:p>
      <w:pPr>
        <w:spacing w:after="0" w:line="199"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consider management's recommendations concerning acquisitions, mergers or divestments which management has determined to be of an unusual or material nature and shall make recommendations to the Board of Directors for its final action.</w:t>
      </w:r>
    </w:p>
    <w:p>
      <w:pPr>
        <w:spacing w:after="0" w:line="200"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consider management's recommendations concerning contracts or programs which management has determined to be of an unusual or material nature and shall make recommendations to the Board of Directors for its final action.</w:t>
      </w:r>
    </w:p>
    <w:p>
      <w:pPr>
        <w:spacing w:after="0" w:line="200" w:lineRule="exact"/>
        <w:rPr>
          <w:rFonts w:ascii="Courier New" w:cs="Courier New" w:eastAsia="Courier New" w:hAnsi="Courier New"/>
          <w:sz w:val="17"/>
          <w:szCs w:val="17"/>
          <w:color w:val="auto"/>
        </w:rPr>
      </w:pPr>
    </w:p>
    <w:p>
      <w:pPr>
        <w:ind w:left="1020" w:right="20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periodically review the investment performance of the employee benefit plans, capital asset requirements and short-term investment policy when appropriate.</w:t>
      </w:r>
    </w:p>
    <w:p>
      <w:pPr>
        <w:spacing w:after="0" w:line="199"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such other duties as lawfully may be delegated to it from time to time by the Board of Directors.</w:t>
      </w:r>
    </w:p>
    <w:p>
      <w:pPr>
        <w:spacing w:after="0" w:line="199"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3.18. NOMINATING AND CORPORATE GOVERNANCE COMMITTEE. There shall be a Nominating and Corporate Governance Committee of the Board of Directors which shall serve at the pleasure of the Board of Directors and be subject to its control. The Committee shall have the following membership and powers:</w:t>
      </w:r>
    </w:p>
    <w:p>
      <w:pPr>
        <w:spacing w:after="0" w:line="201" w:lineRule="exact"/>
        <w:rPr>
          <w:sz w:val="20"/>
          <w:szCs w:val="20"/>
          <w:color w:val="auto"/>
        </w:rPr>
      </w:pPr>
    </w:p>
    <w:p>
      <w:pPr>
        <w:ind w:left="1020" w:right="2459" w:firstLine="519"/>
        <w:spacing w:after="0" w:line="244" w:lineRule="auto"/>
        <w:tabs>
          <w:tab w:leader="none" w:pos="19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at least three (3) members. All members of the Committee shall be Independent Outside Directors.</w:t>
      </w:r>
    </w:p>
    <w:p>
      <w:pPr>
        <w:spacing w:after="0" w:line="198"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candidates to serve as directors and shall recommend nominees to the Board of Directors for election at each annual meeting of stockholders or other special meetings where directors are to be elected and shall recommend persons to serve as proxies to vote proxies solicited by management in connection with such meetings.</w:t>
      </w:r>
    </w:p>
    <w:p>
      <w:pPr>
        <w:spacing w:after="0" w:line="202"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cause the names of all director candidates that are approved by the Board of Directors to be listed in the Corporation's proxy materials and shall support the election of all candidates so nominated by the Board of Directors to the extent permitted by law.</w:t>
      </w:r>
    </w:p>
    <w:p>
      <w:pPr>
        <w:spacing w:after="0" w:line="201" w:lineRule="exact"/>
        <w:rPr>
          <w:rFonts w:ascii="Courier New" w:cs="Courier New" w:eastAsia="Courier New" w:hAnsi="Courier New"/>
          <w:sz w:val="17"/>
          <w:szCs w:val="17"/>
          <w:color w:val="auto"/>
        </w:rPr>
      </w:pPr>
    </w:p>
    <w:p>
      <w:pPr>
        <w:ind w:left="1020" w:right="1959" w:firstLine="519"/>
        <w:spacing w:after="0" w:line="245" w:lineRule="auto"/>
        <w:tabs>
          <w:tab w:leader="none" w:pos="19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review and make recommendations to the Board of Directors for its final action concerning the composition and size of the Board of Directors, its evaluation of the performance of incumbent directors, its recommendations concerning the compensation of the Directors, its recommendations concerning directors to fill vacancies and its evaluation and recommendations concerning potential candidates to serve in the future on the Board of Directors to assure the Board's continuity and succession and its evaluation and recommendations on matters of corporate governance as appropriate.</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139"/>
          </w:cols>
          <w:pgMar w:left="320" w:top="705" w:right="1440" w:bottom="1440" w:gutter="0" w:footer="0" w:header="0"/>
        </w:sectPr>
      </w:pPr>
    </w:p>
    <w:bookmarkStart w:id="82" w:name="page83"/>
    <w:bookmarkEnd w:id="82"/>
    <w:p>
      <w:pPr>
        <w:ind w:left="1020" w:right="1959" w:firstLine="519"/>
        <w:spacing w:after="0" w:line="244" w:lineRule="auto"/>
        <w:tabs>
          <w:tab w:leader="none" w:pos="1941"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such other duties as lawfully may be delegated to it from time to time by the Board of Directors.</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3.19. MEETINGS OF COMMITTEES. Each committee of the Board of Directors shall fix its own rules of procedure consistent with the provisions of applicable law and of any resolutions of the Board of Directors governing such committee. Each committee shall meet as provided by such rules or such resolution of the Board of Directors, and shall also meet at the call of its chairman or any two (2) members of such committee. Unless otherwise provided by such rules or by such resolution, the provisions of these Bylaws under Article</w:t>
      </w:r>
    </w:p>
    <w:p>
      <w:pPr>
        <w:spacing w:after="0" w:line="1" w:lineRule="exact"/>
        <w:rPr>
          <w:sz w:val="20"/>
          <w:szCs w:val="20"/>
          <w:color w:val="auto"/>
        </w:rPr>
      </w:pPr>
    </w:p>
    <w:p>
      <w:pPr>
        <w:ind w:right="1959" w:firstLine="5"/>
        <w:spacing w:after="0" w:line="245" w:lineRule="auto"/>
        <w:tabs>
          <w:tab w:leader="none" w:pos="409"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entitled "Directors" relating to the place of holding meetings and the notice required for meetings of the Board of Directors shall govern the place of meetings and notice of meetings for committees of the Board of Directors. A majority of the members of each committee shall constitute a quorum thereof, except that when a committee consists of one (1) member, then the one (1) member shall constitute a quorum. In the absence of a quorum, a majority of the members present at the time and place of any meeting may adjourn the meeting from time to time until a quorum shall be present and the meeting may be held as adjourned without further notice or waiver. Except in cases where it is otherwise provided by the rules of such committee or by a resolution of the Board of Directors, the vote of a majority of the members present at a duly constituted meeting at which a quorum is present shall be sufficient to pass any measure by the committee.</w:t>
      </w:r>
    </w:p>
    <w:p>
      <w:pPr>
        <w:spacing w:after="0" w:line="39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IV</w:t>
      </w: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OFFICERS</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4.01. DESIGNATION, ELECTION AND TERM OF OFFICE. The Corporation shall have a Chairman of the Board and/or a President either of whom may be designated Chief Executive Officer by the Board of Directors, such Vice Presidents (each of whom may be assigned by the Board of Directors or the Chief Executive Officer an additional title descriptive of the functions assigned to him and one or more of whom may be designated Executive, Group or Senior Vice President) as the Board of Directors deems appropriate, a Secretary and a Treasurer. These officers shall be elected annually by the Board of Directors at the organizational meeting immediately following the annual meeting of stockholders, and each such officer shall hold office until the corresponding meeting of the Board of Directors in the next year or until his earlier resignation, death or removal. Any vacancy in any of the above offices may be filled for an unexpired portion of the term by the Board of Directors at any regular special meeting. The Chief Executive Officer may, by a writing filed with the Secretary, designate titles for employees and agents, as, from time to time, may appear necessary or advisable in the conduct of the affairs of the Corporation and, in the same manner, terminate or change such titles.</w:t>
      </w:r>
    </w:p>
    <w:p>
      <w:pPr>
        <w:spacing w:after="0" w:line="199"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4.02. CHAIRMAN OF THE BOARD. The Board of Directors shall designate the Chairman of the Board from among its members. The Chairman of the Board of Directors shall preside at all meetings of the Board and the Shareholders, and shall perform such other duties as shall be delegated to him by the Board or the officer designated as chief executive.</w:t>
      </w:r>
    </w:p>
    <w:p>
      <w:pPr>
        <w:spacing w:after="0" w:line="201" w:lineRule="exact"/>
        <w:rPr>
          <w:sz w:val="20"/>
          <w:szCs w:val="20"/>
          <w:color w:val="auto"/>
        </w:rPr>
      </w:pPr>
    </w:p>
    <w:p>
      <w:pPr>
        <w:jc w:val="both"/>
        <w:ind w:right="1959" w:firstLine="1023"/>
        <w:spacing w:after="0" w:line="244" w:lineRule="auto"/>
        <w:rPr>
          <w:sz w:val="20"/>
          <w:szCs w:val="20"/>
          <w:color w:val="auto"/>
        </w:rPr>
      </w:pPr>
      <w:r>
        <w:rPr>
          <w:rFonts w:ascii="Courier New" w:cs="Courier New" w:eastAsia="Courier New" w:hAnsi="Courier New"/>
          <w:sz w:val="17"/>
          <w:szCs w:val="17"/>
          <w:color w:val="auto"/>
        </w:rPr>
        <w:t>Section 4.03. PRESIDENT. The President shall perform such duties and have such responsibilities as may from time to time be delegated or assigned to him by the Board of Directors or the officer designated as chief executive.</w:t>
      </w:r>
    </w:p>
    <w:p>
      <w:pPr>
        <w:spacing w:after="0" w:line="199"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4.04. CHIEF EXECUTIVE. The Board of Directors shall designate either the Chairman of the Board or the President to be the chief executive of the Corporation. The officer so designated shall be responsible for the general supervision, direction and control of the business and affairs of the Corporation.</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139"/>
          </w:cols>
          <w:pgMar w:left="320" w:top="706" w:right="1440" w:bottom="1440" w:gutter="0" w:footer="0" w:header="0"/>
        </w:sectPr>
      </w:pPr>
    </w:p>
    <w:bookmarkStart w:id="83" w:name="page84"/>
    <w:bookmarkEnd w:id="83"/>
    <w:p>
      <w:pPr>
        <w:ind w:right="1959" w:firstLine="1023"/>
        <w:spacing w:after="0" w:line="245" w:lineRule="auto"/>
        <w:rPr>
          <w:sz w:val="20"/>
          <w:szCs w:val="20"/>
          <w:color w:val="auto"/>
        </w:rPr>
      </w:pPr>
      <w:r>
        <w:rPr>
          <w:rFonts w:ascii="Courier New" w:cs="Courier New" w:eastAsia="Courier New" w:hAnsi="Courier New"/>
          <w:sz w:val="17"/>
          <w:szCs w:val="17"/>
          <w:color w:val="auto"/>
        </w:rPr>
        <w:t>Section 4.05. CHIEF FINANCIAL OFFICER. The Chief Financial Officer of the Corporation shall be responsible to the Chief Executive Officer for the management and supervision of all financial matters and to provide for the financial growth and stability of the Corporation. He shall attend all regular meetings of the Board of Directors and keep the Directors currently informed concerning all significant financial matters that could impact upon the business or affairs of the Corporation. He shall also perform such additional duties as may be assigned to him from time to time by the Board of Directors or the Chief Executive Officer.</w:t>
      </w:r>
    </w:p>
    <w:p>
      <w:pPr>
        <w:spacing w:after="0" w:line="198"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4.06. EXECUTIVE VICE PRESIDENTS, SENIOR VICE PRESIDENTS AND VICE PRESIDENTS. Executive vice presidents, senior vice presidents and vice presidents of the Corporation that are elected by the Board of Directors shall perform such duties as may be assigned to them from time to time by the Chief Executive Officer.</w:t>
      </w:r>
    </w:p>
    <w:p>
      <w:pPr>
        <w:spacing w:after="0" w:line="201" w:lineRule="exact"/>
        <w:rPr>
          <w:sz w:val="20"/>
          <w:szCs w:val="20"/>
          <w:color w:val="auto"/>
        </w:rPr>
      </w:pPr>
    </w:p>
    <w:p>
      <w:pPr>
        <w:ind w:right="2059" w:firstLine="1023"/>
        <w:spacing w:after="0" w:line="245" w:lineRule="auto"/>
        <w:rPr>
          <w:sz w:val="20"/>
          <w:szCs w:val="20"/>
          <w:color w:val="auto"/>
        </w:rPr>
      </w:pPr>
      <w:r>
        <w:rPr>
          <w:rFonts w:ascii="Courier New" w:cs="Courier New" w:eastAsia="Courier New" w:hAnsi="Courier New"/>
          <w:sz w:val="17"/>
          <w:szCs w:val="17"/>
          <w:color w:val="auto"/>
        </w:rPr>
        <w:t>Section 4.07. CHIEF LEGAL OFFICER. The chief legal officer of the Corporation shall be the General Counsel who shall be responsible to the Chief Executive Officer for the management and supervision of all legal matters. The General Counsel shall attend all regular meetings of the Board of Directors and shall keep the Directors currently informed concerning all significant legal matters, particularly those involving important business, legal, moral or ethical issues that could impact upon the business or affairs of the Corporation.</w:t>
      </w:r>
    </w:p>
    <w:p>
      <w:pPr>
        <w:spacing w:after="0" w:line="198"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4.08. SECRETARY. The Secretary shall keep the minutes of the meetings of the stockholders, the Board of Directors and all committee meetings. The Secretary shall be the custodian of the corporate seal and shall affix it to all documents which he is authorized by law or the Board of Directors to sign and seal. The Secretary also shall perform such other duties as may be assigned from time to time by the Chief Executive Officer.</w:t>
      </w:r>
    </w:p>
    <w:p>
      <w:pPr>
        <w:spacing w:after="0" w:line="202"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4.09. TREASURER. The Treasurer shall be accountable to the Senior Vice President, Finance, and shall perform such duties as may be assigned to the Treasurer from time to time by the Senior Vice President, Finance.</w:t>
      </w:r>
    </w:p>
    <w:p>
      <w:pPr>
        <w:spacing w:after="0" w:line="199"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4.10. APPOINTED OFFICERS. The Chief Executive Officer may appoint one or more Corporate Staff Vice Presidents, officers of groups or divisions or assistant secretaries, assistant treasurers and such other assistant officers as the business of the Corporation may require, each of whom shall hold office for such period, have such authority and perform such duties as may be specified from time to time by the Chief Executive Officer.</w:t>
      </w:r>
    </w:p>
    <w:p>
      <w:pPr>
        <w:spacing w:after="0" w:line="202"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4.11. ABSENCE OR DISABILITY OF AN OFFICER. In the case of the absence or disability of an officer of the Corporation the Board of Directors, or any officer designated by it, or the Chief Executive Officer may, for the time of the absence or disability, delegate such officer's duties and powers to any other officer of the Corporation.</w:t>
      </w:r>
    </w:p>
    <w:p>
      <w:pPr>
        <w:spacing w:after="0" w:line="201"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4.12. OFFICERS HOLDING TWO OR MORE OFFICES. The same person may hold any two or more of the above-mentioned offices. However, no officer shall execute, acknowledge or verify any instrument in more than one capacity, if such instrument is required by law, by the Certificate or by these Bylaws, to be executed, acknowledged or verified by any two or more officers.</w:t>
      </w:r>
    </w:p>
    <w:p>
      <w:pPr>
        <w:spacing w:after="0" w:line="201"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4.13. COMPENSATION. The Board of Directors shall have the power to fix the compensation of all officers and employees of the Corporation.</w:t>
      </w:r>
    </w:p>
    <w:p>
      <w:pPr>
        <w:spacing w:after="0" w:line="199" w:lineRule="exact"/>
        <w:rPr>
          <w:sz w:val="20"/>
          <w:szCs w:val="20"/>
          <w:color w:val="auto"/>
        </w:rPr>
      </w:pPr>
    </w:p>
    <w:p>
      <w:pPr>
        <w:ind w:right="1959" w:firstLine="1023"/>
        <w:spacing w:after="0" w:line="244" w:lineRule="auto"/>
        <w:rPr>
          <w:sz w:val="20"/>
          <w:szCs w:val="20"/>
          <w:color w:val="auto"/>
        </w:rPr>
      </w:pPr>
      <w:r>
        <w:rPr>
          <w:rFonts w:ascii="Courier New" w:cs="Courier New" w:eastAsia="Courier New" w:hAnsi="Courier New"/>
          <w:sz w:val="17"/>
          <w:szCs w:val="17"/>
          <w:color w:val="auto"/>
        </w:rPr>
        <w:t>Section 4.14. RESIGNATIONS. Any officer may resign at any time by giving written notice to the Board of Directors, to the Chief Executive Officer, or to the Secretary of the Corporation. Any such resignation</w:t>
      </w:r>
    </w:p>
    <w:p>
      <w:pPr>
        <w:spacing w:after="0" w:line="199"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139"/>
          </w:cols>
          <w:pgMar w:left="320" w:top="706" w:right="1440" w:bottom="1440" w:gutter="0" w:footer="0" w:header="0"/>
        </w:sectPr>
      </w:pPr>
    </w:p>
    <w:bookmarkStart w:id="84" w:name="page85"/>
    <w:bookmarkEnd w:id="84"/>
    <w:p>
      <w:pPr>
        <w:ind w:right="1959"/>
        <w:spacing w:after="0" w:line="244" w:lineRule="auto"/>
        <w:rPr>
          <w:sz w:val="20"/>
          <w:szCs w:val="20"/>
          <w:color w:val="auto"/>
        </w:rPr>
      </w:pPr>
      <w:r>
        <w:rPr>
          <w:rFonts w:ascii="Courier New" w:cs="Courier New" w:eastAsia="Courier New" w:hAnsi="Courier New"/>
          <w:sz w:val="17"/>
          <w:szCs w:val="17"/>
          <w:color w:val="auto"/>
        </w:rPr>
        <w:t>shall take effect at the time specified therein unless otherwise determined by the Board of Directors. The acceptance of a resignation by the Corporation shall not be necessary to make it effective.</w:t>
      </w:r>
    </w:p>
    <w:p>
      <w:pPr>
        <w:spacing w:after="0" w:line="199"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4.15. REMOVAL. Any officer of the Corporation may be removed, with or without cause, by the affirmative vote of a majority of the entire Board of Directors. Any assistant officer of the Corporation may be removed, with or without cause, by the Chief Executive Officer, or by the Board of Directors.</w:t>
      </w:r>
    </w:p>
    <w:p>
      <w:pPr>
        <w:spacing w:after="0" w:line="39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V</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INDEMNIFICATION OF DIRECTORS, OFFICERS, EMPLOYEES AND AGENTS</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5.01. RIGHT TO INDEMNIFICATION. Each person who was or is made a party, or is threatened to be made a party, to any actual or threatened action, suit, or proceeding, whether civil, criminal, administrative, or investigative (hereinafter a "proceeding"), by reason of the fact that he or she is or was a director, officer, employee, or agent of the Corporation (hereinafter an "indemnitee") shall be indemnified and held harmless by the Corporation to the fullest extent authorized by the Delaware General Corporation Law, as the same exists or may hereafter be amended, or by other applicable law as then in effect, against all expense, liability, and loss (including attorneys' fees, judgments, fines, ERISA excise taxes or penalties, and amounts paid in settlement) actually and reasonably incurred or suffered by such indemnitee in connection therewith. Any person who was or is made a party, or is threatened to be made a party, to any proceeding by reason of the fact that he or she is or was serving at the request of an executive officer of the Corporation as a director, officer, employee or agent of another corporation or of a partnership, joint venture, trust or other enterprise, including service with respect to an employee benefit plan, shall also be considered an indemnitee for the purposes of this Article. The right to indemnification provided by this Article shall apply whether or not the basis of such proceeding is alleged action in an official capacity as such director, officer, employee or agent or in any other capacity while serving as such director, officer, employee or agent. Notwithstanding anything in this Section 5.01 to the contrary, except as provided in Section 5.03 of this Article with respect to proceedings to enforce rights to indemnification, the Corporation shall indemnify any such indemnitee in connection with a proceeding (or part thereof) initiated by such indemnitee only if such proceeding (or part thereof) was authorized by the Corporation.</w:t>
      </w:r>
    </w:p>
    <w:p>
      <w:pPr>
        <w:spacing w:after="0" w:line="200"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5.02. ADVANCEMENT OF EXPENSES. (a) The right to indemnification conferred in Section 5.01 shall include the right to have the expenses incurred in defending or preparing for any such proceeding in advance of its final disposition (hereinafter an "advancement of expenses") paid by the Corporation; provided, however, that an advancement of expenses incurred by an indemnitee in his or her capacity as a director or officer (and not in any other capacity in which service was or is to be rendered by such indemnitee, including, without limitation, service to an employee benefit plan) shall be made only upon delivery to the Corporation of an undertaking containing such terms and conditions, including the requirement of security, as the Board of Directors deems appropriate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or otherwise; and provided, further, that an advancement of expenses shall not be made if the Corporation's Board of Directors makes a good faith determination that such payment would violate any applicable law. The Corporation shall not be obligated to advance fees and expenses to a director, officer, employee or agent in connection with a proceeding instituted by the Corporation against such person. (b) Notwithstanding anything in Section</w:t>
      </w:r>
    </w:p>
    <w:p>
      <w:pPr>
        <w:spacing w:after="0" w:line="2"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5.02(a) to the contrary, the right of employees or agents to advancement of expenses shall be at the discretion of the Board of Directors and on such terms and conditions, including the requirement of security, as the Board of Directors deems appropriate. The Corporation may, by action of its Board of Directors, authorize one or more executive officers to grant rights for the advancement of expenses to employees and agents of the Corporation on such terms and conditions as such officers deem appropriate.</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139"/>
          </w:cols>
          <w:pgMar w:left="320" w:top="705" w:right="1440" w:bottom="1440" w:gutter="0" w:footer="0" w:header="0"/>
        </w:sectPr>
      </w:pPr>
    </w:p>
    <w:bookmarkStart w:id="85" w:name="page86"/>
    <w:bookmarkEnd w:id="85"/>
    <w:p>
      <w:pPr>
        <w:ind w:right="1959" w:firstLine="1023"/>
        <w:spacing w:after="0" w:line="245" w:lineRule="auto"/>
        <w:rPr>
          <w:sz w:val="20"/>
          <w:szCs w:val="20"/>
          <w:color w:val="auto"/>
        </w:rPr>
      </w:pPr>
      <w:r>
        <w:rPr>
          <w:rFonts w:ascii="Courier New" w:cs="Courier New" w:eastAsia="Courier New" w:hAnsi="Courier New"/>
          <w:sz w:val="17"/>
          <w:szCs w:val="17"/>
          <w:color w:val="auto"/>
        </w:rPr>
        <w:t>Section 5.03. RIGHT OF INDEMNITEE TO BRING SUIT. If a claim under Section 5.01 is not paid in full by the Corporation within sixty (60) calendar days after a written claim has been received by the Corporation, except in the case of a claim for an advancement of expenses under Section 5.02 in which case the applicable period shall be thirty (30) calendar days, the indemnitee may at any time thereafter bring suit against the Corporation to recover the unpaid amount of the claim. If the indemnitee is successful in whole or in part in any such suit, the indemnitee shall also be entitled to be paid the expense of prosecuting or defending such suit.</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5.04. NONEXCLUSIVITY OF RIGHTS. (a) The rights to indemnification and to the advancement of expenses conferred in this Article shall not be exclusive of any other right which any person may have or hereafter acquire under any statute, provisions of the Certificate of Incorporation, Bylaw, agreement, vote of stockholders or disinterested directors, or otherwise. Notwithstanding any amendment to or repeal of this Article, any indemnitee shall be entitled to indemnification in accordance with the provisions hereof with respect to any acts or omissions of such indemnitee occurring prior to such amendment or repeal. (b) The Corporation may maintain insurance, at its expense, to protect itself and any past or present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 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 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spacing w:after="0" w:line="200" w:lineRule="exact"/>
        <w:rPr>
          <w:sz w:val="20"/>
          <w:szCs w:val="20"/>
          <w:color w:val="auto"/>
        </w:rPr>
      </w:pP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VI</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STOCK</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6.01. CERTIFICATES. Except as otherwise provided by law, each stockholder shall be entitled to a certificate or certificates which shall represent and certify the number and class (and series, if appropriate) of shares of stock owned by him in the Corporation. Each certificate shall be signed in the name of the Corporation by the Chairman of the Board, or the President, or a Vice President, together with the Secretary, or an Assistant Secretary, or the Treasurer or Assistant Treasurer. Any or all of the signatures on any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6.02. TRANSFER OF SHARES. Shares of stock shall be transferable on the books of the Corporation only by the holder thereof, in person or by his duly authorized attorney, upon the surrender of the certificate representing the shares to be transferred, properly endorsed, to the Corporation's registrar if the Corporation has a registrar. The Board of Directors shall have power and authority to make such other rules and regulations concerning the issue, transfer and registration of certificates of the Corporation's stock as it may deem expedient.</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139"/>
          </w:cols>
          <w:pgMar w:left="320" w:top="705" w:right="1440" w:bottom="1440" w:gutter="0" w:footer="0" w:header="0"/>
        </w:sectPr>
      </w:pPr>
    </w:p>
    <w:bookmarkStart w:id="86" w:name="page87"/>
    <w:bookmarkEnd w:id="86"/>
    <w:p>
      <w:pPr>
        <w:ind w:right="2059" w:firstLine="1023"/>
        <w:spacing w:after="0" w:line="245" w:lineRule="auto"/>
        <w:rPr>
          <w:sz w:val="20"/>
          <w:szCs w:val="20"/>
          <w:color w:val="auto"/>
        </w:rPr>
      </w:pPr>
      <w:r>
        <w:rPr>
          <w:rFonts w:ascii="Courier New" w:cs="Courier New" w:eastAsia="Courier New" w:hAnsi="Courier New"/>
          <w:sz w:val="17"/>
          <w:szCs w:val="17"/>
          <w:color w:val="auto"/>
        </w:rPr>
        <w:t>Section 6.03. TRANSFER AGENTS AND REGISTRARS. The Corporation may have one or more transfer agents and one or more registrars of its stock whose 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spacing w:after="0" w:line="197" w:lineRule="exact"/>
        <w:rPr>
          <w:sz w:val="20"/>
          <w:szCs w:val="20"/>
          <w:color w:val="auto"/>
        </w:rPr>
      </w:pPr>
    </w:p>
    <w:p>
      <w:pPr>
        <w:ind w:right="2159" w:firstLine="1023"/>
        <w:spacing w:after="0" w:line="244" w:lineRule="auto"/>
        <w:rPr>
          <w:sz w:val="20"/>
          <w:szCs w:val="20"/>
          <w:color w:val="auto"/>
        </w:rPr>
      </w:pPr>
      <w:r>
        <w:rPr>
          <w:rFonts w:ascii="Courier New" w:cs="Courier New" w:eastAsia="Courier New" w:hAnsi="Courier New"/>
          <w:sz w:val="17"/>
          <w:szCs w:val="17"/>
          <w:color w:val="auto"/>
        </w:rPr>
        <w:t>Section 6.04. STOCK LEDGERS. Original or duplicate stock ledgers, containing the names and addresses of the stockholders of the Corporation and the number of shares of each class of stock held by them, shall be kept at the principal executive office of the Corporation or at the office of its transfer agent or registrar.</w:t>
      </w:r>
    </w:p>
    <w:p>
      <w:pPr>
        <w:spacing w:after="0" w:line="201"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6.05. RECORD DATES. The Board of Directors shall fix, in advance, a date as the record date for the purpose of determining stockholders entitled to notice of, or to vote at, any meeting of stockholders or any adjournment thereof, or stockholders entitled to receive payment of any dividend or other distribution or allotment of any rights, or entitled to exercise any rights in respect of any change, conversion or exchange of stock, or in order to make a determination of stockholders for any other proper purpose. Such date in any case shall be not more than sixty (60) days, and in case of a meeting of stockholders, not less than ten (10) days, prior to the date on which the particular action, requiring such determination of stockholders is to be taken.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198"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6.06. NEW CERTIFICATES. In case any certificate of stock is lost, stolen, mutilated or destroyed, the Board of Directors may authorize the issuance of a new certificate in place thereof upon such terms and conditions as it may deem advisable; or the Board of Directors may delegate such power to any officer or officers or agents of the Corporation; but the Board of Directors or such officer or officers or agents, in their discretion, may refuse to issue such a new certificate unless the Corporation is ordered to do so by a court of competent jurisdiction.</w:t>
      </w:r>
    </w:p>
    <w:p>
      <w:pPr>
        <w:spacing w:after="0" w:line="39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ARTICLE VII</w:t>
      </w: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RESTRICTIONS ON SECURITIES REPURCHASES</w:t>
      </w:r>
    </w:p>
    <w:p>
      <w:pPr>
        <w:spacing w:after="0" w:line="201" w:lineRule="exact"/>
        <w:rPr>
          <w:sz w:val="20"/>
          <w:szCs w:val="20"/>
          <w:color w:val="auto"/>
        </w:rPr>
      </w:pPr>
    </w:p>
    <w:p>
      <w:pPr>
        <w:ind w:left="1020"/>
        <w:spacing w:after="0"/>
        <w:tabs>
          <w:tab w:leader="none" w:pos="2540" w:val="left"/>
        </w:tabs>
        <w:rPr>
          <w:sz w:val="20"/>
          <w:szCs w:val="20"/>
          <w:color w:val="auto"/>
        </w:rPr>
      </w:pPr>
      <w:r>
        <w:rPr>
          <w:rFonts w:ascii="Courier New" w:cs="Courier New" w:eastAsia="Courier New" w:hAnsi="Courier New"/>
          <w:sz w:val="17"/>
          <w:szCs w:val="17"/>
          <w:color w:val="auto"/>
        </w:rPr>
        <w:t>Section 7.01.</w:t>
        <w:tab/>
        <w:t>RESTRICTIONS ON SECURITIES REPURCHASES.</w:t>
      </w:r>
    </w:p>
    <w:p>
      <w:pPr>
        <w:spacing w:after="0" w:line="201" w:lineRule="exact"/>
        <w:rPr>
          <w:sz w:val="20"/>
          <w:szCs w:val="20"/>
          <w:color w:val="auto"/>
        </w:rPr>
      </w:pPr>
    </w:p>
    <w:p>
      <w:pPr>
        <w:ind w:right="1959" w:firstLine="1028"/>
        <w:spacing w:after="0" w:line="245" w:lineRule="auto"/>
        <w:tabs>
          <w:tab w:leader="none" w:pos="153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Vote required for certain acquisition of securities. Except as set forth in Subsection 2 of this Section 7.01, in addition to any affirmative vote of stockholders required by any provision of law, the Certificate of Incorporation or Bylaws of this Corporation, or any policy adopted by the Board of Directors, neither the Corporation nor any Subsidiary shall knowingly effect any direct or indirect purchase or other acquisition of any equity security of a class of securities which is registered pursuant to Section 12 of the Securities Exchange Act of 1934, as amended (the "Exchange Act"), issued by the Corporation at a price which is in excess of the highest Market Price of such equity security on the largest principal national securities exchange in the United States on which such security is listed for trading on the date that the understanding to effect such transaction is entered into by the Corporation (whether or not such transaction is concluded or a written agreement relating to such transaction is executed on such date, and such date to be conclusively established by determination of the Board of Directors), from any Interested Person, without the affirmative vote of the holders of the Voting Shares representing at least a majority of the aggregate voting power of all outstanding voting shares, excluding Voting Shares beneficially owned by such Interested Person, voting together as a single class. Such affirmative vote shall</w:t>
      </w:r>
    </w:p>
    <w:p>
      <w:pPr>
        <w:spacing w:after="0" w:line="198"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139"/>
          </w:cols>
          <w:pgMar w:left="320" w:top="705" w:right="1440" w:bottom="1440" w:gutter="0" w:footer="0" w:header="0"/>
        </w:sectPr>
      </w:pPr>
    </w:p>
    <w:bookmarkStart w:id="87" w:name="page88"/>
    <w:bookmarkEnd w:id="87"/>
    <w:p>
      <w:pPr>
        <w:jc w:val="both"/>
        <w:ind w:right="2259"/>
        <w:spacing w:after="0" w:line="244" w:lineRule="auto"/>
        <w:rPr>
          <w:sz w:val="20"/>
          <w:szCs w:val="20"/>
          <w:color w:val="auto"/>
        </w:rPr>
      </w:pPr>
      <w:r>
        <w:rPr>
          <w:rFonts w:ascii="Courier New" w:cs="Courier New" w:eastAsia="Courier New" w:hAnsi="Courier New"/>
          <w:sz w:val="17"/>
          <w:szCs w:val="17"/>
          <w:color w:val="auto"/>
        </w:rPr>
        <w:t>be required notwithstanding the fact that no vote may be required, or that a lesser percentage may be specified, by law or any agreement with any national securities exchange, or otherwise.</w:t>
      </w:r>
    </w:p>
    <w:p>
      <w:pPr>
        <w:spacing w:after="0" w:line="199" w:lineRule="exact"/>
        <w:rPr>
          <w:sz w:val="20"/>
          <w:szCs w:val="20"/>
          <w:color w:val="auto"/>
        </w:rPr>
      </w:pPr>
    </w:p>
    <w:p>
      <w:pPr>
        <w:ind w:right="2159" w:firstLine="1028"/>
        <w:spacing w:after="0" w:line="244" w:lineRule="auto"/>
        <w:tabs>
          <w:tab w:leader="none" w:pos="1534"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 Vote Is Not Required. The provisions of Subsection 1 of this Section 7.01 shall not be applicable with respect to:</w:t>
      </w:r>
    </w:p>
    <w:p>
      <w:pPr>
        <w:spacing w:after="0" w:line="198" w:lineRule="exact"/>
        <w:rPr>
          <w:rFonts w:ascii="Courier New" w:cs="Courier New" w:eastAsia="Courier New" w:hAnsi="Courier New"/>
          <w:sz w:val="17"/>
          <w:szCs w:val="17"/>
          <w:color w:val="auto"/>
        </w:rPr>
      </w:pPr>
    </w:p>
    <w:p>
      <w:pPr>
        <w:ind w:left="1020" w:right="2159" w:firstLine="519"/>
        <w:spacing w:after="0" w:line="244" w:lineRule="auto"/>
        <w:tabs>
          <w:tab w:leader="none" w:pos="1941"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purchase, acquisition, redemption or exchange of such equity securities, the purchase, acquisition, redemption or exchange of which is provided for in the Corporation's Certificate of Incorporation;</w:t>
      </w:r>
    </w:p>
    <w:p>
      <w:pPr>
        <w:spacing w:after="0" w:line="200" w:lineRule="exact"/>
        <w:rPr>
          <w:rFonts w:ascii="Courier New" w:cs="Courier New" w:eastAsia="Courier New" w:hAnsi="Courier New"/>
          <w:sz w:val="17"/>
          <w:szCs w:val="17"/>
          <w:color w:val="auto"/>
        </w:rPr>
      </w:pPr>
    </w:p>
    <w:p>
      <w:pPr>
        <w:ind w:left="1020" w:right="2059" w:firstLine="519"/>
        <w:spacing w:after="0" w:line="245" w:lineRule="auto"/>
        <w:tabs>
          <w:tab w:leader="none" w:pos="1941"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purchase or other acquisition of equity securities made as part of a tender or exchange offer by the Corporation to purchase securities of the same class made on the same terms to all holders of such securities and complying with the applicable requirements of the Exchange Act of 1934, as amended and the rules and regulations thereunder (or any successor provisions to such Act, rules or regulations);</w:t>
      </w:r>
    </w:p>
    <w:p>
      <w:pPr>
        <w:spacing w:after="0" w:line="197"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purchase or acquisition of equity securities made pursuant to an open market purchase program which has been approved by the Board of Directors.</w:t>
      </w:r>
    </w:p>
    <w:p>
      <w:pPr>
        <w:spacing w:after="0" w:line="198" w:lineRule="exact"/>
        <w:rPr>
          <w:rFonts w:ascii="Courier New" w:cs="Courier New" w:eastAsia="Courier New" w:hAnsi="Courier New"/>
          <w:sz w:val="17"/>
          <w:szCs w:val="17"/>
          <w:color w:val="auto"/>
        </w:rPr>
      </w:pPr>
    </w:p>
    <w:p>
      <w:pPr>
        <w:ind w:left="1540" w:hanging="512"/>
        <w:spacing w:after="0"/>
        <w:tabs>
          <w:tab w:leader="none" w:pos="15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For the purpose of this Section:</w:t>
      </w:r>
    </w:p>
    <w:p>
      <w:pPr>
        <w:spacing w:after="0" w:line="201" w:lineRule="exact"/>
        <w:rPr>
          <w:rFonts w:ascii="Courier New" w:cs="Courier New" w:eastAsia="Courier New" w:hAnsi="Courier New"/>
          <w:sz w:val="17"/>
          <w:szCs w:val="17"/>
          <w:color w:val="auto"/>
        </w:rPr>
      </w:pPr>
    </w:p>
    <w:p>
      <w:pPr>
        <w:ind w:left="1020" w:right="1959" w:firstLine="519"/>
        <w:spacing w:after="0" w:line="244" w:lineRule="auto"/>
        <w:tabs>
          <w:tab w:leader="none" w:pos="2043"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and "Associate" shall have their respective meanings ascribed to such terms in Rule 12b-2 of the General Rules and Regulations under the Exchange Act, as in effect on January 1, 1991.</w:t>
      </w:r>
    </w:p>
    <w:p>
      <w:pPr>
        <w:spacing w:after="0" w:line="199" w:lineRule="exact"/>
        <w:rPr>
          <w:rFonts w:ascii="Courier New" w:cs="Courier New" w:eastAsia="Courier New" w:hAnsi="Courier New"/>
          <w:sz w:val="17"/>
          <w:szCs w:val="17"/>
          <w:color w:val="auto"/>
        </w:rPr>
      </w:pPr>
    </w:p>
    <w:p>
      <w:pPr>
        <w:ind w:left="1020" w:right="1959" w:firstLine="519"/>
        <w:spacing w:after="0" w:line="244" w:lineRule="auto"/>
        <w:tabs>
          <w:tab w:leader="none" w:pos="2043"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 and "Beneficial Ownership" shall have the meanings ascribed to such terms in Rule 13d-3 and Rule 13d-5 of the General Rules and Regulations under the Exchange Act, as in effect on January 1, 1991.</w:t>
      </w:r>
    </w:p>
    <w:p>
      <w:pPr>
        <w:spacing w:after="0" w:line="200" w:lineRule="exact"/>
        <w:rPr>
          <w:rFonts w:ascii="Courier New" w:cs="Courier New" w:eastAsia="Courier New" w:hAnsi="Courier New"/>
          <w:sz w:val="17"/>
          <w:szCs w:val="17"/>
          <w:color w:val="auto"/>
        </w:rPr>
      </w:pPr>
    </w:p>
    <w:p>
      <w:pPr>
        <w:ind w:left="1020" w:right="1959" w:firstLine="519"/>
        <w:spacing w:after="0" w:line="245" w:lineRule="auto"/>
        <w:tabs>
          <w:tab w:leader="none" w:pos="2043"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"Interested person" shall mean any person (other than the Corporation or any subsidiary) that is the direct or indirect Beneficial Owner of five percent (5%) or more of the aggregate voting power of the Voting Shares, and any Affiliate or Associate of any such person. For the purpose of determining whether a person is an Interested Person, the outstanding Voting Shares include unissued shares of voting stock of the Corporation of which the Interested Person is the Beneficial Owner, but shall not include any other shares of voting stock of the Corporation which may be issuable pursuant to any agreement, arrangement or understanding, or upon exercise or conversion of rights, warrants or options, or otherwise to any person who is not the Interested Person.</w:t>
      </w:r>
    </w:p>
    <w:p>
      <w:pPr>
        <w:spacing w:after="0" w:line="198" w:lineRule="exact"/>
        <w:rPr>
          <w:rFonts w:ascii="Courier New" w:cs="Courier New" w:eastAsia="Courier New" w:hAnsi="Courier New"/>
          <w:sz w:val="17"/>
          <w:szCs w:val="17"/>
          <w:color w:val="auto"/>
        </w:rPr>
      </w:pPr>
    </w:p>
    <w:p>
      <w:pPr>
        <w:ind w:left="1020" w:right="1959" w:firstLine="519"/>
        <w:spacing w:after="0" w:line="245" w:lineRule="auto"/>
        <w:tabs>
          <w:tab w:leader="none" w:pos="1941"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Price" of shares of the class of equity security of the Corporation on any day shall mean the highest sale price (regular way) of shares of such class of such equity security on such day, or, if that day is not a trading day, on the trading day immediately preceding such day, on the largest principal national securities exchange on which such class of stock is then listed or admitted to trading, or if not listed or admitted to trading on any national securities exchange, then the highest reported sale price for such shares in the over-the-counter market as reported on the NASDAQ National Market System, or if such sale price shall not be reported thereon, the highest bid price so reported, or, of such price shall not be reported thereon, as the same shall be reported by the National Quotation Bureau, Incorporated, or if the price is not determinable as set forth above, as determined in good faith by the Board of Directors.</w:t>
      </w:r>
    </w:p>
    <w:p>
      <w:pPr>
        <w:spacing w:after="0" w:line="198" w:lineRule="exact"/>
        <w:rPr>
          <w:rFonts w:ascii="Courier New" w:cs="Courier New" w:eastAsia="Courier New" w:hAnsi="Courier New"/>
          <w:sz w:val="17"/>
          <w:szCs w:val="17"/>
          <w:color w:val="auto"/>
        </w:rPr>
      </w:pPr>
    </w:p>
    <w:p>
      <w:pPr>
        <w:ind w:left="1020" w:right="2059" w:firstLine="519"/>
        <w:spacing w:after="0" w:line="244" w:lineRule="auto"/>
        <w:tabs>
          <w:tab w:leader="none" w:pos="1941"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shall mean any individual, partnership, firm, corporation, association, trust, unincorporated organization or other entity, as well as any syndicate or group deemed to be a person pursuant to Section 13(d)(3) of the Exchange Act, as in effect on January 1, 1991.</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139"/>
          </w:cols>
          <w:pgMar w:left="320" w:top="706" w:right="1440" w:bottom="1440" w:gutter="0" w:footer="0" w:header="0"/>
        </w:sectPr>
      </w:pPr>
    </w:p>
    <w:bookmarkStart w:id="88" w:name="page89"/>
    <w:bookmarkEnd w:id="88"/>
    <w:p>
      <w:pPr>
        <w:ind w:left="1020" w:right="2059" w:firstLine="519"/>
        <w:spacing w:after="0" w:line="245" w:lineRule="auto"/>
        <w:tabs>
          <w:tab w:leader="none" w:pos="2043"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shall mean any company or entity of which the Corporation owns, directly or indirectly, (i) a majority of the outstanding shares of equity securities, or (ii) shares having a majority of the voting power represented by all of the outstanding Voting Stock of such company entitled to vote generally in the election of directors. For the purpose of determining whether a company is a Subsidiary, the outstanding voting stock and shares of equity securities thereof shall include unissued shares of which The Corporation is the beneficial owner but, except for the purpose of determining whether a company is a Subsidiary for the purpose of Subsection 3(c) hereof shall not include any shares which may be issuable pursuant to any agreement, arrangement, or understanding, or upon the exercise of conversion rights, warrants or options, or otherwise to any Person who is not the Corporation.</w:t>
      </w:r>
    </w:p>
    <w:p>
      <w:pPr>
        <w:spacing w:after="0" w:line="198" w:lineRule="exact"/>
        <w:rPr>
          <w:rFonts w:ascii="Courier New" w:cs="Courier New" w:eastAsia="Courier New" w:hAnsi="Courier New"/>
          <w:sz w:val="17"/>
          <w:szCs w:val="17"/>
          <w:color w:val="auto"/>
        </w:rPr>
      </w:pPr>
    </w:p>
    <w:p>
      <w:pPr>
        <w:ind w:left="1020" w:right="1959" w:firstLine="519"/>
        <w:spacing w:after="0" w:line="244" w:lineRule="auto"/>
        <w:tabs>
          <w:tab w:leader="none" w:pos="1941"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shares" shall mean the outstanding shares of capital stock of the Corporation entitled to vote generally in the election of directors.</w:t>
      </w:r>
    </w:p>
    <w:p>
      <w:pPr>
        <w:spacing w:after="0" w:line="39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VIII</w:t>
      </w:r>
    </w:p>
    <w:p>
      <w:pPr>
        <w:spacing w:after="0" w:line="20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SUNDRY PROVISIONS</w:t>
      </w:r>
    </w:p>
    <w:p>
      <w:pPr>
        <w:spacing w:after="0" w:line="201"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8.01. FISCAL YEAR. The fiscal year of the Corporation shall end on the 31/st/ day of December of each year.</w:t>
      </w:r>
    </w:p>
    <w:p>
      <w:pPr>
        <w:spacing w:after="0" w:line="199" w:lineRule="exact"/>
        <w:rPr>
          <w:sz w:val="20"/>
          <w:szCs w:val="20"/>
          <w:color w:val="auto"/>
        </w:rPr>
      </w:pPr>
    </w:p>
    <w:p>
      <w:pPr>
        <w:ind w:right="2059" w:firstLine="1023"/>
        <w:spacing w:after="0" w:line="244" w:lineRule="auto"/>
        <w:rPr>
          <w:sz w:val="20"/>
          <w:szCs w:val="20"/>
          <w:color w:val="auto"/>
        </w:rPr>
      </w:pPr>
      <w:r>
        <w:rPr>
          <w:rFonts w:ascii="Courier New" w:cs="Courier New" w:eastAsia="Courier New" w:hAnsi="Courier New"/>
          <w:sz w:val="17"/>
          <w:szCs w:val="17"/>
          <w:color w:val="auto"/>
        </w:rPr>
        <w:t>Section 8.02. SEAL. The seal of the Corporation shall bear the name of the Corporation and the words "Delaware" and "Incorporated March 12, 1985."</w:t>
      </w:r>
    </w:p>
    <w:p>
      <w:pPr>
        <w:spacing w:after="0" w:line="199" w:lineRule="exact"/>
        <w:rPr>
          <w:sz w:val="20"/>
          <w:szCs w:val="20"/>
          <w:color w:val="auto"/>
        </w:rPr>
      </w:pPr>
    </w:p>
    <w:p>
      <w:pPr>
        <w:ind w:right="1959" w:firstLine="1023"/>
        <w:spacing w:after="0" w:line="245" w:lineRule="auto"/>
        <w:rPr>
          <w:sz w:val="20"/>
          <w:szCs w:val="20"/>
          <w:color w:val="auto"/>
        </w:rPr>
      </w:pPr>
      <w:r>
        <w:rPr>
          <w:rFonts w:ascii="Courier New" w:cs="Courier New" w:eastAsia="Courier New" w:hAnsi="Courier New"/>
          <w:sz w:val="17"/>
          <w:szCs w:val="17"/>
          <w:color w:val="auto"/>
        </w:rPr>
        <w:t>Section 8.03. VOTING OF STOCK IN OTHER CORPORATIONS. Any shares of stock in other corporations or associations, which may from time to time be held by the Corporation, may be represented and voted at any of the stockholders' meetings thereof by the Chief Executive Officer or his designee. The Board of Directors, however, may by resolution appoint some other person or persons to vote such shares, in which case such person or persons shall be entitled to vote such shares upon the production of a certified copy of such resolution.</w:t>
      </w:r>
    </w:p>
    <w:p>
      <w:pPr>
        <w:spacing w:after="0" w:line="197" w:lineRule="exact"/>
        <w:rPr>
          <w:sz w:val="20"/>
          <w:szCs w:val="20"/>
          <w:color w:val="auto"/>
        </w:rPr>
      </w:pPr>
    </w:p>
    <w:p>
      <w:pPr>
        <w:jc w:val="both"/>
        <w:ind w:right="2259" w:firstLine="1023"/>
        <w:spacing w:after="0" w:line="244" w:lineRule="auto"/>
        <w:rPr>
          <w:sz w:val="20"/>
          <w:szCs w:val="20"/>
          <w:color w:val="auto"/>
        </w:rPr>
      </w:pPr>
      <w:r>
        <w:rPr>
          <w:rFonts w:ascii="Courier New" w:cs="Courier New" w:eastAsia="Courier New" w:hAnsi="Courier New"/>
          <w:sz w:val="17"/>
          <w:szCs w:val="17"/>
          <w:color w:val="auto"/>
        </w:rPr>
        <w:t>Section 8.04. AMENDMENTS. These Bylaws may be adopted, repealed, rescinded, altered or amended only as provided in Articles Fifth and Sixth of the Certificate.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16, 2000</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139"/>
          </w:cols>
          <w:pgMar w:left="320" w:top="706" w:right="1440" w:bottom="1440" w:gutter="0" w:footer="0" w:header="0"/>
        </w:sectPr>
      </w:pPr>
    </w:p>
    <w:bookmarkStart w:id="89" w:name="page90"/>
    <w:bookmarkEnd w:id="89"/>
    <w:p>
      <w:pPr>
        <w:jc w:val="right"/>
        <w:ind w:right="1959"/>
        <w:spacing w:after="0"/>
        <w:rPr>
          <w:sz w:val="20"/>
          <w:szCs w:val="20"/>
          <w:color w:val="auto"/>
        </w:rPr>
      </w:pPr>
      <w:r>
        <w:rPr>
          <w:rFonts w:ascii="Courier New" w:cs="Courier New" w:eastAsia="Courier New" w:hAnsi="Courier New"/>
          <w:sz w:val="17"/>
          <w:szCs w:val="17"/>
          <w:color w:val="auto"/>
        </w:rPr>
        <w:t>EXHIBIT 10(Y)</w:t>
      </w:r>
    </w:p>
    <w:p>
      <w:pPr>
        <w:spacing w:after="0" w:line="398"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SPECIAL OFFER RETIREE MEDICAL PLAN</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I</w:t>
      </w:r>
    </w:p>
    <w:p>
      <w:pPr>
        <w:spacing w:after="0" w:line="201"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Eligibility and Benefits</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398" w:lineRule="exact"/>
        <w:rPr>
          <w:sz w:val="20"/>
          <w:szCs w:val="20"/>
          <w:color w:val="auto"/>
        </w:rPr>
      </w:pPr>
    </w:p>
    <w:p>
      <w:pPr>
        <w:spacing w:after="0"/>
        <w:tabs>
          <w:tab w:leader="none" w:pos="600" w:val="left"/>
          <w:tab w:leader="none" w:pos="1620" w:val="left"/>
        </w:tabs>
        <w:rPr>
          <w:sz w:val="20"/>
          <w:szCs w:val="20"/>
          <w:color w:val="auto"/>
        </w:rPr>
      </w:pPr>
      <w:r>
        <w:rPr>
          <w:rFonts w:ascii="Courier New" w:cs="Courier New" w:eastAsia="Courier New" w:hAnsi="Courier New"/>
          <w:sz w:val="17"/>
          <w:szCs w:val="17"/>
          <w:color w:val="auto"/>
        </w:rPr>
        <w:t>1.01</w:t>
        <w:tab/>
        <w:t>Purpose.</w:t>
        <w:tab/>
        <w:t>The purpose of the Special Officer Retiree Medical Plan ("Plan")</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620" w:right="2659"/>
        <w:spacing w:after="0" w:line="244" w:lineRule="auto"/>
        <w:rPr>
          <w:sz w:val="20"/>
          <w:szCs w:val="20"/>
          <w:color w:val="auto"/>
        </w:rPr>
      </w:pPr>
      <w:r>
        <w:rPr>
          <w:rFonts w:ascii="Courier New" w:cs="Courier New" w:eastAsia="Courier New" w:hAnsi="Courier New"/>
          <w:sz w:val="17"/>
          <w:szCs w:val="17"/>
          <w:color w:val="auto"/>
        </w:rPr>
        <w:t>is to provide lifetime retiree medical benefits to eligible elected officers of Northrop Grumman Corporation ("the Company") and their spouses.</w:t>
      </w:r>
    </w:p>
    <w:p>
      <w:pPr>
        <w:spacing w:after="0" w:line="199" w:lineRule="exact"/>
        <w:rPr>
          <w:sz w:val="20"/>
          <w:szCs w:val="20"/>
          <w:color w:val="auto"/>
        </w:rPr>
      </w:pPr>
    </w:p>
    <w:p>
      <w:pPr>
        <w:spacing w:after="0"/>
        <w:tabs>
          <w:tab w:leader="none" w:pos="600" w:val="left"/>
          <w:tab w:leader="none" w:pos="2040" w:val="left"/>
        </w:tabs>
        <w:rPr>
          <w:sz w:val="20"/>
          <w:szCs w:val="20"/>
          <w:color w:val="auto"/>
        </w:rPr>
      </w:pPr>
      <w:r>
        <w:rPr>
          <w:rFonts w:ascii="Courier New" w:cs="Courier New" w:eastAsia="Courier New" w:hAnsi="Courier New"/>
          <w:sz w:val="17"/>
          <w:szCs w:val="17"/>
          <w:color w:val="auto"/>
        </w:rPr>
        <w:t>1.02</w:t>
        <w:tab/>
        <w:t>Eligibility.</w:t>
        <w:tab/>
        <w:t>Eligibility for benefits under this Plan will be limited to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620" w:right="1959"/>
        <w:spacing w:after="0" w:line="244" w:lineRule="auto"/>
        <w:rPr>
          <w:sz w:val="20"/>
          <w:szCs w:val="20"/>
          <w:color w:val="auto"/>
        </w:rPr>
      </w:pPr>
      <w:r>
        <w:rPr>
          <w:rFonts w:ascii="Courier New" w:cs="Courier New" w:eastAsia="Courier New" w:hAnsi="Courier New"/>
          <w:sz w:val="17"/>
          <w:szCs w:val="17"/>
          <w:color w:val="auto"/>
        </w:rPr>
        <w:t>those elected officers of the Company listed in Exhibit A. Officers may be added or removed from Exhibit A in accordance with the amendment provision of the Plan.</w:t>
      </w:r>
    </w:p>
    <w:p>
      <w:pPr>
        <w:spacing w:after="0" w:line="199" w:lineRule="exact"/>
        <w:rPr>
          <w:sz w:val="20"/>
          <w:szCs w:val="20"/>
          <w:color w:val="auto"/>
        </w:rPr>
      </w:pPr>
    </w:p>
    <w:p>
      <w:pPr>
        <w:ind w:left="1140" w:hanging="521"/>
        <w:spacing w:after="0"/>
        <w:tabs>
          <w:tab w:leader="none" w:pos="11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elected officer listed in Exhibit A is a "Participant" under the</w:t>
      </w:r>
    </w:p>
    <w:p>
      <w:pPr>
        <w:spacing w:after="0" w:line="4"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w:t>
      </w:r>
    </w:p>
    <w:p>
      <w:pPr>
        <w:spacing w:after="0" w:line="201" w:lineRule="exact"/>
        <w:rPr>
          <w:rFonts w:ascii="Courier New" w:cs="Courier New" w:eastAsia="Courier New" w:hAnsi="Courier New"/>
          <w:sz w:val="17"/>
          <w:szCs w:val="17"/>
          <w:color w:val="auto"/>
        </w:rPr>
      </w:pPr>
    </w:p>
    <w:p>
      <w:pPr>
        <w:ind w:left="620" w:right="2059" w:hanging="1"/>
        <w:spacing w:after="0" w:line="244" w:lineRule="auto"/>
        <w:tabs>
          <w:tab w:leader="none" w:pos="1131"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will become an "Eligible Participant" under the Plan if he or she has either five years of service as an elected officer or 30 years of total service with the Company and its affiliates.</w:t>
      </w:r>
    </w:p>
    <w:p>
      <w:pPr>
        <w:spacing w:after="0" w:line="199" w:lineRule="exact"/>
        <w:rPr>
          <w:sz w:val="20"/>
          <w:szCs w:val="20"/>
          <w:color w:val="auto"/>
        </w:rPr>
      </w:pPr>
    </w:p>
    <w:p>
      <w:pPr>
        <w:spacing w:after="0"/>
        <w:tabs>
          <w:tab w:leader="none" w:pos="600" w:val="left"/>
          <w:tab w:leader="none" w:pos="1720" w:val="left"/>
        </w:tabs>
        <w:rPr>
          <w:sz w:val="20"/>
          <w:szCs w:val="20"/>
          <w:color w:val="auto"/>
        </w:rPr>
      </w:pPr>
      <w:r>
        <w:rPr>
          <w:rFonts w:ascii="Courier New" w:cs="Courier New" w:eastAsia="Courier New" w:hAnsi="Courier New"/>
          <w:sz w:val="17"/>
          <w:szCs w:val="17"/>
          <w:color w:val="auto"/>
        </w:rPr>
        <w:t>1.03</w:t>
        <w:tab/>
        <w:t>Benefits.</w:t>
        <w:tab/>
        <w:t>The Company will provide an Eligible Participant with a</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continuation of medical benefits.</w:t>
      </w:r>
    </w:p>
    <w:p>
      <w:pPr>
        <w:spacing w:after="0" w:line="201" w:lineRule="exact"/>
        <w:rPr>
          <w:sz w:val="20"/>
          <w:szCs w:val="20"/>
          <w:color w:val="auto"/>
        </w:rPr>
      </w:pPr>
    </w:p>
    <w:p>
      <w:pPr>
        <w:ind w:left="1140" w:right="1959" w:hanging="521"/>
        <w:spacing w:after="0" w:line="244" w:lineRule="auto"/>
        <w:tabs>
          <w:tab w:leader="none" w:pos="114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will be provided for the life of the Eligible Participant and the life of his or her surviving spouse, if any. (The only spouse covered will be a surviving spouse who is married to the Eligible participant both at the time of termination of employment with the Company and its affiliates and at the time of the Eligible Participant's death.</w:t>
      </w:r>
    </w:p>
    <w:p>
      <w:pPr>
        <w:spacing w:after="0" w:line="202" w:lineRule="exact"/>
        <w:rPr>
          <w:rFonts w:ascii="Courier New" w:cs="Courier New" w:eastAsia="Courier New" w:hAnsi="Courier New"/>
          <w:sz w:val="17"/>
          <w:szCs w:val="17"/>
          <w:color w:val="auto"/>
        </w:rPr>
      </w:pPr>
    </w:p>
    <w:p>
      <w:pPr>
        <w:ind w:left="1140" w:right="1959" w:hanging="521"/>
        <w:spacing w:after="0" w:line="244" w:lineRule="auto"/>
        <w:tabs>
          <w:tab w:leader="none" w:pos="114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provided will be a continuation of the medical benefits the Eligible Participant was eligible to receive from the Company as of December 31, 1998. In particular, the following will remain frozen as of that date:</w:t>
      </w:r>
    </w:p>
    <w:p>
      <w:pPr>
        <w:spacing w:after="0" w:line="199" w:lineRule="exact"/>
        <w:rPr>
          <w:rFonts w:ascii="Courier New" w:cs="Courier New" w:eastAsia="Courier New" w:hAnsi="Courier New"/>
          <w:sz w:val="17"/>
          <w:szCs w:val="17"/>
          <w:color w:val="auto"/>
        </w:rPr>
      </w:pPr>
    </w:p>
    <w:p>
      <w:pPr>
        <w:ind w:left="1640" w:hanging="510"/>
        <w:spacing w:after="0"/>
        <w:tabs>
          <w:tab w:leader="none" w:pos="16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contributions.</w:t>
      </w:r>
    </w:p>
    <w:p>
      <w:pPr>
        <w:spacing w:after="0" w:line="200" w:lineRule="exact"/>
        <w:rPr>
          <w:rFonts w:ascii="Courier New" w:cs="Courier New" w:eastAsia="Courier New" w:hAnsi="Courier New"/>
          <w:sz w:val="17"/>
          <w:szCs w:val="17"/>
          <w:color w:val="auto"/>
        </w:rPr>
      </w:pPr>
    </w:p>
    <w:p>
      <w:pPr>
        <w:ind w:left="1640" w:hanging="510"/>
        <w:spacing w:after="0"/>
        <w:tabs>
          <w:tab w:leader="none" w:pos="16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Copayments.</w:t>
      </w:r>
    </w:p>
    <w:p>
      <w:pPr>
        <w:spacing w:after="0" w:line="200" w:lineRule="exact"/>
        <w:rPr>
          <w:rFonts w:ascii="Courier New" w:cs="Courier New" w:eastAsia="Courier New" w:hAnsi="Courier New"/>
          <w:sz w:val="17"/>
          <w:szCs w:val="17"/>
          <w:color w:val="auto"/>
        </w:rPr>
      </w:pPr>
    </w:p>
    <w:p>
      <w:pPr>
        <w:ind w:left="1640" w:hanging="510"/>
        <w:spacing w:after="0"/>
        <w:tabs>
          <w:tab w:leader="none" w:pos="16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Deductibles.</w:t>
      </w:r>
    </w:p>
    <w:p>
      <w:pPr>
        <w:spacing w:after="0" w:line="200" w:lineRule="exact"/>
        <w:rPr>
          <w:rFonts w:ascii="Courier New" w:cs="Courier New" w:eastAsia="Courier New" w:hAnsi="Courier New"/>
          <w:sz w:val="17"/>
          <w:szCs w:val="17"/>
          <w:color w:val="auto"/>
        </w:rPr>
      </w:pPr>
    </w:p>
    <w:p>
      <w:pPr>
        <w:ind w:left="1640" w:hanging="510"/>
        <w:spacing w:after="0"/>
        <w:tabs>
          <w:tab w:leader="none" w:pos="16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Medical benefit coverage.</w:t>
      </w:r>
    </w:p>
    <w:p>
      <w:pPr>
        <w:spacing w:after="0" w:line="201" w:lineRule="exact"/>
        <w:rPr>
          <w:rFonts w:ascii="Courier New" w:cs="Courier New" w:eastAsia="Courier New" w:hAnsi="Courier New"/>
          <w:sz w:val="17"/>
          <w:szCs w:val="17"/>
          <w:color w:val="auto"/>
        </w:rPr>
      </w:pPr>
    </w:p>
    <w:p>
      <w:pPr>
        <w:ind w:left="1140" w:right="1959" w:hanging="521"/>
        <w:spacing w:after="0" w:line="244" w:lineRule="auto"/>
        <w:tabs>
          <w:tab w:leader="none" w:pos="114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death of the Eligible Participant or his or her spouse, the participant contributions, copayments and deductibles will be adjusted to what they would have been for the Eligible participant for individual coverage as of December 31, 1998.</w:t>
      </w:r>
    </w:p>
    <w:p>
      <w:pPr>
        <w:sectPr>
          <w:pgSz w:w="11900" w:h="16838" w:orient="portrait"/>
          <w:cols w:equalWidth="0" w:num="1">
            <w:col w:w="10139"/>
          </w:cols>
          <w:pgMar w:left="320" w:top="534" w:right="1440" w:bottom="1440" w:gutter="0" w:footer="0" w:header="0"/>
        </w:sectPr>
      </w:pPr>
    </w:p>
    <w:bookmarkStart w:id="90" w:name="page91"/>
    <w:bookmarkEnd w:id="90"/>
    <w:p>
      <w:pPr>
        <w:ind w:left="1140" w:right="1959" w:hanging="521"/>
        <w:spacing w:after="0" w:line="245" w:lineRule="auto"/>
        <w:tabs>
          <w:tab w:leader="none" w:pos="11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under the Plan will be coordinated with and paid secondary to any benefits that the Eligible Participant or his or her spouse receives from another plan of the Company or another employer or from Medicare (For this purpose, Medicare benefits are deemed to include any benefits the Eligible Participant and his or her spouse would receive from Medicare if they made proper application for benefits.)</w:t>
      </w:r>
    </w:p>
    <w:p>
      <w:pPr>
        <w:spacing w:after="0" w:line="19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ARTICLE 2</w:t>
      </w:r>
    </w:p>
    <w:p>
      <w:pPr>
        <w:spacing w:after="0" w:line="20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General Provisions</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spacing w:after="0"/>
        <w:tabs>
          <w:tab w:leader="none" w:pos="600" w:val="left"/>
          <w:tab w:leader="none" w:pos="3980" w:val="left"/>
        </w:tabs>
        <w:rPr>
          <w:sz w:val="20"/>
          <w:szCs w:val="20"/>
          <w:color w:val="auto"/>
        </w:rPr>
      </w:pPr>
      <w:r>
        <w:rPr>
          <w:rFonts w:ascii="Courier New" w:cs="Courier New" w:eastAsia="Courier New" w:hAnsi="Courier New"/>
          <w:sz w:val="17"/>
          <w:szCs w:val="17"/>
          <w:color w:val="auto"/>
        </w:rPr>
        <w:t>2.01</w:t>
        <w:tab/>
        <w:t>Amendment and Plan Termination.</w:t>
        <w:tab/>
        <w:t>The Company may amend or terminate the</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2059"/>
        <w:spacing w:after="0" w:line="244" w:lineRule="auto"/>
        <w:rPr>
          <w:sz w:val="20"/>
          <w:szCs w:val="20"/>
          <w:color w:val="auto"/>
        </w:rPr>
      </w:pPr>
      <w:r>
        <w:rPr>
          <w:rFonts w:ascii="Courier New" w:cs="Courier New" w:eastAsia="Courier New" w:hAnsi="Courier New"/>
          <w:sz w:val="17"/>
          <w:szCs w:val="17"/>
          <w:color w:val="auto"/>
        </w:rPr>
        <w:t>Plan with respect to any Participant only with the consent of the Participant or, after the Participant's death, with the consent of his or her spouse. Otherwise, the Company may amend the Plan at any time.</w:t>
      </w:r>
    </w:p>
    <w:p>
      <w:pPr>
        <w:spacing w:after="0" w:line="199" w:lineRule="exact"/>
        <w:rPr>
          <w:sz w:val="20"/>
          <w:szCs w:val="20"/>
          <w:color w:val="auto"/>
        </w:rPr>
      </w:pPr>
    </w:p>
    <w:p>
      <w:pPr>
        <w:spacing w:after="0"/>
        <w:tabs>
          <w:tab w:leader="none" w:pos="600" w:val="left"/>
          <w:tab w:leader="none" w:pos="3160" w:val="left"/>
        </w:tabs>
        <w:rPr>
          <w:sz w:val="20"/>
          <w:szCs w:val="20"/>
          <w:color w:val="auto"/>
        </w:rPr>
      </w:pPr>
      <w:r>
        <w:rPr>
          <w:rFonts w:ascii="Courier New" w:cs="Courier New" w:eastAsia="Courier New" w:hAnsi="Courier New"/>
          <w:sz w:val="17"/>
          <w:szCs w:val="17"/>
          <w:color w:val="auto"/>
        </w:rPr>
        <w:t>2.02</w:t>
        <w:tab/>
        <w:t>Assignment of Benefits.</w:t>
        <w:tab/>
        <w:t>An Eligible Participant or surviving spouse may</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1959"/>
        <w:spacing w:after="0" w:line="244" w:lineRule="auto"/>
        <w:rPr>
          <w:sz w:val="20"/>
          <w:szCs w:val="20"/>
          <w:color w:val="auto"/>
        </w:rPr>
      </w:pPr>
      <w:r>
        <w:rPr>
          <w:rFonts w:ascii="Courier New" w:cs="Courier New" w:eastAsia="Courier New" w:hAnsi="Courier New"/>
          <w:sz w:val="17"/>
          <w:szCs w:val="17"/>
          <w:color w:val="auto"/>
        </w:rPr>
        <w:t>not, either voluntarily or involuntarily, assign, anticipate, alienate, commute, sell, transfer, pledge or encumber any benefits to which he or she is or may become entitled under the Plan, nor may Plan benefits be subject to attachment or garnishment by any of their creditors or to legal process.</w:t>
      </w:r>
    </w:p>
    <w:p>
      <w:pPr>
        <w:spacing w:after="0" w:line="201" w:lineRule="exact"/>
        <w:rPr>
          <w:sz w:val="20"/>
          <w:szCs w:val="20"/>
          <w:color w:val="auto"/>
        </w:rPr>
      </w:pPr>
    </w:p>
    <w:p>
      <w:pPr>
        <w:spacing w:after="0"/>
        <w:tabs>
          <w:tab w:leader="none" w:pos="600" w:val="left"/>
          <w:tab w:leader="none" w:pos="3560" w:val="left"/>
        </w:tabs>
        <w:rPr>
          <w:sz w:val="20"/>
          <w:szCs w:val="20"/>
          <w:color w:val="auto"/>
        </w:rPr>
      </w:pPr>
      <w:r>
        <w:rPr>
          <w:rFonts w:ascii="Courier New" w:cs="Courier New" w:eastAsia="Courier New" w:hAnsi="Courier New"/>
          <w:sz w:val="17"/>
          <w:szCs w:val="17"/>
          <w:color w:val="auto"/>
        </w:rPr>
        <w:t>2.03</w:t>
        <w:tab/>
        <w:t>Nonduplication of Benefits.</w:t>
        <w:tab/>
        <w:t>This Section applies if, despite Section</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1959"/>
        <w:spacing w:after="0" w:line="244" w:lineRule="auto"/>
        <w:rPr>
          <w:sz w:val="20"/>
          <w:szCs w:val="20"/>
          <w:color w:val="auto"/>
        </w:rPr>
      </w:pPr>
      <w:r>
        <w:rPr>
          <w:rFonts w:ascii="Courier New" w:cs="Courier New" w:eastAsia="Courier New" w:hAnsi="Courier New"/>
          <w:sz w:val="17"/>
          <w:szCs w:val="17"/>
          <w:color w:val="auto"/>
        </w:rPr>
        <w:t>2.02, with respect to any Eligible Participant (or his or her spouse), the Company is required to make payments under this Plan to a person or entity other than the payees described in the Plan. In such a case, any coverage due the Participant (or his or her spouse) under the Plan will be reduced by the actuarial value of the coverage extended or payments made to such other person or entity.</w:t>
      </w:r>
    </w:p>
    <w:p>
      <w:pPr>
        <w:spacing w:after="0" w:line="202" w:lineRule="exact"/>
        <w:rPr>
          <w:sz w:val="20"/>
          <w:szCs w:val="20"/>
          <w:color w:val="auto"/>
        </w:rPr>
      </w:pPr>
    </w:p>
    <w:p>
      <w:pPr>
        <w:spacing w:after="0"/>
        <w:tabs>
          <w:tab w:leader="none" w:pos="600" w:val="left"/>
          <w:tab w:leader="none" w:pos="1620" w:val="left"/>
        </w:tabs>
        <w:rPr>
          <w:sz w:val="20"/>
          <w:szCs w:val="20"/>
          <w:color w:val="auto"/>
        </w:rPr>
      </w:pPr>
      <w:r>
        <w:rPr>
          <w:rFonts w:ascii="Courier New" w:cs="Courier New" w:eastAsia="Courier New" w:hAnsi="Courier New"/>
          <w:sz w:val="17"/>
          <w:szCs w:val="17"/>
          <w:color w:val="auto"/>
        </w:rPr>
        <w:t>2.04</w:t>
        <w:tab/>
        <w:t>Funding.</w:t>
        <w:tab/>
        <w:t>Participants have the status of general unsecured creditors of</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1959"/>
        <w:spacing w:after="0" w:line="244" w:lineRule="auto"/>
        <w:rPr>
          <w:sz w:val="20"/>
          <w:szCs w:val="20"/>
          <w:color w:val="auto"/>
        </w:rPr>
      </w:pPr>
      <w:r>
        <w:rPr>
          <w:rFonts w:ascii="Courier New" w:cs="Courier New" w:eastAsia="Courier New" w:hAnsi="Courier New"/>
          <w:sz w:val="17"/>
          <w:szCs w:val="17"/>
          <w:color w:val="auto"/>
        </w:rPr>
        <w:t>the Company and the Plan constitutes a mere promise by the Company to make benefit payments in the future. Any funding of benefits under this Plan will be in the Company's sole discretion.</w:t>
      </w:r>
    </w:p>
    <w:p>
      <w:pPr>
        <w:spacing w:after="0" w:line="199" w:lineRule="exact"/>
        <w:rPr>
          <w:sz w:val="20"/>
          <w:szCs w:val="20"/>
          <w:color w:val="auto"/>
        </w:rPr>
      </w:pPr>
    </w:p>
    <w:p>
      <w:pPr>
        <w:spacing w:after="0"/>
        <w:tabs>
          <w:tab w:leader="none" w:pos="600" w:val="left"/>
          <w:tab w:leader="none" w:pos="2140" w:val="left"/>
        </w:tabs>
        <w:rPr>
          <w:sz w:val="20"/>
          <w:szCs w:val="20"/>
          <w:color w:val="auto"/>
        </w:rPr>
      </w:pPr>
      <w:r>
        <w:rPr>
          <w:rFonts w:ascii="Courier New" w:cs="Courier New" w:eastAsia="Courier New" w:hAnsi="Courier New"/>
          <w:sz w:val="17"/>
          <w:szCs w:val="17"/>
          <w:color w:val="auto"/>
        </w:rPr>
        <w:t>2.05</w:t>
        <w:tab/>
        <w:t>Construction.</w:t>
        <w:tab/>
        <w:t>The Company shall have full discretionary authority to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1959"/>
        <w:spacing w:after="0" w:line="244" w:lineRule="auto"/>
        <w:rPr>
          <w:sz w:val="20"/>
          <w:szCs w:val="20"/>
          <w:color w:val="auto"/>
        </w:rPr>
      </w:pPr>
      <w:r>
        <w:rPr>
          <w:rFonts w:ascii="Courier New" w:cs="Courier New" w:eastAsia="Courier New" w:hAnsi="Courier New"/>
          <w:sz w:val="17"/>
          <w:szCs w:val="17"/>
          <w:color w:val="auto"/>
        </w:rPr>
        <w:t>determine eligibility and to construe and interpret the terms of the Plan, including the power to remedy possible ambiguities, inconsistencies or omissions.</w:t>
      </w:r>
    </w:p>
    <w:p>
      <w:pPr>
        <w:spacing w:after="0" w:line="199" w:lineRule="exact"/>
        <w:rPr>
          <w:sz w:val="20"/>
          <w:szCs w:val="20"/>
          <w:color w:val="auto"/>
        </w:rPr>
      </w:pPr>
    </w:p>
    <w:p>
      <w:pPr>
        <w:spacing w:after="0"/>
        <w:tabs>
          <w:tab w:leader="none" w:pos="600" w:val="left"/>
          <w:tab w:leader="none" w:pos="2240" w:val="left"/>
        </w:tabs>
        <w:rPr>
          <w:sz w:val="20"/>
          <w:szCs w:val="20"/>
          <w:color w:val="auto"/>
        </w:rPr>
      </w:pPr>
      <w:r>
        <w:rPr>
          <w:rFonts w:ascii="Courier New" w:cs="Courier New" w:eastAsia="Courier New" w:hAnsi="Courier New"/>
          <w:sz w:val="17"/>
          <w:szCs w:val="17"/>
          <w:color w:val="auto"/>
        </w:rPr>
        <w:t>2.06</w:t>
        <w:tab/>
        <w:t>Governing Law.</w:t>
        <w:tab/>
        <w:t>This Plan shall be governed by the law of the State of</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California, except to the extent superseded by federal law.</w:t>
      </w:r>
    </w:p>
    <w:p>
      <w:pPr>
        <w:spacing w:after="0" w:line="201" w:lineRule="exact"/>
        <w:rPr>
          <w:sz w:val="20"/>
          <w:szCs w:val="20"/>
          <w:color w:val="auto"/>
        </w:rPr>
      </w:pPr>
    </w:p>
    <w:p>
      <w:pPr>
        <w:spacing w:after="0"/>
        <w:tabs>
          <w:tab w:leader="none" w:pos="600" w:val="left"/>
          <w:tab w:leader="none" w:pos="2740" w:val="left"/>
        </w:tabs>
        <w:rPr>
          <w:sz w:val="20"/>
          <w:szCs w:val="20"/>
          <w:color w:val="auto"/>
        </w:rPr>
      </w:pPr>
      <w:r>
        <w:rPr>
          <w:rFonts w:ascii="Courier New" w:cs="Courier New" w:eastAsia="Courier New" w:hAnsi="Courier New"/>
          <w:sz w:val="17"/>
          <w:szCs w:val="17"/>
          <w:color w:val="auto"/>
        </w:rPr>
        <w:t>2.07</w:t>
        <w:tab/>
        <w:t>Actions By Company.</w:t>
        <w:tab/>
        <w:t>Any powers exercisable by the Company under the Plan</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2059"/>
        <w:spacing w:after="0" w:line="244" w:lineRule="auto"/>
        <w:rPr>
          <w:sz w:val="20"/>
          <w:szCs w:val="20"/>
          <w:color w:val="auto"/>
        </w:rPr>
      </w:pPr>
      <w:r>
        <w:rPr>
          <w:rFonts w:ascii="Courier New" w:cs="Courier New" w:eastAsia="Courier New" w:hAnsi="Courier New"/>
          <w:sz w:val="17"/>
          <w:szCs w:val="17"/>
          <w:color w:val="auto"/>
        </w:rPr>
        <w:t>shall be utilized by written resolution adopted by the Board of Directors of the Company or its delegate. The Board may be written resolution delegate any of the Company's powers under the Plan and any such delegations may provide for subdelegations, also by written resolution.</w:t>
      </w:r>
    </w:p>
    <w:p>
      <w:pPr>
        <w:sectPr>
          <w:pgSz w:w="11900" w:h="16838" w:orient="portrait"/>
          <w:cols w:equalWidth="0" w:num="1">
            <w:col w:w="10139"/>
          </w:cols>
          <w:pgMar w:left="320" w:top="705" w:right="1440" w:bottom="1440" w:gutter="0" w:footer="0" w:header="0"/>
        </w:sectPr>
      </w:pPr>
    </w:p>
    <w:bookmarkStart w:id="91" w:name="page92"/>
    <w:bookmarkEnd w:id="91"/>
    <w:p>
      <w:pPr>
        <w:jc w:val="right"/>
        <w:ind w:right="1959"/>
        <w:spacing w:after="0"/>
        <w:rPr>
          <w:sz w:val="20"/>
          <w:szCs w:val="20"/>
          <w:color w:val="auto"/>
        </w:rPr>
      </w:pPr>
      <w:r>
        <w:rPr>
          <w:rFonts w:ascii="Courier New" w:cs="Courier New" w:eastAsia="Courier New" w:hAnsi="Courier New"/>
          <w:sz w:val="17"/>
          <w:szCs w:val="17"/>
          <w:color w:val="auto"/>
        </w:rPr>
        <w:t>EXHIBIT 21</w:t>
      </w:r>
    </w:p>
    <w:p>
      <w:pPr>
        <w:spacing w:after="0" w:line="201"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NORTHROP GRUMMAN CORPORATION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for subsidiaries (unless otherwise noted) is:</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 Northrop Grumman Corporation</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Office of the Corporate Secretary</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1840 Century Park East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Los Angeles, CA 90067</w:t>
      </w:r>
    </w:p>
    <w:p>
      <w:pPr>
        <w:spacing w:after="0" w:line="201" w:lineRule="exact"/>
        <w:rPr>
          <w:sz w:val="20"/>
          <w:szCs w:val="20"/>
          <w:color w:val="auto"/>
        </w:rPr>
      </w:pPr>
    </w:p>
    <w:p>
      <w:pPr>
        <w:ind w:left="820" w:hanging="304"/>
        <w:spacing w:after="0"/>
        <w:tabs>
          <w:tab w:leader="none" w:pos="8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Allied Holdings, Inc.</w:t>
      </w:r>
    </w:p>
    <w:p>
      <w:pPr>
        <w:spacing w:after="0" w:line="4" w:lineRule="exact"/>
        <w:rPr>
          <w:sz w:val="20"/>
          <w:szCs w:val="20"/>
          <w:color w:val="auto"/>
        </w:rPr>
      </w:pPr>
    </w:p>
    <w:p>
      <w:pPr>
        <w:ind w:left="1340" w:hanging="312"/>
        <w:spacing w:after="0"/>
        <w:tabs>
          <w:tab w:leader="none" w:pos="13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Allied Transportation Products, Inc.</w:t>
      </w:r>
    </w:p>
    <w:p>
      <w:pPr>
        <w:spacing w:after="0" w:line="4" w:lineRule="exact"/>
        <w:rPr>
          <w:rFonts w:ascii="Courier New" w:cs="Courier New" w:eastAsia="Courier New" w:hAnsi="Courier New"/>
          <w:sz w:val="17"/>
          <w:szCs w:val="17"/>
          <w:color w:val="auto"/>
        </w:rPr>
      </w:pPr>
    </w:p>
    <w:p>
      <w:pPr>
        <w:ind w:left="1340" w:hanging="312"/>
        <w:spacing w:after="0"/>
        <w:tabs>
          <w:tab w:leader="none" w:pos="13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Grumman Credit Corporation</w:t>
      </w:r>
    </w:p>
    <w:p>
      <w:pPr>
        <w:spacing w:after="0" w:line="4" w:lineRule="exact"/>
        <w:rPr>
          <w:sz w:val="20"/>
          <w:szCs w:val="20"/>
          <w:color w:val="auto"/>
        </w:rPr>
      </w:pPr>
    </w:p>
    <w:p>
      <w:pPr>
        <w:ind w:left="820" w:hanging="304"/>
        <w:spacing w:after="0"/>
        <w:tabs>
          <w:tab w:leader="none" w:pos="8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California Microwave, Inc.</w:t>
      </w:r>
    </w:p>
    <w:p>
      <w:pPr>
        <w:spacing w:after="0" w:line="4" w:lineRule="exact"/>
        <w:rPr>
          <w:sz w:val="20"/>
          <w:szCs w:val="20"/>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Procurement Corporation, Inc. (d.b.a. DPC Technologies)</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Grumman International, Inc.</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Grumman Ohio Corporation</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Grumman Sensor Systems, Inc.</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Grumman Systems Support Corporation</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Iran-Northrop Grumman Programs Service Company</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Logicon, Inc.</w:t>
      </w:r>
    </w:p>
    <w:p>
      <w:pPr>
        <w:spacing w:after="0" w:line="4"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Logicon International, Inc.</w:t>
      </w:r>
    </w:p>
    <w:p>
      <w:pPr>
        <w:spacing w:after="0" w:line="4"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International Research Institute, Inc.</w:t>
      </w:r>
    </w:p>
    <w:p>
      <w:pPr>
        <w:spacing w:after="0" w:line="4" w:lineRule="exact"/>
        <w:rPr>
          <w:rFonts w:ascii="Courier New" w:cs="Courier New" w:eastAsia="Courier New" w:hAnsi="Courier New"/>
          <w:sz w:val="17"/>
          <w:szCs w:val="17"/>
          <w:color w:val="auto"/>
        </w:rPr>
      </w:pPr>
    </w:p>
    <w:p>
      <w:pPr>
        <w:ind w:left="1840" w:right="6959" w:hanging="307"/>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INRI, UK LTD* Alpha House</w:t>
      </w:r>
    </w:p>
    <w:p>
      <w:pPr>
        <w:spacing w:after="0" w:line="1" w:lineRule="exact"/>
        <w:rPr>
          <w:rFonts w:ascii="Courier New" w:cs="Courier New" w:eastAsia="Courier New" w:hAnsi="Courier New"/>
          <w:sz w:val="17"/>
          <w:szCs w:val="17"/>
          <w:color w:val="auto"/>
        </w:rPr>
      </w:pPr>
    </w:p>
    <w:p>
      <w:pPr>
        <w:ind w:left="1840" w:right="573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Chilworth Research Centre Southampton S016 7NS United Kingdom</w:t>
      </w:r>
    </w:p>
    <w:p>
      <w:pPr>
        <w:spacing w:after="0" w:line="2"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Logicon Technical Services, Inc.</w:t>
      </w:r>
    </w:p>
    <w:p>
      <w:pPr>
        <w:spacing w:after="0" w:line="4"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Logicon Syscon Services, Inc.</w:t>
      </w:r>
    </w:p>
    <w:p>
      <w:pPr>
        <w:spacing w:after="0" w:line="4"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Logicon Syscon (B.V.I.) Limited *</w:t>
      </w:r>
    </w:p>
    <w:p>
      <w:pPr>
        <w:spacing w:after="0" w:line="4"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Logicon Canada Limited*</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MOCIT, Inc.</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Aviation, Inc.</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Commercial Aircraft Company</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Electronic Sensors and Systems International, Inc.</w:t>
      </w:r>
    </w:p>
    <w:p>
      <w:pPr>
        <w:spacing w:after="0" w:line="4" w:lineRule="exact"/>
        <w:rPr>
          <w:rFonts w:ascii="Courier New" w:cs="Courier New" w:eastAsia="Courier New" w:hAnsi="Courier New"/>
          <w:sz w:val="17"/>
          <w:szCs w:val="17"/>
          <w:color w:val="auto"/>
        </w:rPr>
      </w:pPr>
    </w:p>
    <w:p>
      <w:pPr>
        <w:ind w:left="1020" w:right="68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WESCAN Europe Ltd.* 3 Burlington Road, Dublin 4, Ireland</w:t>
      </w:r>
    </w:p>
    <w:p>
      <w:pPr>
        <w:spacing w:after="0" w:line="2"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Electronic Systems International Company</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Electronics Systems Integration International, Inc.</w:t>
      </w:r>
    </w:p>
    <w:p>
      <w:pPr>
        <w:spacing w:after="0" w:line="4" w:lineRule="exact"/>
        <w:rPr>
          <w:rFonts w:ascii="Courier New" w:cs="Courier New" w:eastAsia="Courier New" w:hAnsi="Courier New"/>
          <w:sz w:val="17"/>
          <w:szCs w:val="17"/>
          <w:color w:val="auto"/>
        </w:rPr>
      </w:pPr>
    </w:p>
    <w:p>
      <w:pPr>
        <w:ind w:left="1340" w:right="3079" w:hanging="307"/>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Northrop Grumman Electronic Systems Integration Limited* Senator House</w:t>
      </w:r>
    </w:p>
    <w:p>
      <w:pPr>
        <w:spacing w:after="0" w:line="1" w:lineRule="exact"/>
        <w:rPr>
          <w:rFonts w:ascii="Courier New" w:cs="Courier New" w:eastAsia="Courier New" w:hAnsi="Courier New"/>
          <w:sz w:val="17"/>
          <w:szCs w:val="17"/>
          <w:color w:val="auto"/>
        </w:rPr>
      </w:pPr>
    </w:p>
    <w:p>
      <w:pPr>
        <w:ind w:left="1340" w:right="6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85 Queen Victoria Street London EC4V 4IL</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1OF3</w:t>
      </w:r>
    </w:p>
    <w:p>
      <w:pPr>
        <w:sectPr>
          <w:pgSz w:w="11900" w:h="16838" w:orient="portrait"/>
          <w:cols w:equalWidth="0" w:num="1">
            <w:col w:w="10139"/>
          </w:cols>
          <w:pgMar w:left="320" w:top="534" w:right="1440" w:bottom="1440" w:gutter="0" w:footer="0" w:header="0"/>
        </w:sectPr>
      </w:pPr>
    </w:p>
    <w:bookmarkStart w:id="92" w:name="page93"/>
    <w:bookmarkEnd w:id="92"/>
    <w:p>
      <w:pPr>
        <w:ind w:left="304" w:hanging="304"/>
        <w:spacing w:after="0"/>
        <w:tabs>
          <w:tab w:leader="none" w:pos="304"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Field Support Services, Inc.</w:t>
      </w:r>
    </w:p>
    <w:p>
      <w:pPr>
        <w:spacing w:after="0" w:line="5" w:lineRule="exact"/>
        <w:rPr>
          <w:sz w:val="20"/>
          <w:szCs w:val="20"/>
          <w:color w:val="auto"/>
        </w:rPr>
      </w:pPr>
    </w:p>
    <w:p>
      <w:pPr>
        <w:ind w:left="504" w:right="3799" w:hanging="504"/>
        <w:spacing w:after="0" w:line="244" w:lineRule="auto"/>
        <w:tabs>
          <w:tab w:leader="none" w:pos="299"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Foreign Sales Corporation (Barbados)* c/o Chase Trade, Inc.</w:t>
      </w:r>
    </w:p>
    <w:p>
      <w:pPr>
        <w:spacing w:after="0" w:line="395" w:lineRule="exact"/>
        <w:rPr>
          <w:sz w:val="20"/>
          <w:szCs w:val="20"/>
          <w:color w:val="auto"/>
        </w:rPr>
      </w:pPr>
    </w:p>
    <w:p>
      <w:pPr>
        <w:ind w:left="304" w:hanging="304"/>
        <w:spacing w:after="0"/>
        <w:tabs>
          <w:tab w:leader="none" w:pos="3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International, Inc.</w:t>
      </w:r>
    </w:p>
    <w:p>
      <w:pPr>
        <w:spacing w:after="0" w:line="5" w:lineRule="exact"/>
        <w:rPr>
          <w:sz w:val="20"/>
          <w:szCs w:val="20"/>
          <w:color w:val="auto"/>
        </w:rPr>
      </w:pPr>
    </w:p>
    <w:p>
      <w:pPr>
        <w:ind w:left="504" w:right="2979" w:firstLine="8"/>
        <w:spacing w:after="0" w:line="244" w:lineRule="auto"/>
        <w:tabs>
          <w:tab w:leader="none" w:pos="81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(Singapore) Private Limited (Singapore)* 250 North Bridge Road #15-04</w:t>
      </w:r>
    </w:p>
    <w:p>
      <w:pPr>
        <w:spacing w:after="0" w:line="1" w:lineRule="exact"/>
        <w:rPr>
          <w:rFonts w:ascii="Courier New" w:cs="Courier New" w:eastAsia="Courier New" w:hAnsi="Courier New"/>
          <w:sz w:val="17"/>
          <w:szCs w:val="17"/>
          <w:color w:val="auto"/>
        </w:rPr>
      </w:pPr>
    </w:p>
    <w:p>
      <w:pPr>
        <w:ind w:left="504" w:right="72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Raffles City Tower Singapore 179101</w:t>
      </w:r>
    </w:p>
    <w:p>
      <w:pPr>
        <w:spacing w:after="0" w:line="1" w:lineRule="exact"/>
        <w:rPr>
          <w:sz w:val="20"/>
          <w:szCs w:val="20"/>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International Services Company, Inc.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ISA International, Inc.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Overseas Holdings, Inc.</w:t>
      </w:r>
    </w:p>
    <w:p>
      <w:pPr>
        <w:spacing w:after="0" w:line="4" w:lineRule="exact"/>
        <w:rPr>
          <w:rFonts w:ascii="Courier New" w:cs="Courier New" w:eastAsia="Courier New" w:hAnsi="Courier New"/>
          <w:sz w:val="17"/>
          <w:szCs w:val="17"/>
          <w:color w:val="auto"/>
        </w:rPr>
      </w:pPr>
    </w:p>
    <w:p>
      <w:pPr>
        <w:ind w:left="504" w:right="481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Northrop Grumman-Canada, LTD. (Canada)* c/o Gowling, Strathy &amp; Henderson</w:t>
      </w:r>
    </w:p>
    <w:p>
      <w:pPr>
        <w:spacing w:after="0" w:line="1" w:lineRule="exact"/>
        <w:rPr>
          <w:rFonts w:ascii="Courier New" w:cs="Courier New" w:eastAsia="Courier New" w:hAnsi="Courier New"/>
          <w:sz w:val="17"/>
          <w:szCs w:val="17"/>
          <w:color w:val="auto"/>
        </w:rPr>
      </w:pPr>
    </w:p>
    <w:p>
      <w:pPr>
        <w:ind w:left="504" w:right="7059"/>
        <w:spacing w:after="0" w:line="24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120 King Street West Suite 600 Hamilton, Ontario L8P 4V2</w:t>
      </w:r>
    </w:p>
    <w:p>
      <w:pPr>
        <w:spacing w:after="0" w:line="196" w:lineRule="exact"/>
        <w:rPr>
          <w:rFonts w:ascii="Courier New" w:cs="Courier New" w:eastAsia="Courier New" w:hAnsi="Courier New"/>
          <w:sz w:val="17"/>
          <w:szCs w:val="17"/>
          <w:color w:val="auto"/>
        </w:rPr>
      </w:pPr>
    </w:p>
    <w:p>
      <w:pPr>
        <w:ind w:left="5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Northrop Grumman Electronicos, Inc.</w:t>
      </w:r>
    </w:p>
    <w:p>
      <w:pPr>
        <w:spacing w:after="0" w:line="4" w:lineRule="exact"/>
        <w:rPr>
          <w:rFonts w:ascii="Courier New" w:cs="Courier New" w:eastAsia="Courier New" w:hAnsi="Courier New"/>
          <w:sz w:val="17"/>
          <w:szCs w:val="17"/>
          <w:color w:val="auto"/>
        </w:rPr>
      </w:pPr>
    </w:p>
    <w:p>
      <w:pPr>
        <w:ind w:left="504" w:right="409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Northrop Grumman Overseas Holdings (UK), Ltd.* c/o Baker &amp; McKenzie</w:t>
      </w:r>
    </w:p>
    <w:p>
      <w:pPr>
        <w:spacing w:after="0" w:line="1" w:lineRule="exact"/>
        <w:rPr>
          <w:rFonts w:ascii="Courier New" w:cs="Courier New" w:eastAsia="Courier New" w:hAnsi="Courier New"/>
          <w:sz w:val="17"/>
          <w:szCs w:val="17"/>
          <w:color w:val="auto"/>
        </w:rPr>
      </w:pPr>
    </w:p>
    <w:p>
      <w:pPr>
        <w:ind w:left="504" w:right="69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 New Bridge Street London EC4V 6JA United Kingdom</w:t>
      </w:r>
    </w:p>
    <w:p>
      <w:pPr>
        <w:spacing w:after="0" w:line="2" w:lineRule="exact"/>
        <w:rPr>
          <w:rFonts w:ascii="Courier New" w:cs="Courier New" w:eastAsia="Courier New" w:hAnsi="Courier New"/>
          <w:sz w:val="17"/>
          <w:szCs w:val="17"/>
          <w:color w:val="auto"/>
        </w:rPr>
      </w:pPr>
    </w:p>
    <w:p>
      <w:pPr>
        <w:ind w:left="1024" w:right="511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Park Air Electronics Ltd. (UK)* Northfields</w:t>
      </w:r>
    </w:p>
    <w:p>
      <w:pPr>
        <w:spacing w:after="0" w:line="1" w:lineRule="exact"/>
        <w:rPr>
          <w:rFonts w:ascii="Courier New" w:cs="Courier New" w:eastAsia="Courier New" w:hAnsi="Courier New"/>
          <w:sz w:val="17"/>
          <w:szCs w:val="17"/>
          <w:color w:val="auto"/>
        </w:rPr>
      </w:pPr>
    </w:p>
    <w:p>
      <w:pPr>
        <w:ind w:left="1024" w:right="69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Market Deeping Peterborough, PE6 8LG, England</w:t>
      </w:r>
    </w:p>
    <w:p>
      <w:pPr>
        <w:spacing w:after="0" w:line="2"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Overseas Service Corporation</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Space Operations, LP</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Tactical Systems LLC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Technical Services Corporation</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Grumman Technical Services, Inc.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Northrop International Aircraft, Inc.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Park Air Electronics, Inc.</w:t>
      </w:r>
    </w:p>
    <w:p>
      <w:pPr>
        <w:spacing w:after="0" w:line="4" w:lineRule="exact"/>
        <w:rPr>
          <w:rFonts w:ascii="Courier New" w:cs="Courier New" w:eastAsia="Courier New" w:hAnsi="Courier New"/>
          <w:sz w:val="17"/>
          <w:szCs w:val="17"/>
          <w:color w:val="auto"/>
        </w:rPr>
      </w:pPr>
    </w:p>
    <w:p>
      <w:pPr>
        <w:ind w:left="304" w:hanging="304"/>
        <w:spacing w:after="0"/>
        <w:tabs>
          <w:tab w:leader="none" w:pos="304"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Perceptics Corporation</w:t>
      </w:r>
    </w:p>
    <w:p>
      <w:pPr>
        <w:spacing w:after="0" w:line="201" w:lineRule="exact"/>
        <w:rPr>
          <w:sz w:val="20"/>
          <w:szCs w:val="20"/>
          <w:color w:val="auto"/>
        </w:rPr>
      </w:pPr>
    </w:p>
    <w:p>
      <w:pPr>
        <w:ind w:left="3264"/>
        <w:spacing w:after="0"/>
        <w:rPr>
          <w:sz w:val="20"/>
          <w:szCs w:val="20"/>
          <w:color w:val="auto"/>
        </w:rPr>
      </w:pPr>
      <w:r>
        <w:rPr>
          <w:rFonts w:ascii="Courier New" w:cs="Courier New" w:eastAsia="Courier New" w:hAnsi="Courier New"/>
          <w:sz w:val="17"/>
          <w:szCs w:val="17"/>
          <w:color w:val="auto"/>
        </w:rPr>
        <w:t>2OF3</w:t>
      </w:r>
    </w:p>
    <w:p>
      <w:pPr>
        <w:sectPr>
          <w:pgSz w:w="11900" w:h="16838" w:orient="portrait"/>
          <w:cols w:equalWidth="0" w:num="1">
            <w:col w:w="9623"/>
          </w:cols>
          <w:pgMar w:left="836" w:top="705" w:right="1440" w:bottom="1440" w:gutter="0" w:footer="0" w:header="0"/>
        </w:sectPr>
      </w:pPr>
    </w:p>
    <w:bookmarkStart w:id="93" w:name="page94"/>
    <w:bookmarkEnd w:id="93"/>
    <w:p>
      <w:pPr>
        <w:ind w:left="820" w:hanging="304"/>
        <w:spacing w:after="0"/>
        <w:tabs>
          <w:tab w:leader="none" w:pos="8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Remotec, Inc. (96% owned)</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 Industries, Inc.</w:t>
      </w:r>
    </w:p>
    <w:p>
      <w:pPr>
        <w:spacing w:after="0" w:line="4" w:lineRule="exact"/>
        <w:rPr>
          <w:rFonts w:ascii="Courier New" w:cs="Courier New" w:eastAsia="Courier New" w:hAnsi="Courier New"/>
          <w:sz w:val="17"/>
          <w:szCs w:val="17"/>
          <w:color w:val="auto"/>
        </w:rPr>
      </w:pPr>
    </w:p>
    <w:p>
      <w:pPr>
        <w:ind w:left="820" w:hanging="304"/>
        <w:spacing w:after="0"/>
        <w:tabs>
          <w:tab w:leader="none" w:pos="8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Xetron Corporation</w:t>
      </w:r>
    </w:p>
    <w:p>
      <w:pPr>
        <w:spacing w:after="0" w:line="200" w:lineRule="exact"/>
        <w:rPr>
          <w:rFonts w:ascii="Courier New" w:cs="Courier New" w:eastAsia="Courier New" w:hAnsi="Courier New"/>
          <w:sz w:val="17"/>
          <w:szCs w:val="17"/>
          <w:color w:val="auto"/>
        </w:rPr>
      </w:pPr>
    </w:p>
    <w:p>
      <w:pPr>
        <w:spacing w:after="0" w:line="39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Foreign Subsidiaries</w:t>
      </w:r>
    </w:p>
    <w:p>
      <w:pPr>
        <w:spacing w:after="0" w:line="201" w:lineRule="exact"/>
        <w:rPr>
          <w:sz w:val="20"/>
          <w:szCs w:val="20"/>
          <w:color w:val="auto"/>
        </w:rPr>
      </w:pPr>
    </w:p>
    <w:p>
      <w:pPr>
        <w:jc w:val="right"/>
        <w:ind w:right="5739"/>
        <w:spacing w:after="0"/>
        <w:rPr>
          <w:sz w:val="20"/>
          <w:szCs w:val="20"/>
          <w:color w:val="auto"/>
        </w:rPr>
      </w:pPr>
      <w:r>
        <w:rPr>
          <w:rFonts w:ascii="Courier New" w:cs="Courier New" w:eastAsia="Courier New" w:hAnsi="Courier New"/>
          <w:sz w:val="17"/>
          <w:szCs w:val="17"/>
          <w:color w:val="auto"/>
        </w:rPr>
        <w:t>3OF3</w:t>
      </w:r>
    </w:p>
    <w:p>
      <w:pPr>
        <w:sectPr>
          <w:pgSz w:w="11900" w:h="16838" w:orient="portrait"/>
          <w:cols w:equalWidth="0" w:num="1">
            <w:col w:w="10139"/>
          </w:cols>
          <w:pgMar w:left="320" w:top="705" w:right="1440" w:bottom="1440" w:gutter="0" w:footer="0" w:header="0"/>
        </w:sectPr>
      </w:pPr>
    </w:p>
    <w:bookmarkStart w:id="94" w:name="page95"/>
    <w:bookmarkEnd w:id="94"/>
    <w:p>
      <w:pPr>
        <w:jc w:val="right"/>
        <w:ind w:right="1959"/>
        <w:spacing w:after="0"/>
        <w:rPr>
          <w:sz w:val="20"/>
          <w:szCs w:val="20"/>
          <w:color w:val="auto"/>
        </w:rPr>
      </w:pPr>
      <w:r>
        <w:rPr>
          <w:rFonts w:ascii="Courier New" w:cs="Courier New" w:eastAsia="Courier New" w:hAnsi="Courier New"/>
          <w:sz w:val="17"/>
          <w:szCs w:val="17"/>
          <w:color w:val="auto"/>
        </w:rPr>
        <w:t>EXHIBIT 24</w:t>
      </w:r>
    </w:p>
    <w:p>
      <w:pPr>
        <w:spacing w:after="0" w:line="398"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POWER OF ATTORNEY IN CONNECTION WITH THE</w:t>
      </w:r>
    </w:p>
    <w:p>
      <w:pPr>
        <w:spacing w:after="0" w:line="201"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1999 ANNUAL REPORT ON FORM 10-K</w:t>
      </w:r>
    </w:p>
    <w:p>
      <w:pPr>
        <w:spacing w:after="0" w:line="398" w:lineRule="exact"/>
        <w:rPr>
          <w:sz w:val="20"/>
          <w:szCs w:val="20"/>
          <w:color w:val="auto"/>
        </w:rPr>
      </w:pPr>
    </w:p>
    <w:p>
      <w:pPr>
        <w:ind w:right="1959"/>
        <w:spacing w:after="0" w:line="245" w:lineRule="auto"/>
        <w:rPr>
          <w:sz w:val="20"/>
          <w:szCs w:val="20"/>
          <w:color w:val="auto"/>
        </w:rPr>
      </w:pPr>
      <w:r>
        <w:rPr>
          <w:rFonts w:ascii="Courier New" w:cs="Courier New" w:eastAsia="Courier New" w:hAnsi="Courier New"/>
          <w:sz w:val="17"/>
          <w:szCs w:val="17"/>
          <w:color w:val="auto"/>
        </w:rPr>
        <w:t>KNOW ALL MEN BY THESE PRESENTS, that each of the undersigned directors and officers of NORTHROP GRUMMAN CORPORATION, a Delaware corporation, does hereby appoint RICHARD R. MOLLEUR and JOHN H. MULLAN, and each of them as his agents and attorneys-in-fact (the "Agents"), in his or her respective name and in the capacity or capacities indicated below to execute and/or file the Annual Report on Form 10-K for the fiscal year ended December 31, 1999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This Power of Attorney shall remain in full force and effect until revoked or superseded by written notice filed with the Commission.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WITNESS THEREOF, each of the undersigned has subscribed these presents this 16th day of February, 2000.</w:t>
      </w:r>
    </w:p>
    <w:p>
      <w:pPr>
        <w:sectPr>
          <w:pgSz w:w="11900" w:h="16838" w:orient="portrait"/>
          <w:cols w:equalWidth="0" w:num="1">
            <w:col w:w="10139"/>
          </w:cols>
          <w:pgMar w:left="320" w:top="338" w:right="1440" w:bottom="1440" w:gutter="0" w:footer="0" w:header="0"/>
        </w:sectPr>
      </w:pPr>
    </w:p>
    <w:bookmarkStart w:id="95" w:name="page96"/>
    <w:bookmarkEnd w:id="95"/>
    <w:p>
      <w:pPr>
        <w:spacing w:after="0" w:line="244" w:lineRule="auto"/>
        <w:rPr>
          <w:sz w:val="20"/>
          <w:szCs w:val="20"/>
          <w:color w:val="auto"/>
        </w:rPr>
      </w:pPr>
      <w:r>
        <w:rPr>
          <w:rFonts w:ascii="Courier New" w:cs="Courier New" w:eastAsia="Courier New" w:hAnsi="Courier New"/>
          <w:sz w:val="17"/>
          <w:szCs w:val="17"/>
          <w:color w:val="auto"/>
        </w:rPr>
        <w:t>__________________________ Kent Kresa</w:t>
      </w:r>
    </w:p>
    <w:p>
      <w:pPr>
        <w:spacing w:after="0" w:line="20" w:lineRule="exact"/>
        <w:rPr>
          <w:sz w:val="20"/>
          <w:szCs w:val="20"/>
          <w:color w:val="auto"/>
        </w:rPr>
      </w:pPr>
      <w:r>
        <w:rPr>
          <w:sz w:val="20"/>
          <w:szCs w:val="20"/>
          <w:color w:val="auto"/>
        </w:rPr>
        <w:br w:type="column"/>
      </w:r>
    </w:p>
    <w:p>
      <w:pPr>
        <w:ind w:right="1959"/>
        <w:spacing w:after="0" w:line="244" w:lineRule="auto"/>
        <w:rPr>
          <w:sz w:val="20"/>
          <w:szCs w:val="20"/>
          <w:color w:val="auto"/>
        </w:rPr>
      </w:pPr>
      <w:r>
        <w:rPr>
          <w:rFonts w:ascii="Courier New" w:cs="Courier New" w:eastAsia="Courier New" w:hAnsi="Courier New"/>
          <w:sz w:val="17"/>
          <w:szCs w:val="17"/>
          <w:color w:val="auto"/>
        </w:rPr>
        <w:t>Chairman of the Board, President and Chief Executive Officer and Director (Principal Executive Officer)</w:t>
      </w:r>
    </w:p>
    <w:p>
      <w:pPr>
        <w:spacing w:after="0" w:line="198" w:lineRule="exact"/>
        <w:rPr>
          <w:sz w:val="20"/>
          <w:szCs w:val="20"/>
          <w:color w:val="auto"/>
        </w:rPr>
      </w:pPr>
    </w:p>
    <w:p>
      <w:pPr>
        <w:sectPr>
          <w:pgSz w:w="11900" w:h="16838" w:orient="portrait"/>
          <w:cols w:equalWidth="0" w:num="2">
            <w:col w:w="2660" w:space="200"/>
            <w:col w:w="7279"/>
          </w:cols>
          <w:pgMar w:left="320" w:top="705" w:right="1440" w:bottom="1440" w:gutter="0" w:footer="0" w:header="0"/>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Jack R. Borsting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John T. Chain,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Jack Edwards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Vic Fazio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Phillip Frost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Robert A. Lutz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Aulana L.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John E. Robson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Richard M. Rosenberg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John Brooks Slaughter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Richard J. Stegemeier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397" w:lineRule="exact"/>
        <w:rPr>
          <w:sz w:val="20"/>
          <w:szCs w:val="20"/>
          <w:color w:val="auto"/>
        </w:rPr>
      </w:pPr>
    </w:p>
    <w:p>
      <w:pPr>
        <w:sectPr>
          <w:pgSz w:w="11900" w:h="16838" w:orient="portrait"/>
          <w:cols w:equalWidth="0" w:num="2">
            <w:col w:w="2660" w:space="200"/>
            <w:col w:w="7279"/>
          </w:cols>
          <w:pgMar w:left="320" w:top="705" w:right="1440" w:bottom="1440" w:gutter="0" w:footer="0" w:header="0"/>
          <w:type w:val="continuous"/>
        </w:sectPr>
      </w:pPr>
    </w:p>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7"/>
          <w:szCs w:val="17"/>
          <w:color w:val="auto"/>
        </w:rPr>
        <w:t>__________________________ Richard B. Waugh,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Corporate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Officer)</w:t>
      </w:r>
    </w:p>
    <w:p>
      <w:pPr>
        <w:sectPr>
          <w:pgSz w:w="11900" w:h="16838" w:orient="portrait"/>
          <w:cols w:equalWidth="0" w:num="2">
            <w:col w:w="2660" w:space="200"/>
            <w:col w:w="7279"/>
          </w:cols>
          <w:pgMar w:left="320" w:top="705" w:right="1440" w:bottom="1440" w:gutter="0" w:footer="0" w:header="0"/>
          <w:type w:val="continuous"/>
        </w:sectPr>
      </w:pPr>
    </w:p>
    <w:bookmarkStart w:id="96" w:name="page97"/>
    <w:bookmarkEnd w:id="96"/>
    <w:p>
      <w:pPr>
        <w:spacing w:after="0"/>
        <w:rPr>
          <w:sz w:val="20"/>
          <w:szCs w:val="20"/>
          <w:color w:val="auto"/>
        </w:rPr>
      </w:pPr>
      <w:r>
        <w:rPr>
          <w:rFonts w:ascii="Courier New" w:cs="Courier New" w:eastAsia="Courier New" w:hAnsi="Courier New"/>
          <w:sz w:val="17"/>
          <w:szCs w:val="17"/>
          <w:color w:val="auto"/>
        </w:rPr>
        <w:t>5</w:t>
      </w:r>
    </w:p>
    <w:p>
      <w:pPr>
        <w:spacing w:after="0" w:line="398"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YEAR</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DEC-31-1999</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DEC-31-1999</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142</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1,440</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38</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1,190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2,793</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2,895</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1,655</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9,285</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2,464</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2,200</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1,028</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2,229</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9,285</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8,995</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8,995</w:t>
      </w:r>
    </w:p>
    <w:p>
      <w:pPr>
        <w:spacing w:after="0" w:line="4"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7"/>
          <w:szCs w:val="17"/>
          <w:color w:val="auto"/>
        </w:rPr>
        <w:t>8,026</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8,026</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(17)</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224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762</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279</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483</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(16)</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467</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7"/>
          <w:szCs w:val="17"/>
          <w:color w:val="auto"/>
        </w:rPr>
        <w:t>6.73</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6.69</w:t>
      </w:r>
    </w:p>
    <w:sectPr>
      <w:pgSz w:w="11900" w:h="16838" w:orient="portrait"/>
      <w:cols w:equalWidth="0" w:num="1">
        <w:col w:w="10039"/>
      </w:cols>
      <w:pgMar w:left="420" w:top="5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upperLetter"/>
      <w:start w:val="24"/>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lvl w:ilvl="1">
      <w:lvlJc w:val="left"/>
      <w:lvlText w:val="(%2)"/>
      <w:numFmt w:val="decimal"/>
      <w:start w:val="10"/>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lvl w:ilvl="1">
      <w:lvlJc w:val="left"/>
      <w:lvlText w:val="(%2)"/>
      <w:numFmt w:val="decimal"/>
      <w:start w:val="454"/>
    </w:lvl>
  </w:abstractNum>
  <w:abstractNum w:abstractNumId="27">
    <w:nsid w:val="542289EC"/>
    <w:multiLevelType w:val="hybridMultilevel"/>
    <w:lvl w:ilvl="0">
      <w:lvlJc w:val="left"/>
      <w:lvlText w:val="-"/>
      <w:numFmt w:val="bullet"/>
      <w:start w:val="1"/>
    </w:lvl>
    <w:lvl w:ilvl="1">
      <w:lvlJc w:val="left"/>
      <w:lvlText w:val="(%2)"/>
      <w:numFmt w:val="decimal"/>
      <w:start w:val="129"/>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decimal"/>
      <w:start w:val="2"/>
    </w:lvl>
  </w:abstractNum>
  <w:abstractNum w:abstractNumId="32">
    <w:nsid w:val="684A481A"/>
    <w:multiLevelType w:val="hybridMultilevel"/>
    <w:lvl w:ilvl="0">
      <w:lvlJc w:val="left"/>
      <w:lvlText w:val="(%1)"/>
      <w:numFmt w:val="lowerLetter"/>
      <w:start w:val="2"/>
    </w:lvl>
  </w:abstractNum>
  <w:abstractNum w:abstractNumId="33">
    <w:nsid w:val="579478FE"/>
    <w:multiLevelType w:val="hybridMultilevel"/>
    <w:lvl w:ilvl="0">
      <w:lvlJc w:val="left"/>
      <w:lvlText w:val="%1"/>
      <w:numFmt w:val="decimal"/>
      <w:start w:val="23"/>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lowerRoman"/>
      <w:start w:val="3"/>
    </w:lvl>
  </w:abstractNum>
  <w:abstractNum w:abstractNumId="36">
    <w:nsid w:val="1BA026FA"/>
    <w:multiLevelType w:val="hybridMultilevel"/>
    <w:lvl w:ilvl="0">
      <w:lvlJc w:val="left"/>
      <w:lvlText w:val="%1"/>
      <w:numFmt w:val="decimal"/>
      <w:start w:val="1"/>
    </w:lvl>
    <w:lvl w:ilvl="1">
      <w:lvlJc w:val="left"/>
      <w:lvlText w:val="%2."/>
      <w:numFmt w:val="decimal"/>
      <w:start w:val="1"/>
    </w:lvl>
  </w:abstractNum>
  <w:abstractNum w:abstractNumId="37">
    <w:nsid w:val="79A1DEAA"/>
    <w:multiLevelType w:val="hybridMultilevel"/>
    <w:lvl w:ilvl="0">
      <w:lvlJc w:val="left"/>
      <w:lvlText w:val="(%1)"/>
      <w:numFmt w:val="decimal"/>
      <w:start w:val="2"/>
    </w:lvl>
    <w:lvl w:ilvl="1">
      <w:lvlJc w:val="left"/>
      <w:lvlText w:val="%2."/>
      <w:numFmt w:val="decimal"/>
      <w:start w:val="5"/>
    </w:lvl>
  </w:abstractNum>
  <w:abstractNum w:abstractNumId="38">
    <w:nsid w:val="75C6C33A"/>
    <w:multiLevelType w:val="hybridMultilevel"/>
    <w:lvl w:ilvl="0">
      <w:lvlJc w:val="left"/>
      <w:lvlText w:val="(%1)"/>
      <w:numFmt w:val="lowerLetter"/>
      <w:start w:val="3"/>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5"/>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5"/>
    </w:lvl>
  </w:abstractNum>
  <w:abstractNum w:abstractNumId="48">
    <w:nsid w:val="1CF10FD8"/>
    <w:multiLevelType w:val="hybridMultilevel"/>
    <w:lvl w:ilvl="0">
      <w:lvlJc w:val="left"/>
      <w:lvlText w:val="%1"/>
      <w:numFmt w:val="upperLetter"/>
      <w:start w:val="6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2"/>
    </w:lvl>
    <w:lvl w:ilvl="1">
      <w:lvlJc w:val="left"/>
      <w:lvlText w:val="%2."/>
      <w:numFmt w:val="lowerLetter"/>
      <w:start w:val="1"/>
    </w:lvl>
  </w:abstractNum>
  <w:abstractNum w:abstractNumId="51">
    <w:nsid w:val="47398C89"/>
    <w:multiLevelType w:val="hybridMultilevel"/>
    <w:lvl w:ilvl="0">
      <w:lvlJc w:val="left"/>
      <w:lvlText w:val="%1."/>
      <w:numFmt w:val="lowerLetter"/>
      <w:start w:val="6"/>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lvl w:ilvl="1">
      <w:lvlJc w:val="left"/>
      <w:lvlText w:val="(%2)"/>
      <w:numFmt w:val="decimal"/>
      <w:start w:val="1"/>
    </w:lvl>
  </w:abstractNum>
  <w:abstractNum w:abstractNumId="54">
    <w:nsid w:val="741226BB"/>
    <w:multiLevelType w:val="hybridMultilevel"/>
    <w:lvl w:ilvl="0">
      <w:lvlJc w:val="left"/>
      <w:lvlText w:val="(%1)"/>
      <w:numFmt w:val="lowerLetter"/>
      <w:start w:val="4"/>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2020-10-07T19:52:24Z</dcterms:created>
  <dcterms:modified xsi:type="dcterms:W3CDTF">2020-10-07T19:52:24Z</dcterms:modified>
</cp:coreProperties>
</file>