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27940</wp:posOffset>
            </wp:positionV>
            <wp:extent cx="2940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-220345</wp:posOffset>
            </wp:positionV>
            <wp:extent cx="2940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line="21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17145</wp:posOffset>
            </wp:positionV>
            <wp:extent cx="294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NORTHROP GRUMMAN CORPORATION</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71120</wp:posOffset>
            </wp:positionV>
            <wp:extent cx="2922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b w:val="1"/>
          <w:bCs w:val="1"/>
          <w:color w:val="auto"/>
        </w:rPr>
        <w:t>1-16411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80-0640649</w:t>
      </w:r>
    </w:p>
    <w:p>
      <w:pPr>
        <w:spacing w:after="0" w:line="43" w:lineRule="exact"/>
        <w:rPr>
          <w:sz w:val="24"/>
          <w:szCs w:val="24"/>
          <w:color w:val="auto"/>
        </w:rPr>
      </w:pPr>
    </w:p>
    <w:p>
      <w:pPr>
        <w:sectPr>
          <w:pgSz w:w="11900" w:h="16838" w:orient="portrait"/>
          <w:cols w:equalWidth="0" w:num="3">
            <w:col w:w="4560" w:space="720"/>
            <w:col w:w="3020" w:space="720"/>
            <w:col w:w="2220"/>
          </w:cols>
          <w:pgMar w:left="320" w:top="1029" w:right="339" w:bottom="1440" w:gutter="0" w:footer="0" w:header="0"/>
          <w:type w:val="continuous"/>
        </w:sect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8"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020" w:space="720"/>
            <w:col w:w="3280" w:space="720"/>
            <w:col w:w="2500"/>
          </w:cols>
          <w:pgMar w:left="320" w:top="1029" w:right="339" w:bottom="1440" w:gutter="0" w:footer="0" w:header="0"/>
          <w:type w:val="continuous"/>
        </w:sectPr>
      </w:pPr>
    </w:p>
    <w:p>
      <w:pPr>
        <w:spacing w:after="0" w:line="20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7"/>
          <w:szCs w:val="17"/>
          <w:b w:val="1"/>
          <w:bCs w:val="1"/>
          <w:color w:val="auto"/>
        </w:rPr>
        <w:t>2980 Fairview Park Drive, Falls Church, VA 22042</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(703) 280-2900</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029" w:right="339" w:bottom="1440" w:gutter="0" w:footer="0" w:header="0"/>
          <w:type w:val="continuous"/>
        </w:sectPr>
      </w:pPr>
    </w:p>
    <w:p>
      <w:pPr>
        <w:spacing w:after="0" w:line="291"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30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3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200" w:lineRule="exact"/>
        <w:rPr>
          <w:sz w:val="24"/>
          <w:szCs w:val="24"/>
          <w:color w:val="auto"/>
        </w:rPr>
      </w:pPr>
    </w:p>
    <w:p>
      <w:pPr>
        <w:spacing w:after="0" w:line="36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27, 2022, Northrop Grumman Corporation issued an earnings release announcing its financial results for the quarter ended September 30, 2022, under the heading “Northrop Grumman Reports Third Quarter 2022 Financial Results.” The earnings release is furnished as Exhibit 99.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0" w:hanging="1094"/>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33655</wp:posOffset>
            </wp:positionV>
            <wp:extent cx="4500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2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Exhibit 99 — Earnings Release dated October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27" w:right="77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163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(Signature)</w:t>
      </w:r>
    </w:p>
    <w:p>
      <w:pPr>
        <w:ind w:left="6320"/>
        <w:spacing w:after="0" w:line="203" w:lineRule="auto"/>
        <w:rPr>
          <w:sz w:val="20"/>
          <w:szCs w:val="20"/>
          <w:color w:val="auto"/>
        </w:rPr>
      </w:pPr>
      <w:r>
        <w:rPr>
          <w:rFonts w:ascii="Times New Roman" w:cs="Times New Roman" w:eastAsia="Times New Roman" w:hAnsi="Times New Roman"/>
          <w:sz w:val="18"/>
          <w:szCs w:val="18"/>
          <w:color w:val="auto"/>
        </w:rPr>
        <w:t>Jennifer C. McGarey</w:t>
      </w:r>
    </w:p>
    <w:p>
      <w:pPr>
        <w:ind w:left="6320"/>
        <w:spacing w:after="0"/>
        <w:rPr>
          <w:sz w:val="20"/>
          <w:szCs w:val="20"/>
          <w:color w:val="auto"/>
        </w:rPr>
      </w:pPr>
      <w:r>
        <w:rPr>
          <w:rFonts w:ascii="Times New Roman" w:cs="Times New Roman" w:eastAsia="Times New Roman" w:hAnsi="Times New Roman"/>
          <w:sz w:val="18"/>
          <w:szCs w:val="18"/>
          <w:color w:val="auto"/>
        </w:rPr>
        <w:t>Corporate Vice President and Secretary</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927" w:right="97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99 Furnished — Earnings Release dated October 27, 2022</w:t>
      </w:r>
    </w:p>
    <w:p>
      <w:pPr>
        <w:spacing w:after="0" w:line="2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7"/>
          <w:szCs w:val="17"/>
          <w:color w:val="auto"/>
        </w:rPr>
        <w:t>Exhibit 101 — Northrop Grumman Corporation Current Report on Form 8-K dated October 27, 2022, formatted as inline XBRL (Extensible Business Reporting Language): Cover Page. The instance document does not appear in the Interactive Data File because its XBRL tags are embedded within the</w:t>
      </w:r>
    </w:p>
    <w:p>
      <w:pPr>
        <w:spacing w:after="0"/>
        <w:rPr>
          <w:sz w:val="20"/>
          <w:szCs w:val="20"/>
          <w:color w:val="auto"/>
        </w:rPr>
      </w:pPr>
      <w:r>
        <w:rPr>
          <w:rFonts w:ascii="Times New Roman" w:cs="Times New Roman" w:eastAsia="Times New Roman" w:hAnsi="Times New Roman"/>
          <w:sz w:val="18"/>
          <w:szCs w:val="18"/>
          <w:color w:val="auto"/>
        </w:rPr>
        <w:t>Inline XBRL document.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104 — Cover Page Interactive Data File (formatted as Inline XBRL and contained in Exhibit 101)</w:t>
      </w:r>
    </w:p>
    <w:p>
      <w:pPr>
        <w:sectPr>
          <w:pgSz w:w="11900" w:h="16838" w:orient="portrait"/>
          <w:cols w:equalWidth="0" w:num="1">
            <w:col w:w="10880"/>
          </w:cols>
          <w:pgMar w:left="340" w:top="927" w:right="679" w:bottom="1440" w:gutter="0" w:footer="0" w:header="0"/>
        </w:sectPr>
      </w:pPr>
    </w:p>
    <w:bookmarkStart w:id="4" w:name="page5"/>
    <w:bookmarkEnd w:id="4"/>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80645</wp:posOffset>
            </wp:positionV>
            <wp:extent cx="174879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31"/>
          <w:szCs w:val="31"/>
          <w:b w:val="1"/>
          <w:bCs w:val="1"/>
          <w:color w:val="auto"/>
        </w:rPr>
        <w:t>News Release</w:t>
      </w:r>
    </w:p>
    <w:p>
      <w:pPr>
        <w:spacing w:after="0" w:line="282" w:lineRule="exact"/>
        <w:rPr>
          <w:sz w:val="20"/>
          <w:szCs w:val="20"/>
          <w:color w:val="auto"/>
        </w:rPr>
      </w:pPr>
    </w:p>
    <w:tbl>
      <w:tblPr>
        <w:tblLayout w:type="fixed"/>
        <w:tblInd w:w="6800" w:type="dxa"/>
        <w:tblCellMar>
          <w:top w:w="0" w:type="dxa"/>
          <w:left w:w="0" w:type="dxa"/>
          <w:bottom w:w="0" w:type="dxa"/>
          <w:right w:w="0" w:type="dxa"/>
        </w:tblCellMar>
      </w:tblPr>
      <w:tr>
        <w:trPr>
          <w:trHeight w:val="257"/>
        </w:trPr>
        <w:tc>
          <w:tcPr>
            <w:tcW w:w="1380" w:type="dxa"/>
            <w:vAlign w:val="bottom"/>
          </w:tcPr>
          <w:p>
            <w:pPr>
              <w:spacing w:after="0"/>
              <w:rPr>
                <w:sz w:val="20"/>
                <w:szCs w:val="20"/>
                <w:color w:val="auto"/>
              </w:rPr>
            </w:pPr>
            <w:r>
              <w:rPr>
                <w:rFonts w:ascii="Arial" w:cs="Arial" w:eastAsia="Arial" w:hAnsi="Arial"/>
                <w:sz w:val="20"/>
                <w:szCs w:val="20"/>
                <w:color w:val="auto"/>
              </w:rPr>
              <w:t>Contact:</w:t>
            </w:r>
          </w:p>
        </w:tc>
        <w:tc>
          <w:tcPr>
            <w:tcW w:w="1940" w:type="dxa"/>
            <w:vAlign w:val="bottom"/>
            <w:gridSpan w:val="3"/>
          </w:tcPr>
          <w:p>
            <w:pPr>
              <w:spacing w:after="0"/>
              <w:rPr>
                <w:sz w:val="20"/>
                <w:szCs w:val="20"/>
                <w:color w:val="auto"/>
              </w:rPr>
            </w:pPr>
            <w:r>
              <w:rPr>
                <w:rFonts w:ascii="Arial" w:cs="Arial" w:eastAsia="Arial" w:hAnsi="Arial"/>
                <w:sz w:val="20"/>
                <w:szCs w:val="20"/>
                <w:color w:val="auto"/>
              </w:rPr>
              <w:t>Vic Beck (Media)</w:t>
            </w:r>
          </w:p>
        </w:tc>
      </w:tr>
      <w:tr>
        <w:trPr>
          <w:trHeight w:val="257"/>
        </w:trPr>
        <w:tc>
          <w:tcPr>
            <w:tcW w:w="1380" w:type="dxa"/>
            <w:vAlign w:val="bottom"/>
          </w:tcPr>
          <w:p>
            <w:pPr>
              <w:spacing w:after="0"/>
              <w:rPr>
                <w:sz w:val="22"/>
                <w:szCs w:val="22"/>
                <w:color w:val="auto"/>
              </w:rPr>
            </w:pPr>
          </w:p>
        </w:tc>
        <w:tc>
          <w:tcPr>
            <w:tcW w:w="1940" w:type="dxa"/>
            <w:vAlign w:val="bottom"/>
            <w:gridSpan w:val="3"/>
          </w:tcPr>
          <w:p>
            <w:pPr>
              <w:spacing w:after="0"/>
              <w:rPr>
                <w:sz w:val="20"/>
                <w:szCs w:val="20"/>
                <w:color w:val="auto"/>
              </w:rPr>
            </w:pPr>
            <w:r>
              <w:rPr>
                <w:rFonts w:ascii="Arial" w:cs="Arial" w:eastAsia="Arial" w:hAnsi="Arial"/>
                <w:sz w:val="20"/>
                <w:szCs w:val="20"/>
                <w:color w:val="auto"/>
              </w:rPr>
              <w:t>703-280-4456 (office)</w:t>
            </w:r>
          </w:p>
        </w:tc>
      </w:tr>
      <w:tr>
        <w:trPr>
          <w:trHeight w:val="211"/>
        </w:trPr>
        <w:tc>
          <w:tcPr>
            <w:tcW w:w="1380" w:type="dxa"/>
            <w:vAlign w:val="bottom"/>
          </w:tcPr>
          <w:p>
            <w:pPr>
              <w:spacing w:after="0"/>
              <w:rPr>
                <w:sz w:val="18"/>
                <w:szCs w:val="18"/>
                <w:color w:val="auto"/>
              </w:rPr>
            </w:pPr>
          </w:p>
        </w:tc>
        <w:tc>
          <w:tcPr>
            <w:tcW w:w="1940" w:type="dxa"/>
            <w:vAlign w:val="bottom"/>
            <w:gridSpan w:val="3"/>
          </w:tcPr>
          <w:p>
            <w:pPr>
              <w:spacing w:after="0" w:line="210" w:lineRule="exact"/>
              <w:rPr>
                <w:sz w:val="20"/>
                <w:szCs w:val="20"/>
                <w:color w:val="auto"/>
              </w:rPr>
            </w:pPr>
            <w:r>
              <w:rPr>
                <w:rFonts w:ascii="Arial" w:cs="Arial" w:eastAsia="Arial" w:hAnsi="Arial"/>
                <w:sz w:val="20"/>
                <w:szCs w:val="20"/>
                <w:color w:val="auto"/>
              </w:rPr>
              <w:t>vic.beck@ngc.com</w:t>
            </w:r>
          </w:p>
        </w:tc>
      </w:tr>
      <w:tr>
        <w:trPr>
          <w:trHeight w:val="20"/>
        </w:trPr>
        <w:tc>
          <w:tcPr>
            <w:tcW w:w="1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9"/>
        </w:trPr>
        <w:tc>
          <w:tcPr>
            <w:tcW w:w="138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Arial" w:cs="Arial" w:eastAsia="Arial" w:hAnsi="Arial"/>
                <w:sz w:val="20"/>
                <w:szCs w:val="20"/>
                <w:color w:val="auto"/>
                <w:w w:val="97"/>
              </w:rPr>
              <w:t>Todd Ernst (Investors)</w:t>
            </w:r>
          </w:p>
        </w:tc>
      </w:tr>
      <w:tr>
        <w:trPr>
          <w:trHeight w:val="257"/>
        </w:trPr>
        <w:tc>
          <w:tcPr>
            <w:tcW w:w="1380" w:type="dxa"/>
            <w:vAlign w:val="bottom"/>
          </w:tcPr>
          <w:p>
            <w:pPr>
              <w:spacing w:after="0"/>
              <w:rPr>
                <w:sz w:val="22"/>
                <w:szCs w:val="22"/>
                <w:color w:val="auto"/>
              </w:rPr>
            </w:pPr>
          </w:p>
        </w:tc>
        <w:tc>
          <w:tcPr>
            <w:tcW w:w="1940" w:type="dxa"/>
            <w:vAlign w:val="bottom"/>
            <w:gridSpan w:val="3"/>
          </w:tcPr>
          <w:p>
            <w:pPr>
              <w:spacing w:after="0"/>
              <w:rPr>
                <w:sz w:val="20"/>
                <w:szCs w:val="20"/>
                <w:color w:val="auto"/>
              </w:rPr>
            </w:pPr>
            <w:r>
              <w:rPr>
                <w:rFonts w:ascii="Arial" w:cs="Arial" w:eastAsia="Arial" w:hAnsi="Arial"/>
                <w:sz w:val="20"/>
                <w:szCs w:val="20"/>
                <w:color w:val="auto"/>
              </w:rPr>
              <w:t>703-280-4535 (office)</w:t>
            </w:r>
          </w:p>
        </w:tc>
      </w:tr>
      <w:tr>
        <w:trPr>
          <w:trHeight w:val="211"/>
        </w:trPr>
        <w:tc>
          <w:tcPr>
            <w:tcW w:w="1380" w:type="dxa"/>
            <w:vAlign w:val="bottom"/>
          </w:tcPr>
          <w:p>
            <w:pPr>
              <w:spacing w:after="0"/>
              <w:rPr>
                <w:sz w:val="18"/>
                <w:szCs w:val="18"/>
                <w:color w:val="auto"/>
              </w:rPr>
            </w:pPr>
          </w:p>
        </w:tc>
        <w:tc>
          <w:tcPr>
            <w:tcW w:w="1940" w:type="dxa"/>
            <w:vAlign w:val="bottom"/>
            <w:gridSpan w:val="3"/>
          </w:tcPr>
          <w:p>
            <w:pPr>
              <w:spacing w:after="0" w:line="210" w:lineRule="exact"/>
              <w:rPr>
                <w:sz w:val="20"/>
                <w:szCs w:val="20"/>
                <w:color w:val="auto"/>
              </w:rPr>
            </w:pPr>
            <w:r>
              <w:rPr>
                <w:rFonts w:ascii="Arial" w:cs="Arial" w:eastAsia="Arial" w:hAnsi="Arial"/>
                <w:sz w:val="20"/>
                <w:szCs w:val="20"/>
                <w:color w:val="auto"/>
              </w:rPr>
              <w:t>todd.ernst@ngc.com</w:t>
            </w:r>
          </w:p>
        </w:tc>
      </w:tr>
      <w:tr>
        <w:trPr>
          <w:trHeight w:val="20"/>
        </w:trPr>
        <w:tc>
          <w:tcPr>
            <w:tcW w:w="1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Northrop Grumman Reports Third Quarter 2022 Financial Results</w:t>
      </w:r>
    </w:p>
    <w:p>
      <w:pPr>
        <w:spacing w:after="0" w:line="11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Awards of $8.7 Billion, Book to Bill of 0.97, YTD Book to Bill of 1.14</w:t>
      </w:r>
    </w:p>
    <w:p>
      <w:pPr>
        <w:spacing w:after="0" w:line="23"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Sales Increased 3 percent to $9.0 Billion</w:t>
      </w:r>
    </w:p>
    <w:p>
      <w:pPr>
        <w:spacing w:after="0" w:line="3"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Diluted EPS of $5.89 including $0.18 unfavorable impact from marketable securities</w:t>
      </w:r>
    </w:p>
    <w:p>
      <w:pPr>
        <w:spacing w:after="0" w:line="3"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cash provided by operating activities of $1.3 billion</w:t>
      </w:r>
    </w:p>
    <w:p>
      <w:pPr>
        <w:spacing w:after="0" w:line="3"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2022 Company-Level Guidance Unchanged for Sales, EPS, and Transaction-adjusted FCF</w:t>
      </w:r>
      <w:r>
        <w:rPr>
          <w:rFonts w:ascii="Arial" w:cs="Arial" w:eastAsia="Arial" w:hAnsi="Arial"/>
          <w:sz w:val="28"/>
          <w:szCs w:val="28"/>
          <w:color w:val="auto"/>
          <w:vertAlign w:val="superscript"/>
        </w:rPr>
        <w:t>1</w:t>
      </w:r>
    </w:p>
    <w:p>
      <w:pPr>
        <w:spacing w:after="0" w:line="347" w:lineRule="exact"/>
        <w:rPr>
          <w:sz w:val="20"/>
          <w:szCs w:val="20"/>
          <w:color w:val="auto"/>
        </w:rPr>
      </w:pPr>
    </w:p>
    <w:p>
      <w:pPr>
        <w:ind w:right="20" w:firstLine="324"/>
        <w:spacing w:after="0" w:line="261" w:lineRule="auto"/>
        <w:rPr>
          <w:sz w:val="20"/>
          <w:szCs w:val="20"/>
          <w:color w:val="auto"/>
        </w:rPr>
      </w:pPr>
      <w:r>
        <w:rPr>
          <w:rFonts w:ascii="Arial" w:cs="Arial" w:eastAsia="Arial" w:hAnsi="Arial"/>
          <w:sz w:val="21"/>
          <w:szCs w:val="21"/>
          <w:color w:val="auto"/>
        </w:rPr>
        <w:t>FALLS CHURCH, Va. – October 27, 2022 – Northrop Grumman Corporation (NYSE: NOC) reported third quarter 2022 sales increased 3 percent to $9.0 billion, as compared with $8.7 billion in the third quarter of 2021. Third quarter 2022 sales reflect strong demand and improving trends in labor availability, partially offset by supply chain delays. Third quarter 2022 net earnings totaled $915 million, or $5.89 per diluted share, as compared with $1.1 billion, or</w:t>
      </w:r>
    </w:p>
    <w:p>
      <w:pPr>
        <w:spacing w:after="0" w:line="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$6.63 per diluted share, in the third quarter of 2021. Third quarter 2022 net earnings reflect higher sales as well as a $28 million, or $0.18 per diluted share, reduction for negative returns on marketable securities related to our non-qualified benefit plans and other non-operating assets.</w:t>
      </w:r>
    </w:p>
    <w:p>
      <w:pPr>
        <w:spacing w:after="0" w:line="57" w:lineRule="exact"/>
        <w:rPr>
          <w:sz w:val="20"/>
          <w:szCs w:val="20"/>
          <w:color w:val="auto"/>
        </w:rPr>
      </w:pPr>
    </w:p>
    <w:p>
      <w:pPr>
        <w:ind w:right="200" w:firstLine="324"/>
        <w:spacing w:after="0" w:line="233" w:lineRule="auto"/>
        <w:rPr>
          <w:sz w:val="20"/>
          <w:szCs w:val="20"/>
          <w:color w:val="auto"/>
        </w:rPr>
      </w:pPr>
      <w:r>
        <w:rPr>
          <w:rFonts w:ascii="Arial" w:cs="Arial" w:eastAsia="Arial" w:hAnsi="Arial"/>
          <w:sz w:val="22"/>
          <w:szCs w:val="22"/>
          <w:color w:val="auto"/>
        </w:rPr>
        <w:t xml:space="preserve">The company expects 2022 sales and diluted earnings per share near the low end of our guidance ranges of approximately $36.2 </w:t>
      </w:r>
      <w:r>
        <w:rPr>
          <w:rFonts w:ascii="Arial" w:cs="Arial" w:eastAsia="Arial" w:hAnsi="Arial"/>
          <w:sz w:val="17"/>
          <w:szCs w:val="17"/>
          <w:color w:val="auto"/>
        </w:rPr>
        <w:t>—</w:t>
      </w:r>
      <w:r>
        <w:rPr>
          <w:rFonts w:ascii="Arial" w:cs="Arial" w:eastAsia="Arial" w:hAnsi="Arial"/>
          <w:sz w:val="22"/>
          <w:szCs w:val="22"/>
          <w:color w:val="auto"/>
        </w:rPr>
        <w:t xml:space="preserve"> $36.6 billion and $24.50 </w:t>
      </w:r>
      <w:r>
        <w:rPr>
          <w:rFonts w:ascii="Arial" w:cs="Arial" w:eastAsia="Arial" w:hAnsi="Arial"/>
          <w:sz w:val="17"/>
          <w:szCs w:val="17"/>
          <w:color w:val="auto"/>
        </w:rPr>
        <w:t>—</w:t>
      </w:r>
      <w:r>
        <w:rPr>
          <w:rFonts w:ascii="Arial" w:cs="Arial" w:eastAsia="Arial" w:hAnsi="Arial"/>
          <w:sz w:val="22"/>
          <w:szCs w:val="22"/>
          <w:color w:val="auto"/>
        </w:rPr>
        <w:t xml:space="preserve"> $25.10, respectively. We continue to expect transaction-adjusted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$1.5 </w:t>
      </w:r>
      <w:r>
        <w:rPr>
          <w:rFonts w:ascii="Arial" w:cs="Arial" w:eastAsia="Arial" w:hAnsi="Arial"/>
          <w:sz w:val="17"/>
          <w:szCs w:val="17"/>
          <w:color w:val="auto"/>
        </w:rPr>
        <w:t>—</w:t>
      </w:r>
      <w:r>
        <w:rPr>
          <w:rFonts w:ascii="Arial" w:cs="Arial" w:eastAsia="Arial" w:hAnsi="Arial"/>
          <w:sz w:val="22"/>
          <w:szCs w:val="22"/>
          <w:color w:val="auto"/>
        </w:rPr>
        <w:t xml:space="preserve"> $1.8 billion based on current tax law, which requires the amortization of current year research and development expenditures over five years.</w:t>
      </w:r>
    </w:p>
    <w:p>
      <w:pPr>
        <w:spacing w:after="0" w:line="71" w:lineRule="exact"/>
        <w:rPr>
          <w:sz w:val="20"/>
          <w:szCs w:val="20"/>
          <w:color w:val="auto"/>
        </w:rPr>
      </w:pPr>
    </w:p>
    <w:p>
      <w:pPr>
        <w:ind w:right="20" w:firstLine="324"/>
        <w:spacing w:after="0" w:line="257" w:lineRule="auto"/>
        <w:rPr>
          <w:sz w:val="20"/>
          <w:szCs w:val="20"/>
          <w:color w:val="auto"/>
        </w:rPr>
      </w:pPr>
      <w:r>
        <w:rPr>
          <w:rFonts w:ascii="Arial" w:cs="Arial" w:eastAsia="Arial" w:hAnsi="Arial"/>
          <w:sz w:val="22"/>
          <w:szCs w:val="22"/>
          <w:color w:val="auto"/>
        </w:rPr>
        <w:t>“Our solid operating performance in the third quarter reflects extensive demand for our capabilities, positive trends in labor availability, and strong program execution,” said Kathy Warden, chair, chief executive officer and president. “We remain focused on performing for our customers and are confident in our ability to continue to grow our business and deliver value to our shareholders.”</w:t>
      </w:r>
    </w:p>
    <w:p>
      <w:pPr>
        <w:spacing w:after="0" w:line="200" w:lineRule="exact"/>
        <w:rPr>
          <w:sz w:val="20"/>
          <w:szCs w:val="20"/>
          <w:color w:val="auto"/>
        </w:rPr>
      </w:pPr>
    </w:p>
    <w:p>
      <w:pPr>
        <w:spacing w:after="0" w:line="352" w:lineRule="exact"/>
        <w:rPr>
          <w:sz w:val="20"/>
          <w:szCs w:val="20"/>
          <w:color w:val="auto"/>
        </w:rPr>
      </w:pPr>
    </w:p>
    <w:p>
      <w:pPr>
        <w:ind w:left="120" w:hanging="94"/>
        <w:spacing w:after="0"/>
        <w:tabs>
          <w:tab w:leader="none" w:pos="12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1440" w:right="359" w:bottom="1440" w:gutter="0" w:footer="0" w:header="0"/>
        </w:sectPr>
      </w:pPr>
    </w:p>
    <w:bookmarkStart w:id="5" w:name="page6"/>
    <w:bookmarkEnd w:id="5"/>
    <w:tbl>
      <w:tblPr>
        <w:tblLayout w:type="fixed"/>
        <w:tblInd w:w="20" w:type="dxa"/>
        <w:tblCellMar>
          <w:top w:w="0" w:type="dxa"/>
          <w:left w:w="0" w:type="dxa"/>
          <w:bottom w:w="0" w:type="dxa"/>
          <w:right w:w="0" w:type="dxa"/>
        </w:tblCellMar>
      </w:tblPr>
      <w:tr>
        <w:trPr>
          <w:trHeight w:val="253"/>
        </w:trPr>
        <w:tc>
          <w:tcPr>
            <w:tcW w:w="61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Northrop Grumman Reports Third Quarter 2022 Financial Results</w:t>
            </w:r>
          </w:p>
        </w:tc>
        <w:tc>
          <w:tcPr>
            <w:tcW w:w="5060" w:type="dxa"/>
            <w:vAlign w:val="bottom"/>
          </w:tcPr>
          <w:p>
            <w:pPr>
              <w:jc w:val="right"/>
              <w:spacing w:after="0"/>
              <w:rPr>
                <w:sz w:val="20"/>
                <w:szCs w:val="20"/>
                <w:color w:val="auto"/>
              </w:rPr>
            </w:pPr>
            <w:r>
              <w:rPr>
                <w:rFonts w:ascii="Arial" w:cs="Arial" w:eastAsia="Arial" w:hAnsi="Arial"/>
                <w:sz w:val="22"/>
                <w:szCs w:val="22"/>
                <w:color w:val="auto"/>
              </w:rPr>
              <w:t>2</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Transaction-adjusted Net Earnings and Transaction-adjusted EPS</w:t>
      </w:r>
    </w:p>
    <w:p>
      <w:pPr>
        <w:spacing w:after="0" w:line="100" w:lineRule="exact"/>
        <w:rPr>
          <w:sz w:val="20"/>
          <w:szCs w:val="20"/>
          <w:color w:val="auto"/>
        </w:rPr>
      </w:pPr>
    </w:p>
    <w:p>
      <w:pPr>
        <w:ind w:firstLine="324"/>
        <w:spacing w:after="0" w:line="250" w:lineRule="auto"/>
        <w:rPr>
          <w:sz w:val="20"/>
          <w:szCs w:val="20"/>
          <w:color w:val="auto"/>
        </w:rPr>
      </w:pPr>
      <w:r>
        <w:rPr>
          <w:rFonts w:ascii="Arial" w:cs="Arial" w:eastAsia="Arial" w:hAnsi="Arial"/>
          <w:sz w:val="21"/>
          <w:szCs w:val="21"/>
          <w:color w:val="auto"/>
        </w:rPr>
        <w:t>Year to date 2021 net earnings benefited from a gain on the sale of the company's IT services business. Excluding the gain on sale of the business, associated federal and state income tax expenses, transaction costs, as well as the make-whole premium for early debt redemption from year to date 2021 net earnings, year to date 2022 transaction-adjusted net earnings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decreased 11 percent and transaction-adjusted EPS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decreased 8 percent. Net earnings during 2022 and the third quarter of 2021 were not impacted by the sale of the company's IT services business and do not include any transaction-related adjustments. Transaction-adjusted net earnings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transaction-adjusted EPS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are measures the company uses to compare performance to prior periods and for EPS guidance.</w:t>
      </w:r>
    </w:p>
    <w:p>
      <w:pPr>
        <w:spacing w:after="0" w:line="5" w:lineRule="exact"/>
        <w:rPr>
          <w:sz w:val="20"/>
          <w:szCs w:val="20"/>
          <w:color w:val="auto"/>
        </w:rPr>
      </w:pPr>
    </w:p>
    <w:p>
      <w:pPr>
        <w:ind w:right="320" w:firstLine="324"/>
        <w:spacing w:after="0" w:line="208" w:lineRule="auto"/>
        <w:rPr>
          <w:sz w:val="20"/>
          <w:szCs w:val="20"/>
          <w:color w:val="auto"/>
        </w:rPr>
      </w:pPr>
      <w:r>
        <w:rPr>
          <w:rFonts w:ascii="Arial" w:cs="Arial" w:eastAsia="Arial" w:hAnsi="Arial"/>
          <w:sz w:val="22"/>
          <w:szCs w:val="22"/>
          <w:color w:val="auto"/>
        </w:rPr>
        <w:t>The table below reconciles net earnings and diluted EPS to transaction-adjusted net earnings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and transaction-adjusted EPS</w:t>
      </w:r>
      <w:r>
        <w:rPr>
          <w:rFonts w:ascii="Arial" w:cs="Arial" w:eastAsia="Arial" w:hAnsi="Arial"/>
          <w:sz w:val="28"/>
          <w:szCs w:val="28"/>
          <w:color w:val="auto"/>
          <w:vertAlign w:val="superscript"/>
        </w:rPr>
        <w:t>1</w:t>
      </w:r>
      <w:r>
        <w:rPr>
          <w:rFonts w:ascii="Arial" w:cs="Arial" w:eastAsia="Arial" w:hAnsi="Arial"/>
          <w:sz w:val="22"/>
          <w:szCs w:val="22"/>
          <w:color w:val="auto"/>
        </w:rPr>
        <w:t>:</w:t>
      </w:r>
    </w:p>
    <w:tbl>
      <w:tblPr>
        <w:tblLayout w:type="fixed"/>
        <w:tblInd w:w="0" w:type="dxa"/>
        <w:tblCellMar>
          <w:top w:w="0" w:type="dxa"/>
          <w:left w:w="0" w:type="dxa"/>
          <w:bottom w:w="0" w:type="dxa"/>
          <w:right w:w="0" w:type="dxa"/>
        </w:tblCellMar>
      </w:tblPr>
      <w:tr>
        <w:trPr>
          <w:trHeight w:val="164"/>
        </w:trPr>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4"/>
          </w:tcPr>
          <w:p>
            <w:pPr>
              <w:jc w:val="center"/>
              <w:ind w:right="300"/>
              <w:spacing w:after="0" w:line="164" w:lineRule="exact"/>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14"/>
                <w:szCs w:val="14"/>
                <w:color w:val="auto"/>
              </w:rPr>
            </w:pPr>
          </w:p>
        </w:tc>
        <w:tc>
          <w:tcPr>
            <w:tcW w:w="2020" w:type="dxa"/>
            <w:vAlign w:val="bottom"/>
            <w:gridSpan w:val="3"/>
          </w:tcPr>
          <w:p>
            <w:pPr>
              <w:jc w:val="right"/>
              <w:ind w:right="250"/>
              <w:spacing w:after="0" w:line="164" w:lineRule="exact"/>
              <w:rPr>
                <w:sz w:val="20"/>
                <w:szCs w:val="20"/>
                <w:color w:val="auto"/>
              </w:rPr>
            </w:pPr>
            <w:r>
              <w:rPr>
                <w:rFonts w:ascii="Arial" w:cs="Arial" w:eastAsia="Arial" w:hAnsi="Arial"/>
                <w:sz w:val="18"/>
                <w:szCs w:val="18"/>
                <w:color w:val="auto"/>
              </w:rPr>
              <w:t>Nine Months Ended</w:t>
            </w:r>
          </w:p>
        </w:tc>
      </w:tr>
      <w:tr>
        <w:trPr>
          <w:trHeight w:val="239"/>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4"/>
          </w:tcPr>
          <w:p>
            <w:pPr>
              <w:jc w:val="center"/>
              <w:ind w:right="300"/>
              <w:spacing w:after="0"/>
              <w:rPr>
                <w:sz w:val="20"/>
                <w:szCs w:val="20"/>
                <w:color w:val="auto"/>
              </w:rPr>
            </w:pPr>
            <w:r>
              <w:rPr>
                <w:rFonts w:ascii="Arial" w:cs="Arial" w:eastAsia="Arial" w:hAnsi="Arial"/>
                <w:sz w:val="18"/>
                <w:szCs w:val="18"/>
                <w:color w:val="auto"/>
                <w:w w:val="99"/>
              </w:rPr>
              <w:t>September 30</w:t>
            </w:r>
          </w:p>
        </w:tc>
        <w:tc>
          <w:tcPr>
            <w:tcW w:w="220" w:type="dxa"/>
            <w:vAlign w:val="bottom"/>
          </w:tcPr>
          <w:p>
            <w:pPr>
              <w:spacing w:after="0"/>
              <w:rPr>
                <w:sz w:val="20"/>
                <w:szCs w:val="20"/>
                <w:color w:val="auto"/>
              </w:rPr>
            </w:pPr>
          </w:p>
        </w:tc>
        <w:tc>
          <w:tcPr>
            <w:tcW w:w="2020" w:type="dxa"/>
            <w:vAlign w:val="bottom"/>
            <w:gridSpan w:val="3"/>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2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Transaction-adjusted net earnings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915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2,816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4,295</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30"/>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State tax impact</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Make-whole premium</w:t>
            </w:r>
          </w:p>
        </w:tc>
        <w:tc>
          <w:tcPr>
            <w:tcW w:w="2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66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Federal tax impact of items above</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3"/>
        </w:trPr>
        <w:tc>
          <w:tcPr>
            <w:tcW w:w="6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Transaction adjustment, net of tax</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r>
      <w:tr>
        <w:trPr>
          <w:trHeight w:val="230"/>
        </w:trPr>
        <w:tc>
          <w:tcPr>
            <w:tcW w:w="666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Transaction-adjusted net earnings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2,816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r>
      <w:tr>
        <w:trPr>
          <w:trHeight w:val="243"/>
        </w:trPr>
        <w:tc>
          <w:tcPr>
            <w:tcW w:w="6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Transaction-adjusted per share data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5.89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18.06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26.55</w:t>
            </w:r>
          </w:p>
        </w:tc>
      </w:tr>
      <w:tr>
        <w:trPr>
          <w:trHeight w:val="229"/>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 per share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30"/>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State tax impact per share</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per share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6660" w:type="dxa"/>
            <w:vAlign w:val="bottom"/>
          </w:tcPr>
          <w:p>
            <w:pPr>
              <w:ind w:left="140"/>
              <w:spacing w:after="0"/>
              <w:rPr>
                <w:sz w:val="20"/>
                <w:szCs w:val="20"/>
                <w:color w:val="auto"/>
              </w:rPr>
            </w:pPr>
            <w:r>
              <w:rPr>
                <w:rFonts w:ascii="Arial" w:cs="Arial" w:eastAsia="Arial" w:hAnsi="Arial"/>
                <w:sz w:val="18"/>
                <w:szCs w:val="18"/>
                <w:color w:val="auto"/>
              </w:rPr>
              <w:t>Make-whole premium per share</w:t>
            </w:r>
          </w:p>
        </w:tc>
        <w:tc>
          <w:tcPr>
            <w:tcW w:w="2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29"/>
        </w:trPr>
        <w:tc>
          <w:tcPr>
            <w:tcW w:w="666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Federal tax impact of line items above per share</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6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Transaction adjustment per share, net of tax</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6660" w:type="dxa"/>
            <w:vAlign w:val="bottom"/>
            <w:tcBorders>
              <w:bottom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Transaction-adjusted EPS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5.89</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r>
    </w:tbl>
    <w:p>
      <w:pPr>
        <w:spacing w:after="0" w:line="129" w:lineRule="exact"/>
        <w:rPr>
          <w:sz w:val="20"/>
          <w:szCs w:val="20"/>
          <w:color w:val="auto"/>
        </w:rPr>
      </w:pPr>
    </w:p>
    <w:p>
      <w:pPr>
        <w:ind w:left="220" w:hanging="141"/>
        <w:spacing w:after="0"/>
        <w:tabs>
          <w:tab w:leader="none" w:pos="22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Non-GAAP measure — see definitions at the end of this earnings release.</w:t>
      </w:r>
    </w:p>
    <w:p>
      <w:pPr>
        <w:ind w:left="240" w:hanging="161"/>
        <w:spacing w:after="0" w:line="180" w:lineRule="auto"/>
        <w:tabs>
          <w:tab w:leader="none" w:pos="24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state tax impact includes $62 million of incremental tax expense related to $1.2 billion of nondeductible goodwill in the divested business.</w:t>
      </w:r>
    </w:p>
    <w:p>
      <w:pPr>
        <w:spacing w:after="0" w:line="10" w:lineRule="exact"/>
        <w:rPr>
          <w:sz w:val="20"/>
          <w:szCs w:val="20"/>
          <w:color w:val="auto"/>
        </w:rPr>
      </w:pPr>
    </w:p>
    <w:p>
      <w:pPr>
        <w:ind w:left="220" w:right="720" w:hanging="139"/>
        <w:spacing w:after="0" w:line="201" w:lineRule="auto"/>
        <w:tabs>
          <w:tab w:leader="none" w:pos="200" w:val="left"/>
        </w:tabs>
        <w:rPr>
          <w:sz w:val="20"/>
          <w:szCs w:val="20"/>
          <w:color w:val="auto"/>
        </w:rPr>
      </w:pPr>
      <w:r>
        <w:rPr>
          <w:rFonts w:ascii="Arial" w:cs="Arial" w:eastAsia="Arial" w:hAnsi="Arial"/>
          <w:sz w:val="25"/>
          <w:szCs w:val="25"/>
          <w:color w:val="auto"/>
          <w:vertAlign w:val="superscript"/>
        </w:rPr>
        <w:t>3</w:t>
      </w:r>
      <w:r>
        <w:rPr>
          <w:sz w:val="20"/>
          <w:szCs w:val="20"/>
          <w:color w:val="auto"/>
        </w:rPr>
        <w:tab/>
      </w:r>
      <w:r>
        <w:rPr>
          <w:rFonts w:ascii="Arial" w:cs="Arial" w:eastAsia="Arial" w:hAnsi="Arial"/>
          <w:sz w:val="16"/>
          <w:szCs w:val="16"/>
          <w:color w:val="auto"/>
        </w:rPr>
        <w:t>The federal tax impact was calculated by applying the 21 percent federal statutory rate to the adjustment items and also includes $250 million of incremental tax expense related to $1.2 billion of nondeductible goodwill in the divested business.</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Non-GAAP measure - see definitions at the end of this earnings release.</w:t>
      </w:r>
    </w:p>
    <w:p>
      <w:pPr>
        <w:ind w:left="4520"/>
        <w:spacing w:after="0" w:line="219" w:lineRule="auto"/>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360" w:type="dxa"/>
            <w:vAlign w:val="bottom"/>
            <w:gridSpan w:val="7"/>
          </w:tcPr>
          <w:p>
            <w:pPr>
              <w:spacing w:after="0"/>
              <w:rPr>
                <w:sz w:val="20"/>
                <w:szCs w:val="20"/>
                <w:color w:val="auto"/>
              </w:rPr>
            </w:pPr>
            <w:r>
              <w:rPr>
                <w:rFonts w:ascii="Arial" w:cs="Arial" w:eastAsia="Arial" w:hAnsi="Arial"/>
                <w:sz w:val="20"/>
                <w:szCs w:val="20"/>
                <w:color w:val="auto"/>
              </w:rPr>
              <w:t>Northrop Grumman Reports Third Quarter 2022 Financial Results</w:t>
            </w: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0"/>
        </w:trPr>
        <w:tc>
          <w:tcPr>
            <w:tcW w:w="20" w:type="dxa"/>
            <w:vAlign w:val="bottom"/>
          </w:tcPr>
          <w:p>
            <w:pPr>
              <w:spacing w:after="0" w:line="20" w:lineRule="exact"/>
              <w:rPr>
                <w:sz w:val="1"/>
                <w:szCs w:val="1"/>
                <w:color w:val="auto"/>
              </w:rPr>
            </w:pPr>
          </w:p>
        </w:tc>
        <w:tc>
          <w:tcPr>
            <w:tcW w:w="498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14"/>
        </w:trPr>
        <w:tc>
          <w:tcPr>
            <w:tcW w:w="5180" w:type="dxa"/>
            <w:vAlign w:val="bottom"/>
            <w:gridSpan w:val="5"/>
          </w:tcPr>
          <w:p>
            <w:pPr>
              <w:spacing w:after="0"/>
              <w:rPr>
                <w:sz w:val="20"/>
                <w:szCs w:val="20"/>
                <w:color w:val="auto"/>
              </w:rPr>
            </w:pPr>
            <w:r>
              <w:rPr>
                <w:rFonts w:ascii="Arial" w:cs="Arial" w:eastAsia="Arial" w:hAnsi="Arial"/>
                <w:sz w:val="22"/>
                <w:szCs w:val="22"/>
                <w:b w:val="1"/>
                <w:bCs w:val="1"/>
                <w:color w:val="auto"/>
              </w:rPr>
              <w:t>Consolidated Operating Results and Cash Flows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5"/>
          </w:tcPr>
          <w:p>
            <w:pPr>
              <w:jc w:val="right"/>
              <w:ind w:right="360"/>
              <w:spacing w:after="0"/>
              <w:rPr>
                <w:sz w:val="20"/>
                <w:szCs w:val="20"/>
                <w:color w:val="auto"/>
              </w:rPr>
            </w:pPr>
            <w:r>
              <w:rPr>
                <w:rFonts w:ascii="Arial" w:cs="Arial" w:eastAsia="Arial" w:hAnsi="Arial"/>
                <w:sz w:val="18"/>
                <w:szCs w:val="18"/>
                <w:color w:val="auto"/>
              </w:rPr>
              <w:t>Three Months Ended</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3"/>
          </w:tcPr>
          <w:p>
            <w:pPr>
              <w:jc w:val="right"/>
              <w:ind w:right="331"/>
              <w:spacing w:after="0"/>
              <w:rPr>
                <w:sz w:val="20"/>
                <w:szCs w:val="20"/>
                <w:color w:val="auto"/>
              </w:rPr>
            </w:pPr>
            <w:r>
              <w:rPr>
                <w:rFonts w:ascii="Arial" w:cs="Arial" w:eastAsia="Arial" w:hAnsi="Arial"/>
                <w:sz w:val="18"/>
                <w:szCs w:val="18"/>
                <w:color w:val="auto"/>
              </w:rPr>
              <w:t>Nine Months Ended</w:t>
            </w:r>
          </w:p>
        </w:tc>
        <w:tc>
          <w:tcPr>
            <w:tcW w:w="124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color w:val="auto"/>
              </w:rPr>
              <w:t>September 30</w:t>
            </w:r>
          </w:p>
        </w:tc>
        <w:tc>
          <w:tcPr>
            <w:tcW w:w="1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8"/>
                <w:szCs w:val="18"/>
                <w:color w:val="auto"/>
              </w:rPr>
              <w:t>September 30</w:t>
            </w:r>
          </w:p>
        </w:tc>
        <w:tc>
          <w:tcPr>
            <w:tcW w:w="1240" w:type="dxa"/>
            <w:vAlign w:val="bottom"/>
          </w:tcPr>
          <w:p>
            <w:pPr>
              <w:spacing w:after="0"/>
              <w:rPr>
                <w:sz w:val="20"/>
                <w:szCs w:val="20"/>
                <w:color w:val="auto"/>
              </w:rPr>
            </w:pPr>
          </w:p>
        </w:tc>
      </w:tr>
      <w:tr>
        <w:trPr>
          <w:trHeight w:val="227"/>
        </w:trPr>
        <w:tc>
          <w:tcPr>
            <w:tcW w:w="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Aeronautics Systems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2,537</w:t>
            </w:r>
          </w:p>
        </w:tc>
        <w:tc>
          <w:tcPr>
            <w:tcW w:w="180" w:type="dxa"/>
            <w:vAlign w:val="bottom"/>
          </w:tcPr>
          <w:p>
            <w:pPr>
              <w:spacing w:after="0"/>
              <w:rPr>
                <w:sz w:val="19"/>
                <w:szCs w:val="19"/>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2,725</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71"/>
              <w:spacing w:after="0"/>
              <w:rPr>
                <w:sz w:val="20"/>
                <w:szCs w:val="20"/>
                <w:color w:val="auto"/>
              </w:rPr>
            </w:pPr>
            <w:r>
              <w:rPr>
                <w:rFonts w:ascii="Arial" w:cs="Arial" w:eastAsia="Arial" w:hAnsi="Arial"/>
                <w:sz w:val="18"/>
                <w:szCs w:val="18"/>
                <w:b w:val="1"/>
                <w:bCs w:val="1"/>
                <w:color w:val="auto"/>
              </w:rPr>
              <w:t>7,774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8,628</w:t>
            </w:r>
          </w:p>
        </w:tc>
        <w:tc>
          <w:tcPr>
            <w:tcW w:w="1240" w:type="dxa"/>
            <w:vAlign w:val="bottom"/>
          </w:tcPr>
          <w:p>
            <w:pPr>
              <w:jc w:val="center"/>
              <w:ind w:left="29"/>
              <w:spacing w:after="0"/>
              <w:rPr>
                <w:sz w:val="20"/>
                <w:szCs w:val="20"/>
                <w:color w:val="auto"/>
              </w:rPr>
            </w:pPr>
            <w:r>
              <w:rPr>
                <w:rFonts w:ascii="Arial" w:cs="Arial" w:eastAsia="Arial" w:hAnsi="Arial"/>
                <w:sz w:val="18"/>
                <w:szCs w:val="18"/>
                <w:b w:val="1"/>
                <w:bCs w:val="1"/>
                <w:color w:val="auto"/>
                <w:w w:val="99"/>
              </w:rPr>
              <w:t>(10%)</w:t>
            </w:r>
          </w:p>
        </w:tc>
      </w:tr>
      <w:tr>
        <w:trPr>
          <w:trHeight w:val="229"/>
        </w:trPr>
        <w:tc>
          <w:tcPr>
            <w:tcW w:w="20" w:type="dxa"/>
            <w:vAlign w:val="bottom"/>
            <w:shd w:val="clear" w:color="auto" w:fill="CCEEFF"/>
          </w:tcPr>
          <w:p>
            <w:pPr>
              <w:spacing w:after="0"/>
              <w:rPr>
                <w:sz w:val="19"/>
                <w:szCs w:val="19"/>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Defense Systems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3,922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4,398</w:t>
            </w:r>
          </w:p>
        </w:tc>
        <w:tc>
          <w:tcPr>
            <w:tcW w:w="1240" w:type="dxa"/>
            <w:vAlign w:val="bottom"/>
            <w:shd w:val="clear" w:color="auto" w:fill="CCEEFF"/>
          </w:tcPr>
          <w:p>
            <w:pPr>
              <w:jc w:val="center"/>
              <w:ind w:left="9"/>
              <w:spacing w:after="0"/>
              <w:rPr>
                <w:sz w:val="20"/>
                <w:szCs w:val="20"/>
                <w:color w:val="auto"/>
              </w:rPr>
            </w:pPr>
            <w:r>
              <w:rPr>
                <w:rFonts w:ascii="Arial" w:cs="Arial" w:eastAsia="Arial" w:hAnsi="Arial"/>
                <w:sz w:val="18"/>
                <w:szCs w:val="18"/>
                <w:b w:val="1"/>
                <w:bCs w:val="1"/>
                <w:color w:val="auto"/>
                <w:w w:val="95"/>
              </w:rPr>
              <w:t>(11%)</w:t>
            </w:r>
          </w:p>
        </w:tc>
      </w:tr>
      <w:tr>
        <w:trPr>
          <w:trHeight w:val="229"/>
        </w:trPr>
        <w:tc>
          <w:tcPr>
            <w:tcW w:w="20" w:type="dxa"/>
            <w:vAlign w:val="bottom"/>
          </w:tcPr>
          <w:p>
            <w:pPr>
              <w:spacing w:after="0"/>
              <w:rPr>
                <w:sz w:val="19"/>
                <w:szCs w:val="19"/>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Mission Systems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2,456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2,436</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19"/>
                <w:szCs w:val="19"/>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b w:val="1"/>
                <w:bCs w:val="1"/>
                <w:color w:val="auto"/>
              </w:rPr>
              <w:t>7,469</w:t>
            </w: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7,613</w:t>
            </w:r>
          </w:p>
        </w:tc>
        <w:tc>
          <w:tcPr>
            <w:tcW w:w="1240" w:type="dxa"/>
            <w:vAlign w:val="bottom"/>
          </w:tcPr>
          <w:p>
            <w:pPr>
              <w:jc w:val="center"/>
              <w:ind w:left="9"/>
              <w:spacing w:after="0"/>
              <w:rPr>
                <w:sz w:val="20"/>
                <w:szCs w:val="20"/>
                <w:color w:val="auto"/>
              </w:rPr>
            </w:pPr>
            <w:r>
              <w:rPr>
                <w:rFonts w:ascii="Arial" w:cs="Arial" w:eastAsia="Arial" w:hAnsi="Arial"/>
                <w:sz w:val="18"/>
                <w:szCs w:val="18"/>
                <w:b w:val="1"/>
                <w:bCs w:val="1"/>
                <w:color w:val="auto"/>
                <w:w w:val="99"/>
              </w:rPr>
              <w:t>(2%)</w:t>
            </w:r>
          </w:p>
        </w:tc>
      </w:tr>
      <w:tr>
        <w:trPr>
          <w:trHeight w:val="230"/>
        </w:trPr>
        <w:tc>
          <w:tcPr>
            <w:tcW w:w="20" w:type="dxa"/>
            <w:vAlign w:val="bottom"/>
            <w:shd w:val="clear" w:color="auto" w:fill="CCEEFF"/>
          </w:tcPr>
          <w:p>
            <w:pPr>
              <w:spacing w:after="0"/>
              <w:rPr>
                <w:sz w:val="19"/>
                <w:szCs w:val="19"/>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Space Systems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3,163</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18%</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8,997</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7,950</w:t>
            </w:r>
          </w:p>
        </w:tc>
        <w:tc>
          <w:tcPr>
            <w:tcW w:w="1240" w:type="dxa"/>
            <w:vAlign w:val="bottom"/>
            <w:shd w:val="clear" w:color="auto" w:fill="CCEEFF"/>
          </w:tcPr>
          <w:p>
            <w:pPr>
              <w:jc w:val="center"/>
              <w:ind w:left="29"/>
              <w:spacing w:after="0"/>
              <w:rPr>
                <w:sz w:val="20"/>
                <w:szCs w:val="20"/>
                <w:color w:val="auto"/>
              </w:rPr>
            </w:pPr>
            <w:r>
              <w:rPr>
                <w:rFonts w:ascii="Arial" w:cs="Arial" w:eastAsia="Arial" w:hAnsi="Arial"/>
                <w:sz w:val="18"/>
                <w:szCs w:val="18"/>
                <w:b w:val="1"/>
                <w:bCs w:val="1"/>
                <w:color w:val="auto"/>
                <w:w w:val="99"/>
              </w:rPr>
              <w:t>13%</w:t>
            </w:r>
          </w:p>
        </w:tc>
      </w:tr>
      <w:tr>
        <w:trPr>
          <w:trHeight w:val="229"/>
        </w:trPr>
        <w:tc>
          <w:tcPr>
            <w:tcW w:w="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(531)</w:t>
            </w: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(1,593)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(1,561)</w:t>
            </w:r>
          </w:p>
        </w:tc>
        <w:tc>
          <w:tcPr>
            <w:tcW w:w="124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8,971</w:t>
            </w:r>
          </w:p>
        </w:tc>
        <w:tc>
          <w:tcPr>
            <w:tcW w:w="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8,720</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26,569</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27,028</w:t>
            </w:r>
          </w:p>
        </w:tc>
        <w:tc>
          <w:tcPr>
            <w:tcW w:w="1240" w:type="dxa"/>
            <w:vAlign w:val="bottom"/>
            <w:tcBorders>
              <w:bottom w:val="single" w:sz="8" w:color="auto"/>
            </w:tcBorders>
            <w:shd w:val="clear" w:color="auto" w:fill="CCEEFF"/>
          </w:tcPr>
          <w:p>
            <w:pPr>
              <w:jc w:val="center"/>
              <w:ind w:left="9"/>
              <w:spacing w:after="0"/>
              <w:rPr>
                <w:sz w:val="20"/>
                <w:szCs w:val="20"/>
                <w:color w:val="auto"/>
              </w:rPr>
            </w:pPr>
            <w:r>
              <w:rPr>
                <w:rFonts w:ascii="Arial" w:cs="Arial" w:eastAsia="Arial" w:hAnsi="Arial"/>
                <w:sz w:val="18"/>
                <w:szCs w:val="18"/>
                <w:b w:val="1"/>
                <w:bCs w:val="1"/>
                <w:color w:val="auto"/>
                <w:w w:val="99"/>
              </w:rPr>
              <w:t>(2%)</w:t>
            </w: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Aeronautics Systems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827</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873</w:t>
            </w:r>
          </w:p>
        </w:tc>
        <w:tc>
          <w:tcPr>
            <w:tcW w:w="1240" w:type="dxa"/>
            <w:vAlign w:val="bottom"/>
            <w:shd w:val="clear" w:color="auto" w:fill="CCEEFF"/>
          </w:tcPr>
          <w:p>
            <w:pPr>
              <w:jc w:val="center"/>
              <w:ind w:left="9"/>
              <w:spacing w:after="0"/>
              <w:rPr>
                <w:sz w:val="20"/>
                <w:szCs w:val="20"/>
                <w:color w:val="auto"/>
              </w:rPr>
            </w:pPr>
            <w:r>
              <w:rPr>
                <w:rFonts w:ascii="Arial" w:cs="Arial" w:eastAsia="Arial" w:hAnsi="Arial"/>
                <w:sz w:val="18"/>
                <w:szCs w:val="18"/>
                <w:b w:val="1"/>
                <w:bCs w:val="1"/>
                <w:color w:val="auto"/>
                <w:w w:val="99"/>
              </w:rPr>
              <w:t>(5%)</w:t>
            </w:r>
          </w:p>
        </w:tc>
      </w:tr>
      <w:tr>
        <w:trPr>
          <w:trHeight w:val="229"/>
        </w:trPr>
        <w:tc>
          <w:tcPr>
            <w:tcW w:w="20" w:type="dxa"/>
            <w:vAlign w:val="bottom"/>
          </w:tcPr>
          <w:p>
            <w:pPr>
              <w:spacing w:after="0"/>
              <w:rPr>
                <w:sz w:val="19"/>
                <w:szCs w:val="19"/>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240" w:type="dxa"/>
            <w:vAlign w:val="bottom"/>
          </w:tcPr>
          <w:p>
            <w:pPr>
              <w:spacing w:after="0"/>
              <w:rPr>
                <w:sz w:val="19"/>
                <w:szCs w:val="19"/>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b w:val="1"/>
                <w:bCs w:val="1"/>
                <w:color w:val="auto"/>
              </w:rPr>
              <w:t>481</w:t>
            </w: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529</w:t>
            </w:r>
          </w:p>
        </w:tc>
        <w:tc>
          <w:tcPr>
            <w:tcW w:w="1240" w:type="dxa"/>
            <w:vAlign w:val="bottom"/>
          </w:tcPr>
          <w:p>
            <w:pPr>
              <w:jc w:val="center"/>
              <w:ind w:left="9"/>
              <w:spacing w:after="0"/>
              <w:rPr>
                <w:sz w:val="20"/>
                <w:szCs w:val="20"/>
                <w:color w:val="auto"/>
              </w:rPr>
            </w:pPr>
            <w:r>
              <w:rPr>
                <w:rFonts w:ascii="Arial" w:cs="Arial" w:eastAsia="Arial" w:hAnsi="Arial"/>
                <w:sz w:val="18"/>
                <w:szCs w:val="18"/>
                <w:b w:val="1"/>
                <w:bCs w:val="1"/>
                <w:color w:val="auto"/>
                <w:w w:val="99"/>
              </w:rPr>
              <w:t>(9%)</w:t>
            </w:r>
          </w:p>
        </w:tc>
      </w:tr>
      <w:tr>
        <w:trPr>
          <w:trHeight w:val="229"/>
        </w:trPr>
        <w:tc>
          <w:tcPr>
            <w:tcW w:w="20" w:type="dxa"/>
            <w:vAlign w:val="bottom"/>
            <w:shd w:val="clear" w:color="auto" w:fill="CCEEFF"/>
          </w:tcPr>
          <w:p>
            <w:pPr>
              <w:spacing w:after="0"/>
              <w:rPr>
                <w:sz w:val="19"/>
                <w:szCs w:val="19"/>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Mission Systems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1,166</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1,177</w:t>
            </w:r>
          </w:p>
        </w:tc>
        <w:tc>
          <w:tcPr>
            <w:tcW w:w="1240" w:type="dxa"/>
            <w:vAlign w:val="bottom"/>
            <w:shd w:val="clear" w:color="auto" w:fill="CCEEFF"/>
          </w:tcPr>
          <w:p>
            <w:pPr>
              <w:jc w:val="center"/>
              <w:ind w:left="9"/>
              <w:spacing w:after="0"/>
              <w:rPr>
                <w:sz w:val="20"/>
                <w:szCs w:val="20"/>
                <w:color w:val="auto"/>
              </w:rPr>
            </w:pPr>
            <w:r>
              <w:rPr>
                <w:rFonts w:ascii="Arial" w:cs="Arial" w:eastAsia="Arial" w:hAnsi="Arial"/>
                <w:sz w:val="18"/>
                <w:szCs w:val="18"/>
                <w:b w:val="1"/>
                <w:bCs w:val="1"/>
                <w:color w:val="auto"/>
                <w:w w:val="99"/>
              </w:rPr>
              <w:t>(1%)</w:t>
            </w:r>
          </w:p>
        </w:tc>
      </w:tr>
      <w:tr>
        <w:trPr>
          <w:trHeight w:val="230"/>
        </w:trPr>
        <w:tc>
          <w:tcPr>
            <w:tcW w:w="20" w:type="dxa"/>
            <w:vAlign w:val="bottom"/>
          </w:tcPr>
          <w:p>
            <w:pPr>
              <w:spacing w:after="0"/>
              <w:rPr>
                <w:sz w:val="19"/>
                <w:szCs w:val="19"/>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19"/>
                <w:szCs w:val="19"/>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b w:val="1"/>
                <w:bCs w:val="1"/>
                <w:color w:val="auto"/>
              </w:rPr>
              <w:t>861</w:t>
            </w: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865</w:t>
            </w:r>
          </w:p>
        </w:tc>
        <w:tc>
          <w:tcPr>
            <w:tcW w:w="1240" w:type="dxa"/>
            <w:vAlign w:val="bottom"/>
          </w:tcPr>
          <w:p>
            <w:pPr>
              <w:jc w:val="center"/>
              <w:ind w:left="9"/>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39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(218)</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(197)</w:t>
            </w:r>
          </w:p>
        </w:tc>
        <w:tc>
          <w:tcPr>
            <w:tcW w:w="124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line="223" w:lineRule="exact"/>
              <w:rPr>
                <w:sz w:val="20"/>
                <w:szCs w:val="20"/>
                <w:color w:val="auto"/>
              </w:rPr>
            </w:pPr>
            <w:r>
              <w:rPr>
                <w:rFonts w:ascii="Arial" w:cs="Arial" w:eastAsia="Arial" w:hAnsi="Arial"/>
                <w:sz w:val="18"/>
                <w:szCs w:val="18"/>
                <w:color w:val="auto"/>
              </w:rPr>
              <w:t>Segment operating income</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1,007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1,035</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240" w:type="dxa"/>
            <w:vAlign w:val="bottom"/>
          </w:tcPr>
          <w:p>
            <w:pPr>
              <w:spacing w:after="0"/>
              <w:rPr>
                <w:sz w:val="19"/>
                <w:szCs w:val="19"/>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b w:val="1"/>
                <w:bCs w:val="1"/>
                <w:color w:val="auto"/>
              </w:rPr>
              <w:t>3,117</w:t>
            </w: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3,247</w:t>
            </w:r>
          </w:p>
        </w:tc>
        <w:tc>
          <w:tcPr>
            <w:tcW w:w="1240" w:type="dxa"/>
            <w:vAlign w:val="bottom"/>
          </w:tcPr>
          <w:p>
            <w:pPr>
              <w:jc w:val="center"/>
              <w:ind w:left="9"/>
              <w:spacing w:after="0"/>
              <w:rPr>
                <w:sz w:val="20"/>
                <w:szCs w:val="20"/>
                <w:color w:val="auto"/>
              </w:rPr>
            </w:pPr>
            <w:r>
              <w:rPr>
                <w:rFonts w:ascii="Arial" w:cs="Arial" w:eastAsia="Arial" w:hAnsi="Arial"/>
                <w:sz w:val="18"/>
                <w:szCs w:val="18"/>
                <w:b w:val="1"/>
                <w:bCs w:val="1"/>
                <w:color w:val="auto"/>
                <w:w w:val="99"/>
              </w:rPr>
              <w:t>(4%)</w:t>
            </w:r>
          </w:p>
        </w:tc>
      </w:tr>
      <w:tr>
        <w:trPr>
          <w:trHeight w:val="216"/>
        </w:trPr>
        <w:tc>
          <w:tcPr>
            <w:tcW w:w="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Arial" w:cs="Arial" w:eastAsia="Arial" w:hAnsi="Arial"/>
                <w:sz w:val="16"/>
                <w:szCs w:val="16"/>
                <w:i w:val="1"/>
                <w:iCs w:val="1"/>
                <w:color w:val="auto"/>
              </w:rPr>
              <w:t>Segment operating margin rate</w:t>
            </w:r>
            <w:r>
              <w:rPr>
                <w:rFonts w:ascii="Arial" w:cs="Arial" w:eastAsia="Arial" w:hAnsi="Arial"/>
                <w:sz w:val="21"/>
                <w:szCs w:val="21"/>
                <w:i w:val="1"/>
                <w:iCs w:val="1"/>
                <w:color w:val="auto"/>
                <w:vertAlign w:val="superscript"/>
              </w:rPr>
              <w:t>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i w:val="1"/>
                <w:iCs w:val="1"/>
                <w:color w:val="auto"/>
              </w:rPr>
              <w:t>11.2 %</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i w:val="1"/>
                <w:iCs w:val="1"/>
                <w:color w:val="auto"/>
              </w:rPr>
              <w:t>11.9 %</w:t>
            </w:r>
          </w:p>
        </w:tc>
        <w:tc>
          <w:tcPr>
            <w:tcW w:w="1220" w:type="dxa"/>
            <w:vAlign w:val="bottom"/>
            <w:shd w:val="clear" w:color="auto" w:fill="CCEEFF"/>
          </w:tcPr>
          <w:p>
            <w:pPr>
              <w:ind w:left="300"/>
              <w:spacing w:after="0"/>
              <w:rPr>
                <w:sz w:val="20"/>
                <w:szCs w:val="20"/>
                <w:color w:val="auto"/>
              </w:rPr>
            </w:pPr>
            <w:r>
              <w:rPr>
                <w:rFonts w:ascii="Arial" w:cs="Arial" w:eastAsia="Arial" w:hAnsi="Arial"/>
                <w:sz w:val="16"/>
                <w:szCs w:val="16"/>
                <w:b w:val="1"/>
                <w:bCs w:val="1"/>
                <w:i w:val="1"/>
                <w:iCs w:val="1"/>
                <w:color w:val="auto"/>
              </w:rPr>
              <w:t>(70) bps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11.7 %</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12.0 %</w:t>
            </w:r>
          </w:p>
        </w:tc>
        <w:tc>
          <w:tcPr>
            <w:tcW w:w="1240" w:type="dxa"/>
            <w:vAlign w:val="bottom"/>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(30) bps</w:t>
            </w:r>
          </w:p>
        </w:tc>
      </w:tr>
      <w:tr>
        <w:trPr>
          <w:trHeight w:val="229"/>
        </w:trPr>
        <w:tc>
          <w:tcPr>
            <w:tcW w:w="20" w:type="dxa"/>
            <w:vAlign w:val="bottom"/>
          </w:tcPr>
          <w:p>
            <w:pPr>
              <w:spacing w:after="0"/>
              <w:rPr>
                <w:sz w:val="19"/>
                <w:szCs w:val="19"/>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FAS/CAS operating adjustment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(190%)</w:t>
            </w:r>
          </w:p>
        </w:tc>
        <w:tc>
          <w:tcPr>
            <w:tcW w:w="24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(152)</w:t>
            </w: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98</w:t>
            </w:r>
          </w:p>
        </w:tc>
        <w:tc>
          <w:tcPr>
            <w:tcW w:w="1240" w:type="dxa"/>
            <w:vAlign w:val="bottom"/>
          </w:tcPr>
          <w:p>
            <w:pPr>
              <w:jc w:val="center"/>
              <w:ind w:left="9"/>
              <w:spacing w:after="0"/>
              <w:rPr>
                <w:sz w:val="20"/>
                <w:szCs w:val="20"/>
                <w:color w:val="auto"/>
              </w:rPr>
            </w:pPr>
            <w:r>
              <w:rPr>
                <w:rFonts w:ascii="Arial" w:cs="Arial" w:eastAsia="Arial" w:hAnsi="Arial"/>
                <w:sz w:val="18"/>
                <w:szCs w:val="18"/>
                <w:b w:val="1"/>
                <w:bCs w:val="1"/>
                <w:color w:val="auto"/>
                <w:w w:val="99"/>
              </w:rPr>
              <w:t>(255%)</w:t>
            </w:r>
          </w:p>
        </w:tc>
      </w:tr>
      <w:tr>
        <w:trPr>
          <w:trHeight w:val="230"/>
        </w:trPr>
        <w:tc>
          <w:tcPr>
            <w:tcW w:w="20" w:type="dxa"/>
            <w:vAlign w:val="bottom"/>
            <w:shd w:val="clear" w:color="auto" w:fill="CCEEFF"/>
          </w:tcPr>
          <w:p>
            <w:pPr>
              <w:spacing w:after="0"/>
              <w:rPr>
                <w:sz w:val="19"/>
                <w:szCs w:val="19"/>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Unallocated corporate (expense) income: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373" w:right="339" w:bottom="1440" w:gutter="0" w:footer="0" w:header="0"/>
        </w:sectPr>
      </w:pPr>
    </w:p>
    <w:p>
      <w:pPr>
        <w:ind w:left="360"/>
        <w:spacing w:after="0"/>
        <w:rPr>
          <w:sz w:val="20"/>
          <w:szCs w:val="20"/>
          <w:color w:val="auto"/>
        </w:rPr>
      </w:pPr>
      <w:r>
        <w:rPr>
          <w:rFonts w:ascii="Arial" w:cs="Arial" w:eastAsia="Arial" w:hAnsi="Arial"/>
          <w:sz w:val="18"/>
          <w:szCs w:val="18"/>
          <w:color w:val="auto"/>
        </w:rPr>
        <w:t>Gain on sale of business</w:t>
      </w:r>
    </w:p>
    <w:p>
      <w:pPr>
        <w:spacing w:after="0" w:line="27" w:lineRule="exact"/>
        <w:rPr>
          <w:sz w:val="20"/>
          <w:szCs w:val="20"/>
          <w:color w:val="auto"/>
        </w:rPr>
      </w:pPr>
    </w:p>
    <w:p>
      <w:pPr>
        <w:ind w:left="360" w:right="240"/>
        <w:spacing w:after="0" w:line="234" w:lineRule="auto"/>
        <w:rPr>
          <w:sz w:val="20"/>
          <w:szCs w:val="20"/>
          <w:color w:val="auto"/>
        </w:rPr>
      </w:pPr>
      <w:r>
        <w:rPr>
          <w:rFonts w:ascii="Arial" w:cs="Arial" w:eastAsia="Arial" w:hAnsi="Arial"/>
          <w:sz w:val="18"/>
          <w:szCs w:val="18"/>
          <w:color w:val="auto"/>
        </w:rPr>
        <w:t>IT services divestiture – unallowable state taxes and transaction costs</w:t>
      </w:r>
    </w:p>
    <w:p>
      <w:pPr>
        <w:spacing w:after="0" w:line="6" w:lineRule="exact"/>
        <w:rPr>
          <w:sz w:val="20"/>
          <w:szCs w:val="20"/>
          <w:color w:val="auto"/>
        </w:rPr>
      </w:pPr>
    </w:p>
    <w:p>
      <w:pPr>
        <w:ind w:left="360" w:right="400"/>
        <w:spacing w:after="0"/>
        <w:rPr>
          <w:sz w:val="20"/>
          <w:szCs w:val="20"/>
          <w:color w:val="auto"/>
        </w:rPr>
      </w:pPr>
      <w:r>
        <w:rPr>
          <w:rFonts w:ascii="Arial" w:cs="Arial" w:eastAsia="Arial" w:hAnsi="Arial"/>
          <w:sz w:val="18"/>
          <w:szCs w:val="18"/>
          <w:color w:val="auto"/>
        </w:rPr>
        <w:t>Intangible asset amortization and PP&amp;E step-up depreciation</w:t>
      </w:r>
    </w:p>
    <w:p>
      <w:pPr>
        <w:ind w:left="360"/>
        <w:spacing w:after="0" w:line="229" w:lineRule="auto"/>
        <w:rPr>
          <w:sz w:val="20"/>
          <w:szCs w:val="20"/>
          <w:color w:val="auto"/>
        </w:rPr>
      </w:pPr>
      <w:r>
        <w:rPr>
          <w:rFonts w:ascii="Arial" w:cs="Arial" w:eastAsia="Arial" w:hAnsi="Arial"/>
          <w:sz w:val="18"/>
          <w:szCs w:val="18"/>
          <w:color w:val="auto"/>
        </w:rPr>
        <w:t>Other unallocated corporate (expense)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80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1,980</w:t>
            </w:r>
          </w:p>
        </w:tc>
        <w:tc>
          <w:tcPr>
            <w:tcW w:w="760" w:type="dxa"/>
            <w:vAlign w:val="bottom"/>
          </w:tcPr>
          <w:p>
            <w:pPr>
              <w:ind w:left="400"/>
              <w:spacing w:after="0"/>
              <w:rPr>
                <w:sz w:val="20"/>
                <w:szCs w:val="20"/>
                <w:color w:val="auto"/>
              </w:rPr>
            </w:pPr>
            <w:r>
              <w:rPr>
                <w:rFonts w:ascii="Arial" w:cs="Arial" w:eastAsia="Arial" w:hAnsi="Arial"/>
                <w:sz w:val="18"/>
                <w:szCs w:val="18"/>
                <w:b w:val="1"/>
                <w:bCs w:val="1"/>
                <w:color w:val="auto"/>
              </w:rPr>
              <w:t>NM</w:t>
            </w:r>
          </w:p>
        </w:tc>
      </w:tr>
      <w:tr>
        <w:trPr>
          <w:trHeight w:val="413"/>
        </w:trPr>
        <w:tc>
          <w:tcPr>
            <w:tcW w:w="80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(192)</w:t>
            </w:r>
          </w:p>
        </w:tc>
        <w:tc>
          <w:tcPr>
            <w:tcW w:w="760" w:type="dxa"/>
            <w:vAlign w:val="bottom"/>
          </w:tcPr>
          <w:p>
            <w:pPr>
              <w:ind w:left="400"/>
              <w:spacing w:after="0"/>
              <w:rPr>
                <w:sz w:val="20"/>
                <w:szCs w:val="20"/>
                <w:color w:val="auto"/>
              </w:rPr>
            </w:pPr>
            <w:r>
              <w:rPr>
                <w:rFonts w:ascii="Arial" w:cs="Arial" w:eastAsia="Arial" w:hAnsi="Arial"/>
                <w:sz w:val="18"/>
                <w:szCs w:val="18"/>
                <w:b w:val="1"/>
                <w:bCs w:val="1"/>
                <w:color w:val="auto"/>
              </w:rPr>
              <w:t>NM</w:t>
            </w:r>
          </w:p>
        </w:tc>
      </w:tr>
      <w:tr>
        <w:trPr>
          <w:trHeight w:val="418"/>
        </w:trPr>
        <w:tc>
          <w:tcPr>
            <w:tcW w:w="80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(60)</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(62)</w:t>
            </w: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(3%)</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(181)</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(191)</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800" w:type="dxa"/>
            <w:vAlign w:val="bottom"/>
          </w:tcPr>
          <w:p>
            <w:pPr>
              <w:jc w:val="center"/>
              <w:ind w:right="390"/>
              <w:spacing w:after="0"/>
              <w:rPr>
                <w:sz w:val="20"/>
                <w:szCs w:val="20"/>
                <w:color w:val="auto"/>
              </w:rPr>
            </w:pPr>
            <w:r>
              <w:rPr>
                <w:rFonts w:ascii="Arial" w:cs="Arial" w:eastAsia="Arial" w:hAnsi="Arial"/>
                <w:sz w:val="18"/>
                <w:szCs w:val="18"/>
                <w:b w:val="1"/>
                <w:bCs w:val="1"/>
                <w:color w:val="auto"/>
                <w:w w:val="99"/>
              </w:rPr>
              <w:t>(48)</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(633%)</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(89)</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-744220</wp:posOffset>
            </wp:positionV>
            <wp:extent cx="713232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-212725</wp:posOffset>
            </wp:positionV>
            <wp:extent cx="713232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3920" w:space="720"/>
            <w:col w:w="6600"/>
          </w:cols>
          <w:pgMar w:left="320" w:top="373"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3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Unallocated corporate (expense) income</w:t>
            </w:r>
          </w:p>
        </w:tc>
        <w:tc>
          <w:tcPr>
            <w:tcW w:w="3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(108)</w:t>
            </w:r>
          </w:p>
        </w:tc>
        <w:tc>
          <w:tcPr>
            <w:tcW w:w="3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(53)</w:t>
            </w: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104%</w:t>
            </w: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(270)</w:t>
            </w: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1,564</w:t>
            </w: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income</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844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1,043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(19%)</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2,695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4,909</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(45%)</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9.4 %</w:t>
            </w:r>
          </w:p>
        </w:tc>
        <w:tc>
          <w:tcPr>
            <w:tcW w:w="36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6"/>
                <w:szCs w:val="16"/>
                <w:i w:val="1"/>
                <w:iCs w:val="1"/>
                <w:color w:val="auto"/>
              </w:rPr>
              <w:t>12.0 %</w:t>
            </w:r>
          </w:p>
        </w:tc>
        <w:tc>
          <w:tcPr>
            <w:tcW w:w="98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9"/>
              </w:rPr>
              <w:t>(260) bps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10.1 %</w:t>
            </w:r>
          </w:p>
        </w:tc>
        <w:tc>
          <w:tcPr>
            <w:tcW w:w="36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6"/>
                <w:szCs w:val="16"/>
                <w:i w:val="1"/>
                <w:iCs w:val="1"/>
                <w:color w:val="auto"/>
              </w:rPr>
              <w:t>18.2 %</w:t>
            </w:r>
          </w:p>
        </w:tc>
        <w:tc>
          <w:tcPr>
            <w:tcW w:w="11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9"/>
              </w:rPr>
              <w:t>(810) bps</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(122)</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(132)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(386)</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(423)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Non-operating FAS pension benefit</w:t>
            </w:r>
          </w:p>
        </w:tc>
        <w:tc>
          <w:tcPr>
            <w:tcW w:w="34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376</w:t>
            </w:r>
          </w:p>
        </w:tc>
        <w:tc>
          <w:tcPr>
            <w:tcW w:w="360" w:type="dxa"/>
            <w:vAlign w:val="bottom"/>
          </w:tcPr>
          <w:p>
            <w:pPr>
              <w:spacing w:after="0"/>
              <w:rPr>
                <w:sz w:val="19"/>
                <w:szCs w:val="19"/>
                <w:color w:val="auto"/>
              </w:rPr>
            </w:pPr>
          </w:p>
        </w:tc>
        <w:tc>
          <w:tcPr>
            <w:tcW w:w="960" w:type="dxa"/>
            <w:vAlign w:val="bottom"/>
          </w:tcPr>
          <w:p>
            <w:pPr>
              <w:jc w:val="right"/>
              <w:ind w:right="252"/>
              <w:spacing w:after="0"/>
              <w:rPr>
                <w:sz w:val="20"/>
                <w:szCs w:val="20"/>
                <w:color w:val="auto"/>
              </w:rPr>
            </w:pPr>
            <w:r>
              <w:rPr>
                <w:rFonts w:ascii="Arial" w:cs="Arial" w:eastAsia="Arial" w:hAnsi="Arial"/>
                <w:sz w:val="18"/>
                <w:szCs w:val="18"/>
                <w:color w:val="auto"/>
              </w:rPr>
              <w:t>367</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42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1,129</w:t>
            </w:r>
          </w:p>
        </w:tc>
        <w:tc>
          <w:tcPr>
            <w:tcW w:w="36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1,101</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w:t>
            </w: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(3)</w:t>
            </w: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167%</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(54)</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6</w:t>
            </w: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34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1,090</w:t>
            </w:r>
          </w:p>
        </w:tc>
        <w:tc>
          <w:tcPr>
            <w:tcW w:w="360" w:type="dxa"/>
            <w:vAlign w:val="bottom"/>
          </w:tcPr>
          <w:p>
            <w:pPr>
              <w:spacing w:after="0"/>
              <w:rPr>
                <w:sz w:val="19"/>
                <w:szCs w:val="19"/>
                <w:color w:val="auto"/>
              </w:rPr>
            </w:pPr>
          </w:p>
        </w:tc>
        <w:tc>
          <w:tcPr>
            <w:tcW w:w="960" w:type="dxa"/>
            <w:vAlign w:val="bottom"/>
          </w:tcPr>
          <w:p>
            <w:pPr>
              <w:jc w:val="right"/>
              <w:ind w:right="252"/>
              <w:spacing w:after="0"/>
              <w:rPr>
                <w:sz w:val="20"/>
                <w:szCs w:val="20"/>
                <w:color w:val="auto"/>
              </w:rPr>
            </w:pPr>
            <w:r>
              <w:rPr>
                <w:rFonts w:ascii="Arial" w:cs="Arial" w:eastAsia="Arial" w:hAnsi="Arial"/>
                <w:sz w:val="18"/>
                <w:szCs w:val="18"/>
                <w:color w:val="auto"/>
              </w:rPr>
              <w:t>1,275</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(15%)</w:t>
            </w:r>
          </w:p>
        </w:tc>
        <w:tc>
          <w:tcPr>
            <w:tcW w:w="42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3,384</w:t>
            </w:r>
          </w:p>
        </w:tc>
        <w:tc>
          <w:tcPr>
            <w:tcW w:w="36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5,593</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(39%)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175</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212</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568</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1,298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(56%)</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Effective income tax rate</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16.1 %</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i w:val="1"/>
                <w:iCs w:val="1"/>
                <w:color w:val="auto"/>
              </w:rPr>
              <w:t>16.6 %</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rPr>
              <w:t>(50) bps</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16.8 %</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i w:val="1"/>
                <w:iCs w:val="1"/>
                <w:color w:val="auto"/>
              </w:rPr>
              <w:t>23.2 %</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99"/>
              </w:rPr>
              <w:t>(640) bps</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915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1,063</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(14%)</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2,816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4,295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4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5.89</w:t>
            </w:r>
          </w:p>
        </w:tc>
        <w:tc>
          <w:tcPr>
            <w:tcW w:w="360" w:type="dxa"/>
            <w:vAlign w:val="bottom"/>
          </w:tcPr>
          <w:p>
            <w:pPr>
              <w:spacing w:after="0"/>
              <w:rPr>
                <w:sz w:val="19"/>
                <w:szCs w:val="19"/>
                <w:color w:val="auto"/>
              </w:rPr>
            </w:pPr>
          </w:p>
        </w:tc>
        <w:tc>
          <w:tcPr>
            <w:tcW w:w="960" w:type="dxa"/>
            <w:vAlign w:val="bottom"/>
          </w:tcPr>
          <w:p>
            <w:pPr>
              <w:jc w:val="right"/>
              <w:ind w:right="252"/>
              <w:spacing w:after="0"/>
              <w:rPr>
                <w:sz w:val="20"/>
                <w:szCs w:val="20"/>
                <w:color w:val="auto"/>
              </w:rPr>
            </w:pPr>
            <w:r>
              <w:rPr>
                <w:rFonts w:ascii="Arial" w:cs="Arial" w:eastAsia="Arial" w:hAnsi="Arial"/>
                <w:sz w:val="18"/>
                <w:szCs w:val="18"/>
                <w:color w:val="auto"/>
              </w:rPr>
              <w:t>6.63</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5"/>
              </w:rPr>
              <w:t>(11%)</w:t>
            </w:r>
          </w:p>
        </w:tc>
        <w:tc>
          <w:tcPr>
            <w:tcW w:w="420" w:type="dxa"/>
            <w:vAlign w:val="bottom"/>
          </w:tcPr>
          <w:p>
            <w:pPr>
              <w:spacing w:after="0"/>
              <w:rPr>
                <w:sz w:val="19"/>
                <w:szCs w:val="19"/>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18.06</w:t>
            </w:r>
          </w:p>
        </w:tc>
        <w:tc>
          <w:tcPr>
            <w:tcW w:w="360" w:type="dxa"/>
            <w:vAlign w:val="bottom"/>
          </w:tcPr>
          <w:p>
            <w:pPr>
              <w:spacing w:after="0"/>
              <w:rPr>
                <w:sz w:val="19"/>
                <w:szCs w:val="19"/>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26.55</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(32%)</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Weighted-average diluted shares outstanding, in</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155.3</w:t>
            </w:r>
          </w:p>
        </w:tc>
        <w:tc>
          <w:tcPr>
            <w:tcW w:w="3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rPr>
              <w:t>160.4</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4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155.9</w:t>
            </w:r>
          </w:p>
        </w:tc>
        <w:tc>
          <w:tcPr>
            <w:tcW w:w="3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72"/>
              <w:spacing w:after="0"/>
              <w:rPr>
                <w:sz w:val="20"/>
                <w:szCs w:val="20"/>
                <w:color w:val="auto"/>
              </w:rPr>
            </w:pPr>
            <w:r>
              <w:rPr>
                <w:rFonts w:ascii="Arial" w:cs="Arial" w:eastAsia="Arial" w:hAnsi="Arial"/>
                <w:sz w:val="18"/>
                <w:szCs w:val="18"/>
                <w:color w:val="auto"/>
              </w:rPr>
              <w:t>161.8</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r>
        <w:trPr>
          <w:trHeight w:val="160"/>
        </w:trPr>
        <w:tc>
          <w:tcPr>
            <w:tcW w:w="39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millions</w:t>
            </w:r>
          </w:p>
        </w:tc>
        <w:tc>
          <w:tcPr>
            <w:tcW w:w="34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94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hanging="94"/>
        <w:spacing w:after="0"/>
        <w:tabs>
          <w:tab w:leader="none" w:pos="1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7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601"/>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3"/>
          </w:tcPr>
          <w:p>
            <w:pPr>
              <w:jc w:val="right"/>
              <w:ind w:right="170"/>
              <w:spacing w:after="0"/>
              <w:rPr>
                <w:sz w:val="20"/>
                <w:szCs w:val="20"/>
                <w:color w:val="auto"/>
              </w:rPr>
            </w:pPr>
            <w:r>
              <w:rPr>
                <w:rFonts w:ascii="Arial" w:cs="Arial" w:eastAsia="Arial" w:hAnsi="Arial"/>
                <w:sz w:val="18"/>
                <w:szCs w:val="18"/>
                <w:color w:val="auto"/>
              </w:rPr>
              <w:t>Three Months Ended</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3"/>
          </w:tcPr>
          <w:p>
            <w:pPr>
              <w:jc w:val="right"/>
              <w:ind w:right="230"/>
              <w:spacing w:after="0"/>
              <w:rPr>
                <w:sz w:val="20"/>
                <w:szCs w:val="20"/>
                <w:color w:val="auto"/>
              </w:rPr>
            </w:pPr>
            <w:r>
              <w:rPr>
                <w:rFonts w:ascii="Arial" w:cs="Arial" w:eastAsia="Arial" w:hAnsi="Arial"/>
                <w:sz w:val="18"/>
                <w:szCs w:val="18"/>
                <w:color w:val="auto"/>
              </w:rPr>
              <w:t>Nine Months Ended</w:t>
            </w:r>
          </w:p>
        </w:tc>
        <w:tc>
          <w:tcPr>
            <w:tcW w:w="1260" w:type="dxa"/>
            <w:vAlign w:val="bottom"/>
          </w:tcPr>
          <w:p>
            <w:pPr>
              <w:spacing w:after="0"/>
              <w:rPr>
                <w:sz w:val="24"/>
                <w:szCs w:val="24"/>
                <w:color w:val="auto"/>
              </w:rPr>
            </w:pPr>
          </w:p>
        </w:tc>
      </w:tr>
      <w:tr>
        <w:trPr>
          <w:trHeight w:val="239"/>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color w:val="auto"/>
              </w:rPr>
              <w:t>September 30</w:t>
            </w:r>
          </w:p>
        </w:tc>
        <w:tc>
          <w:tcPr>
            <w:tcW w:w="1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September 30</w:t>
            </w:r>
          </w:p>
        </w:tc>
        <w:tc>
          <w:tcPr>
            <w:tcW w:w="1260" w:type="dxa"/>
            <w:vAlign w:val="bottom"/>
          </w:tcPr>
          <w:p>
            <w:pPr>
              <w:spacing w:after="0"/>
              <w:rPr>
                <w:sz w:val="20"/>
                <w:szCs w:val="20"/>
                <w:color w:val="auto"/>
              </w:rPr>
            </w:pPr>
          </w:p>
        </w:tc>
      </w:tr>
      <w:tr>
        <w:trPr>
          <w:trHeight w:val="227"/>
        </w:trPr>
        <w:tc>
          <w:tcPr>
            <w:tcW w:w="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2021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r>
      <w:tr>
        <w:trPr>
          <w:trHeight w:val="223"/>
        </w:trPr>
        <w:tc>
          <w:tcPr>
            <w:tcW w:w="2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1,335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60" w:type="dxa"/>
            <w:vAlign w:val="bottom"/>
            <w:shd w:val="clear" w:color="auto" w:fill="CCEEFF"/>
          </w:tcPr>
          <w:p>
            <w:pPr>
              <w:jc w:val="center"/>
              <w:ind w:left="8"/>
              <w:spacing w:after="0"/>
              <w:rPr>
                <w:sz w:val="20"/>
                <w:szCs w:val="20"/>
                <w:color w:val="auto"/>
              </w:rPr>
            </w:pPr>
            <w:r>
              <w:rPr>
                <w:rFonts w:ascii="Arial" w:cs="Arial" w:eastAsia="Arial" w:hAnsi="Arial"/>
                <w:sz w:val="18"/>
                <w:szCs w:val="18"/>
                <w:b w:val="1"/>
                <w:bCs w:val="1"/>
                <w:color w:val="auto"/>
                <w:w w:val="99"/>
              </w:rPr>
              <w:t>(69%)</w:t>
            </w:r>
          </w:p>
        </w:tc>
      </w:tr>
      <w:tr>
        <w:trPr>
          <w:trHeight w:val="229"/>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20%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(803)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w:t>
            </w:r>
          </w:p>
        </w:tc>
        <w:tc>
          <w:tcPr>
            <w:tcW w:w="1260" w:type="dxa"/>
            <w:vAlign w:val="bottom"/>
          </w:tcPr>
          <w:p>
            <w:pPr>
              <w:jc w:val="center"/>
              <w:ind w:left="8"/>
              <w:spacing w:after="0"/>
              <w:rPr>
                <w:sz w:val="20"/>
                <w:szCs w:val="20"/>
                <w:color w:val="auto"/>
              </w:rPr>
            </w:pPr>
            <w:r>
              <w:rPr>
                <w:rFonts w:ascii="Arial" w:cs="Arial" w:eastAsia="Arial" w:hAnsi="Arial"/>
                <w:sz w:val="18"/>
                <w:szCs w:val="18"/>
                <w:b w:val="1"/>
                <w:bCs w:val="1"/>
                <w:color w:val="auto"/>
                <w:w w:val="99"/>
              </w:rPr>
              <w:t>18%</w:t>
            </w: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from sale of equipment to a customer</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257%</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60" w:type="dxa"/>
            <w:vAlign w:val="bottom"/>
            <w:tcBorders>
              <w:bottom w:val="single" w:sz="8" w:color="auto"/>
            </w:tcBorders>
            <w:shd w:val="clear" w:color="auto" w:fill="CCEEFF"/>
          </w:tcPr>
          <w:p>
            <w:pPr>
              <w:jc w:val="center"/>
              <w:ind w:left="8"/>
              <w:spacing w:after="0"/>
              <w:rPr>
                <w:sz w:val="20"/>
                <w:szCs w:val="20"/>
                <w:color w:val="auto"/>
              </w:rPr>
            </w:pPr>
            <w:r>
              <w:rPr>
                <w:rFonts w:ascii="Arial" w:cs="Arial" w:eastAsia="Arial" w:hAnsi="Arial"/>
                <w:sz w:val="18"/>
                <w:szCs w:val="18"/>
                <w:b w:val="1"/>
                <w:bCs w:val="1"/>
                <w:color w:val="auto"/>
                <w:w w:val="99"/>
              </w:rPr>
              <w:t>19%</w:t>
            </w:r>
          </w:p>
        </w:tc>
      </w:tr>
      <w:tr>
        <w:trPr>
          <w:trHeight w:val="223"/>
        </w:trPr>
        <w:tc>
          <w:tcPr>
            <w:tcW w:w="20" w:type="dxa"/>
            <w:vAlign w:val="bottom"/>
          </w:tcPr>
          <w:p>
            <w:pPr>
              <w:spacing w:after="0"/>
              <w:rPr>
                <w:sz w:val="19"/>
                <w:szCs w:val="19"/>
                <w:color w:val="auto"/>
              </w:rPr>
            </w:pPr>
          </w:p>
        </w:tc>
        <w:tc>
          <w:tcPr>
            <w:tcW w:w="4260" w:type="dxa"/>
            <w:vAlign w:val="bottom"/>
          </w:tcPr>
          <w:p>
            <w:pPr>
              <w:spacing w:after="0" w:line="223" w:lineRule="exact"/>
              <w:rPr>
                <w:sz w:val="20"/>
                <w:szCs w:val="20"/>
                <w:color w:val="auto"/>
              </w:rPr>
            </w:pPr>
            <w:r>
              <w:rPr>
                <w:rFonts w:ascii="Arial" w:cs="Arial" w:eastAsia="Arial" w:hAnsi="Arial"/>
                <w:sz w:val="18"/>
                <w:szCs w:val="18"/>
                <w:b w:val="1"/>
                <w:bCs w:val="1"/>
                <w:color w:val="auto"/>
              </w:rPr>
              <w:t>Adjusted free cash flow</w:t>
            </w:r>
            <w:r>
              <w:rPr>
                <w:rFonts w:ascii="Arial" w:cs="Arial" w:eastAsia="Arial" w:hAnsi="Arial"/>
                <w:sz w:val="23"/>
                <w:szCs w:val="23"/>
                <w:b w:val="1"/>
                <w:bCs w:val="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1,139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944</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21%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1,527</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(103%)</w:t>
            </w:r>
          </w:p>
        </w:tc>
      </w:tr>
      <w:tr>
        <w:trPr>
          <w:trHeight w:val="229"/>
        </w:trPr>
        <w:tc>
          <w:tcPr>
            <w:tcW w:w="20" w:type="dxa"/>
            <w:vAlign w:val="bottom"/>
            <w:shd w:val="clear" w:color="auto" w:fill="CCEEFF"/>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IT services divestiture transaction costs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60" w:type="dxa"/>
            <w:vAlign w:val="bottom"/>
            <w:shd w:val="clear" w:color="auto" w:fill="CCEEFF"/>
          </w:tcPr>
          <w:p>
            <w:pPr>
              <w:jc w:val="center"/>
              <w:ind w:left="8"/>
              <w:spacing w:after="0"/>
              <w:rPr>
                <w:sz w:val="20"/>
                <w:szCs w:val="20"/>
                <w:color w:val="auto"/>
              </w:rPr>
            </w:pPr>
            <w:r>
              <w:rPr>
                <w:rFonts w:ascii="Arial" w:cs="Arial" w:eastAsia="Arial" w:hAnsi="Arial"/>
                <w:sz w:val="18"/>
                <w:szCs w:val="18"/>
                <w:b w:val="1"/>
                <w:bCs w:val="1"/>
                <w:color w:val="auto"/>
                <w:w w:val="99"/>
              </w:rPr>
              <w:t>NM</w:t>
            </w:r>
          </w:p>
        </w:tc>
      </w:tr>
      <w:tr>
        <w:trPr>
          <w:trHeight w:val="230"/>
        </w:trPr>
        <w:tc>
          <w:tcPr>
            <w:tcW w:w="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IT services divestiture federal and state taxes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NM</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260" w:type="dxa"/>
            <w:vAlign w:val="bottom"/>
            <w:tcBorders>
              <w:bottom w:val="single" w:sz="8" w:color="auto"/>
            </w:tcBorders>
          </w:tcPr>
          <w:p>
            <w:pPr>
              <w:jc w:val="center"/>
              <w:ind w:left="8"/>
              <w:spacing w:after="0"/>
              <w:rPr>
                <w:sz w:val="20"/>
                <w:szCs w:val="20"/>
                <w:color w:val="auto"/>
              </w:rPr>
            </w:pPr>
            <w:r>
              <w:rPr>
                <w:rFonts w:ascii="Arial" w:cs="Arial" w:eastAsia="Arial" w:hAnsi="Arial"/>
                <w:sz w:val="18"/>
                <w:szCs w:val="18"/>
                <w:b w:val="1"/>
                <w:bCs w:val="1"/>
                <w:color w:val="auto"/>
                <w:w w:val="99"/>
              </w:rPr>
              <w:t>NM</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260" w:type="dxa"/>
            <w:vAlign w:val="bottom"/>
            <w:tcBorders>
              <w:bottom w:val="single" w:sz="8" w:color="auto"/>
            </w:tcBorders>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Transaction-adjusted free cash flow</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1,139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(102%)</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39" w:lineRule="exact"/>
        <w:rPr>
          <w:sz w:val="20"/>
          <w:szCs w:val="20"/>
          <w:color w:val="auto"/>
        </w:rPr>
      </w:pPr>
    </w:p>
    <w:p>
      <w:pPr>
        <w:ind w:right="560" w:firstLine="324"/>
        <w:spacing w:after="0" w:line="248" w:lineRule="auto"/>
        <w:rPr>
          <w:sz w:val="20"/>
          <w:szCs w:val="20"/>
          <w:color w:val="auto"/>
        </w:rPr>
      </w:pPr>
      <w:r>
        <w:rPr>
          <w:rFonts w:ascii="Arial" w:cs="Arial" w:eastAsia="Arial" w:hAnsi="Arial"/>
          <w:sz w:val="22"/>
          <w:szCs w:val="22"/>
          <w:color w:val="auto"/>
        </w:rPr>
        <w:t>Third quarter 2022 sales increased $251 million, or 3 percent, primarily due to 18 percent growth at Space Systems, partially offset by lower sales at Aeronautics Systems and Defense Systems. Third quarter 2022 sales reflect strong demand and improving trends in labor availability, partially offset by supply chain delays.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and Margin Rate</w:t>
      </w:r>
    </w:p>
    <w:p>
      <w:pPr>
        <w:spacing w:after="0" w:line="26" w:lineRule="exact"/>
        <w:rPr>
          <w:sz w:val="20"/>
          <w:szCs w:val="20"/>
          <w:color w:val="auto"/>
        </w:rPr>
      </w:pPr>
    </w:p>
    <w:p>
      <w:pPr>
        <w:ind w:right="20" w:firstLine="324"/>
        <w:spacing w:after="0" w:line="249" w:lineRule="auto"/>
        <w:rPr>
          <w:sz w:val="20"/>
          <w:szCs w:val="20"/>
          <w:color w:val="auto"/>
        </w:rPr>
      </w:pPr>
      <w:r>
        <w:rPr>
          <w:rFonts w:ascii="Arial" w:cs="Arial" w:eastAsia="Arial" w:hAnsi="Arial"/>
          <w:sz w:val="22"/>
          <w:szCs w:val="22"/>
          <w:color w:val="auto"/>
        </w:rPr>
        <w:t>Third quarter 2022 operating income decreased $199 million, or 19 percent, primarily due to a $116 million reduction in the FAS/CAS operating adjustment and $55 million in higher unallocated corporate expense due to a $60 million benefit for insurance settlements recognized in the prior year. Third quarter 2022 operating margin rate declined to 9.4 percent primarily due to the lower FAS/CAS operating adjustment and higher unallocated corporate expense, as well as a lower segment operating margin rate.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Income and Margin Rate</w:t>
      </w:r>
    </w:p>
    <w:p>
      <w:pPr>
        <w:spacing w:after="0" w:line="26" w:lineRule="exact"/>
        <w:rPr>
          <w:sz w:val="20"/>
          <w:szCs w:val="20"/>
          <w:color w:val="auto"/>
        </w:rPr>
      </w:pPr>
    </w:p>
    <w:p>
      <w:pPr>
        <w:ind w:right="20" w:firstLine="324"/>
        <w:spacing w:after="0" w:line="265" w:lineRule="auto"/>
        <w:rPr>
          <w:sz w:val="20"/>
          <w:szCs w:val="20"/>
          <w:color w:val="auto"/>
        </w:rPr>
      </w:pPr>
      <w:r>
        <w:rPr>
          <w:rFonts w:ascii="Arial" w:cs="Arial" w:eastAsia="Arial" w:hAnsi="Arial"/>
          <w:sz w:val="21"/>
          <w:szCs w:val="21"/>
          <w:color w:val="auto"/>
        </w:rPr>
        <w:t>Third quarter 2022 segment operating income decreased $28 million, or 3 percent due to a lower segment operating margin rate, partially offset by higher sales. Third quarter 2022 segment operating margin rate decreased to 11.2 percent from 11.9 percent principally due to lower net EAC adjustments due, in part, to inflationary pressures.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and Foreign Income Taxes</w:t>
      </w:r>
    </w:p>
    <w:p>
      <w:pPr>
        <w:spacing w:after="0" w:line="26" w:lineRule="exact"/>
        <w:rPr>
          <w:sz w:val="20"/>
          <w:szCs w:val="20"/>
          <w:color w:val="auto"/>
        </w:rPr>
      </w:pPr>
    </w:p>
    <w:p>
      <w:pPr>
        <w:ind w:right="60" w:firstLine="324"/>
        <w:spacing w:after="0" w:line="253" w:lineRule="auto"/>
        <w:rPr>
          <w:sz w:val="20"/>
          <w:szCs w:val="20"/>
          <w:color w:val="auto"/>
        </w:rPr>
      </w:pPr>
      <w:r>
        <w:rPr>
          <w:rFonts w:ascii="Arial" w:cs="Arial" w:eastAsia="Arial" w:hAnsi="Arial"/>
          <w:sz w:val="22"/>
          <w:szCs w:val="22"/>
          <w:color w:val="auto"/>
        </w:rPr>
        <w:t>The third quarter 2022 ETR decreased to 16.1 percent from 16.6 percent in the prior year period principally due to higher benefits from foreign-derived intangible income.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6" w:lineRule="exact"/>
        <w:rPr>
          <w:sz w:val="20"/>
          <w:szCs w:val="20"/>
          <w:color w:val="auto"/>
        </w:rPr>
      </w:pPr>
    </w:p>
    <w:p>
      <w:pPr>
        <w:ind w:right="160" w:firstLine="324"/>
        <w:spacing w:after="0" w:line="254" w:lineRule="auto"/>
        <w:rPr>
          <w:sz w:val="20"/>
          <w:szCs w:val="20"/>
          <w:color w:val="auto"/>
        </w:rPr>
      </w:pPr>
      <w:r>
        <w:rPr>
          <w:rFonts w:ascii="Arial" w:cs="Arial" w:eastAsia="Arial" w:hAnsi="Arial"/>
          <w:sz w:val="22"/>
          <w:szCs w:val="22"/>
          <w:color w:val="auto"/>
        </w:rPr>
        <w:t>Third quarter 2022 net cash provided by operating activities increased $172 million as compared with the same period in 2021 principally due to improved trade working capital, which includes the collection of customer payments that were delayed at the end of the second quarter.</w:t>
      </w:r>
    </w:p>
    <w:p>
      <w:pPr>
        <w:spacing w:after="0" w:line="48" w:lineRule="exact"/>
        <w:rPr>
          <w:sz w:val="20"/>
          <w:szCs w:val="20"/>
          <w:color w:val="auto"/>
        </w:rPr>
      </w:pPr>
    </w:p>
    <w:p>
      <w:pPr>
        <w:ind w:right="1520" w:firstLine="324"/>
        <w:spacing w:after="0" w:line="264" w:lineRule="auto"/>
        <w:rPr>
          <w:sz w:val="20"/>
          <w:szCs w:val="20"/>
          <w:color w:val="auto"/>
        </w:rPr>
      </w:pPr>
      <w:r>
        <w:rPr>
          <w:rFonts w:ascii="Arial" w:cs="Arial" w:eastAsia="Arial" w:hAnsi="Arial"/>
          <w:sz w:val="22"/>
          <w:szCs w:val="22"/>
          <w:color w:val="auto"/>
        </w:rPr>
        <w:t>Third quarter 2022 transaction-adjusted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comparable with the prior year period. </w:t>
      </w:r>
      <w:r>
        <w:rPr>
          <w:rFonts w:ascii="Arial" w:cs="Arial" w:eastAsia="Arial" w:hAnsi="Arial"/>
          <w:sz w:val="22"/>
          <w:szCs w:val="22"/>
          <w:b w:val="1"/>
          <w:bCs w:val="1"/>
          <w:color w:val="auto"/>
        </w:rPr>
        <w:t>Awards and Backlog</w:t>
      </w:r>
    </w:p>
    <w:p>
      <w:pPr>
        <w:spacing w:after="0" w:line="2" w:lineRule="exact"/>
        <w:rPr>
          <w:sz w:val="20"/>
          <w:szCs w:val="20"/>
          <w:color w:val="auto"/>
        </w:rPr>
      </w:pPr>
    </w:p>
    <w:p>
      <w:pPr>
        <w:ind w:right="120" w:firstLine="324"/>
        <w:spacing w:after="0" w:line="246" w:lineRule="auto"/>
        <w:rPr>
          <w:sz w:val="20"/>
          <w:szCs w:val="20"/>
          <w:color w:val="auto"/>
        </w:rPr>
      </w:pPr>
      <w:r>
        <w:rPr>
          <w:rFonts w:ascii="Arial" w:cs="Arial" w:eastAsia="Arial" w:hAnsi="Arial"/>
          <w:sz w:val="22"/>
          <w:szCs w:val="22"/>
          <w:color w:val="auto"/>
        </w:rPr>
        <w:t>Third quarter and year to date 2022 net awards totaled $8.7 billion and $30.2 billion, respectively, and backlog totaled $79.6 billion. Significant third quarter new awards include $2.8 billion for restricted programs (at Space Systems, Mission Systems and Aeronautics Systems), $1.3 billion for Ground-based Midcourse Defense (GMD) and $0.8 billion for SDA Tranche 1 Tracking Layer.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hanging="94"/>
        <w:spacing w:after="0"/>
        <w:tabs>
          <w:tab w:leader="none" w:pos="1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300" w:type="dxa"/>
            <w:vAlign w:val="bottom"/>
            <w:gridSpan w:val="6"/>
          </w:tcPr>
          <w:p>
            <w:pPr>
              <w:spacing w:after="0"/>
              <w:rPr>
                <w:sz w:val="20"/>
                <w:szCs w:val="20"/>
                <w:color w:val="auto"/>
              </w:rPr>
            </w:pPr>
            <w:r>
              <w:rPr>
                <w:rFonts w:ascii="Arial" w:cs="Arial" w:eastAsia="Arial" w:hAnsi="Arial"/>
                <w:sz w:val="20"/>
                <w:szCs w:val="20"/>
                <w:color w:val="auto"/>
              </w:rPr>
              <w:t>Northrop Grumman Reports Third Quarter 2022 Financial Results</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980" w:type="dxa"/>
            <w:vAlign w:val="bottom"/>
            <w:gridSpan w:val="3"/>
          </w:tcPr>
          <w:p>
            <w:pPr>
              <w:spacing w:after="0"/>
              <w:rPr>
                <w:sz w:val="20"/>
                <w:szCs w:val="20"/>
                <w:color w:val="auto"/>
              </w:rPr>
            </w:pPr>
            <w:r>
              <w:rPr>
                <w:rFonts w:ascii="Arial" w:cs="Arial" w:eastAsia="Arial" w:hAnsi="Arial"/>
                <w:sz w:val="22"/>
                <w:szCs w:val="22"/>
                <w:b w:val="1"/>
                <w:bCs w:val="1"/>
                <w:color w:val="auto"/>
              </w:rPr>
              <w:t>Segment Operating Results</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vMerge w:val="restart"/>
          </w:tcPr>
          <w:p>
            <w:pPr>
              <w:spacing w:after="0"/>
              <w:rPr>
                <w:sz w:val="20"/>
                <w:szCs w:val="20"/>
                <w:color w:val="auto"/>
              </w:rPr>
            </w:pPr>
            <w:r>
              <w:rPr>
                <w:rFonts w:ascii="Arial" w:cs="Arial" w:eastAsia="Arial" w:hAnsi="Arial"/>
                <w:sz w:val="22"/>
                <w:szCs w:val="22"/>
                <w:b w:val="1"/>
                <w:bCs w:val="1"/>
                <w:color w:val="auto"/>
              </w:rPr>
              <w:t>AERONAUTICS SYSTEMS</w:t>
            </w:r>
          </w:p>
        </w:tc>
        <w:tc>
          <w:tcPr>
            <w:tcW w:w="1140" w:type="dxa"/>
            <w:vAlign w:val="bottom"/>
            <w:vMerge w:val="restart"/>
          </w:tcPr>
          <w:p>
            <w:pPr>
              <w:spacing w:after="0"/>
              <w:rPr>
                <w:sz w:val="24"/>
                <w:szCs w:val="24"/>
                <w:color w:val="auto"/>
              </w:rPr>
            </w:pPr>
          </w:p>
        </w:tc>
        <w:tc>
          <w:tcPr>
            <w:tcW w:w="2340" w:type="dxa"/>
            <w:vAlign w:val="bottom"/>
            <w:gridSpan w:val="4"/>
          </w:tcPr>
          <w:p>
            <w:pPr>
              <w:jc w:val="right"/>
              <w:ind w:right="320"/>
              <w:spacing w:after="0"/>
              <w:rPr>
                <w:sz w:val="20"/>
                <w:szCs w:val="20"/>
                <w:color w:val="auto"/>
              </w:rPr>
            </w:pPr>
            <w:r>
              <w:rPr>
                <w:rFonts w:ascii="Arial" w:cs="Arial" w:eastAsia="Arial" w:hAnsi="Arial"/>
                <w:sz w:val="18"/>
                <w:szCs w:val="18"/>
                <w:color w:val="auto"/>
              </w:rPr>
              <w:t>Three Months Ended</w:t>
            </w:r>
          </w:p>
        </w:tc>
        <w:tc>
          <w:tcPr>
            <w:tcW w:w="1340" w:type="dxa"/>
            <w:vAlign w:val="bottom"/>
            <w:vMerge w:val="restart"/>
          </w:tcPr>
          <w:p>
            <w:pPr>
              <w:jc w:val="right"/>
              <w:ind w:right="4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120" w:type="dxa"/>
            <w:vAlign w:val="bottom"/>
            <w:gridSpan w:val="3"/>
          </w:tcPr>
          <w:p>
            <w:pPr>
              <w:jc w:val="right"/>
              <w:ind w:right="312"/>
              <w:spacing w:after="0"/>
              <w:rPr>
                <w:sz w:val="20"/>
                <w:szCs w:val="20"/>
                <w:color w:val="auto"/>
              </w:rPr>
            </w:pPr>
            <w:r>
              <w:rPr>
                <w:rFonts w:ascii="Arial" w:cs="Arial" w:eastAsia="Arial" w:hAnsi="Arial"/>
                <w:sz w:val="18"/>
                <w:szCs w:val="18"/>
                <w:color w:val="auto"/>
              </w:rPr>
              <w:t>Nine Months Ended</w:t>
            </w:r>
          </w:p>
        </w:tc>
        <w:tc>
          <w:tcPr>
            <w:tcW w:w="1220" w:type="dxa"/>
            <w:vAlign w:val="bottom"/>
            <w:vMerge w:val="restart"/>
          </w:tcPr>
          <w:p>
            <w:pPr>
              <w:jc w:val="right"/>
              <w:ind w:right="386"/>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23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color w:val="auto"/>
              </w:rPr>
              <w:t>September 30</w:t>
            </w:r>
          </w:p>
        </w:tc>
        <w:tc>
          <w:tcPr>
            <w:tcW w:w="134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color w:val="auto"/>
              </w:rPr>
              <w:t>September 30</w:t>
            </w: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w:t>
            </w: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jc w:val="right"/>
              <w:ind w:right="146"/>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    2,537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2,725</w:t>
            </w:r>
          </w:p>
        </w:tc>
        <w:tc>
          <w:tcPr>
            <w:tcW w:w="158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(7)%  $</w:t>
            </w: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7,774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8,628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262</w:t>
            </w:r>
          </w:p>
        </w:tc>
        <w:tc>
          <w:tcPr>
            <w:tcW w:w="2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340" w:type="dxa"/>
            <w:vAlign w:val="bottom"/>
          </w:tcPr>
          <w:p>
            <w:pPr>
              <w:ind w:left="82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8"/>
                <w:szCs w:val="18"/>
                <w:b w:val="1"/>
                <w:bCs w:val="1"/>
                <w:color w:val="auto"/>
              </w:rPr>
              <w:t>827</w:t>
            </w:r>
          </w:p>
        </w:tc>
        <w:tc>
          <w:tcPr>
            <w:tcW w:w="30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873</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9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i w:val="1"/>
                <w:iCs w:val="1"/>
                <w:color w:val="auto"/>
              </w:rPr>
              <w:t>Operating margin rate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10.3 %</w:t>
            </w: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i w:val="1"/>
                <w:iCs w:val="1"/>
                <w:color w:val="auto"/>
              </w:rPr>
              <w:t>9.7 %</w:t>
            </w: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10.6 %</w:t>
            </w: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10.1 %</w:t>
            </w: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20" w:firstLine="324"/>
        <w:spacing w:after="0" w:line="248" w:lineRule="auto"/>
        <w:rPr>
          <w:sz w:val="20"/>
          <w:szCs w:val="20"/>
          <w:color w:val="auto"/>
        </w:rPr>
      </w:pPr>
      <w:r>
        <w:rPr>
          <w:rFonts w:ascii="Arial" w:cs="Arial" w:eastAsia="Arial" w:hAnsi="Arial"/>
          <w:sz w:val="22"/>
          <w:szCs w:val="22"/>
          <w:color w:val="auto"/>
        </w:rPr>
        <w:t>Third quarter 2022 sales decreased $188 million, or 7 percent, due to lower volume in both Manned Aircraft and Autonomous Systems, including restricted programs, E-2, and the Joint Surveillance and Target Attack Radar System (JSTARS) program as it nears completion.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ind w:right="200" w:firstLine="324"/>
        <w:spacing w:after="0" w:line="250" w:lineRule="auto"/>
        <w:rPr>
          <w:sz w:val="20"/>
          <w:szCs w:val="20"/>
          <w:color w:val="auto"/>
        </w:rPr>
      </w:pPr>
      <w:r>
        <w:rPr>
          <w:rFonts w:ascii="Arial" w:cs="Arial" w:eastAsia="Arial" w:hAnsi="Arial"/>
          <w:sz w:val="22"/>
          <w:szCs w:val="22"/>
          <w:color w:val="auto"/>
        </w:rPr>
        <w:t>Third quarter 2022 operating income decreased $3 million, or 1 percent, due to lower sales, partially offset by a higher operating margin rate. Operating margin rate increased to 10.3 percent from 9.7 percent primarily due to higher net favorable EAC adjustments in Manned Aircraft. Prior year results included a $42 million unfavorable EAC adjustment on F-35.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DEFENSE SYSTEMS</w:t>
            </w:r>
          </w:p>
        </w:tc>
        <w:tc>
          <w:tcPr>
            <w:tcW w:w="2380" w:type="dxa"/>
            <w:vAlign w:val="bottom"/>
            <w:gridSpan w:val="3"/>
          </w:tcPr>
          <w:p>
            <w:pPr>
              <w:jc w:val="right"/>
              <w:ind w:right="252"/>
              <w:spacing w:after="0"/>
              <w:rPr>
                <w:sz w:val="20"/>
                <w:szCs w:val="20"/>
                <w:color w:val="auto"/>
              </w:rPr>
            </w:pPr>
            <w:r>
              <w:rPr>
                <w:rFonts w:ascii="Arial" w:cs="Arial" w:eastAsia="Arial" w:hAnsi="Arial"/>
                <w:sz w:val="18"/>
                <w:szCs w:val="18"/>
                <w:color w:val="auto"/>
              </w:rPr>
              <w:t>Three Months Ended</w:t>
            </w:r>
          </w:p>
        </w:tc>
        <w:tc>
          <w:tcPr>
            <w:tcW w:w="1340" w:type="dxa"/>
            <w:vAlign w:val="bottom"/>
            <w:vMerge w:val="restart"/>
          </w:tcPr>
          <w:p>
            <w:pPr>
              <w:jc w:val="right"/>
              <w:ind w:right="5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140" w:type="dxa"/>
            <w:vAlign w:val="bottom"/>
            <w:gridSpan w:val="3"/>
          </w:tcPr>
          <w:p>
            <w:pPr>
              <w:jc w:val="right"/>
              <w:ind w:right="312"/>
              <w:spacing w:after="0"/>
              <w:rPr>
                <w:sz w:val="20"/>
                <w:szCs w:val="20"/>
                <w:color w:val="auto"/>
              </w:rPr>
            </w:pPr>
            <w:r>
              <w:rPr>
                <w:rFonts w:ascii="Arial" w:cs="Arial" w:eastAsia="Arial" w:hAnsi="Arial"/>
                <w:sz w:val="18"/>
                <w:szCs w:val="18"/>
                <w:color w:val="auto"/>
              </w:rPr>
              <w:t>Nine Months Ended</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38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color w:val="auto"/>
              </w:rPr>
              <w:t>September 30</w:t>
            </w:r>
          </w:p>
        </w:tc>
        <w:tc>
          <w:tcPr>
            <w:tcW w:w="134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color w:val="auto"/>
              </w:rPr>
              <w:t>September 30</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    1,345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  $</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3,922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4,398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158</w:t>
            </w:r>
          </w:p>
        </w:tc>
        <w:tc>
          <w:tcPr>
            <w:tcW w:w="30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175</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24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b w:val="1"/>
                <w:bCs w:val="1"/>
                <w:color w:val="auto"/>
              </w:rPr>
              <w:t>481</w:t>
            </w:r>
          </w:p>
        </w:tc>
        <w:tc>
          <w:tcPr>
            <w:tcW w:w="2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529</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11.7 %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12.4 %</w:t>
            </w: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12.3 %</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12.0 %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Third quarter 2022 sales decreased $64 million, or 5 percent, primarily due to lower scope on an international training program, the completion of a Joint Services support program and wind down of the UKAWACS and JSTARS programs, partially offset by higher volume on the NATO Alliance Ground Surveillance In-Service Support (NATO AGS ISS) and advanced fuze programs.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26" w:lineRule="exact"/>
        <w:rPr>
          <w:sz w:val="20"/>
          <w:szCs w:val="20"/>
          <w:color w:val="auto"/>
        </w:rPr>
      </w:pPr>
    </w:p>
    <w:p>
      <w:pPr>
        <w:ind w:right="520" w:firstLine="324"/>
        <w:spacing w:after="0" w:line="246" w:lineRule="auto"/>
        <w:rPr>
          <w:sz w:val="20"/>
          <w:szCs w:val="20"/>
          <w:color w:val="auto"/>
        </w:rPr>
      </w:pPr>
      <w:r>
        <w:rPr>
          <w:rFonts w:ascii="Arial" w:cs="Arial" w:eastAsia="Arial" w:hAnsi="Arial"/>
          <w:sz w:val="22"/>
          <w:szCs w:val="22"/>
          <w:color w:val="auto"/>
        </w:rPr>
        <w:t>Third quarter 2022 operating income decreased $17 million, or 10 percent, primarily due to lower sales and a lower operating margin rate. Operating margin rate decreased to 11.7 percent from 12.4 percent primarily due to lower net favorable EAC adjustments at Battle Management and Missile Systems, partially offset by improved performance in the Mission Readiness business area.</w:t>
      </w:r>
    </w:p>
    <w:p>
      <w:pPr>
        <w:spacing w:after="0" w:line="200" w:lineRule="exact"/>
        <w:rPr>
          <w:sz w:val="20"/>
          <w:szCs w:val="20"/>
          <w:color w:val="auto"/>
        </w:rPr>
      </w:pPr>
    </w:p>
    <w:p>
      <w:pPr>
        <w:spacing w:after="0" w:line="379" w:lineRule="exact"/>
        <w:rPr>
          <w:sz w:val="20"/>
          <w:szCs w:val="20"/>
          <w:color w:val="auto"/>
        </w:rPr>
      </w:pPr>
    </w:p>
    <w:p>
      <w:pPr>
        <w:ind w:left="120" w:hanging="94"/>
        <w:spacing w:after="0"/>
        <w:tabs>
          <w:tab w:leader="none" w:pos="1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260" w:type="dxa"/>
            <w:vAlign w:val="bottom"/>
            <w:gridSpan w:val="5"/>
          </w:tcPr>
          <w:p>
            <w:pPr>
              <w:spacing w:after="0"/>
              <w:rPr>
                <w:sz w:val="20"/>
                <w:szCs w:val="20"/>
                <w:color w:val="auto"/>
              </w:rPr>
            </w:pPr>
            <w:r>
              <w:rPr>
                <w:rFonts w:ascii="Arial" w:cs="Arial" w:eastAsia="Arial" w:hAnsi="Arial"/>
                <w:sz w:val="20"/>
                <w:szCs w:val="20"/>
                <w:color w:val="auto"/>
              </w:rPr>
              <w:t>Northrop Grumman Reports Third Quarter 2022 Financial Results</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20" w:type="dxa"/>
            <w:vAlign w:val="bottom"/>
          </w:tcPr>
          <w:p>
            <w:pPr>
              <w:spacing w:after="0"/>
              <w:rPr>
                <w:sz w:val="24"/>
                <w:szCs w:val="24"/>
                <w:color w:val="auto"/>
              </w:rPr>
            </w:pPr>
          </w:p>
        </w:tc>
        <w:tc>
          <w:tcPr>
            <w:tcW w:w="3880" w:type="dxa"/>
            <w:vAlign w:val="bottom"/>
            <w:vMerge w:val="restart"/>
          </w:tcPr>
          <w:p>
            <w:pPr>
              <w:spacing w:after="0"/>
              <w:rPr>
                <w:sz w:val="20"/>
                <w:szCs w:val="20"/>
                <w:color w:val="auto"/>
              </w:rPr>
            </w:pPr>
            <w:r>
              <w:rPr>
                <w:rFonts w:ascii="Arial" w:cs="Arial" w:eastAsia="Arial" w:hAnsi="Arial"/>
                <w:sz w:val="22"/>
                <w:szCs w:val="22"/>
                <w:b w:val="1"/>
                <w:bCs w:val="1"/>
                <w:color w:val="auto"/>
              </w:rPr>
              <w:t>MISSION SYSTEMS</w:t>
            </w:r>
          </w:p>
        </w:tc>
        <w:tc>
          <w:tcPr>
            <w:tcW w:w="2380" w:type="dxa"/>
            <w:vAlign w:val="bottom"/>
            <w:gridSpan w:val="4"/>
          </w:tcPr>
          <w:p>
            <w:pPr>
              <w:jc w:val="right"/>
              <w:ind w:right="340"/>
              <w:spacing w:after="0"/>
              <w:rPr>
                <w:sz w:val="20"/>
                <w:szCs w:val="20"/>
                <w:color w:val="auto"/>
              </w:rPr>
            </w:pPr>
            <w:r>
              <w:rPr>
                <w:rFonts w:ascii="Arial" w:cs="Arial" w:eastAsia="Arial" w:hAnsi="Arial"/>
                <w:sz w:val="18"/>
                <w:szCs w:val="18"/>
                <w:color w:val="auto"/>
              </w:rPr>
              <w:t>Three Months Ended</w:t>
            </w:r>
          </w:p>
        </w:tc>
        <w:tc>
          <w:tcPr>
            <w:tcW w:w="13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2140" w:type="dxa"/>
            <w:vAlign w:val="bottom"/>
            <w:gridSpan w:val="3"/>
          </w:tcPr>
          <w:p>
            <w:pPr>
              <w:jc w:val="right"/>
              <w:ind w:right="312"/>
              <w:spacing w:after="0"/>
              <w:rPr>
                <w:sz w:val="20"/>
                <w:szCs w:val="20"/>
                <w:color w:val="auto"/>
              </w:rPr>
            </w:pPr>
            <w:r>
              <w:rPr>
                <w:rFonts w:ascii="Arial" w:cs="Arial" w:eastAsia="Arial" w:hAnsi="Arial"/>
                <w:sz w:val="18"/>
                <w:szCs w:val="18"/>
                <w:color w:val="auto"/>
              </w:rPr>
              <w:t>Nine Months Ended</w:t>
            </w:r>
          </w:p>
        </w:tc>
        <w:tc>
          <w:tcPr>
            <w:tcW w:w="1240" w:type="dxa"/>
            <w:vAlign w:val="bottom"/>
            <w:vMerge w:val="restart"/>
          </w:tcPr>
          <w:p>
            <w:pPr>
              <w:jc w:val="right"/>
              <w:ind w:right="386"/>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80" w:type="dxa"/>
            <w:vAlign w:val="bottom"/>
            <w:vMerge w:val="continue"/>
          </w:tcPr>
          <w:p>
            <w:pPr>
              <w:spacing w:after="0"/>
              <w:rPr>
                <w:sz w:val="20"/>
                <w:szCs w:val="20"/>
                <w:color w:val="auto"/>
              </w:rPr>
            </w:pPr>
          </w:p>
        </w:tc>
        <w:tc>
          <w:tcPr>
            <w:tcW w:w="23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color w:val="auto"/>
              </w:rPr>
              <w:t>September 30</w:t>
            </w:r>
          </w:p>
        </w:tc>
        <w:tc>
          <w:tcPr>
            <w:tcW w:w="134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color w:val="auto"/>
              </w:rPr>
              <w:t>September 30</w:t>
            </w: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1240" w:type="dxa"/>
            <w:vAlign w:val="bottom"/>
            <w:tcBorders>
              <w:bottom w:val="single" w:sz="8" w:color="auto"/>
            </w:tcBorders>
          </w:tcPr>
          <w:p>
            <w:pPr>
              <w:jc w:val="right"/>
              <w:ind w:right="146"/>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    2,456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1 %  $</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7,469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368</w:t>
            </w: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372</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b w:val="1"/>
                <w:bCs w:val="1"/>
                <w:color w:val="auto"/>
              </w:rPr>
              <w:t>1,166</w:t>
            </w:r>
          </w:p>
        </w:tc>
        <w:tc>
          <w:tcPr>
            <w:tcW w:w="2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1,177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i w:val="1"/>
                <w:iCs w:val="1"/>
                <w:color w:val="auto"/>
              </w:rPr>
              <w:t>Operating margin rate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15.0 %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i w:val="1"/>
                <w:iCs w:val="1"/>
                <w:color w:val="auto"/>
              </w:rPr>
              <w:t>15.3 %</w:t>
            </w: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15.6 %</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15.5 %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200" w:firstLine="324"/>
        <w:spacing w:after="0" w:line="249" w:lineRule="auto"/>
        <w:rPr>
          <w:sz w:val="20"/>
          <w:szCs w:val="20"/>
          <w:color w:val="auto"/>
        </w:rPr>
      </w:pPr>
      <w:r>
        <w:rPr>
          <w:rFonts w:ascii="Arial" w:cs="Arial" w:eastAsia="Arial" w:hAnsi="Arial"/>
          <w:sz w:val="22"/>
          <w:szCs w:val="22"/>
          <w:color w:val="auto"/>
        </w:rPr>
        <w:t>Third quarter 2022 sales increased $20 million, or 1 percent, primarily due to higher restricted sales in the Networked Information Solutions business area as well as higher Surface Electronic Warfare Improvement Program (SEWIP) volume. These increases were partially offset by lower volume on Navigation, Targeting and Survivability programs and the Joint Counter Radio-Controlled Improvised Explosive Device Electronic Warfare (JCREW) program.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100" w:lineRule="exact"/>
        <w:rPr>
          <w:sz w:val="20"/>
          <w:szCs w:val="20"/>
          <w:color w:val="auto"/>
        </w:rPr>
      </w:pPr>
    </w:p>
    <w:p>
      <w:pPr>
        <w:ind w:right="160" w:firstLine="324"/>
        <w:spacing w:after="0" w:line="253" w:lineRule="auto"/>
        <w:rPr>
          <w:sz w:val="20"/>
          <w:szCs w:val="20"/>
          <w:color w:val="auto"/>
        </w:rPr>
      </w:pPr>
      <w:r>
        <w:rPr>
          <w:rFonts w:ascii="Arial" w:cs="Arial" w:eastAsia="Arial" w:hAnsi="Arial"/>
          <w:sz w:val="22"/>
          <w:szCs w:val="22"/>
          <w:color w:val="auto"/>
        </w:rPr>
        <w:t>Third quarter 2022 operating income decreased $4 million, or 1 percent, due to a lower operating margin rate, partially offset by higher sales. Operating margin rate decreased to 15.0 percent from 15.3 percent principally due to lower net EAC adjustments, largely in the Maritime/Land Systems &amp; Sensors and Navigation, Targeting &amp; Survivability business areas, partially offset by improved performance on restricted programs at Networked Information Solutions.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SPACE SYSTEMS</w:t>
            </w:r>
          </w:p>
        </w:tc>
        <w:tc>
          <w:tcPr>
            <w:tcW w:w="2380" w:type="dxa"/>
            <w:vAlign w:val="bottom"/>
            <w:gridSpan w:val="3"/>
          </w:tcPr>
          <w:p>
            <w:pPr>
              <w:jc w:val="right"/>
              <w:ind w:right="252"/>
              <w:spacing w:after="0"/>
              <w:rPr>
                <w:sz w:val="20"/>
                <w:szCs w:val="20"/>
                <w:color w:val="auto"/>
              </w:rPr>
            </w:pPr>
            <w:r>
              <w:rPr>
                <w:rFonts w:ascii="Arial" w:cs="Arial" w:eastAsia="Arial" w:hAnsi="Arial"/>
                <w:sz w:val="18"/>
                <w:szCs w:val="18"/>
                <w:color w:val="auto"/>
              </w:rPr>
              <w:t>Three Months Ended</w:t>
            </w:r>
          </w:p>
        </w:tc>
        <w:tc>
          <w:tcPr>
            <w:tcW w:w="13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2140" w:type="dxa"/>
            <w:vAlign w:val="bottom"/>
            <w:gridSpan w:val="3"/>
          </w:tcPr>
          <w:p>
            <w:pPr>
              <w:jc w:val="right"/>
              <w:ind w:right="312"/>
              <w:spacing w:after="0"/>
              <w:rPr>
                <w:sz w:val="20"/>
                <w:szCs w:val="20"/>
                <w:color w:val="auto"/>
              </w:rPr>
            </w:pPr>
            <w:r>
              <w:rPr>
                <w:rFonts w:ascii="Arial" w:cs="Arial" w:eastAsia="Arial" w:hAnsi="Arial"/>
                <w:sz w:val="18"/>
                <w:szCs w:val="18"/>
                <w:color w:val="auto"/>
              </w:rPr>
              <w:t>Nine Months Ended</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38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color w:val="auto"/>
              </w:rPr>
              <w:t>September 30</w:t>
            </w:r>
          </w:p>
        </w:tc>
        <w:tc>
          <w:tcPr>
            <w:tcW w:w="134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color w:val="auto"/>
              </w:rPr>
              <w:t>September 30</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18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    3,163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2,681</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18 %  $</w:t>
            </w:r>
          </w:p>
        </w:tc>
        <w:tc>
          <w:tcPr>
            <w:tcW w:w="96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8,997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7,950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290</w:t>
            </w:r>
          </w:p>
        </w:tc>
        <w:tc>
          <w:tcPr>
            <w:tcW w:w="30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288</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1 %</w:t>
            </w:r>
          </w:p>
        </w:tc>
        <w:tc>
          <w:tcPr>
            <w:tcW w:w="240" w:type="dxa"/>
            <w:vAlign w:val="bottom"/>
          </w:tcPr>
          <w:p>
            <w:pPr>
              <w:spacing w:after="0"/>
              <w:rPr>
                <w:sz w:val="19"/>
                <w:szCs w:val="19"/>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b w:val="1"/>
                <w:bCs w:val="1"/>
                <w:color w:val="auto"/>
              </w:rPr>
              <w:t>861</w:t>
            </w:r>
          </w:p>
        </w:tc>
        <w:tc>
          <w:tcPr>
            <w:tcW w:w="280" w:type="dxa"/>
            <w:vAlign w:val="bottom"/>
          </w:tcPr>
          <w:p>
            <w:pPr>
              <w:spacing w:after="0"/>
              <w:rPr>
                <w:sz w:val="19"/>
                <w:szCs w:val="19"/>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865</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9.2 %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10.7 %</w:t>
            </w: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9.6 %</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10.9 %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6" w:lineRule="exact"/>
        <w:rPr>
          <w:sz w:val="20"/>
          <w:szCs w:val="20"/>
          <w:color w:val="auto"/>
        </w:rPr>
      </w:pPr>
    </w:p>
    <w:p>
      <w:pPr>
        <w:ind w:right="220" w:firstLine="324"/>
        <w:spacing w:after="0" w:line="260" w:lineRule="auto"/>
        <w:rPr>
          <w:sz w:val="20"/>
          <w:szCs w:val="20"/>
          <w:color w:val="auto"/>
        </w:rPr>
      </w:pPr>
      <w:r>
        <w:rPr>
          <w:rFonts w:ascii="Arial" w:cs="Arial" w:eastAsia="Arial" w:hAnsi="Arial"/>
          <w:sz w:val="21"/>
          <w:szCs w:val="21"/>
          <w:color w:val="auto"/>
        </w:rPr>
        <w:t>Third quarter 2022 sales increased $482 million, or 18 percent, due to higher sales in both business areas. Launch &amp; Strategic Missiles sales increased primarily due to ramp-up on development programs, including a $115 million increase on the Ground Based Strategic Deterrent (GBSD) program and a $103 million increase on the Next Generation Interceptor (NGI) program, as well as higher volume on the GEM63 program in support of Amazon’s Project Kuiper. Sales in the Space business area were driven by a $129 million increase due to ramp-up on the Space Development Agency (SDA) Tranche 1 Transport Layer and Tranche 1 Tracking Layer programs awarded in 2022, as well as higher volume on restricted programs and the Commercial Resupply Services (CRS) program.</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39" w:lineRule="exact"/>
        <w:rPr>
          <w:sz w:val="20"/>
          <w:szCs w:val="20"/>
          <w:color w:val="auto"/>
        </w:rPr>
      </w:pPr>
    </w:p>
    <w:p>
      <w:pPr>
        <w:ind w:right="60" w:firstLine="324"/>
        <w:spacing w:after="0" w:line="248" w:lineRule="auto"/>
        <w:rPr>
          <w:sz w:val="20"/>
          <w:szCs w:val="20"/>
          <w:color w:val="auto"/>
        </w:rPr>
      </w:pPr>
      <w:r>
        <w:rPr>
          <w:rFonts w:ascii="Arial" w:cs="Arial" w:eastAsia="Arial" w:hAnsi="Arial"/>
          <w:sz w:val="22"/>
          <w:szCs w:val="22"/>
          <w:color w:val="auto"/>
        </w:rPr>
        <w:t>Third quarter 2022 operating income was comparable to the prior year period and reflects higher sales and a lower operating margin rate. Operating margin rate decreased to 9.2 percent from 10.7 percent primarily due to lower net EAC adjustments and higher volume on early-stage development programs, such as NGI and GBSD.</w:t>
      </w:r>
    </w:p>
    <w:p>
      <w:pPr>
        <w:spacing w:after="0" w:line="200" w:lineRule="exact"/>
        <w:rPr>
          <w:sz w:val="20"/>
          <w:szCs w:val="20"/>
          <w:color w:val="auto"/>
        </w:rPr>
      </w:pPr>
    </w:p>
    <w:p>
      <w:pPr>
        <w:spacing w:after="0" w:line="296" w:lineRule="exact"/>
        <w:rPr>
          <w:sz w:val="20"/>
          <w:szCs w:val="20"/>
          <w:color w:val="auto"/>
        </w:rPr>
      </w:pPr>
    </w:p>
    <w:p>
      <w:pPr>
        <w:ind w:left="120" w:hanging="94"/>
        <w:spacing w:after="0"/>
        <w:tabs>
          <w:tab w:leader="none" w:pos="120" w:val="left"/>
        </w:tabs>
        <w:numPr>
          <w:ilvl w:val="0"/>
          <w:numId w:val="10"/>
        </w:numPr>
        <w:rPr>
          <w:rFonts w:ascii="Arial" w:cs="Arial" w:eastAsia="Arial" w:hAnsi="Arial"/>
          <w:sz w:val="9"/>
          <w:szCs w:val="9"/>
          <w:color w:val="auto"/>
        </w:rPr>
      </w:pPr>
      <w:r>
        <w:rPr>
          <w:rFonts w:ascii="Arial" w:cs="Arial" w:eastAsia="Arial" w:hAnsi="Arial"/>
          <w:sz w:val="14"/>
          <w:szCs w:val="14"/>
          <w:color w:val="auto"/>
        </w:rPr>
        <w:t>Non-GAAP measure - see definitions at the end of this earnings release.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0" w:name="page11"/>
    <w:bookmarkEnd w:id="10"/>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7</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Guidance</w:t>
      </w:r>
    </w:p>
    <w:p>
      <w:pPr>
        <w:spacing w:after="0" w:line="100" w:lineRule="exact"/>
        <w:rPr>
          <w:sz w:val="20"/>
          <w:szCs w:val="20"/>
          <w:color w:val="auto"/>
        </w:rPr>
      </w:pPr>
    </w:p>
    <w:p>
      <w:pPr>
        <w:ind w:firstLine="240"/>
        <w:spacing w:after="0" w:line="246" w:lineRule="auto"/>
        <w:rPr>
          <w:sz w:val="20"/>
          <w:szCs w:val="20"/>
          <w:color w:val="auto"/>
        </w:rPr>
      </w:pPr>
      <w:r>
        <w:rPr>
          <w:rFonts w:ascii="Arial" w:cs="Arial" w:eastAsia="Arial" w:hAnsi="Arial"/>
          <w:sz w:val="22"/>
          <w:szCs w:val="22"/>
          <w:color w:val="auto"/>
        </w:rPr>
        <w:t>Financial guidance, as well as outlook, trends, expectations and other forward looking statements provided by the company for 2022 and beyond, reflect the company's judgment based on the information available to the company at the time of this release. The company’s 2022 financial guidance and outlook beyond 2022 reflect what the company currently anticipates will be the impacts on the company from the global COVID-19 pandemic and the broader economic environment, based on what the company understands today and what the company has experienced to date. However, the company cannot predict how the pandemic or the macroeconomic environment will evolve or what impact they will continue to have, and there can be no assurance that the company’s underlying assumptions are correct. As discussed more fully in the company’s Form 10-K and in the recent Form 10-Q, and among other factors, disruptions to the company’s operations or those of its customers, supply chain and logistics challenges, including extended material lead times, challenges to the labor market and our workforce, including labor shortages and evolving government requirements, disruptions in the financial markets, inflationary pressures and increased costs, impacts on programs or payments, and changes in our customers' priorities, resources and requirements, relating to the global COVID-19 pandemic and/or macroeconomic environment, today and as they may evolve, can be expected to affect the company’s ability to achieve guidance or meet expectations. In addition, global events, such as the conflict in Ukraine, and the government budget, appropriations and procurement priorities and processes can impact our customers, programs and financial results. These events, priorities and processes, including the timing of appropriations and the occurrence of an extended continuing resolution and/or prolonged government shutdown, as well as a breach of the debt ceiling, extraordinary measures taken in connection with a breach, changes in support for our programs, or changes in federal corporate tax or securities laws and regulations, can impact the company's ability to achieve guidance or meet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718820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53"/>
        </w:trPr>
        <w:tc>
          <w:tcPr>
            <w:tcW w:w="6560" w:type="dxa"/>
            <w:vAlign w:val="bottom"/>
            <w:gridSpan w:val="2"/>
          </w:tcPr>
          <w:p>
            <w:pPr>
              <w:ind w:left="20"/>
              <w:spacing w:after="0"/>
              <w:rPr>
                <w:sz w:val="20"/>
                <w:szCs w:val="20"/>
                <w:color w:val="auto"/>
              </w:rPr>
            </w:pPr>
            <w:r>
              <w:rPr>
                <w:rFonts w:ascii="Arial" w:cs="Arial" w:eastAsia="Arial" w:hAnsi="Arial"/>
                <w:sz w:val="20"/>
                <w:szCs w:val="20"/>
                <w:color w:val="auto"/>
              </w:rPr>
              <w:t>Northrop Grumman Reports Third Quarter 2022 Financial Results</w:t>
            </w: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25"/>
        </w:trPr>
        <w:tc>
          <w:tcPr>
            <w:tcW w:w="5760" w:type="dxa"/>
            <w:vAlign w:val="bottom"/>
            <w:tcBorders>
              <w:top w:val="single" w:sz="8" w:color="auto"/>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3"/>
        </w:trPr>
        <w:tc>
          <w:tcPr>
            <w:tcW w:w="6560" w:type="dxa"/>
            <w:vAlign w:val="bottom"/>
            <w:tcBorders>
              <w:left w:val="single" w:sz="8" w:color="auto"/>
              <w:bottom w:val="single" w:sz="8" w:color="auto"/>
            </w:tcBorders>
            <w:gridSpan w:val="2"/>
          </w:tcPr>
          <w:p>
            <w:pPr>
              <w:ind w:left="4860"/>
              <w:spacing w:after="0"/>
              <w:rPr>
                <w:sz w:val="20"/>
                <w:szCs w:val="20"/>
                <w:color w:val="auto"/>
              </w:rPr>
            </w:pPr>
            <w:r>
              <w:rPr>
                <w:rFonts w:ascii="Arial" w:cs="Arial" w:eastAsia="Arial" w:hAnsi="Arial"/>
                <w:sz w:val="22"/>
                <w:szCs w:val="22"/>
                <w:b w:val="1"/>
                <w:bCs w:val="1"/>
                <w:color w:val="auto"/>
              </w:rPr>
              <w:t>2022 Guidance</w:t>
            </w:r>
          </w:p>
        </w:tc>
        <w:tc>
          <w:tcPr>
            <w:tcW w:w="8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right w:val="single" w:sz="8" w:color="auto"/>
            </w:tcBorders>
          </w:tcPr>
          <w:p>
            <w:pPr>
              <w:spacing w:after="0"/>
              <w:rPr>
                <w:sz w:val="22"/>
                <w:szCs w:val="22"/>
                <w:color w:val="auto"/>
              </w:rPr>
            </w:pPr>
          </w:p>
        </w:tc>
      </w:tr>
      <w:tr>
        <w:trPr>
          <w:trHeight w:val="223"/>
        </w:trPr>
        <w:tc>
          <w:tcPr>
            <w:tcW w:w="65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320" w:type="dxa"/>
            <w:vAlign w:val="bottom"/>
            <w:tcBorders>
              <w:bottom w:val="single" w:sz="8" w:color="auto"/>
              <w:right w:val="single" w:sz="8" w:color="auto"/>
            </w:tcBorders>
            <w:gridSpan w:val="3"/>
          </w:tcPr>
          <w:p>
            <w:pPr>
              <w:ind w:left="520"/>
              <w:spacing w:after="0"/>
              <w:rPr>
                <w:sz w:val="20"/>
                <w:szCs w:val="20"/>
                <w:color w:val="auto"/>
              </w:rPr>
            </w:pPr>
            <w:r>
              <w:rPr>
                <w:rFonts w:ascii="Arial" w:cs="Arial" w:eastAsia="Arial" w:hAnsi="Arial"/>
                <w:sz w:val="18"/>
                <w:szCs w:val="18"/>
                <w:color w:val="auto"/>
              </w:rPr>
              <w:t>As of 7/28/2022</w:t>
            </w:r>
          </w:p>
        </w:tc>
        <w:tc>
          <w:tcPr>
            <w:tcW w:w="2360" w:type="dxa"/>
            <w:vAlign w:val="bottom"/>
            <w:tcBorders>
              <w:bottom w:val="single" w:sz="8" w:color="auto"/>
              <w:right w:val="single" w:sz="8" w:color="auto"/>
            </w:tcBorders>
            <w:gridSpan w:val="3"/>
          </w:tcPr>
          <w:p>
            <w:pPr>
              <w:jc w:val="right"/>
              <w:ind w:right="402"/>
              <w:spacing w:after="0"/>
              <w:rPr>
                <w:sz w:val="20"/>
                <w:szCs w:val="20"/>
                <w:color w:val="auto"/>
              </w:rPr>
            </w:pPr>
            <w:r>
              <w:rPr>
                <w:rFonts w:ascii="Arial" w:cs="Arial" w:eastAsia="Arial" w:hAnsi="Arial"/>
                <w:sz w:val="18"/>
                <w:szCs w:val="18"/>
                <w:b w:val="1"/>
                <w:bCs w:val="1"/>
                <w:color w:val="auto"/>
              </w:rPr>
              <w:t>As of 10/27/2022</w:t>
            </w:r>
          </w:p>
        </w:tc>
      </w:tr>
      <w:tr>
        <w:trPr>
          <w:trHeight w:val="250"/>
        </w:trPr>
        <w:tc>
          <w:tcPr>
            <w:tcW w:w="6560" w:type="dxa"/>
            <w:vAlign w:val="bottom"/>
            <w:tcBorders>
              <w:left w:val="single" w:sz="8" w:color="auto"/>
              <w:bottom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Sales</w:t>
            </w:r>
          </w:p>
        </w:tc>
        <w:tc>
          <w:tcPr>
            <w:tcW w:w="820" w:type="dxa"/>
            <w:vAlign w:val="bottom"/>
            <w:tcBorders>
              <w:bottom w:val="single" w:sz="8" w:color="auto"/>
            </w:tcBorders>
            <w:shd w:val="clear" w:color="auto" w:fill="CCEEFF"/>
          </w:tcPr>
          <w:p>
            <w:pPr>
              <w:jc w:val="center"/>
              <w:ind w:left="44"/>
              <w:spacing w:after="0"/>
              <w:rPr>
                <w:sz w:val="20"/>
                <w:szCs w:val="20"/>
                <w:color w:val="auto"/>
              </w:rPr>
            </w:pPr>
            <w:r>
              <w:rPr>
                <w:rFonts w:ascii="Arial" w:cs="Arial" w:eastAsia="Arial" w:hAnsi="Arial"/>
                <w:sz w:val="20"/>
                <w:szCs w:val="20"/>
                <w:color w:val="auto"/>
                <w:w w:val="98"/>
              </w:rPr>
              <w:t>36,200</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9"/>
              </w:rPr>
              <w:t>—</w:t>
            </w:r>
          </w:p>
        </w:tc>
        <w:tc>
          <w:tcPr>
            <w:tcW w:w="860" w:type="dxa"/>
            <w:vAlign w:val="bottom"/>
            <w:tcBorders>
              <w:bottom w:val="single" w:sz="8" w:color="auto"/>
              <w:right w:val="single" w:sz="8" w:color="auto"/>
            </w:tcBorders>
            <w:shd w:val="clear" w:color="auto" w:fill="CCEEFF"/>
          </w:tcPr>
          <w:p>
            <w:pPr>
              <w:jc w:val="center"/>
              <w:ind w:right="83"/>
              <w:spacing w:after="0"/>
              <w:rPr>
                <w:sz w:val="20"/>
                <w:szCs w:val="20"/>
                <w:color w:val="auto"/>
              </w:rPr>
            </w:pPr>
            <w:r>
              <w:rPr>
                <w:rFonts w:ascii="Arial" w:cs="Arial" w:eastAsia="Arial" w:hAnsi="Arial"/>
                <w:sz w:val="20"/>
                <w:szCs w:val="20"/>
                <w:color w:val="auto"/>
                <w:w w:val="98"/>
              </w:rPr>
              <w:t>36,600</w:t>
            </w:r>
          </w:p>
        </w:tc>
        <w:tc>
          <w:tcPr>
            <w:tcW w:w="840" w:type="dxa"/>
            <w:vAlign w:val="bottom"/>
            <w:tcBorders>
              <w:bottom w:val="single" w:sz="8" w:color="auto"/>
            </w:tcBorders>
            <w:shd w:val="clear" w:color="auto" w:fill="CCEEFF"/>
          </w:tcPr>
          <w:p>
            <w:pPr>
              <w:jc w:val="center"/>
              <w:ind w:left="45"/>
              <w:spacing w:after="0"/>
              <w:rPr>
                <w:sz w:val="20"/>
                <w:szCs w:val="20"/>
                <w:color w:val="auto"/>
              </w:rPr>
            </w:pPr>
            <w:r>
              <w:rPr>
                <w:rFonts w:ascii="Arial" w:cs="Arial" w:eastAsia="Arial" w:hAnsi="Arial"/>
                <w:sz w:val="20"/>
                <w:szCs w:val="20"/>
                <w:b w:val="1"/>
                <w:bCs w:val="1"/>
                <w:color w:val="auto"/>
              </w:rPr>
              <w:t>36,200</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20"/>
                <w:szCs w:val="20"/>
                <w:b w:val="1"/>
                <w:bCs w:val="1"/>
                <w:color w:val="auto"/>
                <w:w w:val="99"/>
              </w:rPr>
              <w:t>—</w:t>
            </w:r>
          </w:p>
        </w:tc>
        <w:tc>
          <w:tcPr>
            <w:tcW w:w="880" w:type="dxa"/>
            <w:vAlign w:val="bottom"/>
            <w:tcBorders>
              <w:bottom w:val="single" w:sz="8" w:color="auto"/>
              <w:right w:val="single" w:sz="8" w:color="auto"/>
            </w:tcBorders>
            <w:shd w:val="clear" w:color="auto" w:fill="CCEEFF"/>
          </w:tcPr>
          <w:p>
            <w:pPr>
              <w:jc w:val="center"/>
              <w:ind w:right="102"/>
              <w:spacing w:after="0"/>
              <w:rPr>
                <w:sz w:val="20"/>
                <w:szCs w:val="20"/>
                <w:color w:val="auto"/>
              </w:rPr>
            </w:pPr>
            <w:r>
              <w:rPr>
                <w:rFonts w:ascii="Arial" w:cs="Arial" w:eastAsia="Arial" w:hAnsi="Arial"/>
                <w:sz w:val="20"/>
                <w:szCs w:val="20"/>
                <w:b w:val="1"/>
                <w:bCs w:val="1"/>
                <w:color w:val="auto"/>
                <w:w w:val="98"/>
              </w:rPr>
              <w:t>36,600</w:t>
            </w:r>
          </w:p>
        </w:tc>
      </w:tr>
      <w:tr>
        <w:trPr>
          <w:trHeight w:val="250"/>
        </w:trPr>
        <w:tc>
          <w:tcPr>
            <w:tcW w:w="576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r>
      <w:tr>
        <w:trPr>
          <w:trHeight w:val="250"/>
        </w:trPr>
        <w:tc>
          <w:tcPr>
            <w:tcW w:w="6560" w:type="dxa"/>
            <w:vAlign w:val="bottom"/>
            <w:tcBorders>
              <w:left w:val="single" w:sz="8" w:color="auto"/>
              <w:right w:val="single" w:sz="8" w:color="auto"/>
            </w:tcBorders>
            <w:gridSpan w:val="2"/>
            <w:shd w:val="clear" w:color="auto" w:fill="CCEEFF"/>
          </w:tcPr>
          <w:p>
            <w:pPr>
              <w:ind w:left="40"/>
              <w:spacing w:after="0" w:line="250" w:lineRule="exact"/>
              <w:rPr>
                <w:sz w:val="20"/>
                <w:szCs w:val="20"/>
                <w:color w:val="auto"/>
              </w:rPr>
            </w:pPr>
            <w:r>
              <w:rPr>
                <w:rFonts w:ascii="Arial" w:cs="Arial" w:eastAsia="Arial" w:hAnsi="Arial"/>
                <w:sz w:val="20"/>
                <w:szCs w:val="20"/>
                <w:b w:val="1"/>
                <w:bCs w:val="1"/>
                <w:color w:val="auto"/>
              </w:rPr>
              <w:t>Segment operating margin %</w:t>
            </w:r>
            <w:r>
              <w:rPr>
                <w:rFonts w:ascii="Arial" w:cs="Arial" w:eastAsia="Arial" w:hAnsi="Arial"/>
                <w:sz w:val="25"/>
                <w:szCs w:val="25"/>
                <w:b w:val="1"/>
                <w:bCs w:val="1"/>
                <w:color w:val="auto"/>
                <w:vertAlign w:val="superscript"/>
              </w:rPr>
              <w:t>1</w:t>
            </w:r>
          </w:p>
        </w:tc>
        <w:tc>
          <w:tcPr>
            <w:tcW w:w="820" w:type="dxa"/>
            <w:vAlign w:val="bottom"/>
            <w:shd w:val="clear" w:color="auto" w:fill="CCEEFF"/>
          </w:tcPr>
          <w:p>
            <w:pPr>
              <w:jc w:val="center"/>
              <w:ind w:left="24"/>
              <w:spacing w:after="0"/>
              <w:rPr>
                <w:sz w:val="20"/>
                <w:szCs w:val="20"/>
                <w:color w:val="auto"/>
              </w:rPr>
            </w:pPr>
            <w:r>
              <w:rPr>
                <w:rFonts w:ascii="Arial" w:cs="Arial" w:eastAsia="Arial" w:hAnsi="Arial"/>
                <w:sz w:val="20"/>
                <w:szCs w:val="20"/>
                <w:color w:val="auto"/>
                <w:w w:val="97"/>
              </w:rPr>
              <w:t>11.7</w:t>
            </w:r>
          </w:p>
        </w:tc>
        <w:tc>
          <w:tcPr>
            <w:tcW w:w="6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w:t>
            </w:r>
          </w:p>
        </w:tc>
        <w:tc>
          <w:tcPr>
            <w:tcW w:w="860" w:type="dxa"/>
            <w:vAlign w:val="bottom"/>
            <w:tcBorders>
              <w:right w:val="single" w:sz="8" w:color="auto"/>
            </w:tcBorders>
            <w:shd w:val="clear" w:color="auto" w:fill="CCEEFF"/>
          </w:tcPr>
          <w:p>
            <w:pPr>
              <w:jc w:val="center"/>
              <w:ind w:right="83"/>
              <w:spacing w:after="0"/>
              <w:rPr>
                <w:sz w:val="20"/>
                <w:szCs w:val="20"/>
                <w:color w:val="auto"/>
              </w:rPr>
            </w:pPr>
            <w:r>
              <w:rPr>
                <w:rFonts w:ascii="Arial" w:cs="Arial" w:eastAsia="Arial" w:hAnsi="Arial"/>
                <w:sz w:val="20"/>
                <w:szCs w:val="20"/>
                <w:color w:val="auto"/>
                <w:w w:val="92"/>
              </w:rPr>
              <w:t>11.9</w:t>
            </w:r>
          </w:p>
        </w:tc>
        <w:tc>
          <w:tcPr>
            <w:tcW w:w="840" w:type="dxa"/>
            <w:vAlign w:val="bottom"/>
            <w:shd w:val="clear" w:color="auto" w:fill="CCEEFF"/>
          </w:tcPr>
          <w:p>
            <w:pPr>
              <w:jc w:val="center"/>
              <w:ind w:left="45"/>
              <w:spacing w:after="0"/>
              <w:rPr>
                <w:sz w:val="20"/>
                <w:szCs w:val="20"/>
                <w:color w:val="auto"/>
              </w:rPr>
            </w:pPr>
            <w:r>
              <w:rPr>
                <w:rFonts w:ascii="Arial" w:cs="Arial" w:eastAsia="Arial" w:hAnsi="Arial"/>
                <w:sz w:val="20"/>
                <w:szCs w:val="20"/>
                <w:b w:val="1"/>
                <w:bCs w:val="1"/>
                <w:color w:val="auto"/>
                <w:w w:val="97"/>
              </w:rPr>
              <w:t>11.7</w:t>
            </w:r>
          </w:p>
        </w:tc>
        <w:tc>
          <w:tcPr>
            <w:tcW w:w="640" w:type="dxa"/>
            <w:vAlign w:val="bottom"/>
            <w:shd w:val="clear" w:color="auto" w:fill="CCEEFF"/>
          </w:tcPr>
          <w:p>
            <w:pPr>
              <w:jc w:val="center"/>
              <w:spacing w:after="0"/>
              <w:rPr>
                <w:sz w:val="20"/>
                <w:szCs w:val="20"/>
                <w:color w:val="auto"/>
              </w:rPr>
            </w:pPr>
            <w:r>
              <w:rPr>
                <w:rFonts w:ascii="Arial" w:cs="Arial" w:eastAsia="Arial" w:hAnsi="Arial"/>
                <w:sz w:val="20"/>
                <w:szCs w:val="20"/>
                <w:b w:val="1"/>
                <w:bCs w:val="1"/>
                <w:color w:val="auto"/>
                <w:w w:val="99"/>
              </w:rPr>
              <w:t>—</w:t>
            </w:r>
          </w:p>
        </w:tc>
        <w:tc>
          <w:tcPr>
            <w:tcW w:w="880" w:type="dxa"/>
            <w:vAlign w:val="bottom"/>
            <w:tcBorders>
              <w:right w:val="single" w:sz="8" w:color="auto"/>
            </w:tcBorders>
            <w:shd w:val="clear" w:color="auto" w:fill="CCEEFF"/>
          </w:tcPr>
          <w:p>
            <w:pPr>
              <w:jc w:val="center"/>
              <w:ind w:right="82"/>
              <w:spacing w:after="0"/>
              <w:rPr>
                <w:sz w:val="20"/>
                <w:szCs w:val="20"/>
                <w:color w:val="auto"/>
              </w:rPr>
            </w:pPr>
            <w:r>
              <w:rPr>
                <w:rFonts w:ascii="Arial" w:cs="Arial" w:eastAsia="Arial" w:hAnsi="Arial"/>
                <w:sz w:val="20"/>
                <w:szCs w:val="20"/>
                <w:b w:val="1"/>
                <w:bCs w:val="1"/>
                <w:color w:val="auto"/>
                <w:w w:val="97"/>
              </w:rPr>
              <w:t>11.9</w:t>
            </w:r>
          </w:p>
        </w:tc>
      </w:tr>
      <w:tr>
        <w:trPr>
          <w:trHeight w:val="229"/>
        </w:trPr>
        <w:tc>
          <w:tcPr>
            <w:tcW w:w="6560" w:type="dxa"/>
            <w:vAlign w:val="bottom"/>
            <w:tcBorders>
              <w:left w:val="single" w:sz="8" w:color="auto"/>
              <w:right w:val="single" w:sz="8" w:color="auto"/>
            </w:tcBorders>
            <w:gridSpan w:val="2"/>
          </w:tcPr>
          <w:p>
            <w:pPr>
              <w:ind w:left="40"/>
              <w:spacing w:after="0" w:line="230" w:lineRule="exact"/>
              <w:rPr>
                <w:sz w:val="20"/>
                <w:szCs w:val="20"/>
                <w:color w:val="auto"/>
              </w:rPr>
            </w:pPr>
            <w:r>
              <w:rPr>
                <w:rFonts w:ascii="Arial" w:cs="Arial" w:eastAsia="Arial" w:hAnsi="Arial"/>
                <w:sz w:val="18"/>
                <w:szCs w:val="18"/>
                <w:color w:val="auto"/>
              </w:rPr>
              <w:t>Total net FAS/CAS pension adjustment</w:t>
            </w:r>
            <w:r>
              <w:rPr>
                <w:rFonts w:ascii="Arial" w:cs="Arial" w:eastAsia="Arial" w:hAnsi="Arial"/>
                <w:sz w:val="23"/>
                <w:szCs w:val="23"/>
                <w:color w:val="auto"/>
                <w:vertAlign w:val="superscript"/>
              </w:rPr>
              <w:t>2</w:t>
            </w:r>
          </w:p>
        </w:tc>
        <w:tc>
          <w:tcPr>
            <w:tcW w:w="8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~1,310</w:t>
            </w:r>
          </w:p>
        </w:tc>
        <w:tc>
          <w:tcPr>
            <w:tcW w:w="86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rPr>
              <w:t>~1,310</w:t>
            </w:r>
          </w:p>
        </w:tc>
        <w:tc>
          <w:tcPr>
            <w:tcW w:w="880" w:type="dxa"/>
            <w:vAlign w:val="bottom"/>
            <w:tcBorders>
              <w:right w:val="single" w:sz="8" w:color="auto"/>
            </w:tcBorders>
          </w:tcPr>
          <w:p>
            <w:pPr>
              <w:spacing w:after="0"/>
              <w:rPr>
                <w:sz w:val="19"/>
                <w:szCs w:val="19"/>
                <w:color w:val="auto"/>
              </w:rPr>
            </w:pPr>
          </w:p>
        </w:tc>
      </w:tr>
      <w:tr>
        <w:trPr>
          <w:trHeight w:val="230"/>
        </w:trPr>
        <w:tc>
          <w:tcPr>
            <w:tcW w:w="656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corporate expense</w:t>
            </w: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r>
      <w:tr>
        <w:trPr>
          <w:trHeight w:val="229"/>
        </w:trPr>
        <w:tc>
          <w:tcPr>
            <w:tcW w:w="656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Intangible asset amortization &amp; PP&amp;E step-up depreciation</w:t>
            </w:r>
          </w:p>
        </w:tc>
        <w:tc>
          <w:tcPr>
            <w:tcW w:w="8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8"/>
              </w:rPr>
              <w:t>~240</w:t>
            </w:r>
          </w:p>
        </w:tc>
        <w:tc>
          <w:tcPr>
            <w:tcW w:w="86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8"/>
              </w:rPr>
              <w:t>~240</w:t>
            </w:r>
          </w:p>
        </w:tc>
        <w:tc>
          <w:tcPr>
            <w:tcW w:w="880" w:type="dxa"/>
            <w:vAlign w:val="bottom"/>
            <w:tcBorders>
              <w:right w:val="single" w:sz="8" w:color="auto"/>
            </w:tcBorders>
          </w:tcPr>
          <w:p>
            <w:pPr>
              <w:spacing w:after="0"/>
              <w:rPr>
                <w:sz w:val="19"/>
                <w:szCs w:val="19"/>
                <w:color w:val="auto"/>
              </w:rPr>
            </w:pPr>
          </w:p>
        </w:tc>
      </w:tr>
      <w:tr>
        <w:trPr>
          <w:trHeight w:val="229"/>
        </w:trPr>
        <w:tc>
          <w:tcPr>
            <w:tcW w:w="6560" w:type="dxa"/>
            <w:vAlign w:val="bottom"/>
            <w:tcBorders>
              <w:left w:val="single" w:sz="8" w:color="auto"/>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items</w:t>
            </w: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~210</w:t>
            </w:r>
          </w:p>
        </w:tc>
        <w:tc>
          <w:tcPr>
            <w:tcW w:w="860" w:type="dxa"/>
            <w:vAlign w:val="bottom"/>
            <w:tcBorders>
              <w:right w:val="single" w:sz="8" w:color="auto"/>
            </w:tcBorders>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~240</w:t>
            </w:r>
          </w:p>
        </w:tc>
        <w:tc>
          <w:tcPr>
            <w:tcW w:w="880" w:type="dxa"/>
            <w:vAlign w:val="bottom"/>
            <w:tcBorders>
              <w:right w:val="single" w:sz="8" w:color="auto"/>
            </w:tcBorders>
            <w:shd w:val="clear" w:color="auto" w:fill="CCEEFF"/>
          </w:tcPr>
          <w:p>
            <w:pPr>
              <w:spacing w:after="0"/>
              <w:rPr>
                <w:sz w:val="19"/>
                <w:szCs w:val="19"/>
                <w:color w:val="auto"/>
              </w:rPr>
            </w:pPr>
          </w:p>
        </w:tc>
      </w:tr>
      <w:tr>
        <w:trPr>
          <w:trHeight w:val="230"/>
        </w:trPr>
        <w:tc>
          <w:tcPr>
            <w:tcW w:w="6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Operating margin %</w:t>
            </w:r>
          </w:p>
        </w:tc>
        <w:tc>
          <w:tcPr>
            <w:tcW w:w="820" w:type="dxa"/>
            <w:vAlign w:val="bottom"/>
          </w:tcPr>
          <w:p>
            <w:pPr>
              <w:jc w:val="center"/>
              <w:ind w:left="24"/>
              <w:spacing w:after="0"/>
              <w:rPr>
                <w:sz w:val="20"/>
                <w:szCs w:val="20"/>
                <w:color w:val="auto"/>
              </w:rPr>
            </w:pPr>
            <w:r>
              <w:rPr>
                <w:rFonts w:ascii="Arial" w:cs="Arial" w:eastAsia="Arial" w:hAnsi="Arial"/>
                <w:sz w:val="18"/>
                <w:szCs w:val="18"/>
                <w:color w:val="auto"/>
              </w:rPr>
              <w:t>9.8</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ind w:right="83"/>
              <w:spacing w:after="0"/>
              <w:rPr>
                <w:sz w:val="20"/>
                <w:szCs w:val="20"/>
                <w:color w:val="auto"/>
              </w:rPr>
            </w:pPr>
            <w:r>
              <w:rPr>
                <w:rFonts w:ascii="Arial" w:cs="Arial" w:eastAsia="Arial" w:hAnsi="Arial"/>
                <w:sz w:val="18"/>
                <w:szCs w:val="18"/>
                <w:color w:val="auto"/>
              </w:rPr>
              <w:t>10.0</w:t>
            </w:r>
          </w:p>
        </w:tc>
        <w:tc>
          <w:tcPr>
            <w:tcW w:w="840" w:type="dxa"/>
            <w:vAlign w:val="bottom"/>
          </w:tcPr>
          <w:p>
            <w:pPr>
              <w:jc w:val="center"/>
              <w:ind w:left="45"/>
              <w:spacing w:after="0"/>
              <w:rPr>
                <w:sz w:val="20"/>
                <w:szCs w:val="20"/>
                <w:color w:val="auto"/>
              </w:rPr>
            </w:pPr>
            <w:r>
              <w:rPr>
                <w:rFonts w:ascii="Arial" w:cs="Arial" w:eastAsia="Arial" w:hAnsi="Arial"/>
                <w:sz w:val="18"/>
                <w:szCs w:val="18"/>
                <w:b w:val="1"/>
                <w:bCs w:val="1"/>
                <w:color w:val="auto"/>
              </w:rPr>
              <w:t>9.8</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right w:val="single" w:sz="8" w:color="auto"/>
            </w:tcBorders>
          </w:tcPr>
          <w:p>
            <w:pPr>
              <w:jc w:val="center"/>
              <w:ind w:right="82"/>
              <w:spacing w:after="0"/>
              <w:rPr>
                <w:sz w:val="20"/>
                <w:szCs w:val="20"/>
                <w:color w:val="auto"/>
              </w:rPr>
            </w:pPr>
            <w:r>
              <w:rPr>
                <w:rFonts w:ascii="Arial" w:cs="Arial" w:eastAsia="Arial" w:hAnsi="Arial"/>
                <w:sz w:val="18"/>
                <w:szCs w:val="18"/>
                <w:b w:val="1"/>
                <w:bCs w:val="1"/>
                <w:color w:val="auto"/>
                <w:w w:val="96"/>
              </w:rPr>
              <w:t>10.0</w:t>
            </w:r>
          </w:p>
        </w:tc>
      </w:tr>
      <w:tr>
        <w:trPr>
          <w:trHeight w:val="229"/>
        </w:trPr>
        <w:tc>
          <w:tcPr>
            <w:tcW w:w="656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~530</w:t>
            </w:r>
          </w:p>
        </w:tc>
        <w:tc>
          <w:tcPr>
            <w:tcW w:w="860" w:type="dxa"/>
            <w:vAlign w:val="bottom"/>
            <w:tcBorders>
              <w:right w:val="single" w:sz="8" w:color="auto"/>
            </w:tcBorders>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~500</w:t>
            </w:r>
          </w:p>
        </w:tc>
        <w:tc>
          <w:tcPr>
            <w:tcW w:w="880" w:type="dxa"/>
            <w:vAlign w:val="bottom"/>
            <w:tcBorders>
              <w:right w:val="single" w:sz="8" w:color="auto"/>
            </w:tcBorders>
            <w:shd w:val="clear" w:color="auto" w:fill="CCEEFF"/>
          </w:tcPr>
          <w:p>
            <w:pPr>
              <w:spacing w:after="0"/>
              <w:rPr>
                <w:sz w:val="19"/>
                <w:szCs w:val="19"/>
                <w:color w:val="auto"/>
              </w:rPr>
            </w:pPr>
          </w:p>
        </w:tc>
      </w:tr>
      <w:tr>
        <w:trPr>
          <w:trHeight w:val="229"/>
        </w:trPr>
        <w:tc>
          <w:tcPr>
            <w:tcW w:w="6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Effective tax rate %</w:t>
            </w:r>
          </w:p>
        </w:tc>
        <w:tc>
          <w:tcPr>
            <w:tcW w:w="8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rPr>
              <w:t>~17.0</w:t>
            </w:r>
          </w:p>
        </w:tc>
        <w:tc>
          <w:tcPr>
            <w:tcW w:w="86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rPr>
              <w:t>~15.5</w:t>
            </w:r>
          </w:p>
        </w:tc>
        <w:tc>
          <w:tcPr>
            <w:tcW w:w="880" w:type="dxa"/>
            <w:vAlign w:val="bottom"/>
            <w:tcBorders>
              <w:right w:val="single" w:sz="8" w:color="auto"/>
            </w:tcBorders>
          </w:tcPr>
          <w:p>
            <w:pPr>
              <w:spacing w:after="0"/>
              <w:rPr>
                <w:sz w:val="19"/>
                <w:szCs w:val="19"/>
                <w:color w:val="auto"/>
              </w:rPr>
            </w:pPr>
          </w:p>
        </w:tc>
      </w:tr>
      <w:tr>
        <w:trPr>
          <w:trHeight w:val="230"/>
        </w:trPr>
        <w:tc>
          <w:tcPr>
            <w:tcW w:w="6560" w:type="dxa"/>
            <w:vAlign w:val="bottom"/>
            <w:tcBorders>
              <w:left w:val="single" w:sz="8" w:color="auto"/>
              <w:bottom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8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~155</w:t>
            </w: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5"/>
              <w:spacing w:after="0"/>
              <w:rPr>
                <w:sz w:val="20"/>
                <w:szCs w:val="20"/>
                <w:color w:val="auto"/>
              </w:rPr>
            </w:pPr>
            <w:r>
              <w:rPr>
                <w:rFonts w:ascii="Arial" w:cs="Arial" w:eastAsia="Arial" w:hAnsi="Arial"/>
                <w:sz w:val="18"/>
                <w:szCs w:val="18"/>
                <w:b w:val="1"/>
                <w:bCs w:val="1"/>
                <w:color w:val="auto"/>
                <w:w w:val="99"/>
              </w:rPr>
              <w:t>155</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right w:val="single" w:sz="8" w:color="auto"/>
            </w:tcBorders>
            <w:shd w:val="clear" w:color="auto" w:fill="CCEEFF"/>
          </w:tcPr>
          <w:p>
            <w:pPr>
              <w:jc w:val="center"/>
              <w:ind w:right="82"/>
              <w:spacing w:after="0"/>
              <w:rPr>
                <w:sz w:val="20"/>
                <w:szCs w:val="20"/>
                <w:color w:val="auto"/>
              </w:rPr>
            </w:pPr>
            <w:r>
              <w:rPr>
                <w:rFonts w:ascii="Arial" w:cs="Arial" w:eastAsia="Arial" w:hAnsi="Arial"/>
                <w:sz w:val="18"/>
                <w:szCs w:val="18"/>
                <w:b w:val="1"/>
                <w:bCs w:val="1"/>
                <w:color w:val="auto"/>
                <w:w w:val="99"/>
              </w:rPr>
              <w:t>156</w:t>
            </w:r>
          </w:p>
        </w:tc>
      </w:tr>
      <w:tr>
        <w:trPr>
          <w:trHeight w:val="250"/>
        </w:trPr>
        <w:tc>
          <w:tcPr>
            <w:tcW w:w="576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r>
      <w:tr>
        <w:trPr>
          <w:trHeight w:val="250"/>
        </w:trPr>
        <w:tc>
          <w:tcPr>
            <w:tcW w:w="6560" w:type="dxa"/>
            <w:vAlign w:val="bottom"/>
            <w:tcBorders>
              <w:left w:val="single" w:sz="8" w:color="auto"/>
              <w:right w:val="single" w:sz="8" w:color="auto"/>
            </w:tcBorders>
            <w:gridSpan w:val="2"/>
            <w:shd w:val="clear" w:color="auto" w:fill="CCEEFF"/>
          </w:tcPr>
          <w:p>
            <w:pPr>
              <w:ind w:left="40"/>
              <w:spacing w:after="0" w:line="250" w:lineRule="exact"/>
              <w:rPr>
                <w:sz w:val="20"/>
                <w:szCs w:val="20"/>
                <w:color w:val="auto"/>
              </w:rPr>
            </w:pPr>
            <w:r>
              <w:rPr>
                <w:rFonts w:ascii="Arial" w:cs="Arial" w:eastAsia="Arial" w:hAnsi="Arial"/>
                <w:sz w:val="20"/>
                <w:szCs w:val="20"/>
                <w:b w:val="1"/>
                <w:bCs w:val="1"/>
                <w:color w:val="auto"/>
              </w:rPr>
              <w:t>Transaction-adjusted EPS</w:t>
            </w:r>
            <w:r>
              <w:rPr>
                <w:rFonts w:ascii="Arial" w:cs="Arial" w:eastAsia="Arial" w:hAnsi="Arial"/>
                <w:sz w:val="25"/>
                <w:szCs w:val="25"/>
                <w:b w:val="1"/>
                <w:bCs w:val="1"/>
                <w:color w:val="auto"/>
                <w:vertAlign w:val="superscript"/>
              </w:rPr>
              <w:t>1, 3</w:t>
            </w:r>
          </w:p>
        </w:tc>
        <w:tc>
          <w:tcPr>
            <w:tcW w:w="820" w:type="dxa"/>
            <w:vAlign w:val="bottom"/>
            <w:shd w:val="clear" w:color="auto" w:fill="CCEEFF"/>
          </w:tcPr>
          <w:p>
            <w:pPr>
              <w:jc w:val="center"/>
              <w:ind w:left="24"/>
              <w:spacing w:after="0"/>
              <w:rPr>
                <w:sz w:val="20"/>
                <w:szCs w:val="20"/>
                <w:color w:val="auto"/>
              </w:rPr>
            </w:pPr>
            <w:r>
              <w:rPr>
                <w:rFonts w:ascii="Arial" w:cs="Arial" w:eastAsia="Arial" w:hAnsi="Arial"/>
                <w:sz w:val="20"/>
                <w:szCs w:val="20"/>
                <w:color w:val="auto"/>
                <w:w w:val="99"/>
              </w:rPr>
              <w:t>24.50</w:t>
            </w:r>
          </w:p>
        </w:tc>
        <w:tc>
          <w:tcPr>
            <w:tcW w:w="6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w:t>
            </w:r>
          </w:p>
        </w:tc>
        <w:tc>
          <w:tcPr>
            <w:tcW w:w="860" w:type="dxa"/>
            <w:vAlign w:val="bottom"/>
            <w:tcBorders>
              <w:right w:val="single" w:sz="8" w:color="auto"/>
            </w:tcBorders>
            <w:shd w:val="clear" w:color="auto" w:fill="CCEEFF"/>
          </w:tcPr>
          <w:p>
            <w:pPr>
              <w:jc w:val="center"/>
              <w:ind w:right="63"/>
              <w:spacing w:after="0"/>
              <w:rPr>
                <w:sz w:val="20"/>
                <w:szCs w:val="20"/>
                <w:color w:val="auto"/>
              </w:rPr>
            </w:pPr>
            <w:r>
              <w:rPr>
                <w:rFonts w:ascii="Arial" w:cs="Arial" w:eastAsia="Arial" w:hAnsi="Arial"/>
                <w:sz w:val="20"/>
                <w:szCs w:val="20"/>
                <w:color w:val="auto"/>
                <w:w w:val="99"/>
              </w:rPr>
              <w:t>25.10</w:t>
            </w:r>
          </w:p>
        </w:tc>
        <w:tc>
          <w:tcPr>
            <w:tcW w:w="840" w:type="dxa"/>
            <w:vAlign w:val="bottom"/>
            <w:shd w:val="clear" w:color="auto" w:fill="CCEEFF"/>
          </w:tcPr>
          <w:p>
            <w:pPr>
              <w:jc w:val="center"/>
              <w:ind w:left="45"/>
              <w:spacing w:after="0"/>
              <w:rPr>
                <w:sz w:val="20"/>
                <w:szCs w:val="20"/>
                <w:color w:val="auto"/>
              </w:rPr>
            </w:pPr>
            <w:r>
              <w:rPr>
                <w:rFonts w:ascii="Arial" w:cs="Arial" w:eastAsia="Arial" w:hAnsi="Arial"/>
                <w:sz w:val="20"/>
                <w:szCs w:val="20"/>
                <w:b w:val="1"/>
                <w:bCs w:val="1"/>
                <w:color w:val="auto"/>
                <w:w w:val="99"/>
              </w:rPr>
              <w:t>24.50</w:t>
            </w:r>
          </w:p>
        </w:tc>
        <w:tc>
          <w:tcPr>
            <w:tcW w:w="640" w:type="dxa"/>
            <w:vAlign w:val="bottom"/>
            <w:shd w:val="clear" w:color="auto" w:fill="CCEEFF"/>
          </w:tcPr>
          <w:p>
            <w:pPr>
              <w:jc w:val="center"/>
              <w:spacing w:after="0"/>
              <w:rPr>
                <w:sz w:val="20"/>
                <w:szCs w:val="20"/>
                <w:color w:val="auto"/>
              </w:rPr>
            </w:pPr>
            <w:r>
              <w:rPr>
                <w:rFonts w:ascii="Arial" w:cs="Arial" w:eastAsia="Arial" w:hAnsi="Arial"/>
                <w:sz w:val="20"/>
                <w:szCs w:val="20"/>
                <w:b w:val="1"/>
                <w:bCs w:val="1"/>
                <w:color w:val="auto"/>
                <w:w w:val="99"/>
              </w:rPr>
              <w:t>—</w:t>
            </w:r>
          </w:p>
        </w:tc>
        <w:tc>
          <w:tcPr>
            <w:tcW w:w="880" w:type="dxa"/>
            <w:vAlign w:val="bottom"/>
            <w:tcBorders>
              <w:right w:val="single" w:sz="8" w:color="auto"/>
            </w:tcBorders>
            <w:shd w:val="clear" w:color="auto" w:fill="CCEEFF"/>
          </w:tcPr>
          <w:p>
            <w:pPr>
              <w:jc w:val="center"/>
              <w:ind w:right="82"/>
              <w:spacing w:after="0"/>
              <w:rPr>
                <w:sz w:val="20"/>
                <w:szCs w:val="20"/>
                <w:color w:val="auto"/>
              </w:rPr>
            </w:pPr>
            <w:r>
              <w:rPr>
                <w:rFonts w:ascii="Arial" w:cs="Arial" w:eastAsia="Arial" w:hAnsi="Arial"/>
                <w:sz w:val="20"/>
                <w:szCs w:val="20"/>
                <w:b w:val="1"/>
                <w:bCs w:val="1"/>
                <w:color w:val="auto"/>
                <w:w w:val="99"/>
              </w:rPr>
              <w:t>25.10</w:t>
            </w:r>
          </w:p>
        </w:tc>
      </w:tr>
      <w:tr>
        <w:trPr>
          <w:trHeight w:val="257"/>
        </w:trPr>
        <w:tc>
          <w:tcPr>
            <w:tcW w:w="6560" w:type="dxa"/>
            <w:vAlign w:val="bottom"/>
            <w:tcBorders>
              <w:left w:val="single" w:sz="8" w:color="auto"/>
              <w:bottom w:val="single" w:sz="8" w:color="auto"/>
              <w:right w:val="single" w:sz="8" w:color="auto"/>
            </w:tcBorders>
            <w:gridSpan w:val="2"/>
          </w:tcPr>
          <w:p>
            <w:pPr>
              <w:ind w:left="40"/>
              <w:spacing w:after="0" w:line="257" w:lineRule="exact"/>
              <w:rPr>
                <w:sz w:val="20"/>
                <w:szCs w:val="20"/>
                <w:color w:val="auto"/>
              </w:rPr>
            </w:pPr>
            <w:r>
              <w:rPr>
                <w:rFonts w:ascii="Arial" w:cs="Arial" w:eastAsia="Arial" w:hAnsi="Arial"/>
                <w:sz w:val="20"/>
                <w:szCs w:val="20"/>
                <w:b w:val="1"/>
                <w:bCs w:val="1"/>
                <w:color w:val="auto"/>
              </w:rPr>
              <w:t>Transaction-adjusted free cash flow</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based on current tax law</w:t>
            </w:r>
          </w:p>
        </w:tc>
        <w:tc>
          <w:tcPr>
            <w:tcW w:w="820" w:type="dxa"/>
            <w:vAlign w:val="bottom"/>
            <w:tcBorders>
              <w:bottom w:val="single" w:sz="8" w:color="auto"/>
            </w:tcBorders>
          </w:tcPr>
          <w:p>
            <w:pPr>
              <w:jc w:val="center"/>
              <w:ind w:left="24"/>
              <w:spacing w:after="0"/>
              <w:rPr>
                <w:sz w:val="20"/>
                <w:szCs w:val="20"/>
                <w:color w:val="auto"/>
              </w:rPr>
            </w:pPr>
            <w:r>
              <w:rPr>
                <w:rFonts w:ascii="Arial" w:cs="Arial" w:eastAsia="Arial" w:hAnsi="Arial"/>
                <w:sz w:val="20"/>
                <w:szCs w:val="20"/>
                <w:color w:val="auto"/>
                <w:w w:val="99"/>
              </w:rPr>
              <w:t>1,500</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860" w:type="dxa"/>
            <w:vAlign w:val="bottom"/>
            <w:tcBorders>
              <w:bottom w:val="single" w:sz="8" w:color="auto"/>
              <w:right w:val="single" w:sz="8" w:color="auto"/>
            </w:tcBorders>
          </w:tcPr>
          <w:p>
            <w:pPr>
              <w:jc w:val="center"/>
              <w:ind w:right="63"/>
              <w:spacing w:after="0"/>
              <w:rPr>
                <w:sz w:val="20"/>
                <w:szCs w:val="20"/>
                <w:color w:val="auto"/>
              </w:rPr>
            </w:pPr>
            <w:r>
              <w:rPr>
                <w:rFonts w:ascii="Arial" w:cs="Arial" w:eastAsia="Arial" w:hAnsi="Arial"/>
                <w:sz w:val="20"/>
                <w:szCs w:val="20"/>
                <w:color w:val="auto"/>
                <w:w w:val="99"/>
              </w:rPr>
              <w:t>1,800</w:t>
            </w:r>
          </w:p>
        </w:tc>
        <w:tc>
          <w:tcPr>
            <w:tcW w:w="840" w:type="dxa"/>
            <w:vAlign w:val="bottom"/>
            <w:tcBorders>
              <w:bottom w:val="single" w:sz="8" w:color="auto"/>
            </w:tcBorders>
          </w:tcPr>
          <w:p>
            <w:pPr>
              <w:jc w:val="center"/>
              <w:ind w:left="45"/>
              <w:spacing w:after="0"/>
              <w:rPr>
                <w:sz w:val="20"/>
                <w:szCs w:val="20"/>
                <w:color w:val="auto"/>
              </w:rPr>
            </w:pPr>
            <w:r>
              <w:rPr>
                <w:rFonts w:ascii="Arial" w:cs="Arial" w:eastAsia="Arial" w:hAnsi="Arial"/>
                <w:sz w:val="20"/>
                <w:szCs w:val="20"/>
                <w:b w:val="1"/>
                <w:bCs w:val="1"/>
                <w:color w:val="auto"/>
                <w:w w:val="99"/>
              </w:rPr>
              <w:t>1,500</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w:t>
            </w:r>
          </w:p>
        </w:tc>
        <w:tc>
          <w:tcPr>
            <w:tcW w:w="880" w:type="dxa"/>
            <w:vAlign w:val="bottom"/>
            <w:tcBorders>
              <w:bottom w:val="single" w:sz="8" w:color="auto"/>
              <w:right w:val="single" w:sz="8" w:color="auto"/>
            </w:tcBorders>
          </w:tcPr>
          <w:p>
            <w:pPr>
              <w:jc w:val="center"/>
              <w:ind w:right="82"/>
              <w:spacing w:after="0"/>
              <w:rPr>
                <w:sz w:val="20"/>
                <w:szCs w:val="20"/>
                <w:color w:val="auto"/>
              </w:rPr>
            </w:pPr>
            <w:r>
              <w:rPr>
                <w:rFonts w:ascii="Arial" w:cs="Arial" w:eastAsia="Arial" w:hAnsi="Arial"/>
                <w:sz w:val="20"/>
                <w:szCs w:val="20"/>
                <w:b w:val="1"/>
                <w:bCs w:val="1"/>
                <w:color w:val="auto"/>
                <w:w w:val="99"/>
              </w:rPr>
              <w:t>1,800</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2022 Sector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1329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132905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Borders>
              <w:top w:val="single" w:sz="8" w:color="auto"/>
              <w:right w:val="single" w:sz="8" w:color="auto"/>
            </w:tcBorders>
          </w:tcPr>
          <w:p>
            <w:pPr>
              <w:spacing w:after="0"/>
              <w:rPr>
                <w:sz w:val="19"/>
                <w:szCs w:val="19"/>
                <w:color w:val="auto"/>
              </w:rPr>
            </w:pPr>
          </w:p>
        </w:tc>
        <w:tc>
          <w:tcPr>
            <w:tcW w:w="3920" w:type="dxa"/>
            <w:vAlign w:val="bottom"/>
            <w:tcBorders>
              <w:top w:val="single" w:sz="8" w:color="auto"/>
              <w:bottom w:val="single" w:sz="8" w:color="auto"/>
              <w:right w:val="single" w:sz="8" w:color="auto"/>
            </w:tcBorders>
            <w:gridSpan w:val="2"/>
          </w:tcPr>
          <w:p>
            <w:pPr>
              <w:ind w:left="1320"/>
              <w:spacing w:after="0"/>
              <w:rPr>
                <w:sz w:val="20"/>
                <w:szCs w:val="20"/>
                <w:color w:val="auto"/>
              </w:rPr>
            </w:pPr>
            <w:r>
              <w:rPr>
                <w:rFonts w:ascii="Arial" w:cs="Arial" w:eastAsia="Arial" w:hAnsi="Arial"/>
                <w:sz w:val="18"/>
                <w:szCs w:val="18"/>
                <w:color w:val="auto"/>
              </w:rPr>
              <w:t>As of 7/28/2022</w:t>
            </w:r>
          </w:p>
        </w:tc>
        <w:tc>
          <w:tcPr>
            <w:tcW w:w="3900" w:type="dxa"/>
            <w:vAlign w:val="bottom"/>
            <w:tcBorders>
              <w:top w:val="single" w:sz="8" w:color="auto"/>
              <w:bottom w:val="single" w:sz="8" w:color="auto"/>
            </w:tcBorders>
            <w:gridSpan w:val="2"/>
          </w:tcPr>
          <w:p>
            <w:pPr>
              <w:ind w:left="1240"/>
              <w:spacing w:after="0"/>
              <w:rPr>
                <w:sz w:val="20"/>
                <w:szCs w:val="20"/>
                <w:color w:val="auto"/>
              </w:rPr>
            </w:pPr>
            <w:r>
              <w:rPr>
                <w:rFonts w:ascii="Arial" w:cs="Arial" w:eastAsia="Arial" w:hAnsi="Arial"/>
                <w:sz w:val="18"/>
                <w:szCs w:val="18"/>
                <w:b w:val="1"/>
                <w:bCs w:val="1"/>
                <w:color w:val="auto"/>
              </w:rPr>
              <w:t>As of 10/27/2022</w:t>
            </w:r>
          </w:p>
        </w:tc>
        <w:tc>
          <w:tcPr>
            <w:tcW w:w="20" w:type="dxa"/>
            <w:vAlign w:val="bottom"/>
            <w:tcBorders>
              <w:top w:val="single" w:sz="8" w:color="auto"/>
              <w:bottom w:val="single" w:sz="8" w:color="auto"/>
            </w:tcBorders>
          </w:tcPr>
          <w:p>
            <w:pPr>
              <w:spacing w:after="0"/>
              <w:rPr>
                <w:sz w:val="19"/>
                <w:szCs w:val="19"/>
                <w:color w:val="auto"/>
              </w:rPr>
            </w:pPr>
          </w:p>
        </w:tc>
      </w:tr>
      <w:tr>
        <w:trPr>
          <w:trHeight w:val="250"/>
        </w:trPr>
        <w:tc>
          <w:tcPr>
            <w:tcW w:w="342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Sales ($B)</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OM Rate %</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Sales ($B)</w:t>
            </w:r>
          </w:p>
        </w:tc>
        <w:tc>
          <w:tcPr>
            <w:tcW w:w="1940" w:type="dxa"/>
            <w:vAlign w:val="bottom"/>
          </w:tcPr>
          <w:p>
            <w:pPr>
              <w:jc w:val="center"/>
              <w:spacing w:after="0"/>
              <w:rPr>
                <w:sz w:val="20"/>
                <w:szCs w:val="20"/>
                <w:color w:val="auto"/>
              </w:rPr>
            </w:pPr>
            <w:r>
              <w:rPr>
                <w:rFonts w:ascii="Arial" w:cs="Arial" w:eastAsia="Arial" w:hAnsi="Arial"/>
                <w:sz w:val="20"/>
                <w:szCs w:val="20"/>
                <w:b w:val="1"/>
                <w:bCs w:val="1"/>
                <w:color w:val="auto"/>
                <w:w w:val="97"/>
              </w:rPr>
              <w:t>OM Rate %</w:t>
            </w:r>
          </w:p>
        </w:tc>
        <w:tc>
          <w:tcPr>
            <w:tcW w:w="20" w:type="dxa"/>
            <w:vAlign w:val="bottom"/>
          </w:tcPr>
          <w:p>
            <w:pPr>
              <w:spacing w:after="0"/>
              <w:rPr>
                <w:sz w:val="21"/>
                <w:szCs w:val="21"/>
                <w:color w:val="auto"/>
              </w:rPr>
            </w:pPr>
          </w:p>
        </w:tc>
      </w:tr>
      <w:tr>
        <w:trPr>
          <w:trHeight w:val="257"/>
        </w:trPr>
        <w:tc>
          <w:tcPr>
            <w:tcW w:w="34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Aeronautics Systems</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Mid to High $10</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9"/>
              </w:rPr>
              <w:t>Low 10%</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b w:val="1"/>
                <w:bCs w:val="1"/>
                <w:color w:val="auto"/>
              </w:rPr>
              <w:t>Mid $10</w:t>
            </w:r>
          </w:p>
        </w:tc>
        <w:tc>
          <w:tcPr>
            <w:tcW w:w="1940" w:type="dxa"/>
            <w:vAlign w:val="bottom"/>
            <w:shd w:val="clear" w:color="auto" w:fill="CCEEFF"/>
          </w:tcPr>
          <w:p>
            <w:pPr>
              <w:jc w:val="center"/>
              <w:spacing w:after="0"/>
              <w:rPr>
                <w:sz w:val="20"/>
                <w:szCs w:val="20"/>
                <w:color w:val="auto"/>
              </w:rPr>
            </w:pPr>
            <w:r>
              <w:rPr>
                <w:rFonts w:ascii="Arial" w:cs="Arial" w:eastAsia="Arial" w:hAnsi="Arial"/>
                <w:sz w:val="20"/>
                <w:szCs w:val="20"/>
                <w:b w:val="1"/>
                <w:bCs w:val="1"/>
                <w:color w:val="262626"/>
                <w:w w:val="97"/>
              </w:rPr>
              <w:t>Mid 10%</w:t>
            </w:r>
          </w:p>
        </w:tc>
        <w:tc>
          <w:tcPr>
            <w:tcW w:w="20" w:type="dxa"/>
            <w:vAlign w:val="bottom"/>
          </w:tcPr>
          <w:p>
            <w:pPr>
              <w:spacing w:after="0"/>
              <w:rPr>
                <w:sz w:val="22"/>
                <w:szCs w:val="22"/>
                <w:color w:val="auto"/>
              </w:rPr>
            </w:pPr>
          </w:p>
        </w:tc>
      </w:tr>
      <w:tr>
        <w:trPr>
          <w:trHeight w:val="257"/>
        </w:trPr>
        <w:tc>
          <w:tcPr>
            <w:tcW w:w="342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Defense Systems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Mid $5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~12%</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Mid $5</w:t>
            </w:r>
          </w:p>
        </w:tc>
        <w:tc>
          <w:tcPr>
            <w:tcW w:w="1940" w:type="dxa"/>
            <w:vAlign w:val="bottom"/>
          </w:tcPr>
          <w:p>
            <w:pPr>
              <w:jc w:val="center"/>
              <w:spacing w:after="0"/>
              <w:rPr>
                <w:sz w:val="20"/>
                <w:szCs w:val="20"/>
                <w:color w:val="auto"/>
              </w:rPr>
            </w:pPr>
            <w:r>
              <w:rPr>
                <w:rFonts w:ascii="Arial" w:cs="Arial" w:eastAsia="Arial" w:hAnsi="Arial"/>
                <w:sz w:val="20"/>
                <w:szCs w:val="20"/>
                <w:b w:val="1"/>
                <w:bCs w:val="1"/>
                <w:color w:val="262626"/>
                <w:w w:val="96"/>
              </w:rPr>
              <w:t>~12%</w:t>
            </w:r>
          </w:p>
        </w:tc>
        <w:tc>
          <w:tcPr>
            <w:tcW w:w="20" w:type="dxa"/>
            <w:vAlign w:val="bottom"/>
          </w:tcPr>
          <w:p>
            <w:pPr>
              <w:spacing w:after="0"/>
              <w:rPr>
                <w:sz w:val="22"/>
                <w:szCs w:val="22"/>
                <w:color w:val="auto"/>
              </w:rPr>
            </w:pPr>
          </w:p>
        </w:tc>
      </w:tr>
      <w:tr>
        <w:trPr>
          <w:trHeight w:val="256"/>
        </w:trPr>
        <w:tc>
          <w:tcPr>
            <w:tcW w:w="34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Mission Systems</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Mid $10</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Mid 15%</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b w:val="1"/>
                <w:bCs w:val="1"/>
                <w:color w:val="auto"/>
              </w:rPr>
              <w:t>Mid $10</w:t>
            </w:r>
          </w:p>
        </w:tc>
        <w:tc>
          <w:tcPr>
            <w:tcW w:w="1940" w:type="dxa"/>
            <w:vAlign w:val="bottom"/>
            <w:shd w:val="clear" w:color="auto" w:fill="CCEEFF"/>
          </w:tcPr>
          <w:p>
            <w:pPr>
              <w:jc w:val="center"/>
              <w:spacing w:after="0"/>
              <w:rPr>
                <w:sz w:val="20"/>
                <w:szCs w:val="20"/>
                <w:color w:val="auto"/>
              </w:rPr>
            </w:pPr>
            <w:r>
              <w:rPr>
                <w:rFonts w:ascii="Arial" w:cs="Arial" w:eastAsia="Arial" w:hAnsi="Arial"/>
                <w:sz w:val="20"/>
                <w:szCs w:val="20"/>
                <w:b w:val="1"/>
                <w:bCs w:val="1"/>
                <w:color w:val="262626"/>
                <w:w w:val="97"/>
              </w:rPr>
              <w:t>Mid 15%</w:t>
            </w:r>
          </w:p>
        </w:tc>
        <w:tc>
          <w:tcPr>
            <w:tcW w:w="20" w:type="dxa"/>
            <w:vAlign w:val="bottom"/>
          </w:tcPr>
          <w:p>
            <w:pPr>
              <w:spacing w:after="0"/>
              <w:rPr>
                <w:sz w:val="22"/>
                <w:szCs w:val="22"/>
                <w:color w:val="auto"/>
              </w:rPr>
            </w:pPr>
          </w:p>
        </w:tc>
      </w:tr>
      <w:tr>
        <w:trPr>
          <w:trHeight w:val="257"/>
        </w:trPr>
        <w:tc>
          <w:tcPr>
            <w:tcW w:w="342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Space Systems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High $11</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~10%</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~$12</w:t>
            </w:r>
          </w:p>
        </w:tc>
        <w:tc>
          <w:tcPr>
            <w:tcW w:w="1940" w:type="dxa"/>
            <w:vAlign w:val="bottom"/>
          </w:tcPr>
          <w:p>
            <w:pPr>
              <w:jc w:val="center"/>
              <w:spacing w:after="0"/>
              <w:rPr>
                <w:sz w:val="20"/>
                <w:szCs w:val="20"/>
                <w:color w:val="auto"/>
              </w:rPr>
            </w:pPr>
            <w:r>
              <w:rPr>
                <w:rFonts w:ascii="Arial" w:cs="Arial" w:eastAsia="Arial" w:hAnsi="Arial"/>
                <w:sz w:val="20"/>
                <w:szCs w:val="20"/>
                <w:b w:val="1"/>
                <w:bCs w:val="1"/>
                <w:color w:val="262626"/>
                <w:w w:val="98"/>
              </w:rPr>
              <w:t>High 9%</w:t>
            </w:r>
          </w:p>
        </w:tc>
        <w:tc>
          <w:tcPr>
            <w:tcW w:w="20" w:type="dxa"/>
            <w:vAlign w:val="bottom"/>
          </w:tcPr>
          <w:p>
            <w:pPr>
              <w:spacing w:after="0"/>
              <w:rPr>
                <w:sz w:val="22"/>
                <w:szCs w:val="22"/>
                <w:color w:val="auto"/>
              </w:rPr>
            </w:pPr>
          </w:p>
        </w:tc>
      </w:tr>
      <w:tr>
        <w:trPr>
          <w:trHeight w:val="256"/>
        </w:trPr>
        <w:tc>
          <w:tcPr>
            <w:tcW w:w="34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Eliminations</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7"/>
              </w:rPr>
              <w:t>Low ($2)</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262626"/>
                <w:w w:val="96"/>
              </w:rPr>
              <w:t>~13%</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b w:val="1"/>
                <w:bCs w:val="1"/>
                <w:color w:val="auto"/>
              </w:rPr>
              <w:t>Low ($2)</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20"/>
                <w:szCs w:val="20"/>
                <w:b w:val="1"/>
                <w:bCs w:val="1"/>
                <w:color w:val="262626"/>
                <w:w w:val="99"/>
              </w:rPr>
              <w:t>Mid 13%</w:t>
            </w:r>
          </w:p>
        </w:tc>
        <w:tc>
          <w:tcPr>
            <w:tcW w:w="20" w:type="dxa"/>
            <w:vAlign w:val="bottom"/>
            <w:tcBorders>
              <w:bottom w:val="single" w:sz="8" w:color="auto"/>
            </w:tcBorders>
          </w:tcPr>
          <w:p>
            <w:pPr>
              <w:spacing w:after="0"/>
              <w:rPr>
                <w:sz w:val="22"/>
                <w:szCs w:val="22"/>
                <w:color w:val="auto"/>
              </w:rPr>
            </w:pPr>
          </w:p>
        </w:tc>
      </w:tr>
    </w:tbl>
    <w:p>
      <w:pPr>
        <w:spacing w:after="0" w:line="198" w:lineRule="exact"/>
        <w:rPr>
          <w:sz w:val="20"/>
          <w:szCs w:val="20"/>
          <w:color w:val="auto"/>
        </w:rPr>
      </w:pPr>
    </w:p>
    <w:p>
      <w:pPr>
        <w:ind w:left="260" w:hanging="234"/>
        <w:spacing w:after="0"/>
        <w:tabs>
          <w:tab w:leader="none" w:pos="2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Non-GAAP measure - see definitions at the end of this earnings release.</w:t>
      </w:r>
    </w:p>
    <w:p>
      <w:pPr>
        <w:spacing w:after="0" w:line="26" w:lineRule="exact"/>
        <w:rPr>
          <w:sz w:val="20"/>
          <w:szCs w:val="20"/>
          <w:color w:val="auto"/>
        </w:rPr>
      </w:pPr>
    </w:p>
    <w:p>
      <w:pPr>
        <w:ind w:left="260" w:right="260" w:hanging="234"/>
        <w:spacing w:after="0" w:line="226" w:lineRule="auto"/>
        <w:tabs>
          <w:tab w:leader="none" w:pos="2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Total Net FAS/CAS pension adjustment is presented as a single amount consistent with our historical presentation, and includes $170 million of expected CAS pension expense and $370 million of FAS pension service expense, both of which are reflected in operating income. Non-operating FAS pension benefit of $1,510 million is reflected below operating income, and the total net FAS/CAS pension adjustment is $1,310 million.</w:t>
      </w:r>
    </w:p>
    <w:p>
      <w:pPr>
        <w:spacing w:after="0" w:line="10" w:lineRule="exact"/>
        <w:rPr>
          <w:sz w:val="20"/>
          <w:szCs w:val="20"/>
          <w:color w:val="auto"/>
        </w:rPr>
      </w:pPr>
    </w:p>
    <w:p>
      <w:pPr>
        <w:ind w:left="260" w:right="140" w:hanging="234"/>
        <w:spacing w:after="0" w:line="243" w:lineRule="auto"/>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 usual, financial guidance does not include any future gains or losses associated with changes in valuations of the company's marketable securities related to our non-qualified benefit plans and other non-operating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20"/>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60"/>
          </w:cols>
          <w:pgMar w:left="320" w:top="373" w:right="31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9</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Northrop Grumman</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Northrop Grumman will webcast its earnings conference call at 9:00 a.m. Eastern Time on October 27, 2022. A</w:t>
      </w:r>
    </w:p>
    <w:p>
      <w:pPr>
        <w:spacing w:after="0" w:line="2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live audio broadcast of the conference call will be available on the investor relations page of the company’s website at </w:t>
      </w:r>
      <w:r>
        <w:rPr>
          <w:rFonts w:ascii="Arial" w:cs="Arial" w:eastAsia="Arial" w:hAnsi="Arial"/>
          <w:sz w:val="22"/>
          <w:szCs w:val="22"/>
          <w:u w:val="single" w:color="auto"/>
          <w:color w:val="auto"/>
        </w:rPr>
        <w:t>www.northropgrumman.com</w:t>
      </w:r>
      <w:r>
        <w:rPr>
          <w:rFonts w:ascii="Arial" w:cs="Arial" w:eastAsia="Arial" w:hAnsi="Arial"/>
          <w:sz w:val="22"/>
          <w:szCs w:val="22"/>
          <w:color w:val="auto"/>
        </w:rPr>
        <w:t>.</w:t>
      </w:r>
    </w:p>
    <w:p>
      <w:pPr>
        <w:spacing w:after="0" w:line="27" w:lineRule="exact"/>
        <w:rPr>
          <w:sz w:val="20"/>
          <w:szCs w:val="20"/>
          <w:color w:val="auto"/>
        </w:rPr>
      </w:pPr>
    </w:p>
    <w:p>
      <w:pPr>
        <w:ind w:right="120" w:firstLine="324"/>
        <w:spacing w:after="0" w:line="257" w:lineRule="auto"/>
        <w:rPr>
          <w:sz w:val="20"/>
          <w:szCs w:val="20"/>
          <w:color w:val="auto"/>
        </w:rPr>
      </w:pPr>
      <w:r>
        <w:rPr>
          <w:rFonts w:ascii="Arial" w:cs="Arial" w:eastAsia="Arial" w:hAnsi="Arial"/>
          <w:sz w:val="22"/>
          <w:szCs w:val="22"/>
          <w:color w:val="auto"/>
        </w:rPr>
        <w:t>Northrop Grumman is a technology company, focused on global security and human discovery. Our pioneering solutions equip our customers with capabilities they need to connect, advance and protect the U.S. and its allies. Driven by a shared purpose to solve our customers' toughest problems, our 90,000 employees define possible every day.</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Forward-Looking Statements</w:t>
      </w:r>
    </w:p>
    <w:p>
      <w:pPr>
        <w:spacing w:after="0" w:line="159"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This earnings release and the information we are incorporating by reference, and statements to be made on the earnings conference call, contain or may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w:t>
      </w:r>
    </w:p>
    <w:p>
      <w:pPr>
        <w:spacing w:after="0" w:line="57"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the Form 10-K for the year ended December 31, 2021 and from time to time in our other filings with the Securities and Exchange Commission (SEC). These risks and uncertainties are amplified by the global COVID-19 pandemic and the broader economic environment, which have caused and will continue to cause significant challenges, instability and uncertainty. They include: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Industry and Economic Risks</w:t>
      </w:r>
    </w:p>
    <w:p>
      <w:pPr>
        <w:spacing w:after="0" w:line="85"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our dependence on the U.S. government for a substantial portion of our business</w:t>
      </w:r>
    </w:p>
    <w:p>
      <w:pPr>
        <w:spacing w:after="0" w:line="98" w:lineRule="exact"/>
        <w:rPr>
          <w:rFonts w:ascii="Arial" w:cs="Arial" w:eastAsia="Arial" w:hAnsi="Arial"/>
          <w:sz w:val="22"/>
          <w:szCs w:val="22"/>
          <w:color w:val="auto"/>
        </w:rPr>
      </w:pPr>
    </w:p>
    <w:p>
      <w:pPr>
        <w:ind w:left="340" w:right="440" w:hanging="332"/>
        <w:spacing w:after="0" w:line="272" w:lineRule="auto"/>
        <w:tabs>
          <w:tab w:leader="none" w:pos="335" w:val="left"/>
        </w:tabs>
        <w:numPr>
          <w:ilvl w:val="0"/>
          <w:numId w:val="14"/>
        </w:numPr>
        <w:rPr>
          <w:rFonts w:ascii="Arial" w:cs="Arial" w:eastAsia="Arial" w:hAnsi="Arial"/>
          <w:sz w:val="22"/>
          <w:szCs w:val="22"/>
          <w:color w:val="auto"/>
        </w:rPr>
      </w:pPr>
      <w:r>
        <w:rPr>
          <w:rFonts w:ascii="Arial" w:cs="Arial" w:eastAsia="Arial" w:hAnsi="Arial"/>
          <w:sz w:val="22"/>
          <w:szCs w:val="22"/>
          <w:color w:val="auto"/>
        </w:rPr>
        <w:t>significant delays or reductions in appropriations for our programs, and U.S. government funding and program support more broadly, including related to hostilities and other global events</w:t>
      </w:r>
    </w:p>
    <w:p>
      <w:pPr>
        <w:spacing w:after="0" w:line="34" w:lineRule="exact"/>
        <w:rPr>
          <w:rFonts w:ascii="Arial" w:cs="Arial" w:eastAsia="Arial" w:hAnsi="Arial"/>
          <w:sz w:val="22"/>
          <w:szCs w:val="22"/>
          <w:color w:val="auto"/>
        </w:rPr>
      </w:pPr>
    </w:p>
    <w:p>
      <w:pPr>
        <w:ind w:left="340" w:right="300" w:hanging="332"/>
        <w:spacing w:after="0" w:line="301" w:lineRule="auto"/>
        <w:tabs>
          <w:tab w:leader="none" w:pos="335"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use of estimates when accounting for our contracts and the effect of contract cost growth and/or changes in estimated contract revenues and costs, including as a result of labor shortages and/or inflationary pressures</w:t>
      </w:r>
    </w:p>
    <w:p>
      <w:pPr>
        <w:spacing w:after="0" w:line="1" w:lineRule="exact"/>
        <w:rPr>
          <w:rFonts w:ascii="Arial" w:cs="Arial" w:eastAsia="Arial" w:hAnsi="Arial"/>
          <w:sz w:val="21"/>
          <w:szCs w:val="21"/>
          <w:color w:val="auto"/>
        </w:rPr>
      </w:pPr>
    </w:p>
    <w:p>
      <w:pPr>
        <w:ind w:left="320" w:hanging="312"/>
        <w:spacing w:after="0"/>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increased competition within our markets and bid protests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Legal and Regulatory Risks</w:t>
      </w:r>
    </w:p>
    <w:p>
      <w:pPr>
        <w:spacing w:after="0" w:line="9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investigations, claims, disputes, enforcement actions, litigation and/or other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10</w:t>
            </w:r>
          </w:p>
        </w:tc>
      </w:tr>
    </w:tbl>
    <w:p>
      <w:pPr>
        <w:spacing w:after="0" w:line="392" w:lineRule="exact"/>
        <w:rPr>
          <w:sz w:val="20"/>
          <w:szCs w:val="20"/>
          <w:color w:val="auto"/>
        </w:rPr>
      </w:pPr>
    </w:p>
    <w:p>
      <w:pPr>
        <w:ind w:left="340" w:right="580" w:hanging="332"/>
        <w:spacing w:after="0" w:line="272" w:lineRule="auto"/>
        <w:tabs>
          <w:tab w:leader="none" w:pos="335"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improper conduct of employees, agents, subcontractors, suppliers, business partners or joint ventures in which we participate and the impact on our reputation and our ability to do business</w:t>
      </w:r>
    </w:p>
    <w:p>
      <w:pPr>
        <w:spacing w:after="0" w:line="34" w:lineRule="exact"/>
        <w:rPr>
          <w:rFonts w:ascii="Arial" w:cs="Arial" w:eastAsia="Arial" w:hAnsi="Arial"/>
          <w:sz w:val="22"/>
          <w:szCs w:val="22"/>
          <w:color w:val="auto"/>
        </w:rPr>
      </w:pPr>
    </w:p>
    <w:p>
      <w:pPr>
        <w:jc w:val="both"/>
        <w:ind w:left="340" w:right="300" w:hanging="332"/>
        <w:spacing w:after="0" w:line="257" w:lineRule="auto"/>
        <w:tabs>
          <w:tab w:leader="none" w:pos="335" w:val="left"/>
        </w:tabs>
        <w:numPr>
          <w:ilvl w:val="0"/>
          <w:numId w:val="16"/>
        </w:numPr>
        <w:rPr>
          <w:rFonts w:ascii="Arial" w:cs="Arial" w:eastAsia="Arial" w:hAnsi="Arial"/>
          <w:sz w:val="22"/>
          <w:szCs w:val="22"/>
          <w:color w:val="auto"/>
        </w:rPr>
      </w:pPr>
      <w:r>
        <w:rPr>
          <w:rFonts w:ascii="Arial" w:cs="Arial" w:eastAsia="Arial" w:hAnsi="Arial"/>
          <w:sz w:val="22"/>
          <w:szCs w:val="22"/>
          <w:color w:val="auto"/>
        </w:rPr>
        <w:t>changes in procurement and other laws, SEC and other regulations, contract terms and practices applicable to our industry, findings by the U.S. government as to our compliance with such requirements, and changes in our customers’ business practices globally</w:t>
      </w:r>
    </w:p>
    <w:p>
      <w:pPr>
        <w:spacing w:after="0" w:line="51" w:lineRule="exact"/>
        <w:rPr>
          <w:rFonts w:ascii="Arial" w:cs="Arial" w:eastAsia="Arial" w:hAnsi="Arial"/>
          <w:sz w:val="22"/>
          <w:szCs w:val="22"/>
          <w:color w:val="auto"/>
        </w:rPr>
      </w:pPr>
    </w:p>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environmental matters, including unforeseen environmental costs and government and third party claims</w:t>
      </w:r>
    </w:p>
    <w:p>
      <w:pPr>
        <w:spacing w:after="0" w:line="98" w:lineRule="exact"/>
        <w:rPr>
          <w:rFonts w:ascii="Arial" w:cs="Arial" w:eastAsia="Arial" w:hAnsi="Arial"/>
          <w:sz w:val="22"/>
          <w:szCs w:val="22"/>
          <w:color w:val="auto"/>
        </w:rPr>
      </w:pPr>
    </w:p>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unanticipated changes in our tax provisions or exposure to additional tax liabilities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Business and Operational Risks</w:t>
      </w:r>
    </w:p>
    <w:p>
      <w:pPr>
        <w:spacing w:after="0" w:line="85" w:lineRule="exact"/>
        <w:rPr>
          <w:sz w:val="20"/>
          <w:szCs w:val="20"/>
          <w:color w:val="auto"/>
        </w:rPr>
      </w:pPr>
    </w:p>
    <w:p>
      <w:pPr>
        <w:ind w:left="340" w:right="20" w:hanging="332"/>
        <w:spacing w:after="0" w:line="251"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impacts of the COVID-19 pandemic (or future health epidemics, pandemics or similar outbreaks), including potential new variants, case surges or prolonged recovery periods, their effects on the broader environment, and varying related government requirements, on: our business, our ability to maintain a qualified and productive workforce, work slowdowns or stoppages, labor shortages, supply chain and logistics challenges, costs we cannot recover and liabilities for which we are not compensated, performance challenges (including cost and schedule), government funding, changes in government acquisition priorities and processes, government payment rules and practices, insurance challenges, and potential impacts on access to capital, the markets and the fair value of our assets</w:t>
      </w:r>
    </w:p>
    <w:p>
      <w:pPr>
        <w:spacing w:after="0" w:line="57" w:lineRule="exact"/>
        <w:rPr>
          <w:rFonts w:ascii="Arial" w:cs="Arial" w:eastAsia="Arial" w:hAnsi="Arial"/>
          <w:sz w:val="22"/>
          <w:szCs w:val="22"/>
          <w:color w:val="auto"/>
        </w:rPr>
      </w:pPr>
    </w:p>
    <w:p>
      <w:pPr>
        <w:ind w:left="340" w:hanging="332"/>
        <w:spacing w:after="0" w:line="272"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cyber and other security threats or disruptions faced by us, our customers or our suppliers and other partners, and changes in related regulations</w:t>
      </w:r>
    </w:p>
    <w:p>
      <w:pPr>
        <w:spacing w:after="0" w:line="34" w:lineRule="exact"/>
        <w:rPr>
          <w:rFonts w:ascii="Arial" w:cs="Arial" w:eastAsia="Arial" w:hAnsi="Arial"/>
          <w:sz w:val="22"/>
          <w:szCs w:val="22"/>
          <w:color w:val="auto"/>
        </w:rPr>
      </w:pPr>
    </w:p>
    <w:p>
      <w:pPr>
        <w:ind w:left="340" w:right="380" w:hanging="332"/>
        <w:spacing w:after="0" w:line="272"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our ability to attract and retain a qualified workforce with the required security clearances and requisite skills to meet our performance obligations</w:t>
      </w:r>
    </w:p>
    <w:p>
      <w:pPr>
        <w:spacing w:after="0" w:line="34" w:lineRule="exact"/>
        <w:rPr>
          <w:rFonts w:ascii="Arial" w:cs="Arial" w:eastAsia="Arial" w:hAnsi="Arial"/>
          <w:sz w:val="22"/>
          <w:szCs w:val="22"/>
          <w:color w:val="auto"/>
        </w:rPr>
      </w:pPr>
    </w:p>
    <w:p>
      <w:pPr>
        <w:jc w:val="both"/>
        <w:ind w:left="340" w:right="100" w:hanging="332"/>
        <w:spacing w:after="0" w:line="257"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performance and viability of our subcontractors and suppliers and the availability and pricing of raw materials and components, particularly with inflationary pressures, increased costs, supply chain disruptions, and extended material lead times</w:t>
      </w:r>
    </w:p>
    <w:p>
      <w:pPr>
        <w:spacing w:after="0" w:line="51" w:lineRule="exact"/>
        <w:rPr>
          <w:rFonts w:ascii="Arial" w:cs="Arial" w:eastAsia="Arial" w:hAnsi="Arial"/>
          <w:sz w:val="22"/>
          <w:szCs w:val="22"/>
          <w:color w:val="auto"/>
        </w:rPr>
      </w:pPr>
    </w:p>
    <w:p>
      <w:pPr>
        <w:ind w:left="340" w:right="300" w:hanging="332"/>
        <w:spacing w:after="0" w:line="257"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climate change, its impacts on our company, our operations and our stakeholders (employees, suppliers, customers, shareholders and regulators), and changes in laws, regulations and priorities related to greenhouse gas emissions and other climate change related concerns</w:t>
      </w:r>
    </w:p>
    <w:p>
      <w:pPr>
        <w:spacing w:after="0" w:line="51" w:lineRule="exact"/>
        <w:rPr>
          <w:rFonts w:ascii="Arial" w:cs="Arial" w:eastAsia="Arial" w:hAnsi="Arial"/>
          <w:sz w:val="22"/>
          <w:szCs w:val="22"/>
          <w:color w:val="auto"/>
        </w:rPr>
      </w:pPr>
    </w:p>
    <w:p>
      <w:pPr>
        <w:ind w:left="340" w:right="80" w:hanging="332"/>
        <w:spacing w:after="0" w:line="272"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our exposure to additional risks as a result of our international business, including risks related to geopolitical and economic factors, suppliers, laws and regulations</w:t>
      </w:r>
    </w:p>
    <w:p>
      <w:pPr>
        <w:spacing w:after="0" w:line="34" w:lineRule="exact"/>
        <w:rPr>
          <w:rFonts w:ascii="Arial" w:cs="Arial" w:eastAsia="Arial" w:hAnsi="Arial"/>
          <w:sz w:val="22"/>
          <w:szCs w:val="22"/>
          <w:color w:val="auto"/>
        </w:rPr>
      </w:pPr>
    </w:p>
    <w:p>
      <w:pPr>
        <w:ind w:left="340" w:right="480" w:hanging="332"/>
        <w:spacing w:after="0" w:line="264"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29" w:lineRule="exact"/>
        <w:rPr>
          <w:rFonts w:ascii="Arial" w:cs="Arial" w:eastAsia="Arial" w:hAnsi="Arial"/>
          <w:sz w:val="22"/>
          <w:szCs w:val="22"/>
          <w:color w:val="auto"/>
        </w:rPr>
      </w:pPr>
    </w:p>
    <w:p>
      <w:pPr>
        <w:ind w:left="320" w:hanging="312"/>
        <w:spacing w:after="0"/>
        <w:tabs>
          <w:tab w:leader="none" w:pos="3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natural disasters</w:t>
      </w:r>
    </w:p>
    <w:p>
      <w:pPr>
        <w:spacing w:after="0" w:line="98" w:lineRule="exact"/>
        <w:rPr>
          <w:rFonts w:ascii="Arial" w:cs="Arial" w:eastAsia="Arial" w:hAnsi="Arial"/>
          <w:sz w:val="22"/>
          <w:szCs w:val="22"/>
          <w:color w:val="auto"/>
        </w:rPr>
      </w:pPr>
    </w:p>
    <w:p>
      <w:pPr>
        <w:ind w:left="340" w:right="80" w:hanging="332"/>
        <w:spacing w:after="0" w:line="296" w:lineRule="auto"/>
        <w:tabs>
          <w:tab w:leader="none" w:pos="335" w:val="left"/>
        </w:tabs>
        <w:numPr>
          <w:ilvl w:val="0"/>
          <w:numId w:val="17"/>
        </w:numPr>
        <w:rPr>
          <w:rFonts w:ascii="Arial" w:cs="Arial" w:eastAsia="Arial" w:hAnsi="Arial"/>
          <w:sz w:val="21"/>
          <w:szCs w:val="21"/>
          <w:color w:val="auto"/>
        </w:rPr>
      </w:pPr>
      <w:r>
        <w:rPr>
          <w:rFonts w:ascii="Arial" w:cs="Arial" w:eastAsia="Arial" w:hAnsi="Arial"/>
          <w:sz w:val="21"/>
          <w:szCs w:val="21"/>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11" w:lineRule="exact"/>
        <w:rPr>
          <w:rFonts w:ascii="Arial" w:cs="Arial" w:eastAsia="Arial" w:hAnsi="Arial"/>
          <w:sz w:val="21"/>
          <w:szCs w:val="21"/>
          <w:color w:val="auto"/>
        </w:rPr>
      </w:pPr>
    </w:p>
    <w:p>
      <w:pPr>
        <w:ind w:left="320" w:hanging="312"/>
        <w:spacing w:after="0"/>
        <w:tabs>
          <w:tab w:leader="none" w:pos="3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our ability appropriately to exploit and/or protect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3" w:right="35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11</w:t>
            </w:r>
          </w:p>
        </w:tc>
      </w:tr>
    </w:tbl>
    <w:p>
      <w:pPr>
        <w:spacing w:after="0" w:line="392" w:lineRule="exact"/>
        <w:rPr>
          <w:sz w:val="20"/>
          <w:szCs w:val="20"/>
          <w:color w:val="auto"/>
        </w:rPr>
      </w:pPr>
    </w:p>
    <w:p>
      <w:pPr>
        <w:ind w:left="340" w:right="240" w:hanging="332"/>
        <w:spacing w:after="0" w:line="272" w:lineRule="auto"/>
        <w:tabs>
          <w:tab w:leader="none" w:pos="335" w:val="left"/>
        </w:tabs>
        <w:numPr>
          <w:ilvl w:val="0"/>
          <w:numId w:val="18"/>
        </w:numPr>
        <w:rPr>
          <w:rFonts w:ascii="Arial" w:cs="Arial" w:eastAsia="Arial" w:hAnsi="Arial"/>
          <w:sz w:val="22"/>
          <w:szCs w:val="22"/>
          <w:color w:val="auto"/>
        </w:rPr>
      </w:pPr>
      <w:r>
        <w:rPr>
          <w:rFonts w:ascii="Arial" w:cs="Arial" w:eastAsia="Arial" w:hAnsi="Arial"/>
          <w:sz w:val="22"/>
          <w:szCs w:val="22"/>
          <w:color w:val="auto"/>
        </w:rPr>
        <w:t>our ability to develop new products and technologies and maintain technologies, facilities, and equipment to win new competitions and meet the needs of our customers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color w:val="auto"/>
        </w:rPr>
        <w:t>General and Other Risk Factors</w:t>
      </w:r>
    </w:p>
    <w:p>
      <w:pPr>
        <w:spacing w:after="0" w:line="98"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adequacy and availability of our insurance coverage, customer indemnifications or other liability protections</w:t>
      </w:r>
    </w:p>
    <w:p>
      <w:pPr>
        <w:spacing w:after="0" w:line="84" w:lineRule="exact"/>
        <w:rPr>
          <w:rFonts w:ascii="Arial" w:cs="Arial" w:eastAsia="Arial" w:hAnsi="Arial"/>
          <w:sz w:val="22"/>
          <w:szCs w:val="22"/>
          <w:color w:val="auto"/>
        </w:rPr>
      </w:pPr>
    </w:p>
    <w:p>
      <w:pPr>
        <w:ind w:left="340" w:right="80" w:hanging="332"/>
        <w:spacing w:after="0" w:line="257" w:lineRule="auto"/>
        <w:tabs>
          <w:tab w:leader="none" w:pos="335" w:val="left"/>
        </w:tabs>
        <w:numPr>
          <w:ilvl w:val="0"/>
          <w:numId w:val="19"/>
        </w:numPr>
        <w:rPr>
          <w:rFonts w:ascii="Arial" w:cs="Arial" w:eastAsia="Arial" w:hAnsi="Arial"/>
          <w:sz w:val="22"/>
          <w:szCs w:val="22"/>
          <w:i w:val="1"/>
          <w:iCs w:val="1"/>
          <w:color w:val="auto"/>
        </w:rPr>
      </w:pPr>
      <w:r>
        <w:rPr>
          <w:rFonts w:ascii="Arial" w:cs="Arial" w:eastAsia="Arial" w:hAnsi="Arial"/>
          <w:sz w:val="22"/>
          <w:szCs w:val="22"/>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0" w:lineRule="exact"/>
        <w:rPr>
          <w:rFonts w:ascii="Arial" w:cs="Arial" w:eastAsia="Arial" w:hAnsi="Arial"/>
          <w:sz w:val="22"/>
          <w:szCs w:val="22"/>
          <w:i w:val="1"/>
          <w:iCs w:val="1"/>
          <w:color w:val="auto"/>
        </w:rPr>
      </w:pPr>
    </w:p>
    <w:p>
      <w:pPr>
        <w:ind w:left="340" w:right="240" w:hanging="332"/>
        <w:spacing w:after="0" w:line="272" w:lineRule="auto"/>
        <w:tabs>
          <w:tab w:leader="none" w:pos="335" w:val="left"/>
        </w:tabs>
        <w:numPr>
          <w:ilvl w:val="0"/>
          <w:numId w:val="19"/>
        </w:numPr>
        <w:rPr>
          <w:rFonts w:ascii="Arial" w:cs="Arial" w:eastAsia="Arial" w:hAnsi="Arial"/>
          <w:sz w:val="22"/>
          <w:szCs w:val="22"/>
          <w:color w:val="auto"/>
        </w:rPr>
      </w:pPr>
      <w:r>
        <w:rPr>
          <w:rFonts w:ascii="Arial" w:cs="Arial" w:eastAsia="Arial" w:hAnsi="Arial"/>
          <w:sz w:val="22"/>
          <w:szCs w:val="22"/>
          <w:color w:val="auto"/>
        </w:rPr>
        <w:t>changes in business conditions that could impact business investments and/or recorded goodwill or the value of other long-lived assets</w:t>
      </w:r>
    </w:p>
    <w:p>
      <w:pPr>
        <w:spacing w:after="0" w:line="34"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You are urged to consider the limitations on, and risks associated with, forward-looking statements and not unduly rely on the accuracy of forward-looking statements. These forward-looking statements speak only as of the date this earnings release is first issued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44" w:lineRule="exact"/>
        <w:rPr>
          <w:sz w:val="20"/>
          <w:szCs w:val="20"/>
          <w:color w:val="auto"/>
        </w:rPr>
      </w:pPr>
    </w:p>
    <w:p>
      <w:pPr>
        <w:jc w:val="both"/>
        <w:ind w:right="220"/>
        <w:spacing w:after="0" w:line="310" w:lineRule="auto"/>
        <w:rPr>
          <w:sz w:val="20"/>
          <w:szCs w:val="20"/>
          <w:color w:val="auto"/>
        </w:rPr>
      </w:pPr>
      <w:r>
        <w:rPr>
          <w:rFonts w:ascii="Arial" w:cs="Arial" w:eastAsia="Arial" w:hAnsi="Arial"/>
          <w:sz w:val="21"/>
          <w:szCs w:val="21"/>
          <w:color w:val="auto"/>
        </w:rPr>
        <w:t>This release and the attachments also contain non-GAAP financial measures. A reconciliation to the nearest GAAP measure and a discussion of the company’s use of these measures are included in this release or the 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3" w:right="35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12</w:t>
            </w:r>
          </w:p>
        </w:tc>
      </w:tr>
    </w:tbl>
    <w:p>
      <w:pPr>
        <w:spacing w:after="0" w:line="386" w:lineRule="exact"/>
        <w:rPr>
          <w:sz w:val="20"/>
          <w:szCs w:val="20"/>
          <w:color w:val="auto"/>
        </w:rPr>
      </w:pPr>
    </w:p>
    <w:p>
      <w:pPr>
        <w:ind w:left="10100"/>
        <w:spacing w:after="0"/>
        <w:rPr>
          <w:sz w:val="20"/>
          <w:szCs w:val="20"/>
          <w:color w:val="auto"/>
        </w:rPr>
      </w:pPr>
      <w:r>
        <w:rPr>
          <w:rFonts w:ascii="Arial" w:cs="Arial" w:eastAsia="Arial" w:hAnsi="Arial"/>
          <w:sz w:val="17"/>
          <w:szCs w:val="17"/>
          <w:b w:val="1"/>
          <w:bCs w:val="1"/>
          <w:color w:val="auto"/>
        </w:rPr>
        <w:t>SCHEDULE 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3"/>
          </w:tcPr>
          <w:p>
            <w:pPr>
              <w:jc w:val="right"/>
              <w:ind w:right="37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7"/>
                <w:szCs w:val="17"/>
                <w:color w:val="auto"/>
              </w:rPr>
            </w:pPr>
          </w:p>
        </w:tc>
        <w:tc>
          <w:tcPr>
            <w:tcW w:w="2260" w:type="dxa"/>
            <w:vAlign w:val="bottom"/>
            <w:gridSpan w:val="3"/>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35"/>
        </w:trPr>
        <w:tc>
          <w:tcPr>
            <w:tcW w:w="6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September 30</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40" w:type="dxa"/>
            <w:vAlign w:val="bottom"/>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6,979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6,845</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20,599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21,060</w:t>
            </w:r>
          </w:p>
        </w:tc>
      </w:tr>
      <w:tr>
        <w:trPr>
          <w:trHeight w:val="229"/>
        </w:trPr>
        <w:tc>
          <w:tcPr>
            <w:tcW w:w="6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1,992</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1,875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5,970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8,971</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8,720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26,569</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27,028</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40" w:type="dxa"/>
            <w:vAlign w:val="bottom"/>
          </w:tcPr>
          <w:p>
            <w:pPr>
              <w:ind w:left="2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5,589</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5,352</w:t>
            </w:r>
          </w:p>
        </w:tc>
        <w:tc>
          <w:tcPr>
            <w:tcW w:w="3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16,250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16,662</w:t>
            </w:r>
          </w:p>
        </w:tc>
      </w:tr>
      <w:tr>
        <w:trPr>
          <w:trHeight w:val="229"/>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1,564</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4,669</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w:t>
            </w:r>
          </w:p>
        </w:tc>
      </w:tr>
      <w:tr>
        <w:trPr>
          <w:trHeight w:val="230"/>
        </w:trPr>
        <w:tc>
          <w:tcPr>
            <w:tcW w:w="6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974</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2,955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r>
      <w:tr>
        <w:trPr>
          <w:trHeight w:val="223"/>
        </w:trPr>
        <w:tc>
          <w:tcPr>
            <w:tcW w:w="6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8,127</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7,677</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23,874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24,099</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Gain on sale of business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844</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2,695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6140" w:type="dxa"/>
            <w:vAlign w:val="bottom"/>
          </w:tcPr>
          <w:p>
            <w:pPr>
              <w:ind w:left="220"/>
              <w:spacing w:after="0"/>
              <w:rPr>
                <w:sz w:val="20"/>
                <w:szCs w:val="20"/>
                <w:color w:val="auto"/>
              </w:rPr>
            </w:pPr>
            <w:r>
              <w:rPr>
                <w:rFonts w:ascii="Arial" w:cs="Arial" w:eastAsia="Arial" w:hAnsi="Arial"/>
                <w:sz w:val="18"/>
                <w:szCs w:val="18"/>
                <w:color w:val="auto"/>
              </w:rPr>
              <w:t>Non-operating FAS pension benefit</w:t>
            </w:r>
          </w:p>
        </w:tc>
        <w:tc>
          <w:tcPr>
            <w:tcW w:w="2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376</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1,129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29"/>
        </w:trPr>
        <w:tc>
          <w:tcPr>
            <w:tcW w:w="6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1,090</w:t>
            </w:r>
          </w:p>
        </w:tc>
        <w:tc>
          <w:tcPr>
            <w:tcW w:w="32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1,275</w:t>
            </w:r>
          </w:p>
        </w:tc>
        <w:tc>
          <w:tcPr>
            <w:tcW w:w="3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3,384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5,593</w:t>
            </w:r>
          </w:p>
        </w:tc>
      </w:tr>
      <w:tr>
        <w:trPr>
          <w:trHeight w:val="230"/>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175</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568</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3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915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1,063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2,816</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r>
      <w:tr>
        <w:trPr>
          <w:trHeight w:val="203"/>
        </w:trPr>
        <w:tc>
          <w:tcPr>
            <w:tcW w:w="6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5.92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6.65</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18.13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26.63</w:t>
            </w: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154.6</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159.8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155.3</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5.89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6.63</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18.06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26.55</w:t>
            </w:r>
          </w:p>
        </w:tc>
      </w:tr>
      <w:tr>
        <w:trPr>
          <w:trHeight w:val="236"/>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155.3</w:t>
            </w: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160.4</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155.9</w:t>
            </w:r>
          </w:p>
        </w:tc>
        <w:tc>
          <w:tcPr>
            <w:tcW w:w="3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03"/>
        </w:trPr>
        <w:tc>
          <w:tcPr>
            <w:tcW w:w="6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(from above)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915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2,816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unamortized prior service credit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 in cumulative translation adjustment and other,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908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2,793</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13</w:t>
            </w:r>
          </w:p>
        </w:tc>
      </w:tr>
    </w:tbl>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ind w:left="340" w:right="2560"/>
        <w:spacing w:after="0" w:line="270" w:lineRule="auto"/>
        <w:rPr>
          <w:sz w:val="20"/>
          <w:szCs w:val="20"/>
          <w:color w:val="auto"/>
        </w:rPr>
      </w:pPr>
      <w:r>
        <w:rPr>
          <w:rFonts w:ascii="Arial" w:cs="Arial" w:eastAsia="Arial" w:hAnsi="Arial"/>
          <w:sz w:val="18"/>
          <w:szCs w:val="18"/>
          <w:b w:val="1"/>
          <w:bCs w:val="1"/>
          <w:color w:val="auto"/>
        </w:rPr>
        <w:t>NORTHROP GRUMMAN CORPORATION CONDENSED CONSOLIDATED STATEMENTS OF FINANCIAL POSITION (Unaudited)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except par value</w:t>
            </w:r>
          </w:p>
        </w:tc>
        <w:tc>
          <w:tcPr>
            <w:tcW w:w="200" w:type="dxa"/>
            <w:vAlign w:val="bottom"/>
          </w:tcPr>
          <w:p>
            <w:pPr>
              <w:spacing w:after="0"/>
              <w:rPr>
                <w:sz w:val="17"/>
                <w:szCs w:val="17"/>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1720" w:type="dxa"/>
            <w:vAlign w:val="bottom"/>
            <w:gridSpan w:val="2"/>
            <w:vMerge w:val="restart"/>
          </w:tcPr>
          <w:p>
            <w:pPr>
              <w:ind w:left="100"/>
              <w:spacing w:after="0"/>
              <w:rPr>
                <w:sz w:val="20"/>
                <w:szCs w:val="20"/>
                <w:color w:val="auto"/>
              </w:rPr>
            </w:pPr>
            <w:r>
              <w:rPr>
                <w:rFonts w:ascii="Arial" w:cs="Arial" w:eastAsia="Arial" w:hAnsi="Arial"/>
                <w:sz w:val="18"/>
                <w:szCs w:val="18"/>
                <w:color w:val="auto"/>
              </w:rPr>
              <w:t>December 31, 2021</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7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1,666</w:t>
            </w:r>
          </w:p>
        </w:tc>
        <w:tc>
          <w:tcPr>
            <w:tcW w:w="6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1,936</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6,430</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Inventoried costs,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989</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1,277</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12,298</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0" w:type="dxa"/>
            <w:vAlign w:val="bottom"/>
          </w:tcPr>
          <w:p>
            <w:pPr>
              <w:spacing w:after="0"/>
              <w:rPr>
                <w:sz w:val="1"/>
                <w:szCs w:val="1"/>
                <w:color w:val="auto"/>
              </w:rPr>
            </w:pPr>
          </w:p>
        </w:tc>
      </w:tr>
      <w:tr>
        <w:trPr>
          <w:trHeight w:val="177"/>
        </w:trPr>
        <w:tc>
          <w:tcPr>
            <w:tcW w:w="7780" w:type="dxa"/>
            <w:vAlign w:val="bottom"/>
          </w:tcPr>
          <w:p>
            <w:pPr>
              <w:ind w:left="140"/>
              <w:spacing w:after="0" w:line="177" w:lineRule="exact"/>
              <w:rPr>
                <w:sz w:val="20"/>
                <w:szCs w:val="20"/>
                <w:color w:val="auto"/>
              </w:rPr>
            </w:pPr>
            <w:r>
              <w:rPr>
                <w:rFonts w:ascii="Arial" w:cs="Arial" w:eastAsia="Arial" w:hAnsi="Arial"/>
                <w:sz w:val="18"/>
                <w:szCs w:val="18"/>
                <w:color w:val="auto"/>
              </w:rPr>
              <w:t>Property, plant and equipment, net of accumulated depreciation of $7,243 for 2022 and $6,819</w:t>
            </w:r>
          </w:p>
        </w:tc>
        <w:tc>
          <w:tcPr>
            <w:tcW w:w="200" w:type="dxa"/>
            <w:vAlign w:val="bottom"/>
          </w:tcPr>
          <w:p>
            <w:pPr>
              <w:spacing w:after="0"/>
              <w:rPr>
                <w:sz w:val="15"/>
                <w:szCs w:val="15"/>
                <w:color w:val="auto"/>
              </w:rPr>
            </w:pPr>
          </w:p>
        </w:tc>
        <w:tc>
          <w:tcPr>
            <w:tcW w:w="15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8,325</w:t>
            </w:r>
          </w:p>
        </w:tc>
        <w:tc>
          <w:tcPr>
            <w:tcW w:w="6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235"/>
        </w:trPr>
        <w:tc>
          <w:tcPr>
            <w:tcW w:w="7780" w:type="dxa"/>
            <w:vAlign w:val="bottom"/>
          </w:tcPr>
          <w:p>
            <w:pPr>
              <w:ind w:left="140"/>
              <w:spacing w:after="0"/>
              <w:rPr>
                <w:sz w:val="20"/>
                <w:szCs w:val="20"/>
                <w:color w:val="auto"/>
              </w:rPr>
            </w:pPr>
            <w:r>
              <w:rPr>
                <w:rFonts w:ascii="Arial" w:cs="Arial" w:eastAsia="Arial" w:hAnsi="Arial"/>
                <w:sz w:val="18"/>
                <w:szCs w:val="18"/>
                <w:color w:val="auto"/>
              </w:rPr>
              <w:t>for 2021</w:t>
            </w:r>
          </w:p>
        </w:tc>
        <w:tc>
          <w:tcPr>
            <w:tcW w:w="20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1,680</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17,516</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17,515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433</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233</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2,248</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42,733</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42,579</w:t>
            </w:r>
          </w:p>
        </w:tc>
        <w:tc>
          <w:tcPr>
            <w:tcW w:w="0" w:type="dxa"/>
            <w:vAlign w:val="bottom"/>
          </w:tcPr>
          <w:p>
            <w:pPr>
              <w:spacing w:after="0"/>
              <w:rPr>
                <w:sz w:val="1"/>
                <w:szCs w:val="1"/>
                <w:color w:val="auto"/>
              </w:rPr>
            </w:pPr>
          </w:p>
        </w:tc>
      </w:tr>
      <w:tr>
        <w:trPr>
          <w:trHeight w:val="243"/>
        </w:trPr>
        <w:tc>
          <w:tcPr>
            <w:tcW w:w="7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2,335</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Accrued employee compensation</w:t>
            </w:r>
          </w:p>
        </w:tc>
        <w:tc>
          <w:tcPr>
            <w:tcW w:w="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1,831</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payments and billings in excess of costs incurred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3,107</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3,539</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10,812</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Long-term debt, net of current portion of $1,069 for 2022 and $6 for 2021</w:t>
            </w:r>
          </w:p>
        </w:tc>
        <w:tc>
          <w:tcPr>
            <w:tcW w:w="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11,803</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12,777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 plan liabilities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2,405</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1,696</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1,988</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28,790</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29,653</w:t>
            </w: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778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Common stock, $1 par value; 800,000,000 shares authorized; issued and outstanding: 2022—</w:t>
            </w:r>
          </w:p>
        </w:tc>
        <w:tc>
          <w:tcPr>
            <w:tcW w:w="20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w:t>
            </w:r>
          </w:p>
        </w:tc>
        <w:tc>
          <w:tcPr>
            <w:tcW w:w="6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5"/>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154,093,656 and 2021—156,284,423</w:t>
            </w:r>
          </w:p>
        </w:tc>
        <w:tc>
          <w:tcPr>
            <w:tcW w:w="200" w:type="dxa"/>
            <w:vAlign w:val="bottom"/>
            <w:shd w:val="clear" w:color="auto" w:fill="CCEEFF"/>
          </w:tcPr>
          <w:p>
            <w:pPr>
              <w:spacing w:after="0"/>
              <w:rPr>
                <w:sz w:val="20"/>
                <w:szCs w:val="20"/>
                <w:color w:val="auto"/>
              </w:rPr>
            </w:pPr>
          </w:p>
        </w:tc>
        <w:tc>
          <w:tcPr>
            <w:tcW w:w="1540" w:type="dxa"/>
            <w:vAlign w:val="bottom"/>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13,955</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13,943</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12,926</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42,733</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14</w:t>
            </w:r>
          </w:p>
        </w:tc>
      </w:tr>
    </w:tbl>
    <w:p>
      <w:pPr>
        <w:spacing w:after="0" w:line="386" w:lineRule="exact"/>
        <w:rPr>
          <w:sz w:val="20"/>
          <w:szCs w:val="20"/>
          <w:color w:val="auto"/>
        </w:rPr>
      </w:pPr>
    </w:p>
    <w:p>
      <w:pPr>
        <w:ind w:left="10100"/>
        <w:spacing w:after="0"/>
        <w:rPr>
          <w:sz w:val="20"/>
          <w:szCs w:val="20"/>
          <w:color w:val="auto"/>
        </w:rPr>
      </w:pPr>
      <w:r>
        <w:rPr>
          <w:rFonts w:ascii="Arial" w:cs="Arial" w:eastAsia="Arial" w:hAnsi="Arial"/>
          <w:sz w:val="17"/>
          <w:szCs w:val="17"/>
          <w:b w:val="1"/>
          <w:bCs w:val="1"/>
          <w:color w:val="auto"/>
        </w:rPr>
        <w:t>SCHEDULE 3</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40" w:type="dxa"/>
            <w:vAlign w:val="bottom"/>
          </w:tcPr>
          <w:p>
            <w:pPr>
              <w:spacing w:after="0"/>
              <w:rPr>
                <w:sz w:val="20"/>
                <w:szCs w:val="20"/>
                <w:color w:val="auto"/>
              </w:rPr>
            </w:pPr>
          </w:p>
        </w:tc>
        <w:tc>
          <w:tcPr>
            <w:tcW w:w="28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9"/>
              </w:rPr>
              <w:t>Nine Months Ended September 30</w:t>
            </w:r>
          </w:p>
        </w:tc>
      </w:tr>
      <w:tr>
        <w:trPr>
          <w:trHeight w:val="22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2,816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4,295</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960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Net periodic pension and OPB income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(895)</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OPB contributions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8440" w:type="dxa"/>
            <w:vAlign w:val="bottom"/>
          </w:tcPr>
          <w:p>
            <w:pPr>
              <w:ind w:left="360"/>
              <w:spacing w:after="0"/>
              <w:rPr>
                <w:sz w:val="20"/>
                <w:szCs w:val="20"/>
                <w:color w:val="auto"/>
              </w:rPr>
            </w:pPr>
            <w:r>
              <w:rPr>
                <w:rFonts w:ascii="Arial" w:cs="Arial" w:eastAsia="Arial" w:hAnsi="Arial"/>
                <w:sz w:val="18"/>
                <w:szCs w:val="18"/>
                <w:color w:val="auto"/>
              </w:rPr>
              <w:t>Unbilled receivables,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Inventoried costs, net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liabilities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440" w:type="dxa"/>
            <w:vAlign w:val="bottom"/>
          </w:tcPr>
          <w:p>
            <w:pPr>
              <w:ind w:left="360"/>
              <w:spacing w:after="0"/>
              <w:rPr>
                <w:sz w:val="20"/>
                <w:szCs w:val="20"/>
                <w:color w:val="auto"/>
              </w:rPr>
            </w:pPr>
            <w:r>
              <w:rPr>
                <w:rFonts w:ascii="Arial" w:cs="Arial" w:eastAsia="Arial" w:hAnsi="Arial"/>
                <w:sz w:val="18"/>
                <w:szCs w:val="18"/>
                <w:color w:val="auto"/>
              </w:rPr>
              <w:t>Income taxes payable, net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8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96</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650</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r>
      <w:tr>
        <w:trPr>
          <w:trHeight w:val="236"/>
        </w:trPr>
        <w:tc>
          <w:tcPr>
            <w:tcW w:w="8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Divestiture of IT services business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(803)</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equipment to a customer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8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r>
      <w:tr>
        <w:trPr>
          <w:trHeight w:val="237"/>
        </w:trPr>
        <w:tc>
          <w:tcPr>
            <w:tcW w:w="8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Payments of long-term debt</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(2,236)</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(786)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employee taxes withheld from share-based awards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8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8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(1,864)</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29"/>
        </w:trPr>
        <w:tc>
          <w:tcPr>
            <w:tcW w:w="8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3,530</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r>
      <w:tr>
        <w:trPr>
          <w:trHeight w:val="230"/>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1,666</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760" w:type="dxa"/>
            <w:vAlign w:val="bottom"/>
            <w:gridSpan w:val="8"/>
          </w:tcPr>
          <w:p>
            <w:pPr>
              <w:spacing w:after="0"/>
              <w:rPr>
                <w:sz w:val="20"/>
                <w:szCs w:val="20"/>
                <w:color w:val="auto"/>
              </w:rPr>
            </w:pPr>
            <w:r>
              <w:rPr>
                <w:rFonts w:ascii="Arial" w:cs="Arial" w:eastAsia="Arial" w:hAnsi="Arial"/>
                <w:sz w:val="20"/>
                <w:szCs w:val="20"/>
                <w:color w:val="auto"/>
              </w:rPr>
              <w:t>Northrop Grumman Reports Third Quarter 2022 Financial Results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SCHEDULE 4</w:t>
            </w:r>
          </w:p>
        </w:tc>
        <w:tc>
          <w:tcPr>
            <w:tcW w:w="0" w:type="dxa"/>
            <w:vAlign w:val="bottom"/>
          </w:tcPr>
          <w:p>
            <w:pPr>
              <w:spacing w:after="0" w:line="20" w:lineRule="exact"/>
              <w:rPr>
                <w:sz w:val="1"/>
                <w:szCs w:val="1"/>
                <w:color w:val="auto"/>
              </w:rPr>
            </w:pPr>
          </w:p>
        </w:tc>
      </w:tr>
      <w:tr>
        <w:trPr>
          <w:trHeight w:val="586"/>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gridSpan w:val="8"/>
            <w:vMerge w:val="restart"/>
          </w:tcPr>
          <w:p>
            <w:pPr>
              <w:jc w:val="center"/>
              <w:ind w:right="10"/>
              <w:spacing w:after="0"/>
              <w:rPr>
                <w:sz w:val="20"/>
                <w:szCs w:val="20"/>
                <w:color w:val="auto"/>
              </w:rPr>
            </w:pPr>
            <w:r>
              <w:rPr>
                <w:rFonts w:ascii="Arial" w:cs="Arial" w:eastAsia="Arial" w:hAnsi="Arial"/>
                <w:sz w:val="18"/>
                <w:szCs w:val="18"/>
                <w:b w:val="1"/>
                <w:bCs w:val="1"/>
                <w:color w:val="auto"/>
                <w:w w:val="99"/>
              </w:rPr>
              <w:t>NORTHROP GRUMMAN CORPORATION</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80" w:type="dxa"/>
            <w:vAlign w:val="bottom"/>
            <w:gridSpan w:val="8"/>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center"/>
              <w:ind w:right="140"/>
              <w:spacing w:after="0" w:line="216" w:lineRule="exact"/>
              <w:rPr>
                <w:sz w:val="20"/>
                <w:szCs w:val="20"/>
                <w:color w:val="auto"/>
              </w:rPr>
            </w:pPr>
            <w:r>
              <w:rPr>
                <w:rFonts w:ascii="Arial" w:cs="Arial" w:eastAsia="Arial" w:hAnsi="Arial"/>
                <w:sz w:val="18"/>
                <w:szCs w:val="18"/>
                <w:b w:val="1"/>
                <w:bCs w:val="1"/>
                <w:color w:val="auto"/>
                <w:w w:val="98"/>
              </w:rPr>
              <w:t>ORGANIC SALES</w:t>
            </w:r>
            <w:r>
              <w:rPr>
                <w:rFonts w:ascii="Arial" w:cs="Arial" w:eastAsia="Arial" w:hAnsi="Arial"/>
                <w:sz w:val="23"/>
                <w:szCs w:val="23"/>
                <w:b w:val="1"/>
                <w:bCs w:val="1"/>
                <w:color w:val="auto"/>
                <w:w w:val="98"/>
                <w:vertAlign w:val="superscript"/>
              </w:rPr>
              <w:t>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color w:val="auto"/>
              </w:rPr>
              <w:t>Nine Months Ended September 30</w:t>
            </w: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9"/>
              </w:rPr>
              <w:t>2021</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Organic</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IT services</w:t>
            </w:r>
          </w:p>
        </w:tc>
        <w:tc>
          <w:tcPr>
            <w:tcW w:w="114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99"/>
              </w:rPr>
              <w:t>Organic</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8"/>
              </w:rPr>
              <w:t>IT services</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rPr>
              <w:t>Organic</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vMerge w:val="restart"/>
          </w:tcPr>
          <w:p>
            <w:pPr>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Pr>
          <w:p>
            <w:pPr>
              <w:spacing w:after="0"/>
              <w:rPr>
                <w:sz w:val="16"/>
                <w:szCs w:val="16"/>
                <w:color w:val="auto"/>
              </w:rPr>
            </w:pPr>
          </w:p>
        </w:tc>
        <w:tc>
          <w:tcPr>
            <w:tcW w:w="8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Sales</w:t>
            </w:r>
          </w:p>
        </w:tc>
        <w:tc>
          <w:tcPr>
            <w:tcW w:w="126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restart"/>
          </w:tcPr>
          <w:p>
            <w:pPr>
              <w:jc w:val="right"/>
              <w:ind w:right="210"/>
              <w:spacing w:after="0"/>
              <w:rPr>
                <w:sz w:val="20"/>
                <w:szCs w:val="20"/>
                <w:color w:val="auto"/>
              </w:rPr>
            </w:pPr>
            <w:r>
              <w:rPr>
                <w:rFonts w:ascii="Arial" w:cs="Arial" w:eastAsia="Arial" w:hAnsi="Arial"/>
                <w:sz w:val="18"/>
                <w:szCs w:val="18"/>
                <w:color w:val="auto"/>
              </w:rPr>
              <w:t>Sales</w:t>
            </w: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0" w:type="dxa"/>
            <w:vAlign w:val="bottom"/>
          </w:tcPr>
          <w:p>
            <w:pPr>
              <w:ind w:left="240"/>
              <w:spacing w:after="0" w:line="186" w:lineRule="exact"/>
              <w:rPr>
                <w:sz w:val="20"/>
                <w:szCs w:val="20"/>
                <w:color w:val="auto"/>
              </w:rPr>
            </w:pPr>
            <w:r>
              <w:rPr>
                <w:rFonts w:ascii="Arial" w:cs="Arial" w:eastAsia="Arial" w:hAnsi="Arial"/>
                <w:sz w:val="17"/>
                <w:szCs w:val="17"/>
                <w:b w:val="1"/>
                <w:bCs w:val="1"/>
                <w:color w:val="auto"/>
              </w:rPr>
              <w:t>sales</w:t>
            </w:r>
            <w:r>
              <w:rPr>
                <w:rFonts w:ascii="Arial" w:cs="Arial" w:eastAsia="Arial" w:hAnsi="Arial"/>
                <w:sz w:val="21"/>
                <w:szCs w:val="21"/>
                <w:b w:val="1"/>
                <w:bCs w:val="1"/>
                <w:color w:val="auto"/>
                <w:vertAlign w:val="superscript"/>
              </w:rPr>
              <w:t>1</w:t>
            </w:r>
            <w:r>
              <w:rPr>
                <w:rFonts w:ascii="Arial" w:cs="Arial" w:eastAsia="Arial" w:hAnsi="Arial"/>
                <w:sz w:val="17"/>
                <w:szCs w:val="17"/>
                <w:b w:val="1"/>
                <w:bCs w:val="1"/>
                <w:color w:val="auto"/>
              </w:rPr>
              <w:t xml:space="preserve">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sales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440"/>
              <w:spacing w:after="0" w:line="230" w:lineRule="exact"/>
              <w:rPr>
                <w:sz w:val="20"/>
                <w:szCs w:val="20"/>
                <w:color w:val="auto"/>
              </w:rPr>
            </w:pPr>
            <w:r>
              <w:rPr>
                <w:rFonts w:ascii="Arial" w:cs="Arial" w:eastAsia="Arial" w:hAnsi="Arial"/>
                <w:sz w:val="18"/>
                <w:szCs w:val="18"/>
                <w:b w:val="1"/>
                <w:bCs w:val="1"/>
                <w:color w:val="auto"/>
                <w:w w:val="93"/>
              </w:rPr>
              <w:t>sales</w:t>
            </w:r>
            <w:r>
              <w:rPr>
                <w:rFonts w:ascii="Arial" w:cs="Arial" w:eastAsia="Arial" w:hAnsi="Arial"/>
                <w:sz w:val="23"/>
                <w:szCs w:val="23"/>
                <w:b w:val="1"/>
                <w:bCs w:val="1"/>
                <w:color w:val="auto"/>
                <w:w w:val="93"/>
                <w:vertAlign w:val="superscript"/>
              </w:rPr>
              <w:t>1</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sales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80"/>
              <w:spacing w:after="0" w:line="230" w:lineRule="exact"/>
              <w:rPr>
                <w:sz w:val="20"/>
                <w:szCs w:val="20"/>
                <w:color w:val="auto"/>
              </w:rPr>
            </w:pPr>
            <w:r>
              <w:rPr>
                <w:rFonts w:ascii="Arial" w:cs="Arial" w:eastAsia="Arial" w:hAnsi="Arial"/>
                <w:sz w:val="18"/>
                <w:szCs w:val="18"/>
                <w:color w:val="auto"/>
                <w:w w:val="94"/>
              </w:rPr>
              <w:t>sales</w:t>
            </w:r>
            <w:r>
              <w:rPr>
                <w:rFonts w:ascii="Arial" w:cs="Arial" w:eastAsia="Arial" w:hAnsi="Arial"/>
                <w:sz w:val="23"/>
                <w:szCs w:val="23"/>
                <w:color w:val="auto"/>
                <w:w w:val="94"/>
                <w:vertAlign w:val="superscript"/>
              </w:rPr>
              <w:t>1</w:t>
            </w: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3,922</w:t>
            </w:r>
          </w:p>
        </w:tc>
        <w:tc>
          <w:tcPr>
            <w:tcW w:w="220" w:type="dxa"/>
            <w:vAlign w:val="bottom"/>
          </w:tcPr>
          <w:p>
            <w:pPr>
              <w:spacing w:after="0"/>
              <w:rPr>
                <w:sz w:val="19"/>
                <w:szCs w:val="19"/>
                <w:color w:val="auto"/>
              </w:rPr>
            </w:pPr>
          </w:p>
        </w:tc>
        <w:tc>
          <w:tcPr>
            <w:tcW w:w="10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3,922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4,398</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7,469</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Space Systems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8,997</w:t>
            </w:r>
          </w:p>
        </w:tc>
        <w:tc>
          <w:tcPr>
            <w:tcW w:w="220" w:type="dxa"/>
            <w:vAlign w:val="bottom"/>
          </w:tcPr>
          <w:p>
            <w:pPr>
              <w:spacing w:after="0"/>
              <w:rPr>
                <w:sz w:val="19"/>
                <w:szCs w:val="19"/>
                <w:color w:val="auto"/>
              </w:rPr>
            </w:pPr>
          </w:p>
        </w:tc>
        <w:tc>
          <w:tcPr>
            <w:tcW w:w="104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8,997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7,950</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(1,593)</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26,569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 $</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26,569</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26,866</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20" w:hanging="141"/>
        <w:spacing w:after="0"/>
        <w:tabs>
          <w:tab w:leader="none" w:pos="22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0"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16</w:t>
            </w:r>
          </w:p>
        </w:tc>
      </w:tr>
    </w:tbl>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BACKLOG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September 30, 2022</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rPr>
              <w:t>December 31,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vMerge w:val="continue"/>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2021</w:t>
            </w:r>
          </w:p>
        </w:tc>
        <w:tc>
          <w:tcPr>
            <w:tcW w:w="100" w:type="dxa"/>
            <w:vAlign w:val="bottom"/>
          </w:tcPr>
          <w:p>
            <w:pPr>
              <w:spacing w:after="0"/>
              <w:rPr>
                <w:sz w:val="20"/>
                <w:szCs w:val="20"/>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173"/>
        </w:trPr>
        <w:tc>
          <w:tcPr>
            <w:tcW w:w="4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Pr>
          <w:p>
            <w:pPr>
              <w:spacing w:after="0"/>
              <w:rPr>
                <w:sz w:val="15"/>
                <w:szCs w:val="15"/>
                <w:color w:val="auto"/>
              </w:rPr>
            </w:pP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Funded</w:t>
            </w:r>
            <w:r>
              <w:rPr>
                <w:rFonts w:ascii="Arial" w:cs="Arial" w:eastAsia="Arial" w:hAnsi="Arial"/>
                <w:sz w:val="23"/>
                <w:szCs w:val="23"/>
                <w:b w:val="1"/>
                <w:bCs w:val="1"/>
                <w:color w:val="auto"/>
                <w:vertAlign w:val="superscript"/>
              </w:rPr>
              <w:t>1</w:t>
            </w:r>
          </w:p>
        </w:tc>
        <w:tc>
          <w:tcPr>
            <w:tcW w:w="240" w:type="dxa"/>
            <w:vAlign w:val="bottom"/>
          </w:tcPr>
          <w:p>
            <w:pPr>
              <w:spacing w:after="0"/>
              <w:rPr>
                <w:sz w:val="15"/>
                <w:szCs w:val="15"/>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Unfunded</w:t>
            </w:r>
          </w:p>
        </w:tc>
        <w:tc>
          <w:tcPr>
            <w:tcW w:w="260" w:type="dxa"/>
            <w:vAlign w:val="bottom"/>
          </w:tcPr>
          <w:p>
            <w:pPr>
              <w:spacing w:after="0"/>
              <w:rPr>
                <w:sz w:val="15"/>
                <w:szCs w:val="15"/>
                <w:color w:val="auto"/>
              </w:rPr>
            </w:pPr>
          </w:p>
        </w:tc>
        <w:tc>
          <w:tcPr>
            <w:tcW w:w="1060" w:type="dxa"/>
            <w:vAlign w:val="bottom"/>
          </w:tcPr>
          <w:p>
            <w:pPr>
              <w:jc w:val="center"/>
              <w:ind w:right="70"/>
              <w:spacing w:after="0" w:line="173" w:lineRule="exact"/>
              <w:rPr>
                <w:sz w:val="20"/>
                <w:szCs w:val="20"/>
                <w:color w:val="auto"/>
              </w:rPr>
            </w:pPr>
            <w:r>
              <w:rPr>
                <w:rFonts w:ascii="Arial" w:cs="Arial" w:eastAsia="Arial" w:hAnsi="Arial"/>
                <w:sz w:val="18"/>
                <w:szCs w:val="18"/>
                <w:b w:val="1"/>
                <w:bCs w:val="1"/>
                <w:color w:val="auto"/>
                <w:w w:val="97"/>
              </w:rPr>
              <w:t>Total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70"/>
              <w:spacing w:after="0" w:line="173" w:lineRule="exact"/>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3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00"/>
              <w:spacing w:after="0" w:line="240" w:lineRule="exact"/>
              <w:rPr>
                <w:sz w:val="20"/>
                <w:szCs w:val="20"/>
                <w:color w:val="auto"/>
              </w:rPr>
            </w:pPr>
            <w:r>
              <w:rPr>
                <w:rFonts w:ascii="Arial" w:cs="Arial" w:eastAsia="Arial" w:hAnsi="Arial"/>
                <w:sz w:val="18"/>
                <w:szCs w:val="18"/>
                <w:b w:val="1"/>
                <w:bCs w:val="1"/>
                <w:color w:val="auto"/>
                <w:w w:val="96"/>
              </w:rPr>
              <w:t>Backlog</w:t>
            </w:r>
            <w:r>
              <w:rPr>
                <w:rFonts w:ascii="Arial" w:cs="Arial" w:eastAsia="Arial" w:hAnsi="Arial"/>
                <w:sz w:val="23"/>
                <w:szCs w:val="23"/>
                <w:b w:val="1"/>
                <w:bCs w:val="1"/>
                <w:color w:val="auto"/>
                <w:w w:val="96"/>
                <w:vertAlign w:val="superscript"/>
              </w:rPr>
              <w:t>2</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60"/>
              <w:spacing w:after="0" w:line="240" w:lineRule="exact"/>
              <w:rPr>
                <w:sz w:val="20"/>
                <w:szCs w:val="20"/>
                <w:color w:val="auto"/>
              </w:rPr>
            </w:pPr>
            <w:r>
              <w:rPr>
                <w:rFonts w:ascii="Arial" w:cs="Arial" w:eastAsia="Arial" w:hAnsi="Arial"/>
                <w:sz w:val="18"/>
                <w:szCs w:val="18"/>
                <w:color w:val="auto"/>
                <w:w w:val="96"/>
              </w:rPr>
              <w:t>Backlog</w:t>
            </w:r>
            <w:r>
              <w:rPr>
                <w:rFonts w:ascii="Arial" w:cs="Arial" w:eastAsia="Arial" w:hAnsi="Arial"/>
                <w:sz w:val="23"/>
                <w:szCs w:val="23"/>
                <w:color w:val="auto"/>
                <w:w w:val="96"/>
                <w:vertAlign w:val="superscript"/>
              </w:rPr>
              <w:t>2</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5,908</w:t>
            </w:r>
          </w:p>
        </w:tc>
        <w:tc>
          <w:tcPr>
            <w:tcW w:w="2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789</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6,697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6,349</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10,192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4,554</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8,407</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31,159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39,566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37,114</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32,634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47,015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79,649</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76,046</w:t>
            </w: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00" w:hanging="132"/>
        <w:spacing w:after="0"/>
        <w:tabs>
          <w:tab w:leader="none" w:pos="30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Funded backlog represents firm orders for which funding is authorized and appropriated.</w:t>
      </w:r>
    </w:p>
    <w:p>
      <w:pPr>
        <w:spacing w:after="0" w:line="12" w:lineRule="exact"/>
        <w:rPr>
          <w:sz w:val="20"/>
          <w:szCs w:val="20"/>
          <w:color w:val="auto"/>
        </w:rPr>
      </w:pPr>
    </w:p>
    <w:p>
      <w:pPr>
        <w:ind w:left="300" w:right="440" w:hanging="132"/>
        <w:spacing w:after="0" w:line="200" w:lineRule="auto"/>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Total backlog excludes unexercised contract options and indefinite delivery, indefinite quantity (IDIQ) contracts until the time the option or IDIQ task order is exercised or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17</w:t>
            </w:r>
          </w:p>
        </w:tc>
      </w:tr>
    </w:tbl>
    <w:p>
      <w:pPr>
        <w:spacing w:after="0" w:line="386" w:lineRule="exact"/>
        <w:rPr>
          <w:sz w:val="20"/>
          <w:szCs w:val="20"/>
          <w:color w:val="auto"/>
        </w:rPr>
      </w:pPr>
    </w:p>
    <w:p>
      <w:pPr>
        <w:ind w:left="10100"/>
        <w:spacing w:after="0"/>
        <w:rPr>
          <w:sz w:val="20"/>
          <w:szCs w:val="20"/>
          <w:color w:val="auto"/>
        </w:rPr>
      </w:pPr>
      <w:r>
        <w:rPr>
          <w:rFonts w:ascii="Arial" w:cs="Arial" w:eastAsia="Arial" w:hAnsi="Arial"/>
          <w:sz w:val="17"/>
          <w:szCs w:val="17"/>
          <w:b w:val="1"/>
          <w:bCs w:val="1"/>
          <w:color w:val="auto"/>
        </w:rPr>
        <w:t>SCHEDULE 6</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17"/>
                <w:szCs w:val="17"/>
                <w:color w:val="auto"/>
              </w:rPr>
            </w:pPr>
          </w:p>
        </w:tc>
        <w:tc>
          <w:tcPr>
            <w:tcW w:w="2020" w:type="dxa"/>
            <w:vAlign w:val="bottom"/>
            <w:gridSpan w:val="3"/>
          </w:tcPr>
          <w:p>
            <w:pPr>
              <w:jc w:val="right"/>
              <w:ind w:right="250"/>
              <w:spacing w:after="0"/>
              <w:rPr>
                <w:sz w:val="20"/>
                <w:szCs w:val="20"/>
                <w:color w:val="auto"/>
              </w:rPr>
            </w:pPr>
            <w:r>
              <w:rPr>
                <w:rFonts w:ascii="Arial" w:cs="Arial" w:eastAsia="Arial" w:hAnsi="Arial"/>
                <w:sz w:val="18"/>
                <w:szCs w:val="18"/>
                <w:color w:val="auto"/>
              </w:rPr>
              <w:t>Nine Months Ended</w:t>
            </w:r>
          </w:p>
        </w:tc>
      </w:tr>
      <w:tr>
        <w:trPr>
          <w:trHeight w:val="235"/>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jc w:val="center"/>
              <w:ind w:right="30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20"/>
                <w:szCs w:val="20"/>
                <w:color w:val="auto"/>
              </w:rPr>
            </w:pPr>
          </w:p>
        </w:tc>
        <w:tc>
          <w:tcPr>
            <w:tcW w:w="2020" w:type="dxa"/>
            <w:vAlign w:val="bottom"/>
            <w:gridSpan w:val="3"/>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2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impact of total net FAS/CAS pension adjustment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640" w:type="dxa"/>
            <w:vAlign w:val="bottom"/>
          </w:tcPr>
          <w:p>
            <w:pPr>
              <w:ind w:left="220"/>
              <w:spacing w:after="0"/>
              <w:rPr>
                <w:sz w:val="20"/>
                <w:szCs w:val="20"/>
                <w:color w:val="auto"/>
              </w:rPr>
            </w:pPr>
            <w:r>
              <w:rPr>
                <w:rFonts w:ascii="Arial" w:cs="Arial" w:eastAsia="Arial" w:hAnsi="Arial"/>
                <w:sz w:val="18"/>
                <w:szCs w:val="18"/>
                <w:color w:val="auto"/>
              </w:rPr>
              <w:t>FAS/CAS operating adjustment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FAS pension benefit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376</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1,129</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Total net FAS/CAS pension adjustment</w:t>
            </w: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321</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977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30"/>
        </w:trPr>
        <w:tc>
          <w:tcPr>
            <w:tcW w:w="6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After-tax impact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731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155.3</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155.9</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Per share impact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4.69</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50"/>
        </w:trPr>
        <w:tc>
          <w:tcPr>
            <w:tcW w:w="6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0"/>
        </w:trPr>
        <w:tc>
          <w:tcPr>
            <w:tcW w:w="6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84"/>
        </w:trPr>
        <w:tc>
          <w:tcPr>
            <w:tcW w:w="66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Per share impact of intangible asset amortization and PP&amp;E step-up</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5"/>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Intangible asset amortization and PP&amp;E step-up depreciation</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6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46</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After-tax impact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155.3</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155.9</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2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 share impact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(0.87)</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r>
    </w:tbl>
    <w:p>
      <w:pPr>
        <w:spacing w:after="0" w:line="83" w:lineRule="exact"/>
        <w:rPr>
          <w:sz w:val="20"/>
          <w:szCs w:val="20"/>
          <w:color w:val="auto"/>
        </w:rPr>
      </w:pPr>
    </w:p>
    <w:p>
      <w:pPr>
        <w:ind w:left="300" w:hanging="227"/>
        <w:spacing w:after="0"/>
        <w:tabs>
          <w:tab w:leader="none" w:pos="30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Based on a 21% federal statutory tax rate and a 5.25% blended state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506730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18</w:t>
            </w:r>
          </w:p>
        </w:tc>
      </w:tr>
    </w:tbl>
    <w:p>
      <w:pPr>
        <w:spacing w:after="0" w:line="381" w:lineRule="exact"/>
        <w:rPr>
          <w:sz w:val="20"/>
          <w:szCs w:val="20"/>
          <w:color w:val="auto"/>
        </w:rPr>
      </w:pPr>
    </w:p>
    <w:p>
      <w:pPr>
        <w:ind w:right="140"/>
        <w:spacing w:after="0" w:line="252" w:lineRule="auto"/>
        <w:rPr>
          <w:sz w:val="20"/>
          <w:szCs w:val="20"/>
          <w:color w:val="auto"/>
        </w:rPr>
      </w:pPr>
      <w:r>
        <w:rPr>
          <w:rFonts w:ascii="Arial" w:cs="Arial" w:eastAsia="Arial" w:hAnsi="Arial"/>
          <w:sz w:val="20"/>
          <w:szCs w:val="20"/>
          <w:b w:val="1"/>
          <w:bCs w:val="1"/>
          <w:u w:val="single" w:color="auto"/>
          <w:color w:val="auto"/>
        </w:rPr>
        <w:t>Non-GAAP Financial Measures Disclosure:</w:t>
      </w:r>
      <w:r>
        <w:rPr>
          <w:rFonts w:ascii="Arial" w:cs="Arial" w:eastAsia="Arial" w:hAnsi="Arial"/>
          <w:sz w:val="20"/>
          <w:szCs w:val="20"/>
          <w:b w:val="1"/>
          <w:bCs w:val="1"/>
          <w:color w:val="auto"/>
        </w:rPr>
        <w:t xml:space="preserve"> </w:t>
      </w:r>
      <w:r>
        <w:rPr>
          <w:rFonts w:ascii="Arial" w:cs="Arial" w:eastAsia="Arial" w:hAnsi="Arial"/>
          <w:sz w:val="20"/>
          <w:szCs w:val="20"/>
          <w:color w:val="auto"/>
        </w:rPr>
        <w:t>This earnings release contains non-GAAP (accounting principles generally</w:t>
      </w:r>
      <w:r>
        <w:rPr>
          <w:rFonts w:ascii="Arial" w:cs="Arial" w:eastAsia="Arial" w:hAnsi="Arial"/>
          <w:sz w:val="20"/>
          <w:szCs w:val="20"/>
          <w:b w:val="1"/>
          <w:bCs w:val="1"/>
          <w:color w:val="auto"/>
        </w:rPr>
        <w:t xml:space="preserve"> </w:t>
      </w:r>
      <w:r>
        <w:rPr>
          <w:rFonts w:ascii="Arial" w:cs="Arial" w:eastAsia="Arial" w:hAnsi="Arial"/>
          <w:sz w:val="20"/>
          <w:szCs w:val="20"/>
          <w:color w:val="auto"/>
        </w:rPr>
        <w:t>accepted in the United States of America) financial measures, as defined by SEC Regulation G and indicated by a footnote in the text of the release. Definitions for the non-GAAP measures are provided below and reconciliations are provided in the body of the release, except that reconciliations of forward-looking non-GAAP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pension adjustment. Other companies may define these measures differently or may utilize different non-GAAP measures.</w:t>
      </w:r>
    </w:p>
    <w:p>
      <w:pPr>
        <w:spacing w:after="0" w:line="51" w:lineRule="exact"/>
        <w:rPr>
          <w:sz w:val="20"/>
          <w:szCs w:val="20"/>
          <w:color w:val="auto"/>
        </w:rPr>
      </w:pPr>
    </w:p>
    <w:p>
      <w:pPr>
        <w:ind w:left="260" w:right="20"/>
        <w:spacing w:after="0" w:line="252" w:lineRule="auto"/>
        <w:rPr>
          <w:sz w:val="20"/>
          <w:szCs w:val="20"/>
          <w:color w:val="auto"/>
        </w:rPr>
      </w:pPr>
      <w:r>
        <w:rPr>
          <w:rFonts w:ascii="Arial" w:cs="Arial" w:eastAsia="Arial" w:hAnsi="Arial"/>
          <w:sz w:val="20"/>
          <w:szCs w:val="20"/>
          <w:b w:val="1"/>
          <w:bCs w:val="1"/>
          <w:u w:val="single" w:color="auto"/>
          <w:color w:val="auto"/>
        </w:rPr>
        <w:t>Transaction-adjusted net earnings:</w:t>
      </w:r>
      <w:r>
        <w:rPr>
          <w:rFonts w:ascii="Arial" w:cs="Arial" w:eastAsia="Arial" w:hAnsi="Arial"/>
          <w:sz w:val="20"/>
          <w:szCs w:val="20"/>
          <w:b w:val="1"/>
          <w:bCs w:val="1"/>
          <w:color w:val="auto"/>
        </w:rPr>
        <w:t xml:space="preserve"> </w:t>
      </w:r>
      <w:r>
        <w:rPr>
          <w:rFonts w:ascii="Arial" w:cs="Arial" w:eastAsia="Arial" w:hAnsi="Arial"/>
          <w:sz w:val="20"/>
          <w:szCs w:val="20"/>
          <w:color w:val="auto"/>
        </w:rPr>
        <w:t>Net earnings excluding impacts related to the company’s IT services divestiture,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gain on sale of the business, associated federal and state income tax expenses, transaction costs, and the make-whole premium for early debt redemption, as well as MTM benefit (expense) and related tax impacts. This measure may be useful to investors and other users of our financial statements as a supplemental measure in evaluating the company’s underlying financial performance by presenting the company’s operating results before the non-operational impact of divestiture activity and pension and OPB actuarial gains and losses. This measure is also consistent with how management views the underlying performance of the business as the impact of the IT services divestiture and MTM accounting is not considered in management’s assessment of the company’s operating performance or in its determination of incentive compensation awards. Transaction-adjusted net earnings is reconciled in the “Transaction-adjusted Net Earnings and Transaction-adjusted EPS” table within the body of this release.</w:t>
      </w:r>
    </w:p>
    <w:p>
      <w:pPr>
        <w:spacing w:after="0" w:line="56" w:lineRule="exact"/>
        <w:rPr>
          <w:sz w:val="20"/>
          <w:szCs w:val="20"/>
          <w:color w:val="auto"/>
        </w:rPr>
      </w:pPr>
    </w:p>
    <w:p>
      <w:pPr>
        <w:ind w:left="260" w:right="20"/>
        <w:spacing w:after="0" w:line="252" w:lineRule="auto"/>
        <w:rPr>
          <w:sz w:val="20"/>
          <w:szCs w:val="20"/>
          <w:color w:val="auto"/>
        </w:rPr>
      </w:pPr>
      <w:r>
        <w:rPr>
          <w:rFonts w:ascii="Arial" w:cs="Arial" w:eastAsia="Arial" w:hAnsi="Arial"/>
          <w:sz w:val="20"/>
          <w:szCs w:val="20"/>
          <w:b w:val="1"/>
          <w:bCs w:val="1"/>
          <w:u w:val="single" w:color="auto"/>
          <w:color w:val="auto"/>
        </w:rPr>
        <w:t>Transaction-adjusted EPS:</w:t>
      </w:r>
      <w:r>
        <w:rPr>
          <w:rFonts w:ascii="Arial" w:cs="Arial" w:eastAsia="Arial" w:hAnsi="Arial"/>
          <w:sz w:val="20"/>
          <w:szCs w:val="20"/>
          <w:b w:val="1"/>
          <w:bCs w:val="1"/>
          <w:color w:val="auto"/>
        </w:rPr>
        <w:t xml:space="preserve"> </w:t>
      </w:r>
      <w:r>
        <w:rPr>
          <w:rFonts w:ascii="Arial" w:cs="Arial" w:eastAsia="Arial" w:hAnsi="Arial"/>
          <w:sz w:val="20"/>
          <w:szCs w:val="20"/>
          <w:color w:val="auto"/>
        </w:rPr>
        <w:t>Diluted earnings per share excluding the per share impacts related to the company’s IT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divestiture, including the gain on sale of the business, associated federal and state income tax expenses, transaction costs, and the make-whole premium for early debt redemption, as well as MTM benefit (expense) and related tax impacts. This measure may be useful to investors and other users of our financial statements as a supplemental measure in evaluating the company’s underlying financial performance per share by presenting the company’s diluted earnings per share results before the non-operational impact of the IT services divestiture and pension and OPB actuarial gains and losses. Transaction-adjusted EPS is reconciled in the “Transaction-adjusted Net Earnings and Transaction-adjusted EPS” table within the body of this release.</w:t>
      </w:r>
    </w:p>
    <w:p>
      <w:pPr>
        <w:spacing w:after="0" w:line="53" w:lineRule="exact"/>
        <w:rPr>
          <w:sz w:val="20"/>
          <w:szCs w:val="20"/>
          <w:color w:val="auto"/>
        </w:rPr>
      </w:pPr>
    </w:p>
    <w:p>
      <w:pPr>
        <w:ind w:left="260" w:right="60"/>
        <w:spacing w:after="0" w:line="278" w:lineRule="auto"/>
        <w:rPr>
          <w:sz w:val="20"/>
          <w:szCs w:val="20"/>
          <w:color w:val="auto"/>
        </w:rPr>
      </w:pPr>
      <w:r>
        <w:rPr>
          <w:rFonts w:ascii="Arial" w:cs="Arial" w:eastAsia="Arial" w:hAnsi="Arial"/>
          <w:sz w:val="19"/>
          <w:szCs w:val="19"/>
          <w:b w:val="1"/>
          <w:bCs w:val="1"/>
          <w:u w:val="single" w:color="auto"/>
          <w:color w:val="auto"/>
        </w:rPr>
        <w:t>Organic sales:</w:t>
      </w:r>
      <w:r>
        <w:rPr>
          <w:rFonts w:ascii="Arial" w:cs="Arial" w:eastAsia="Arial" w:hAnsi="Arial"/>
          <w:sz w:val="19"/>
          <w:szCs w:val="19"/>
          <w:b w:val="1"/>
          <w:bCs w:val="1"/>
          <w:color w:val="auto"/>
        </w:rPr>
        <w:t xml:space="preserve"> </w:t>
      </w:r>
      <w:r>
        <w:rPr>
          <w:rFonts w:ascii="Arial" w:cs="Arial" w:eastAsia="Arial" w:hAnsi="Arial"/>
          <w:sz w:val="19"/>
          <w:szCs w:val="19"/>
          <w:color w:val="auto"/>
        </w:rPr>
        <w:t>Total sales excluding sales attributable to the company's IT services divestiture. This measure may be useful</w:t>
      </w:r>
      <w:r>
        <w:rPr>
          <w:rFonts w:ascii="Arial" w:cs="Arial" w:eastAsia="Arial" w:hAnsi="Arial"/>
          <w:sz w:val="19"/>
          <w:szCs w:val="19"/>
          <w:b w:val="1"/>
          <w:bCs w:val="1"/>
          <w:color w:val="auto"/>
        </w:rPr>
        <w:t xml:space="preserve"> </w:t>
      </w:r>
      <w:r>
        <w:rPr>
          <w:rFonts w:ascii="Arial" w:cs="Arial" w:eastAsia="Arial" w:hAnsi="Arial"/>
          <w:sz w:val="19"/>
          <w:szCs w:val="19"/>
          <w:color w:val="auto"/>
        </w:rPr>
        <w:t>to investors and other users of our financial statements as a supplemental measure in evaluating the company’s underlying sales growth as well as in providing an understanding of our ongoing business and future sales trends by presenting the company’s sales before the impact of divestiture activity. Organic sales is reconciled in Schedule 4 of this release.</w:t>
      </w:r>
    </w:p>
    <w:p>
      <w:pPr>
        <w:spacing w:after="0" w:line="41" w:lineRule="exact"/>
        <w:rPr>
          <w:sz w:val="20"/>
          <w:szCs w:val="20"/>
          <w:color w:val="auto"/>
        </w:rPr>
      </w:pPr>
    </w:p>
    <w:p>
      <w:pPr>
        <w:ind w:left="260" w:right="140"/>
        <w:spacing w:after="0" w:line="252" w:lineRule="auto"/>
        <w:rPr>
          <w:sz w:val="20"/>
          <w:szCs w:val="20"/>
          <w:color w:val="auto"/>
        </w:rPr>
      </w:pPr>
      <w:r>
        <w:rPr>
          <w:rFonts w:ascii="Arial" w:cs="Arial" w:eastAsia="Arial" w:hAnsi="Arial"/>
          <w:sz w:val="20"/>
          <w:szCs w:val="20"/>
          <w:b w:val="1"/>
          <w:bCs w:val="1"/>
          <w:u w:val="single" w:color="auto"/>
          <w:color w:val="auto"/>
        </w:rPr>
        <w:t>Segment operating income and segment operating margin rate:</w:t>
      </w:r>
      <w:r>
        <w:rPr>
          <w:rFonts w:ascii="Arial" w:cs="Arial" w:eastAsia="Arial" w:hAnsi="Arial"/>
          <w:sz w:val="20"/>
          <w:szCs w:val="20"/>
          <w:b w:val="1"/>
          <w:bCs w:val="1"/>
          <w:color w:val="auto"/>
        </w:rPr>
        <w:t xml:space="preserve"> </w:t>
      </w:r>
      <w:r>
        <w:rPr>
          <w:rFonts w:ascii="Arial" w:cs="Arial" w:eastAsia="Arial" w:hAnsi="Arial"/>
          <w:sz w:val="20"/>
          <w:szCs w:val="20"/>
          <w:color w:val="auto"/>
        </w:rPr>
        <w:t>Segment operating income, as reconciled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“Consolidated Operating Results and Cash Flows” table within the body of this release, and segment operating margin rate (segment operating 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spacing w:after="0" w:line="53" w:lineRule="exact"/>
        <w:rPr>
          <w:sz w:val="20"/>
          <w:szCs w:val="20"/>
          <w:color w:val="auto"/>
        </w:rPr>
      </w:pPr>
    </w:p>
    <w:p>
      <w:pPr>
        <w:ind w:left="260" w:right="80"/>
        <w:spacing w:after="0" w:line="260" w:lineRule="auto"/>
        <w:rPr>
          <w:sz w:val="20"/>
          <w:szCs w:val="20"/>
          <w:color w:val="auto"/>
        </w:rPr>
      </w:pPr>
      <w:r>
        <w:rPr>
          <w:rFonts w:ascii="Arial" w:cs="Arial" w:eastAsia="Arial" w:hAnsi="Arial"/>
          <w:sz w:val="20"/>
          <w:szCs w:val="20"/>
          <w:b w:val="1"/>
          <w:bCs w:val="1"/>
          <w:u w:val="single" w:color="auto"/>
          <w:color w:val="auto"/>
        </w:rPr>
        <w:t>Adjusted free cash flow:</w:t>
      </w:r>
      <w:r>
        <w:rPr>
          <w:rFonts w:ascii="Arial" w:cs="Arial" w:eastAsia="Arial" w:hAnsi="Arial"/>
          <w:sz w:val="20"/>
          <w:szCs w:val="20"/>
          <w:b w:val="1"/>
          <w:bCs w:val="1"/>
          <w:color w:val="auto"/>
        </w:rPr>
        <w:t xml:space="preserve"> </w:t>
      </w:r>
      <w:r>
        <w:rPr>
          <w:rFonts w:ascii="Arial" w:cs="Arial" w:eastAsia="Arial" w:hAnsi="Arial"/>
          <w:sz w:val="20"/>
          <w:szCs w:val="20"/>
          <w:color w:val="auto"/>
        </w:rPr>
        <w:t>Net cash provided by or used in operating activities, less capital expenditures, plus proceeds from</w:t>
      </w:r>
      <w:r>
        <w:rPr>
          <w:rFonts w:ascii="Arial" w:cs="Arial" w:eastAsia="Arial" w:hAnsi="Arial"/>
          <w:sz w:val="20"/>
          <w:szCs w:val="20"/>
          <w:b w:val="1"/>
          <w:bCs w:val="1"/>
          <w:color w:val="auto"/>
        </w:rPr>
        <w:t xml:space="preserve"> </w:t>
      </w:r>
      <w:r>
        <w:rPr>
          <w:rFonts w:ascii="Arial" w:cs="Arial" w:eastAsia="Arial" w:hAnsi="Arial"/>
          <w:sz w:val="20"/>
          <w:szCs w:val="20"/>
          <w:color w:val="auto"/>
        </w:rPr>
        <w:t>the sale of equipment to a customer (not otherwise included in net cash provided by or used in operating activities) and the after-tax impact of discretionary pension contributions. Adjusted free cash flow includes proceeds from the sale of equipment to a customer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3"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3"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2022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19</w:t>
            </w:r>
          </w:p>
        </w:tc>
      </w:tr>
    </w:tbl>
    <w:p>
      <w:pPr>
        <w:spacing w:after="0" w:line="383" w:lineRule="exact"/>
        <w:rPr>
          <w:sz w:val="20"/>
          <w:szCs w:val="20"/>
          <w:color w:val="auto"/>
        </w:rPr>
      </w:pPr>
    </w:p>
    <w:p>
      <w:pPr>
        <w:ind w:left="240" w:right="60"/>
        <w:spacing w:after="0" w:line="252" w:lineRule="auto"/>
        <w:rPr>
          <w:sz w:val="20"/>
          <w:szCs w:val="20"/>
          <w:color w:val="auto"/>
        </w:rPr>
      </w:pPr>
      <w:r>
        <w:rPr>
          <w:rFonts w:ascii="Arial" w:cs="Arial" w:eastAsia="Arial" w:hAnsi="Arial"/>
          <w:sz w:val="20"/>
          <w:szCs w:val="20"/>
          <w:color w:val="auto"/>
        </w:rPr>
        <w:t>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 Adjusted free cash flow is reconciled in the “Consolidated Operating Results and Cash Flows” table within the body of this release.</w:t>
      </w:r>
    </w:p>
    <w:p>
      <w:pPr>
        <w:spacing w:after="0" w:line="51" w:lineRule="exact"/>
        <w:rPr>
          <w:sz w:val="20"/>
          <w:szCs w:val="20"/>
          <w:color w:val="auto"/>
        </w:rPr>
      </w:pPr>
    </w:p>
    <w:p>
      <w:pPr>
        <w:ind w:left="240"/>
        <w:spacing w:after="0" w:line="250" w:lineRule="auto"/>
        <w:rPr>
          <w:sz w:val="20"/>
          <w:szCs w:val="20"/>
          <w:color w:val="auto"/>
        </w:rPr>
      </w:pPr>
      <w:r>
        <w:rPr>
          <w:rFonts w:ascii="Arial" w:cs="Arial" w:eastAsia="Arial" w:hAnsi="Arial"/>
          <w:sz w:val="20"/>
          <w:szCs w:val="20"/>
          <w:b w:val="1"/>
          <w:bCs w:val="1"/>
          <w:u w:val="single" w:color="auto"/>
          <w:color w:val="auto"/>
        </w:rPr>
        <w:t>Transaction-adjusted free cash flow:</w:t>
      </w:r>
      <w:r>
        <w:rPr>
          <w:rFonts w:ascii="Arial" w:cs="Arial" w:eastAsia="Arial" w:hAnsi="Arial"/>
          <w:sz w:val="20"/>
          <w:szCs w:val="20"/>
          <w:b w:val="1"/>
          <w:bCs w:val="1"/>
          <w:color w:val="auto"/>
        </w:rPr>
        <w:t xml:space="preserve"> </w:t>
      </w:r>
      <w:r>
        <w:rPr>
          <w:rFonts w:ascii="Arial" w:cs="Arial" w:eastAsia="Arial" w:hAnsi="Arial"/>
          <w:sz w:val="20"/>
          <w:szCs w:val="20"/>
          <w:color w:val="auto"/>
        </w:rPr>
        <w:t>Net cash provided by or used in operating activities less capital expenditures, plus</w:t>
      </w:r>
      <w:r>
        <w:rPr>
          <w:rFonts w:ascii="Arial" w:cs="Arial" w:eastAsia="Arial" w:hAnsi="Arial"/>
          <w:sz w:val="20"/>
          <w:szCs w:val="20"/>
          <w:b w:val="1"/>
          <w:bCs w:val="1"/>
          <w:color w:val="auto"/>
        </w:rPr>
        <w:t xml:space="preserve"> </w:t>
      </w:r>
      <w:r>
        <w:rPr>
          <w:rFonts w:ascii="Arial" w:cs="Arial" w:eastAsia="Arial" w:hAnsi="Arial"/>
          <w:sz w:val="20"/>
          <w:szCs w:val="20"/>
          <w:color w:val="auto"/>
        </w:rPr>
        <w:t>proceeds from the sale of equipment to a customer (not otherwise included in net cash provided by or used in operating activities), the after-tax impact of discretionary pension contributions and cash paid for federal and state taxes and transaction costs associated with the IT services divestiture. Transaction-adjusted free cash flow includes proceeds from the sale of equipment to a customer as such proceeds were generated in a customer sales transaction. It also includes the after-tax impact of discretionary pension contributions and cash paid for federal and state taxes and transaction costs associated with the IT services divestiture for consistency and comparability of financial performance. This measure may not be defined and calculated by other companies in the same manner. We use transaction-adjusted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 Transaction-adjusted free cash flow is reconciled in the “Consolidated Operating Results and Cash Flows” table within the body of this release.</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Northrop Grumman Corporation</w:t>
      </w:r>
    </w:p>
    <w:p>
      <w:pPr>
        <w:ind w:left="3800"/>
        <w:spacing w:after="0" w:line="203" w:lineRule="auto"/>
        <w:rPr>
          <w:sz w:val="20"/>
          <w:szCs w:val="20"/>
          <w:color w:val="auto"/>
        </w:rPr>
      </w:pPr>
      <w:r>
        <w:rPr>
          <w:rFonts w:ascii="Arial" w:cs="Arial" w:eastAsia="Arial" w:hAnsi="Arial"/>
          <w:sz w:val="14"/>
          <w:szCs w:val="14"/>
          <w:color w:val="auto"/>
        </w:rPr>
        <w:t>2980 Fairview Park Drive • Falls Church, VA 22042-4511</w:t>
      </w:r>
    </w:p>
    <w:p>
      <w:pPr>
        <w:jc w:val="center"/>
        <w:ind w:right="20"/>
        <w:spacing w:after="0"/>
        <w:rPr>
          <w:sz w:val="20"/>
          <w:szCs w:val="20"/>
          <w:color w:val="auto"/>
        </w:rPr>
      </w:pPr>
      <w:r>
        <w:rPr>
          <w:rFonts w:ascii="Arial" w:cs="Arial" w:eastAsia="Arial" w:hAnsi="Arial"/>
          <w:sz w:val="14"/>
          <w:szCs w:val="14"/>
          <w:color w:val="auto"/>
        </w:rPr>
        <w:t>news.northropgrumman.com</w:t>
      </w:r>
    </w:p>
    <w:sectPr>
      <w:pgSz w:w="11900" w:h="16838" w:orient="portrait"/>
      <w:cols w:equalWidth="0" w:num="1">
        <w:col w:w="11220"/>
      </w:cols>
      <w:pgMar w:left="340" w:top="3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4"/>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bullet"/>
      <w:start w:val="1"/>
    </w:lvl>
  </w:abstractNum>
  <w:abstractNum w:abstractNumId="4">
    <w:nsid w:val="DED7263"/>
    <w:multiLevelType w:val="hybridMultilevel"/>
    <w:lvl w:ilvl="0">
      <w:lvlJc w:val="left"/>
      <w:lvlText w:val="1"/>
      <w:numFmt w:val="bullet"/>
      <w:start w:val="1"/>
    </w:lvl>
  </w:abstractNum>
  <w:abstractNum w:abstractNumId="5">
    <w:nsid w:val="7FDCC233"/>
    <w:multiLevelType w:val="hybridMultilevel"/>
    <w:lvl w:ilvl="0">
      <w:lvlJc w:val="left"/>
      <w:lvlText w:val="2"/>
      <w:numFmt w:val="bullet"/>
      <w:start w:val="1"/>
    </w:lvl>
  </w:abstractNum>
  <w:abstractNum w:abstractNumId="6">
    <w:nsid w:val="1BEFD79F"/>
    <w:multiLevelType w:val="hybridMultilevel"/>
    <w:lvl w:ilvl="0">
      <w:lvlJc w:val="left"/>
      <w:lvlText w:val="1"/>
      <w:numFmt w:val="bullet"/>
      <w:start w:val="1"/>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1"/>
      <w:numFmt w:val="bullet"/>
      <w:start w:val="1"/>
    </w:lvl>
  </w:abstractNum>
  <w:abstractNum w:abstractNumId="9">
    <w:nsid w:val="4E6AFB66"/>
    <w:multiLevelType w:val="hybridMultilevel"/>
    <w:lvl w:ilvl="0">
      <w:lvlJc w:val="left"/>
      <w:lvlText w:val="1"/>
      <w:numFmt w:val="bullet"/>
      <w:start w:val="1"/>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2"/>
      <w:numFmt w:val="bullet"/>
      <w:start w:val="1"/>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bullet"/>
      <w:start w:val="1"/>
    </w:lvl>
  </w:abstractNum>
  <w:abstractNum w:abstractNumId="20">
    <w:nsid w:val="721DA317"/>
    <w:multiLevelType w:val="hybridMultilevel"/>
    <w:lvl w:ilvl="0">
      <w:lvlJc w:val="left"/>
      <w:lvlText w:val="1"/>
      <w:numFmt w:val="bullet"/>
      <w:start w:val="1"/>
    </w:lvl>
  </w:abstractNum>
  <w:abstractNum w:abstractNumId="21">
    <w:nsid w:val="2443A858"/>
    <w:multiLevelType w:val="hybridMultilevel"/>
    <w:lvl w:ilvl="0">
      <w:lvlJc w:val="left"/>
      <w:lvlText w:val="2"/>
      <w:numFmt w:val="bullet"/>
      <w:start w:val="1"/>
    </w:lvl>
  </w:abstractNum>
  <w:abstractNum w:abstractNumId="22">
    <w:nsid w:val="2D1D5AE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2022-10-27T05:45:51Z</dcterms:created>
  <dcterms:modified xsi:type="dcterms:W3CDTF">2022-10-27T05:45:51Z</dcterms:modified>
</cp:coreProperties>
</file>