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w:t>
      </w:r>
    </w:p>
    <w:p>
      <w:pPr>
        <w:spacing w:after="0" w:line="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9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9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____________________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3920" w:right="999" w:hanging="3714"/>
        <w:spacing w:after="0" w:line="380" w:lineRule="auto"/>
        <w:tabs>
          <w:tab w:leader="none" w:pos="8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2021</w:t>
      </w:r>
    </w:p>
    <w:p>
      <w:pPr>
        <w:spacing w:after="0" w:line="20"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880" w:hanging="674"/>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w:t>
      </w:r>
    </w:p>
    <w:p>
      <w:pPr>
        <w:spacing w:after="0" w:line="90" w:lineRule="exact"/>
        <w:rPr>
          <w:sz w:val="24"/>
          <w:szCs w:val="24"/>
          <w:color w:val="auto"/>
        </w:rPr>
      </w:pPr>
    </w:p>
    <w:p>
      <w:pPr>
        <w:ind w:left="3760"/>
        <w:spacing w:after="0"/>
        <w:tabs>
          <w:tab w:leader="none" w:pos="6700" w:val="left"/>
          <w:tab w:leader="none" w:pos="7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3890645</wp:posOffset>
            </wp:positionH>
            <wp:positionV relativeFrom="paragraph">
              <wp:posOffset>-5080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1-16411</w:t>
      </w:r>
    </w:p>
    <w:p>
      <w:pPr>
        <w:spacing w:after="0" w:line="337"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address of the plan, if different from that of the issuer named below:</w:t>
      </w:r>
    </w:p>
    <w:p>
      <w:pPr>
        <w:spacing w:after="0" w:line="261" w:lineRule="exact"/>
        <w:rPr>
          <w:rFonts w:ascii="Times New Roman" w:cs="Times New Roman" w:eastAsia="Times New Roman" w:hAnsi="Times New Roman"/>
          <w:sz w:val="18"/>
          <w:szCs w:val="18"/>
          <w:color w:val="auto"/>
        </w:rPr>
      </w:pPr>
    </w:p>
    <w:p>
      <w:pPr>
        <w:ind w:left="3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NORTHROP GRUMMAN SAVINGS PLAN</w:t>
      </w:r>
    </w:p>
    <w:p>
      <w:pPr>
        <w:spacing w:after="0" w:line="337"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2980 Fairview Park Drive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32"/>
          <w:szCs w:val="32"/>
          <w:b w:val="1"/>
          <w:bCs w:val="1"/>
          <w:color w:val="auto"/>
        </w:rPr>
        <w:t>________________________________________________</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i w:val="1"/>
          <w:iCs w:val="1"/>
          <w:color w:val="auto"/>
        </w:rPr>
        <w:t>Northrop Grumman Savings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Financial Statements as of December 31, 2021 and 2020,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and for the Year Ended December 31, 2021,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Supplemental Schedule as of December 31, 2021,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and Report of Independent Registered Public Accounting Firm</w:t>
      </w:r>
    </w:p>
    <w:p>
      <w:pPr>
        <w:sectPr>
          <w:pgSz w:w="11900" w:h="16838" w:orient="portrait"/>
          <w:cols w:equalWidth="0" w:num="1">
            <w:col w:w="10139"/>
          </w:cols>
          <w:pgMar w:left="320" w:top="10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3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REPORT OF INDEPENDENT REGISTERED PUBLIC ACCOUNTING FIRM</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9320" w:type="dxa"/>
            <w:vAlign w:val="bottom"/>
            <w:gridSpan w:val="8"/>
            <w:vMerge w:val="continue"/>
          </w:tcPr>
          <w:p>
            <w:pPr>
              <w:spacing w:after="0"/>
              <w:rPr>
                <w:sz w:val="16"/>
                <w:szCs w:val="16"/>
                <w:color w:val="auto"/>
              </w:rPr>
            </w:pP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502"/>
        </w:trPr>
        <w:tc>
          <w:tcPr>
            <w:tcW w:w="6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160" w:type="dxa"/>
            <w:vAlign w:val="bottom"/>
            <w:gridSpan w:val="3"/>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0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Statements of Net Assets Available for Benefits as of December 31, 2021 and 2020</w:t>
            </w:r>
          </w:p>
        </w:tc>
        <w:tc>
          <w:tcPr>
            <w:tcW w:w="3320" w:type="dxa"/>
            <w:vAlign w:val="bottom"/>
            <w:gridSpan w:val="4"/>
          </w:tcPr>
          <w:p>
            <w:pPr>
              <w:spacing w:after="0"/>
              <w:rPr>
                <w:sz w:val="16"/>
                <w:szCs w:val="16"/>
                <w:color w:val="auto"/>
              </w:rPr>
            </w:pP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 for the Year Ended December 31, 2021</w:t>
            </w:r>
          </w:p>
        </w:tc>
        <w:tc>
          <w:tcPr>
            <w:tcW w:w="2240" w:type="dxa"/>
            <w:vAlign w:val="bottom"/>
            <w:gridSpan w:val="2"/>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920" w:type="dxa"/>
            <w:vAlign w:val="bottom"/>
            <w:gridSpan w:val="3"/>
          </w:tcPr>
          <w:p>
            <w:pPr>
              <w:spacing w:after="0"/>
              <w:rPr>
                <w:sz w:val="18"/>
                <w:szCs w:val="18"/>
                <w:color w:val="auto"/>
              </w:rPr>
            </w:pPr>
          </w:p>
        </w:tc>
        <w:tc>
          <w:tcPr>
            <w:tcW w:w="2240" w:type="dxa"/>
            <w:vAlign w:val="bottom"/>
            <w:gridSpan w:val="2"/>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3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Form 5500, Schedule H, Part IV, Line 4i, Schedule of Assets (Held at End of Year) as of December 31, 2021</w:t>
            </w:r>
          </w:p>
        </w:tc>
        <w:tc>
          <w:tcPr>
            <w:tcW w:w="18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466"/>
        </w:trPr>
        <w:tc>
          <w:tcPr>
            <w:tcW w:w="78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3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08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Benefit Plans Administrative Committee and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Northrop Grumman Savings Plan (the “Plan”) as of December 31, 2021 and 2020, the related statement of changes in net assets available for benefits for the year ended December 31, 2021, and the related notes (collectively referred to as the “financial statements”). In our opinion, the financial statements present fairly, in all material respects, the net assets available for benefits of the Plan as of December 31, 2021 and 2020, and the changes in net assets available for benefits for the year ended December 31, 2021,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Supplemental Schedule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supplemental schedule of assets (held at end of year) as of December 31, 2021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auditor of the Plan since at least 1994;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089" w:right="35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Northrop Grumman Defined Contribution Plans Master Trust (Note 3)</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33,536,092</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29,916,236</w:t>
            </w:r>
          </w:p>
        </w:tc>
      </w:tr>
      <w:tr>
        <w:trPr>
          <w:trHeight w:val="22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brokerage account—at fair value</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3,286,704</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2,840,249</w:t>
            </w:r>
          </w:p>
        </w:tc>
      </w:tr>
      <w:tr>
        <w:trPr>
          <w:trHeight w:val="229"/>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 fund—at fair value</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763</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3"/>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36,823,559</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32,757,192</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277,204</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276,898</w:t>
            </w:r>
          </w:p>
        </w:tc>
      </w:tr>
      <w:tr>
        <w:trPr>
          <w:trHeight w:val="229"/>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82,994</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145,955</w:t>
            </w: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3,138</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7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receivables</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363,336</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423,326</w:t>
            </w: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37,186,895</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33,180,518</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r>
      <w:tr>
        <w:trPr>
          <w:trHeight w:val="230"/>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37,184,872</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33,178,581</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20"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STATEMENT OF CHANGES IN NET ASSETS AVAILABLE FOR BENEFITS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interest in the Northrop Grumman Defined Contribution Plans Master Trust</w:t>
            </w: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4,471,341</w:t>
            </w:r>
          </w:p>
        </w:tc>
      </w:tr>
      <w:tr>
        <w:trPr>
          <w:trHeight w:val="229"/>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appreciation in fair value of other investments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361,304</w:t>
            </w:r>
          </w:p>
        </w:tc>
      </w:tr>
      <w:tr>
        <w:trPr>
          <w:trHeight w:val="22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Dividends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89,055</w:t>
            </w:r>
          </w:p>
        </w:tc>
      </w:tr>
      <w:tr>
        <w:trPr>
          <w:trHeight w:val="229"/>
        </w:trPr>
        <w:tc>
          <w:tcPr>
            <w:tcW w:w="7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4,922,087</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12,777</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1,248,402</w:t>
            </w: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557,788</w:t>
            </w:r>
          </w:p>
        </w:tc>
      </w:tr>
      <w:tr>
        <w:trPr>
          <w:trHeight w:val="229"/>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Rollover contributions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174,356</w:t>
            </w:r>
          </w:p>
        </w:tc>
      </w:tr>
      <w:tr>
        <w:trPr>
          <w:trHeight w:val="223"/>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1,980,546</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additions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6,915,410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2,896,794</w:t>
            </w:r>
          </w:p>
        </w:tc>
      </w:tr>
      <w:tr>
        <w:trPr>
          <w:trHeight w:val="230"/>
        </w:trPr>
        <w:tc>
          <w:tcPr>
            <w:tcW w:w="7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12,325</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deductions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2,909,119</w:t>
            </w:r>
          </w:p>
        </w:tc>
      </w:tr>
      <w:tr>
        <w:trPr>
          <w:trHeight w:val="223"/>
        </w:trPr>
        <w:tc>
          <w:tcPr>
            <w:tcW w:w="7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4,006,291</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year</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33,178,581</w:t>
            </w:r>
          </w:p>
        </w:tc>
      </w:tr>
      <w:tr>
        <w:trPr>
          <w:trHeight w:val="237"/>
        </w:trPr>
        <w:tc>
          <w:tcPr>
            <w:tcW w:w="76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 of year</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37,184,872</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0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NORTHROP GRUMMAN SAVINGS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Northrop Grumman Savings Plan (the “Plan”) provides only general information. Participants should refer to the Plan document for a more complete description of the Plan’s provisions.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Plan is a qualified profit-sharing and stock bonus plan that includes an employee stock ownership plan sponsored by Northrop Grumman Corporation (the “Company” or “Plan sponsor”). The Plan was established February 1, 1962. The Plan's Benefit Plans Administrative and Investment Committees control and manage the operation of the Plan. State Street Bank and Trust Company (“State Street” or the “Trustee”) serves as Trustee of the Plan. The Plan is subject to the provisions of the Employee Retirement Income Security Act of 1974, as amended (“ERISA”).</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All of the Plan’s investments are participant directed. The Plan holds assets in the Northrop Grumman Defined Contribution Plans Master Trust (the “DC Master Trust”), as well as a short-term investment fund at the Trustee, and participant-directed brokerage accounts held in the Fidelity Brokerage Services LLC BrokerageLink Account (“BrokerageLink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Plan covers substantially all hourly and salaried employees of the Company who are at least 18 years old, are citizens or residents of the United States of America (“U.S.”), are not covered under another plan, and whose pay is determined in accordance with the U.S Internal Revenue Code of 1986, as amended (the “Code”) and processed on a U.S. payroll system of the Company.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Participant contributions are subject to certain limitations imposed by the Code. Contributions can be made on a tax-deferred (pre-tax) basis, after-tax basis or to a Roth 401(k) on an after-tax basis, or a combination thereof through payroll withholdings. Participants may also contribute amounts representing benefit payments from certain pension plans sponsored by the Company and other qualified plans. Active participants may change the percentage of their contributions. First time eligible employees (newly hired, rehired, and certain transfers) are enrolled automatically into the Plan approximately 45 days after the date of hire, rehire, or transfer unless an alternative election is made. Contributions for those automatically enrolled in the Plan increase by one percent each year up to a maximum percentage specified by the Plan sponsor. Effective April 1, 2016, the automatic increase program was limited to pre-tax and Roth 401(k) contributions.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 employees hired before April 1, 2016, the Company’s matching contributions are generally as follows: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24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34"/>
        </w:trPr>
        <w:tc>
          <w:tcPr>
            <w:tcW w:w="876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2% of eligible compensation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2% of eligible compensation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Contributions over 8%</w:t>
            </w:r>
          </w:p>
        </w:tc>
        <w:tc>
          <w:tcPr>
            <w:tcW w:w="2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Certain employees (generally hired or rehired between July 1, 2008 and April 1, 2016), who meet the applicable Plan requirements, are also eligible to receive an additional employer contribution known as a Retirement Account Contribution ("RAC"). The RAC contribution is generally made annually, after the end of each plan year, and with few exceptions, eligible participants must be employed by the Company on December 31 of the plan year to receive the contribution in the first quarter of the following year. For the year ended December 31, 2021, the Company made a $55.8 million RAC contribution which was remitted to the Plan in March 2022. This amount is included in employer contributions receivable in the statement of net assets available for benefits at December 31, 2021.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8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amount is generally determined as a percentage of eligible compensation in accordance with the following table:</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Participant’s Age as of December 31, 2016</w:t>
            </w:r>
          </w:p>
        </w:tc>
        <w:tc>
          <w:tcPr>
            <w:tcW w:w="232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Percentage of</w:t>
            </w:r>
          </w:p>
        </w:tc>
        <w:tc>
          <w:tcPr>
            <w:tcW w:w="0" w:type="dxa"/>
            <w:vAlign w:val="bottom"/>
          </w:tcPr>
          <w:p>
            <w:pPr>
              <w:spacing w:after="0"/>
              <w:rPr>
                <w:sz w:val="1"/>
                <w:szCs w:val="1"/>
                <w:color w:val="auto"/>
              </w:rPr>
            </w:pPr>
          </w:p>
        </w:tc>
      </w:tr>
      <w:tr>
        <w:trPr>
          <w:trHeight w:val="243"/>
        </w:trPr>
        <w:tc>
          <w:tcPr>
            <w:tcW w:w="884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35</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 – 49</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8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or older</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Certain employees brought on as part of the June 2018 Orbital ATK, Inc acquisition, who were hired between January 1, 2007 and June 5, 2018, are also eligible to receive a Non-Elective Contribution ("NEC"). The NEC contribution is generally made annually, after the end of each plan year, and with few exceptions, eligible participants must be employed by the Company on December 31 of the plan year to receive the contribution in the first quarter of the following year. The NEC contribution ranges from 2.5 percent to 4.0 percent of eligible compensation based on age and years of service. For the year ended December 31, 2021, the Company made a $26.4 million NEC contribution to the Plan, which was remitted to the Plan in March 2022. This amount is included in employer contributions receivable in the statement of net assets available for benefits at December 31,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most employees hired after April 1, 2016 and certain employees who did not previously participate in a Company sponsored pension plan, receive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 or a NEC, the Company’s matching contributions are generally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Contribution</w:t>
            </w:r>
          </w:p>
        </w:tc>
        <w:tc>
          <w:tcPr>
            <w:tcW w:w="4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auto"/>
            </w:tcBorders>
            <w:vMerge w:val="continue"/>
          </w:tcPr>
          <w:p>
            <w:pPr>
              <w:spacing w:after="0"/>
              <w:rPr>
                <w:sz w:val="21"/>
                <w:szCs w:val="21"/>
                <w:color w:val="auto"/>
              </w:rPr>
            </w:pPr>
          </w:p>
        </w:tc>
        <w:tc>
          <w:tcPr>
            <w:tcW w:w="45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Match</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employees with less than 5 years of service: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Next 4% of eligible compensation</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over 8%</w:t>
            </w:r>
          </w:p>
        </w:tc>
        <w:tc>
          <w:tcPr>
            <w:tcW w:w="4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employees with 5 or more years of service:</w:t>
            </w:r>
          </w:p>
        </w:tc>
        <w:tc>
          <w:tcPr>
            <w:tcW w:w="4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Next 6% of eligible compensation</w:t>
            </w:r>
          </w:p>
        </w:tc>
        <w:tc>
          <w:tcPr>
            <w:tcW w:w="4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Contributions over 10%</w:t>
            </w:r>
          </w:p>
        </w:tc>
        <w:tc>
          <w:tcPr>
            <w:tcW w:w="4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320"/>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2020, the Company made a $58.8 million discretionary profit sharing contribution to the Plan, which was remitted in February 2021. This amount is included in employer contributions receivable in the statement of net assets available for benefits at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 account is credited with participant and Company contributions and an allocation of any Plan earnings from the DC Master Trust. Each participant account is charged with withdrawals and an allocation of any Plan losses and administrative expenses. Allocations are based on participant units. Participants are generally entitled to the net of these contributions, withdrawals and allocations to the extent of their vesting in the account.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Plan participants are fully vested in the balance of their accounts from employee contributions and earnings thereon. Plan participants, other than participants covered under certain collective bargaining agreements, become fully vested in Company matching contributions, and earnings thereon, upon completion of three years of service. Plan participants who are eligible for RAC and NEC fully vest in those Company contributions, and earnings thereon, upon completion of three years of service.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2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Plan participants direct their employee and Company contributions to be invested in the investment funds described below. If direction is not provided by a participant, contributions are generally invested in an appropriate Retirement Path fund. The investment funds are managed by professional investment managers appointed by Plan management.</w:t>
      </w:r>
    </w:p>
    <w:p>
      <w:pPr>
        <w:spacing w:after="0" w:line="7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certain restrictions, participants may generally change their investment elections and transfer existing account balances between investment funds daily.</w:t>
      </w:r>
    </w:p>
    <w:p>
      <w:pPr>
        <w:spacing w:after="0" w:line="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Contributions deposited into each investment fund are used to purchase units of that fund based on unit values that are updated daily prior to any Plan transactions. Plan transactions include contributions, withdrawals, distributions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3" w:right="339" w:bottom="1440" w:gutter="0" w:footer="0" w:header="0"/>
        </w:sectPr>
      </w:pPr>
    </w:p>
    <w:bookmarkStart w:id="8" w:name="page9"/>
    <w:bookmarkEnd w:id="8"/>
    <w:p>
      <w:pPr>
        <w:ind w:right="60"/>
        <w:spacing w:after="0" w:line="282" w:lineRule="auto"/>
        <w:rPr>
          <w:sz w:val="20"/>
          <w:szCs w:val="20"/>
          <w:color w:val="auto"/>
        </w:rPr>
      </w:pPr>
      <w:r>
        <w:rPr>
          <w:rFonts w:ascii="Times New Roman" w:cs="Times New Roman" w:eastAsia="Times New Roman" w:hAnsi="Times New Roman"/>
          <w:sz w:val="18"/>
          <w:szCs w:val="18"/>
          <w:color w:val="auto"/>
        </w:rPr>
        <w:t>and transfers. The value of each participant’s account within each fund depends on two factors: the number of units purchased to date and the current value of each unit.</w:t>
      </w:r>
    </w:p>
    <w:p>
      <w:pPr>
        <w:spacing w:after="0" w:line="38"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Equity Fund </w:t>
      </w:r>
      <w:r>
        <w:rPr>
          <w:rFonts w:ascii="Times New Roman" w:cs="Times New Roman" w:eastAsia="Times New Roman" w:hAnsi="Times New Roman"/>
          <w:sz w:val="18"/>
          <w:szCs w:val="18"/>
          <w:color w:val="auto"/>
        </w:rPr>
        <w:t>— The U.S. Equity Fund primarily consists of holdings in large and medium-sized U.S. company stocks. The fund’s objective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 high total return through long-term growth of capital and the reinvestment of current income.</w:t>
      </w:r>
    </w:p>
    <w:p>
      <w:pPr>
        <w:spacing w:after="0" w:line="2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 Fixed-Income Fund </w:t>
      </w:r>
      <w:r>
        <w:rPr>
          <w:rFonts w:ascii="Times New Roman" w:cs="Times New Roman" w:eastAsia="Times New Roman" w:hAnsi="Times New Roman"/>
          <w:sz w:val="18"/>
          <w:szCs w:val="18"/>
          <w:color w:val="auto"/>
        </w:rPr>
        <w:t>— The U.S. Fixed-Income Fund primarily consists of holdings in marketable, fixed-income securities rated within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 The U.S. Fixed-Income Fund provides direct ownership of fixed income securities.</w:t>
      </w:r>
    </w:p>
    <w:p>
      <w:pPr>
        <w:spacing w:after="0" w:line="5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Stable Value Account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Stable Value Account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Investments in the Stable Value Account primarily include guaranteed investment contracts (“GICs”),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See Note 5 for further information on GICs.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Northrop Grumman Fund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NG Stock Fund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NG Stock Fund invests primarily in Northrop Grumman Corporation common stock.</w:t>
      </w:r>
    </w:p>
    <w:p>
      <w:pPr>
        <w:spacing w:after="0" w:line="9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Balanced Fund </w:t>
      </w:r>
      <w:r>
        <w:rPr>
          <w:rFonts w:ascii="Times New Roman" w:cs="Times New Roman" w:eastAsia="Times New Roman" w:hAnsi="Times New Roman"/>
          <w:sz w:val="18"/>
          <w:szCs w:val="18"/>
          <w:color w:val="auto"/>
        </w:rPr>
        <w:t>— The Balanced Fund is designed to provide investors with a diversified portfolio consisting of targeted proportions of fixed-income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(35 percent), U.S. equities (45 percent), and international equities (20 percent). The fund seeks to exceed the return of the bond market and approach the return of the stock market, but with less risk than an investment only in stocks.</w:t>
      </w:r>
    </w:p>
    <w:p>
      <w:pPr>
        <w:spacing w:after="0" w:line="5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Equity Fund </w:t>
      </w:r>
      <w:r>
        <w:rPr>
          <w:rFonts w:ascii="Times New Roman" w:cs="Times New Roman" w:eastAsia="Times New Roman" w:hAnsi="Times New Roman"/>
          <w:sz w:val="18"/>
          <w:szCs w:val="18"/>
          <w:color w:val="auto"/>
        </w:rPr>
        <w:t>— The International Equity Fund consists of stocks of a diversified group of companies in developed countries outside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The fund’s objectives are capital appreciation over the long term, along with current income (dividends).</w:t>
      </w:r>
    </w:p>
    <w:p>
      <w:pPr>
        <w:spacing w:after="0" w:line="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Small Cap Fund </w:t>
      </w:r>
      <w:r>
        <w:rPr>
          <w:rFonts w:ascii="Times New Roman" w:cs="Times New Roman" w:eastAsia="Times New Roman" w:hAnsi="Times New Roman"/>
          <w:sz w:val="18"/>
          <w:szCs w:val="18"/>
          <w:color w:val="auto"/>
        </w:rPr>
        <w:t>— The Small Cap Fund consists of a diversified group of U.S. companies with lower market capitalization and higher expected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than the large, well-established companies that make up the S&amp;P 500 Index. The fund seeks to provide capital appreciation over the long term, rather than current income.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Emerging Markets Fund </w:t>
      </w:r>
      <w:r>
        <w:rPr>
          <w:rFonts w:ascii="Times New Roman" w:cs="Times New Roman" w:eastAsia="Times New Roman" w:hAnsi="Times New Roman"/>
          <w:sz w:val="18"/>
          <w:szCs w:val="18"/>
          <w:color w:val="auto"/>
        </w:rPr>
        <w:t>— The Emerging Markets Fund consists of a diversified portfolio of stocks issued by companies based in developing countries.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fund’s objective is capital appreciation over the long term.</w:t>
      </w:r>
    </w:p>
    <w:p>
      <w:pPr>
        <w:spacing w:after="0" w:line="8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Retirement Path Portfolios </w:t>
      </w:r>
      <w:r>
        <w:rPr>
          <w:rFonts w:ascii="Times New Roman" w:cs="Times New Roman" w:eastAsia="Times New Roman" w:hAnsi="Times New Roman"/>
          <w:sz w:val="18"/>
          <w:szCs w:val="18"/>
          <w:color w:val="auto"/>
        </w:rPr>
        <w:t>— Each retirement path is a broadly diversified portfolio of funds consisting of equities, fixed-income securities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tailored to the investment time horizon of the participants. The name of each strategy reflects the year when the participants will most likely begin to draw interest and/or principal out of their portfolio. The portfolio consists of eleven Retirement Path funds spanning to 2065.</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Plan also offers a participant-directed brokerage account. The BrokerageLink Account enables participants to invest in a range of investment options beyond the core investment options and retirement path funds offered by the Plan.</w:t>
      </w:r>
    </w:p>
    <w:p>
      <w:pPr>
        <w:spacing w:after="0" w:line="2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funds may include common/collective trust (“CCT”) funds. These funds manage pooled trust accounts, which group assets together to develop generally larger and more diversified portfolios. These funds may also include short-term investment funds.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Participants may borrow from their fund accounts in accordance with the Plan document, with loans of a minimum of $1,000 up to a maximum equal to the lesser of $50,000 reduced by the highest outstanding loan balance over the past 12 months, or 50 percent of their vested account balance. Loans are secured by the balance in the participant's account and are issued at an interest rate set at the prime rate plus one percent. Repayments are made from payroll deductions (for active employees) or other forms of payment (for former employees or employees on a leave of absence). As of December 31, 2021, participant loans were outstanding with maturities through 2036 and interest rates ranging from 3.25 percent to 11.5 percent. As of December 31, 2020, participant loans were outstanding with maturities through 2035 and interest rates ranging from 3.25 percent to 11.5 percent.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Upon termination of employment with the Company (including termination due to death, disability, or retirement), participants may receive a lump-sum payment of their entire account balance (net of any outstanding loan balances). Otherwise, distributions generally begin on a participant's mandatory commencement date. Participants may roll over account balances to individual retirement accounts or another employer’s qualified retirement plan.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093" w:right="359" w:bottom="1440" w:gutter="0" w:footer="0" w:header="0"/>
        </w:sectPr>
      </w:pPr>
    </w:p>
    <w:bookmarkStart w:id="9" w:name="page10"/>
    <w:bookmarkEnd w:id="9"/>
    <w:p>
      <w:pPr>
        <w:ind w:right="1500"/>
        <w:spacing w:after="0" w:line="315" w:lineRule="auto"/>
        <w:rPr>
          <w:sz w:val="20"/>
          <w:szCs w:val="20"/>
          <w:color w:val="auto"/>
        </w:rPr>
      </w:pPr>
      <w:r>
        <w:rPr>
          <w:rFonts w:ascii="Times New Roman" w:cs="Times New Roman" w:eastAsia="Times New Roman" w:hAnsi="Times New Roman"/>
          <w:sz w:val="18"/>
          <w:szCs w:val="18"/>
          <w:color w:val="auto"/>
        </w:rPr>
        <w:t xml:space="preserve">Distributions from the NG Stock Fund may be paid in cash, stock, or a combination of the two, depending on the participant’s election. </w:t>
      </w:r>
      <w:r>
        <w:rPr>
          <w:rFonts w:ascii="Times New Roman" w:cs="Times New Roman" w:eastAsia="Times New Roman" w:hAnsi="Times New Roman"/>
          <w:sz w:val="18"/>
          <w:szCs w:val="18"/>
          <w:b w:val="1"/>
          <w:bCs w:val="1"/>
          <w:color w:val="auto"/>
        </w:rPr>
        <w:t>Withdrawals</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Participants may withdraw all or a portion of their vested account in accordance with the Plan document, which provides for different rules for withdrawals based on whether or not the participant has reached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Forfeited Accounts</w:t>
      </w:r>
    </w:p>
    <w:p>
      <w:pPr>
        <w:spacing w:after="0" w:line="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2021 and 2020, Plan forfeitures totaled $20.5 million and $13.0 million, respectively. Forfeited amounts may be used to reduce Company contributions or to offset Plan expenses. During the year ended December 31, 2021, employer contributions were reduced by $20.5 million due to forfeitures. No forfeitures were used to offset Plan expenses during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Changes due to CARES Act</w:t>
      </w:r>
    </w:p>
    <w:p>
      <w:pPr>
        <w:spacing w:after="0" w:line="3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(the “CARES Act”) was enacted, and certain provisions of the CARES Act that pertain to retirement plans were implemented. As a result, Plan participants impacted by the Coronavirus disease 2019 ("COVID-19") were able to:</w:t>
      </w:r>
    </w:p>
    <w:p>
      <w:pPr>
        <w:spacing w:after="0" w:line="6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penalty free, up to $100,000 of vested account balances before December 31, 2020.</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 current active loan payments for the 2020 plan year.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new loans up to $100,000 of vested account balances before September 22, 2020.</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2020 required minimum distributions (“RMD”), or for any RMD made prior to the enactment of the CARES Act, roll the RMD over to another eligible retirement plan within the prescribed timeframe according to IRS notice 2020-23.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Multiple Employer Plan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January 30, 2021 (the “Closing Date”), the Company completed the sale of its federal IT and mission support services business to Peraton Inc ("Peraton"). Certain former Company employees transferring to Peraton in connection with the transaction became eligible to continue to participate in the Plan, with substantially the same benefits, from the Closing Date through December 31, 2021. During that time, Peraton became a participating employer of the Plan which qualified as a Multiple Employer Plan in accordance with IRS Code Section 413(c).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Plan invests in various securities, including U.S. and foreign government securities, corporate debt instruments, U.S. equities, asset-backed securities, common/collective trust funds and a stable value account. Investment securities are exposed to various risks, including interest rate and credit risk, overall market volatility, and risks related to U.S. and foreign government 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COVID-19 was first reported in late 2019 and has since dramatically impacted the global health and economic environment, including millions of confirmed cases, business slowdowns or shutdowns, government challenges and market volatility. While Plan operations have not been significantly impacted by COVID-19, the Company and our global community continue to face challenges and we cannot predict how this dynamic situation will evolve or the impact it will have on the Plan’s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Plan measures the fair value of its financial instruments using observable and unobservable inputs. Observable inputs reflect market data obtained from independent sources, while unobservable inputs reflect internal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assumptions. Assets are classified in their entirety based on the lowest level of input that is significant to the fair value measurement.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two types of inputs create the following fair value hierarchy:</w:t>
      </w:r>
    </w:p>
    <w:p>
      <w:pPr>
        <w:spacing w:after="0" w:line="90" w:lineRule="exact"/>
        <w:rPr>
          <w:sz w:val="20"/>
          <w:szCs w:val="20"/>
          <w:color w:val="auto"/>
        </w:rPr>
      </w:pPr>
    </w:p>
    <w:p>
      <w:pPr>
        <w:ind w:left="740" w:right="620" w:hanging="728"/>
        <w:spacing w:after="0" w:line="282" w:lineRule="auto"/>
        <w:rPr>
          <w:sz w:val="20"/>
          <w:szCs w:val="20"/>
          <w:color w:val="auto"/>
        </w:rPr>
      </w:pPr>
      <w:r>
        <w:rPr>
          <w:rFonts w:ascii="Times New Roman" w:cs="Times New Roman" w:eastAsia="Times New Roman" w:hAnsi="Times New Roman"/>
          <w:sz w:val="18"/>
          <w:szCs w:val="18"/>
          <w:color w:val="auto"/>
        </w:rPr>
        <w:t>Level 1 - Quoted prices for identical instruments in active markets. Level 1 investments of the DC Master Trust and the Plan primarily include cash equivalents, short-term investment funds and U.S. equities.</w:t>
      </w:r>
    </w:p>
    <w:p>
      <w:pPr>
        <w:spacing w:after="0" w:line="40" w:lineRule="exact"/>
        <w:rPr>
          <w:sz w:val="20"/>
          <w:szCs w:val="20"/>
          <w:color w:val="auto"/>
        </w:rPr>
      </w:pPr>
    </w:p>
    <w:p>
      <w:pPr>
        <w:ind w:left="740" w:right="180" w:hanging="728"/>
        <w:spacing w:after="0" w:line="266"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 Level 2 investments of the DC Master Trust and the Plan primarily include fixed-income securities based on broker quotes or model-derived valuations.</w:t>
      </w:r>
    </w:p>
    <w:p>
      <w:pPr>
        <w:spacing w:after="0" w:line="54" w:lineRule="exact"/>
        <w:rPr>
          <w:sz w:val="20"/>
          <w:szCs w:val="20"/>
          <w:color w:val="auto"/>
        </w:rPr>
      </w:pPr>
    </w:p>
    <w:p>
      <w:pPr>
        <w:ind w:left="740" w:right="160" w:hanging="728"/>
        <w:spacing w:after="0" w:line="282" w:lineRule="auto"/>
        <w:rPr>
          <w:sz w:val="20"/>
          <w:szCs w:val="20"/>
          <w:color w:val="auto"/>
        </w:rPr>
      </w:pPr>
      <w:r>
        <w:rPr>
          <w:rFonts w:ascii="Times New Roman" w:cs="Times New Roman" w:eastAsia="Times New Roman" w:hAnsi="Times New Roman"/>
          <w:sz w:val="18"/>
          <w:szCs w:val="18"/>
          <w:color w:val="auto"/>
        </w:rPr>
        <w:t>Level 3 - Significant inputs to the valuation model are unobservable. There were no Level 3 investments in the Plan during the years ended December 31, 2021 and 2020.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Plan’s investments are stated at fair value with the exception of GICs held by the Plan through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investments, including the underlying investments in the DC Master Trust and BrokerageLink Account, is determined as follows: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Investments in U.S. equity securities, which include common and preferred stock, are valued at the last reported sales price of the stock on the active market on which the securities are traded on the last business day of the plan year. Investments in CCT funds are valued based on the net asset value (“NAV”) derived by investment managers, as a practical expedient. Short-term investment funds are valued at amortized cost, which approximates fair value. Fair values for other securities, including U.S. and foreign government, corporate debt, asset-backed and other fixed-income securities, which are not exchange-traded, are valued using third-party pricing services. These pricing services use, for example, recent broker-dealer quotations or model-based pricing methods that use significant observable inputs such as relevant yield curves, credit information of the underlying security, prepayment projections, cash flows and other security characteristics to determine fair value as of the last trading day of the year. If market values are not available from the above sources, the fair value is provided to the Trustee by the party with authority to trade in such securities (investment managers or Plan management, as applicable).</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securities and cash or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performing any valuations or calculations required of the Trustee, the Trustee relies on the prices provided by pricing sources, the investment managers, Plan management or the participant’s broker as a certification as to the value.</w:t>
      </w:r>
    </w:p>
    <w:p>
      <w:pPr>
        <w:spacing w:after="0" w:line="4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loans are measured at their unpaid principal balance plus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Plan expenses are paid by the Plan or the Plan sponsor as provided in the Plan document. Fees incurred by the Plan for investment management services of $3.2 million are presented as an offset to total investment income in the Statement of Changes in Net Assets Available for Benefits for the year ended December 31, 2021.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3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Benefit payments to participants are recorded upon distribution. Amounts allocated to accounts of participants who have elected to withdraw funds from the Plan but have not yet been paid were $7.8 million and $4.1 million at December 31, 2021 and 2020, respectively. These amounts continue to accrue investment earnings (losses) until paid.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Plan’s investments consist of a divided interest in investments held by the DC Master Trust. Those investments are stated at fair value determined and reported by the Trustee in accordance with the DC Master Trust Agreement established by the Company.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Plan's total divided interest represents 98 percent of total net assets reported by the Trustee of the DC Master Trust as of December 31, 2021 and 2020.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assets in the DC Master Trust relate to the Northrop Grumman Financial Security and Savings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089"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net assets of the DC Master Trust and the Plan's interest in Master Trust balances as of December 31, 2021 and 2020,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Master Trust Balances</w:t>
            </w:r>
          </w:p>
        </w:tc>
        <w:tc>
          <w:tcPr>
            <w:tcW w:w="6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Interest in Master Trust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rPr>
              <w:t>Balances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fair value:</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89,810</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88,212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equities</w:t>
            </w:r>
          </w:p>
        </w:tc>
        <w:tc>
          <w:tcPr>
            <w:tcW w:w="8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3,470,954</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3,014,688</w:t>
            </w:r>
          </w:p>
        </w:tc>
        <w:tc>
          <w:tcPr>
            <w:tcW w:w="260" w:type="dxa"/>
            <w:vAlign w:val="bottom"/>
          </w:tcPr>
          <w:p>
            <w:pPr>
              <w:spacing w:after="0"/>
              <w:rPr>
                <w:sz w:val="19"/>
                <w:szCs w:val="19"/>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3,452,145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2,997,171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8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26,763,365</w:t>
            </w: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22,128,785</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26,252,718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21,674,755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Fixed-income securities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and foreign government</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463,264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debt</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403,118</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392,573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851,667</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964,954</w:t>
            </w:r>
          </w:p>
        </w:tc>
        <w:tc>
          <w:tcPr>
            <w:tcW w:w="260" w:type="dxa"/>
            <w:vAlign w:val="bottom"/>
          </w:tcPr>
          <w:p>
            <w:pPr>
              <w:spacing w:after="0"/>
              <w:rPr>
                <w:sz w:val="19"/>
                <w:szCs w:val="19"/>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838,722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949,336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on loan to third-party borrowers</w:t>
            </w: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90,227</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31,175,796</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27,597,628</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30,631,797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27,086,171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contract value:</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Guaranteed investment contracts</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3,808,328</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3,873,952</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3,739,747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contract value</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3,808,328</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3,873,952</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3,739,747</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 from broker for investments sold</w:t>
            </w:r>
          </w:p>
        </w:tc>
        <w:tc>
          <w:tcPr>
            <w:tcW w:w="8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5,481</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tcPr>
          <w:p>
            <w:pPr>
              <w:spacing w:after="0"/>
              <w:rPr>
                <w:sz w:val="19"/>
                <w:szCs w:val="19"/>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5,385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interest, taxes and other receivables</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7,203</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34,989,614</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31,479,568</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34,376,937</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30,896,418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8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851,667</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964,954</w:t>
            </w:r>
          </w:p>
        </w:tc>
        <w:tc>
          <w:tcPr>
            <w:tcW w:w="260" w:type="dxa"/>
            <w:vAlign w:val="bottom"/>
          </w:tcPr>
          <w:p>
            <w:pPr>
              <w:spacing w:after="0"/>
              <w:rPr>
                <w:sz w:val="19"/>
                <w:szCs w:val="19"/>
                <w:color w:val="auto"/>
              </w:rPr>
            </w:pP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838,722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949,336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 and other payables</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2,234</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31,390</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2,123</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853,901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996,344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840,845</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980,182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of the DC Master Trust</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34,135,713</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30,483,224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33,536,092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29,916,236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Investment income for the DC Master Trust for the plan year ended December 31, 2021, is as follows:</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appreciation of investments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4,420,287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77,950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Investment manager fees</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8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4,553,572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2021 and 2020, there were no investments expected to be sold at a value materially different than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93" w:right="339" w:bottom="1440" w:gutter="0" w:footer="0" w:header="0"/>
        </w:sectPr>
      </w:pPr>
    </w:p>
    <w:bookmarkStart w:id="13" w:name="page14"/>
    <w:bookmarkEnd w:id="13"/>
    <w:p>
      <w:pPr>
        <w:ind w:right="28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89,793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89,810</w:t>
            </w:r>
          </w:p>
        </w:tc>
      </w:tr>
      <w:tr>
        <w:trPr>
          <w:trHeight w:val="22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3,470,954</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3,470,954</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851,667</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851,667</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Common/collective trust funds valued using NAV as a practical expedient</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26,763,365</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3,470,971</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941,460</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31,175,796</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3,286,704</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3,286,704</w:t>
            </w:r>
          </w:p>
        </w:tc>
      </w:tr>
      <w:tr>
        <w:trPr>
          <w:trHeight w:val="229"/>
        </w:trPr>
        <w:tc>
          <w:tcPr>
            <w:tcW w:w="5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763</w:t>
            </w: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3,286,704</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763</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3,287,467</w:t>
            </w:r>
          </w:p>
        </w:tc>
      </w:tr>
    </w:tbl>
    <w:p>
      <w:pPr>
        <w:spacing w:after="0" w:line="157"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investments by level, measured on a recurring basis and held by the DC Master Trust as of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at fair value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136,819</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140,019</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3,014,688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3,014,688</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Fixed-income securities</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and foreign government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551,359</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551,359</w:t>
            </w:r>
          </w:p>
        </w:tc>
      </w:tr>
      <w:tr>
        <w:trPr>
          <w:trHeight w:val="229"/>
        </w:trPr>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debt</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405,250</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405,250</w:t>
            </w:r>
          </w:p>
        </w:tc>
      </w:tr>
      <w:tr>
        <w:trPr>
          <w:trHeight w:val="230"/>
        </w:trPr>
        <w:tc>
          <w:tcPr>
            <w:tcW w:w="5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392,573</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392,573</w:t>
            </w: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held under securities lending agreements</w:t>
            </w:r>
          </w:p>
        </w:tc>
        <w:tc>
          <w:tcPr>
            <w:tcW w:w="3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964,954</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964,954</w:t>
            </w:r>
          </w:p>
        </w:tc>
      </w:tr>
      <w:tr>
        <w:trPr>
          <w:trHeight w:val="175"/>
        </w:trPr>
        <w:tc>
          <w:tcPr>
            <w:tcW w:w="5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expedient</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22,128,785</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3,017,888</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2,450,955</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27,597,628</w:t>
            </w:r>
          </w:p>
        </w:tc>
      </w:tr>
    </w:tbl>
    <w:p>
      <w:pPr>
        <w:spacing w:after="0" w:line="15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The table below sets forth the fair value of the BrokerageLink Account and short-term investment fund, by level, measured on a recurring basis, and held by the Plan as of 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 investments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BrokerageLink Account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2,840,249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2,840,249</w:t>
            </w:r>
          </w:p>
        </w:tc>
      </w:tr>
      <w:tr>
        <w:trPr>
          <w:trHeight w:val="229"/>
        </w:trPr>
        <w:tc>
          <w:tcPr>
            <w:tcW w:w="5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Street Bank and Trust Company short-term investment fund</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Plan investments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2,840,249</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2,840,956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9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INTEREST IN GUARANTEED INVESTMENT CONTRACTS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4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Investments held in guaranteed investment contracts (at contract value) totaled $3.8 billion and $3.9 billion, respectively, as of December 31, 2021 and 2020.</w:t>
      </w:r>
    </w:p>
    <w:p>
      <w:pPr>
        <w:spacing w:after="0" w:line="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THIRD PARTY BORROWINGS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DC Master Trust participates in a securities lending program with State Street through the Fixed Income Fund and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securities of guaranteed investment contracts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833,852</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855,796</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Fixed-income securities</w:t>
            </w: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and foreign government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88,095</w:t>
            </w:r>
          </w:p>
        </w:tc>
      </w:tr>
      <w:tr>
        <w:trPr>
          <w:trHeight w:val="230"/>
        </w:trPr>
        <w:tc>
          <w:tcPr>
            <w:tcW w:w="7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23"/>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fixed-income securities</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90,227</w:t>
            </w:r>
          </w:p>
        </w:tc>
      </w:tr>
      <w:tr>
        <w:trPr>
          <w:trHeight w:val="223"/>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DC Master Trust Assets on loan to third-party borrowers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833,852</w:t>
            </w:r>
          </w:p>
        </w:tc>
        <w:tc>
          <w:tcPr>
            <w:tcW w:w="7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946,023</w:t>
            </w:r>
          </w:p>
        </w:tc>
      </w:tr>
    </w:tbl>
    <w:p>
      <w:pPr>
        <w:spacing w:after="0" w:line="1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2021, cash and non-cash collateral associated with securities on loan totaled $792 million and $60 million, respectively. As of December 31, 2020, cash and non-cash collateral associated with securities on loan totaled $767 million and $198 million, respectively. All of the securities on loan are collateralized at more than 102 percent.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EXEMPT PARTY-IN-INTEREST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 transactions through the DC Master Trust include the purchase and sale of investments managed by affiliates of the Plan's Trustee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involving Northrop Grumman Corporation common stock. The NG Stock Fund within the DC Master Trust held 9.0 million and 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shares of common stock of the Company with a fair value of $3.5 billion and $3.0 billion at December 31, 2021 and 2020, respectively. The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net assets of the NG Stock Fund was approximately 99.5 percent and 99.4 percent at December 31, 2021 and 2020, respectively.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NG Stock Fund earned dividends of $57.1 million from its investment in Northrop Grumman Corporation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89" w:right="339" w:bottom="1440" w:gutter="0" w:footer="0" w:header="0"/>
        </w:sectPr>
      </w:pPr>
    </w:p>
    <w:bookmarkStart w:id="15" w:name="page16"/>
    <w:bookmarkEnd w:id="15"/>
    <w:p>
      <w:pPr>
        <w:ind w:right="600"/>
        <w:spacing w:after="0" w:line="282" w:lineRule="auto"/>
        <w:rPr>
          <w:sz w:val="20"/>
          <w:szCs w:val="20"/>
          <w:color w:val="auto"/>
        </w:rPr>
      </w:pPr>
      <w:r>
        <w:rPr>
          <w:rFonts w:ascii="Times New Roman" w:cs="Times New Roman" w:eastAsia="Times New Roman" w:hAnsi="Times New Roman"/>
          <w:sz w:val="18"/>
          <w:szCs w:val="18"/>
          <w:color w:val="auto"/>
        </w:rPr>
        <w:t>State Street affiliates managed $0.8 million and $0.7 million of Plan assets held in a short-term investment fund as of December 31, 2021 and 2020, respectively. The Plan paid $0.6 million to the Trustee in fees during the year ended December 31, 2021.</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 during the year for services rendered by parties-in-interest were based upon customary and reasonable rates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PLAN TERMINATION</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Company has the right under the Plan provisions to discontinue its contributions at any time and to terminate the Plan subject to ERISA provisions. In the event of a Plan termination, the interests of all participants in their accounts would become 100 percent vested.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FEDERAL INCOME TAX STATUS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Plan obtained its latest determination letter dated August 31, 2021,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RECONCILIATION OF FINANCIAL STATEMENTS TO FORM 5500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assets available for benefits per the financial statements to Form 5500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December 31</w:t>
            </w:r>
          </w:p>
        </w:tc>
        <w:tc>
          <w:tcPr>
            <w:tcW w:w="162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37,184,872</w:t>
            </w:r>
          </w:p>
        </w:tc>
        <w:tc>
          <w:tcPr>
            <w:tcW w:w="7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33,178,581</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(7,773)</w:t>
            </w:r>
          </w:p>
        </w:tc>
        <w:tc>
          <w:tcPr>
            <w:tcW w:w="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 per Form 5500</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37,177,099</w:t>
            </w:r>
          </w:p>
        </w:tc>
        <w:tc>
          <w:tcPr>
            <w:tcW w:w="7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33,174,449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benefits paid to participants per the financial statements to Form 5500 for the year ended December 31, 2021,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258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2,896,794</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amounts allocated to withdrawing participants at December 31, 2021</w:t>
            </w:r>
          </w:p>
        </w:tc>
        <w:tc>
          <w:tcPr>
            <w:tcW w:w="2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7,773</w:t>
            </w:r>
          </w:p>
        </w:tc>
      </w:tr>
      <w:tr>
        <w:trPr>
          <w:trHeight w:val="229"/>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allocated to withdrawing participants at December 31, 2020</w:t>
            </w:r>
          </w:p>
        </w:tc>
        <w:tc>
          <w:tcPr>
            <w:tcW w:w="2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(4,132)</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paid to participants per Form 5500</w:t>
            </w:r>
          </w:p>
        </w:tc>
        <w:tc>
          <w:tcPr>
            <w:tcW w:w="25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2,900,435</w:t>
            </w:r>
          </w:p>
        </w:tc>
      </w:tr>
    </w:tbl>
    <w:p>
      <w:pPr>
        <w:spacing w:after="0" w:line="15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Amounts allocated to withdrawing participants are recorded on Form 5500 for benefit claims that have been processed and approved for payment prior to December 31, 2021 and 2020, but not yet paid as of that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Effective January 1, 2022 (the "Separation Date"), certain former Company employees transferred to Peraton (Note 1) were no longer be eligible to actively participate in the Plan. As such, the Plan reverted to a Single Employer Plan on the Separation Date.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NORTHROP GRUMMAN SAVINGS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5500, SCHEDULE H, PART IV, LINE 4i,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spacing w:after="0"/>
              <w:rPr>
                <w:sz w:val="14"/>
                <w:szCs w:val="14"/>
                <w:color w:val="auto"/>
              </w:rPr>
            </w:pPr>
          </w:p>
        </w:tc>
        <w:tc>
          <w:tcPr>
            <w:tcW w:w="47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7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28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Identity of Issuer, Borrower,</w:t>
            </w:r>
          </w:p>
        </w:tc>
        <w:tc>
          <w:tcPr>
            <w:tcW w:w="47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Including Maturity Date, Rate of</w:t>
            </w: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4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Collateral, and Par or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60" w:type="dxa"/>
            <w:vAlign w:val="bottom"/>
          </w:tcPr>
          <w:p>
            <w:pPr>
              <w:spacing w:after="0"/>
              <w:rPr>
                <w:sz w:val="16"/>
                <w:szCs w:val="16"/>
                <w:color w:val="auto"/>
              </w:rPr>
            </w:pPr>
          </w:p>
        </w:tc>
        <w:tc>
          <w:tcPr>
            <w:tcW w:w="15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c>
          <w:tcPr>
            <w:tcW w:w="0" w:type="dxa"/>
            <w:vAlign w:val="bottom"/>
          </w:tcPr>
          <w:p>
            <w:pPr>
              <w:spacing w:after="0"/>
              <w:rPr>
                <w:sz w:val="1"/>
                <w:szCs w:val="1"/>
                <w:color w:val="auto"/>
              </w:rPr>
            </w:pPr>
          </w:p>
        </w:tc>
      </w:tr>
      <w:tr>
        <w:trPr>
          <w:trHeight w:val="229"/>
        </w:trPr>
        <w:tc>
          <w:tcPr>
            <w:tcW w:w="3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Lessor, or Similar Party</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Value</w:t>
            </w: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Northrop Grumman Defined</w:t>
            </w:r>
          </w:p>
        </w:tc>
        <w:tc>
          <w:tcPr>
            <w:tcW w:w="4760" w:type="dxa"/>
            <w:vAlign w:val="bottom"/>
            <w:shd w:val="clear" w:color="auto" w:fill="CCEEFF"/>
          </w:tcPr>
          <w:p>
            <w:pPr>
              <w:ind w:left="200"/>
              <w:spacing w:after="0" w:line="169" w:lineRule="exact"/>
              <w:rPr>
                <w:sz w:val="20"/>
                <w:szCs w:val="20"/>
                <w:color w:val="auto"/>
              </w:rPr>
            </w:pPr>
            <w:r>
              <w:rPr>
                <w:rFonts w:ascii="Times New Roman" w:cs="Times New Roman" w:eastAsia="Times New Roman" w:hAnsi="Times New Roman"/>
                <w:sz w:val="18"/>
                <w:szCs w:val="18"/>
                <w:color w:val="auto"/>
              </w:rPr>
              <w:t>Participation in Northrop Grumman Defined Contribution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33,536,092</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 Plans Master Trust</w:t>
            </w: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Plans Master Trust</w:t>
            </w:r>
          </w:p>
        </w:tc>
        <w:tc>
          <w:tcPr>
            <w:tcW w:w="76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Fidelity Brokerage Services LLC</w:t>
            </w:r>
          </w:p>
        </w:tc>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BrokerageLink Account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3,286,704</w:t>
            </w:r>
          </w:p>
        </w:tc>
        <w:tc>
          <w:tcPr>
            <w:tcW w:w="0" w:type="dxa"/>
            <w:vAlign w:val="bottom"/>
          </w:tcPr>
          <w:p>
            <w:pPr>
              <w:spacing w:after="0"/>
              <w:rPr>
                <w:sz w:val="1"/>
                <w:szCs w:val="1"/>
                <w:color w:val="auto"/>
              </w:rPr>
            </w:pPr>
          </w:p>
        </w:tc>
      </w:tr>
      <w:tr>
        <w:trPr>
          <w:trHeight w:val="175"/>
        </w:trPr>
        <w:tc>
          <w:tcPr>
            <w:tcW w:w="340" w:type="dxa"/>
            <w:vAlign w:val="bottom"/>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Plan Participants</w:t>
            </w:r>
          </w:p>
        </w:tc>
        <w:tc>
          <w:tcPr>
            <w:tcW w:w="47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Participant loans (maturing from 2021 to 2036 at interest</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277,204</w:t>
            </w: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840" w:type="dxa"/>
            <w:vAlign w:val="bottom"/>
            <w:vMerge w:val="continue"/>
            <w:shd w:val="clear" w:color="auto" w:fill="CCEEFF"/>
          </w:tcPr>
          <w:p>
            <w:pPr>
              <w:spacing w:after="0"/>
              <w:rPr>
                <w:sz w:val="12"/>
                <w:szCs w:val="12"/>
                <w:color w:val="auto"/>
              </w:rPr>
            </w:pPr>
          </w:p>
        </w:tc>
        <w:tc>
          <w:tcPr>
            <w:tcW w:w="47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rates ranging from 3.25 percent to 11.5 percent)</w:t>
            </w:r>
          </w:p>
        </w:tc>
        <w:tc>
          <w:tcPr>
            <w:tcW w:w="76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4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 Street Bank and Trust</w:t>
            </w:r>
          </w:p>
        </w:tc>
        <w:tc>
          <w:tcPr>
            <w:tcW w:w="47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State Street Bank and Trust Company short-term investment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4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fund</w:t>
            </w: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vMerge w:val="continue"/>
          </w:tcPr>
          <w:p>
            <w:pPr>
              <w:spacing w:after="0"/>
              <w:rPr>
                <w:sz w:val="7"/>
                <w:szCs w:val="7"/>
                <w:color w:val="auto"/>
              </w:rPr>
            </w:pPr>
          </w:p>
        </w:tc>
        <w:tc>
          <w:tcPr>
            <w:tcW w:w="476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7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37,100,763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940" w:hanging="91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940" w:hanging="91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loans,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320" w:top="1094"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3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NORTHROP GRUMMAN SAVINGS PLAN</w:t>
      </w:r>
    </w:p>
    <w:p>
      <w:pPr>
        <w:spacing w:after="0" w:line="289" w:lineRule="exact"/>
        <w:rPr>
          <w:sz w:val="20"/>
          <w:szCs w:val="20"/>
          <w:color w:val="auto"/>
        </w:rPr>
      </w:pPr>
    </w:p>
    <w:p>
      <w:pPr>
        <w:ind w:left="60"/>
        <w:spacing w:after="0"/>
        <w:tabs>
          <w:tab w:leader="none" w:pos="880" w:val="left"/>
          <w:tab w:leader="none" w:pos="6160" w:val="left"/>
          <w:tab w:leader="none" w:pos="85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19685</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color w:val="auto"/>
        </w:rPr>
        <w:t>Michael A. Hardesty</w:t>
      </w:r>
    </w:p>
    <w:p>
      <w:pPr>
        <w:spacing w:after="0" w:line="4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color w:val="auto"/>
        </w:rPr>
        <w:t>Chair, Audit Subcommittee of the Benefit Plans</w:t>
      </w:r>
    </w:p>
    <w:p>
      <w:pPr>
        <w:spacing w:after="0" w:line="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color w:val="auto"/>
        </w:rPr>
        <w:t>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1089"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0000FF"/>
        </w:rPr>
        <w:t>Consent of Independent Registered Public Accounting Firm</w:t>
      </w:r>
    </w:p>
    <w:p>
      <w:pPr>
        <w:spacing w:after="0" w:line="293" w:lineRule="exact"/>
        <w:rPr>
          <w:sz w:val="20"/>
          <w:szCs w:val="20"/>
          <w:color w:val="auto"/>
        </w:rPr>
      </w:pPr>
    </w:p>
    <w:p>
      <w:pPr>
        <w:ind w:left="800" w:hanging="774"/>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39"/>
          </w:cols>
          <w:pgMar w:left="320" w:top="1332"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033-59853 and No. 333-121104 on Form S-8s of our report dated June 15, 2022, relating to the financial statements and supplemental schedule of Northrop Grumman Savings Plan, appearing in this Annual Report on Form 11-K of Northrop Grumman Savings Plan for the year ended December 31, 2021.</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2022</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2022-06-16T10:22:45Z</dcterms:created>
  <dcterms:modified xsi:type="dcterms:W3CDTF">2022-06-16T10:22:45Z</dcterms:modified>
</cp:coreProperties>
</file>