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Calibri" w:cs="Calibri" w:eastAsia="Calibri" w:hAnsi="Calibri"/>
          <w:sz w:val="22"/>
          <w:szCs w:val="22"/>
          <w:b w:val="1"/>
          <w:bCs w:val="1"/>
          <w:color w:val="auto"/>
        </w:rPr>
        <w:t>UNITED STATES</w:t>
      </w:r>
    </w:p>
    <w:p>
      <w:pPr>
        <w:spacing w:after="0" w:line="96" w:lineRule="exact"/>
        <w:rPr>
          <w:sz w:val="24"/>
          <w:szCs w:val="24"/>
          <w:color w:val="auto"/>
        </w:rPr>
      </w:pPr>
    </w:p>
    <w:p>
      <w:pPr>
        <w:jc w:val="center"/>
        <w:ind w:right="-1100"/>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15"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Washington, D.C. 20549</w:t>
      </w:r>
    </w:p>
    <w:p>
      <w:pPr>
        <w:spacing w:after="0" w:line="96" w:lineRule="exact"/>
        <w:rPr>
          <w:sz w:val="24"/>
          <w:szCs w:val="24"/>
          <w:color w:val="auto"/>
        </w:rPr>
      </w:pPr>
    </w:p>
    <w:p>
      <w:pPr>
        <w:jc w:val="center"/>
        <w:ind w:right="-1100"/>
        <w:spacing w:after="0"/>
        <w:rPr>
          <w:sz w:val="20"/>
          <w:szCs w:val="20"/>
          <w:color w:val="auto"/>
        </w:rPr>
      </w:pPr>
      <w:r>
        <w:rPr>
          <w:rFonts w:ascii="Calibri" w:cs="Calibri" w:eastAsia="Calibri" w:hAnsi="Calibri"/>
          <w:sz w:val="22"/>
          <w:szCs w:val="22"/>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Proxy Statement Pursuant to Secton 14(a)</w:t>
      </w:r>
    </w:p>
    <w:p>
      <w:pPr>
        <w:spacing w:after="0" w:line="102"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of the Securites Exchange Act of 1934</w:t>
      </w:r>
    </w:p>
    <w:p>
      <w:pPr>
        <w:spacing w:after="0" w:line="136" w:lineRule="exact"/>
        <w:rPr>
          <w:sz w:val="24"/>
          <w:szCs w:val="24"/>
          <w:color w:val="auto"/>
        </w:rPr>
      </w:pPr>
    </w:p>
    <w:p>
      <w:pPr>
        <w:spacing w:after="0"/>
        <w:rPr>
          <w:sz w:val="20"/>
          <w:szCs w:val="20"/>
          <w:color w:val="auto"/>
        </w:rPr>
      </w:pPr>
      <w:r>
        <w:rPr>
          <w:rFonts w:ascii="Calibri" w:cs="Calibri" w:eastAsia="Calibri" w:hAnsi="Calibri"/>
          <w:sz w:val="16"/>
          <w:szCs w:val="16"/>
          <w:color w:val="auto"/>
        </w:rPr>
        <w:t xml:space="preserve">Filed by the Registrant </w:t>
      </w:r>
      <w:r>
        <w:rPr>
          <w:sz w:val="1"/>
          <w:szCs w:val="1"/>
          <w:color w:val="auto"/>
        </w:rPr>
        <w:drawing>
          <wp:inline distT="0" distB="0" distL="0" distR="0">
            <wp:extent cx="111760" cy="111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p>
    <w:p>
      <w:pPr>
        <w:spacing w:after="0" w:line="153" w:lineRule="exact"/>
        <w:rPr>
          <w:sz w:val="24"/>
          <w:szCs w:val="24"/>
          <w:color w:val="auto"/>
        </w:rPr>
      </w:pPr>
    </w:p>
    <w:p>
      <w:pPr>
        <w:spacing w:after="0"/>
        <w:rPr>
          <w:sz w:val="20"/>
          <w:szCs w:val="20"/>
          <w:color w:val="auto"/>
        </w:rPr>
      </w:pPr>
      <w:r>
        <w:rPr>
          <w:rFonts w:ascii="Calibri" w:cs="Calibri" w:eastAsia="Calibri" w:hAnsi="Calibri"/>
          <w:sz w:val="16"/>
          <w:szCs w:val="16"/>
          <w:color w:val="auto"/>
        </w:rPr>
        <w:t>Filed by a Party other than the Registrant</w:t>
      </w:r>
    </w:p>
    <w:p>
      <w:pPr>
        <w:spacing w:after="0" w:line="102" w:lineRule="exact"/>
        <w:rPr>
          <w:sz w:val="24"/>
          <w:szCs w:val="24"/>
          <w:color w:val="auto"/>
        </w:rPr>
      </w:pPr>
    </w:p>
    <w:p>
      <w:pPr>
        <w:spacing w:after="0"/>
        <w:rPr>
          <w:sz w:val="20"/>
          <w:szCs w:val="20"/>
          <w:color w:val="auto"/>
        </w:rPr>
      </w:pPr>
      <w:r>
        <w:rPr>
          <w:rFonts w:ascii="Calibri" w:cs="Calibri" w:eastAsia="Calibri" w:hAnsi="Calibri"/>
          <w:sz w:val="16"/>
          <w:szCs w:val="16"/>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103505</wp:posOffset>
            </wp:positionV>
            <wp:extent cx="120015"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142"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b w:val="1"/>
          <w:bCs w:val="1"/>
          <w:color w:val="auto"/>
        </w:rPr>
        <w:t>Confdental, for Use of the Commission Only (as permited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Defnitve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Defnitve Additonal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Solicitng Material Pursuant to §240.14a-12</w:t>
      </w:r>
    </w:p>
    <w:p>
      <w:pPr>
        <w:spacing w:after="0" w:line="200" w:lineRule="exact"/>
        <w:rPr>
          <w:sz w:val="24"/>
          <w:szCs w:val="24"/>
          <w:color w:val="auto"/>
        </w:rPr>
      </w:pPr>
    </w:p>
    <w:p>
      <w:pPr>
        <w:ind w:left="4160"/>
        <w:spacing w:after="0"/>
        <w:rPr>
          <w:sz w:val="20"/>
          <w:szCs w:val="20"/>
          <w:color w:val="auto"/>
        </w:rPr>
      </w:pPr>
      <w:r>
        <w:rPr>
          <w:rFonts w:ascii="Calibri" w:cs="Calibri" w:eastAsia="Calibri" w:hAnsi="Calibri"/>
          <w:sz w:val="22"/>
          <w:szCs w:val="22"/>
          <w:b w:val="1"/>
          <w:bCs w:val="1"/>
          <w:color w:val="auto"/>
        </w:rPr>
        <w:t>Northrop Grumman Corporaton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5966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0" w:lineRule="exact"/>
        <w:rPr>
          <w:sz w:val="24"/>
          <w:szCs w:val="24"/>
          <w:color w:val="auto"/>
        </w:rPr>
      </w:pPr>
    </w:p>
    <w:p>
      <w:pPr>
        <w:ind w:left="4260"/>
        <w:spacing w:after="0"/>
        <w:rPr>
          <w:sz w:val="20"/>
          <w:szCs w:val="20"/>
          <w:color w:val="auto"/>
        </w:rPr>
      </w:pPr>
      <w:r>
        <w:rPr>
          <w:rFonts w:ascii="Calibri" w:cs="Calibri" w:eastAsia="Calibri" w:hAnsi="Calibri"/>
          <w:sz w:val="14"/>
          <w:szCs w:val="14"/>
          <w:color w:val="auto"/>
        </w:rPr>
        <w:t>(Name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5966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0" w:lineRule="exact"/>
        <w:rPr>
          <w:sz w:val="24"/>
          <w:szCs w:val="24"/>
          <w:color w:val="auto"/>
        </w:rPr>
      </w:pPr>
    </w:p>
    <w:p>
      <w:pPr>
        <w:ind w:left="3560"/>
        <w:spacing w:after="0"/>
        <w:rPr>
          <w:sz w:val="20"/>
          <w:szCs w:val="20"/>
          <w:color w:val="auto"/>
        </w:rPr>
      </w:pPr>
      <w:r>
        <w:rPr>
          <w:rFonts w:ascii="Calibri" w:cs="Calibri" w:eastAsia="Calibri" w:hAnsi="Calibri"/>
          <w:sz w:val="14"/>
          <w:szCs w:val="14"/>
          <w:color w:val="auto"/>
        </w:rPr>
        <w:t>(Name of Person(s) Filing Proxy Statement, if other than the Registrant)</w:t>
      </w:r>
    </w:p>
    <w:p>
      <w:pPr>
        <w:spacing w:after="0" w:line="108" w:lineRule="exact"/>
        <w:rPr>
          <w:sz w:val="24"/>
          <w:szCs w:val="24"/>
          <w:color w:val="auto"/>
        </w:rPr>
      </w:pPr>
    </w:p>
    <w:p>
      <w:pPr>
        <w:spacing w:after="0"/>
        <w:rPr>
          <w:sz w:val="20"/>
          <w:szCs w:val="20"/>
          <w:color w:val="auto"/>
        </w:rPr>
      </w:pPr>
      <w:r>
        <w:rPr>
          <w:rFonts w:ascii="Calibri" w:cs="Calibri" w:eastAsia="Calibri" w:hAnsi="Calibri"/>
          <w:sz w:val="16"/>
          <w:szCs w:val="16"/>
          <w:color w:val="auto"/>
        </w:rPr>
        <w:t>Payment of Filing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20015"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4" w:lineRule="exact"/>
        <w:rPr>
          <w:sz w:val="24"/>
          <w:szCs w:val="24"/>
          <w:color w:val="auto"/>
        </w:rPr>
      </w:pPr>
    </w:p>
    <w:p>
      <w:pPr>
        <w:ind w:left="740"/>
        <w:spacing w:after="0"/>
        <w:rPr>
          <w:sz w:val="20"/>
          <w:szCs w:val="20"/>
          <w:color w:val="auto"/>
        </w:rPr>
      </w:pPr>
      <w:r>
        <w:rPr>
          <w:rFonts w:ascii="Calibri" w:cs="Calibri" w:eastAsia="Calibri" w:hAnsi="Calibri"/>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740"/>
        <w:spacing w:after="0"/>
        <w:rPr>
          <w:sz w:val="20"/>
          <w:szCs w:val="20"/>
          <w:color w:val="auto"/>
        </w:rPr>
      </w:pPr>
      <w:r>
        <w:rPr>
          <w:rFonts w:ascii="Calibri" w:cs="Calibri" w:eastAsia="Calibri" w:hAnsi="Calibri"/>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5" w:lineRule="exact"/>
        <w:rPr>
          <w:sz w:val="24"/>
          <w:szCs w:val="24"/>
          <w:color w:val="auto"/>
        </w:rPr>
      </w:pPr>
    </w:p>
    <w:p>
      <w:pPr>
        <w:ind w:left="740"/>
        <w:spacing w:after="0"/>
        <w:rPr>
          <w:sz w:val="20"/>
          <w:szCs w:val="20"/>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29378D"/>
        </w:rPr>
        <w:t>Our Values</w:t>
      </w:r>
    </w:p>
    <w:p>
      <w:pPr>
        <w:spacing w:after="0" w:line="200" w:lineRule="exact"/>
        <w:rPr>
          <w:sz w:val="20"/>
          <w:szCs w:val="20"/>
          <w:color w:val="auto"/>
        </w:rPr>
      </w:pPr>
    </w:p>
    <w:p>
      <w:pPr>
        <w:spacing w:after="0" w:line="263" w:lineRule="exact"/>
        <w:rPr>
          <w:sz w:val="20"/>
          <w:szCs w:val="20"/>
          <w:color w:val="auto"/>
        </w:rPr>
      </w:pPr>
    </w:p>
    <w:p>
      <w:pPr>
        <w:ind w:right="20"/>
        <w:spacing w:after="0" w:line="276" w:lineRule="auto"/>
        <w:rPr>
          <w:sz w:val="20"/>
          <w:szCs w:val="20"/>
          <w:color w:val="auto"/>
        </w:rPr>
      </w:pPr>
      <w:r>
        <w:rPr>
          <w:rFonts w:ascii="Arial" w:cs="Arial" w:eastAsia="Arial" w:hAnsi="Arial"/>
          <w:sz w:val="23"/>
          <w:szCs w:val="23"/>
          <w:color w:val="auto"/>
        </w:rPr>
        <w:t>Our Values form the foundation of our pioneering culture and enable us to deliver for our shareholders. Our Values define our operating principles as we face an increasingly complex world. They reflect who we are and how we behave, and they articulate what is important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080"/>
          </w:cols>
          <w:pgMar w:left="320" w:top="129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 Do the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Right Thing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We earn trust, act with ethics, integrity and transparency, treat everyone with respect, value diversity and foster safe and inclusive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235585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28"/>
          <w:szCs w:val="28"/>
          <w:color w:val="auto"/>
        </w:rPr>
        <w:t>We Do What We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29378D"/>
        </w:rPr>
        <w:t>Promise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00"/>
        <w:spacing w:after="0"/>
        <w:rPr>
          <w:sz w:val="20"/>
          <w:szCs w:val="20"/>
          <w:color w:val="auto"/>
        </w:rPr>
      </w:pPr>
      <w:r>
        <w:rPr>
          <w:rFonts w:ascii="Arial" w:cs="Arial" w:eastAsia="Arial" w:hAnsi="Arial"/>
          <w:sz w:val="21"/>
          <w:szCs w:val="21"/>
          <w:color w:val="auto"/>
        </w:rPr>
        <w:t>We own the delivery of results, focused on quality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368935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 Commit to</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Shared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We work together to focus on the mission and take accountability for the sustainable success of our people, customers, shareholders, suppliers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189865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Pioneer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color w:val="auto"/>
        </w:rPr>
        <w:t>With fierce curiosity, dedication and innovation, we seek to solve the world’s most challenging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848995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60" w:space="720"/>
            <w:col w:w="7300"/>
          </w:cols>
          <w:pgMar w:left="320" w:top="1298" w:right="4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3"/>
          <w:szCs w:val="43"/>
          <w:b w:val="1"/>
          <w:bCs w:val="1"/>
          <w:color w:val="29378D"/>
        </w:rPr>
        <w:t>Letter from the Board of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April 3, 2024</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Dear Fellow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We invite you to attend Northrop Grumman Corporation’s 2024 Annual Meeting of Shareholders on Wednesday, May 15, 2024, beginning at 8 a.m. ET. The</w:t>
      </w:r>
    </w:p>
    <w:p>
      <w:pPr>
        <w:spacing w:after="0" w:line="8" w:lineRule="exact"/>
        <w:rPr>
          <w:sz w:val="20"/>
          <w:szCs w:val="20"/>
          <w:color w:val="auto"/>
        </w:rPr>
      </w:pPr>
    </w:p>
    <w:p>
      <w:pPr>
        <w:ind w:right="460"/>
        <w:spacing w:after="0" w:line="235" w:lineRule="auto"/>
        <w:rPr>
          <w:sz w:val="20"/>
          <w:szCs w:val="20"/>
          <w:color w:val="auto"/>
        </w:rPr>
      </w:pPr>
      <w:r>
        <w:rPr>
          <w:rFonts w:ascii="Arial" w:cs="Arial" w:eastAsia="Arial" w:hAnsi="Arial"/>
          <w:sz w:val="16"/>
          <w:szCs w:val="16"/>
          <w:color w:val="auto"/>
        </w:rPr>
        <w:t>accompanying Proxy Statement explains more about the matters to be voted on at the Annual Meeting, proxy voting instructions and other information regarding participation.</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we reflect on another year, the global security environment has grown increasingly complex. The work we do to develop some of the world’s most unique, capable and critical innovations is more important than ever. Our customers around the globe rely on these capabilities to defend freedom and deter aggression.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Underpinning our financial results is our long-term business strategy based on technology differentiation, a laser focus on performance, investing in our</w:t>
      </w:r>
    </w:p>
    <w:p>
      <w:pPr>
        <w:spacing w:after="0" w:line="8"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business and unwavering commitment to each other and our customers. In 2023, we ended the year with a new record backlog of $84.2 billion, driven by continued strong demand for our capabilities. Our annual sales grew by seven percent to $39.3 billion, and our underlying performance was solid, despite</w:t>
      </w:r>
    </w:p>
    <w:p>
      <w:pPr>
        <w:ind w:right="140"/>
        <w:spacing w:after="0" w:line="248" w:lineRule="auto"/>
        <w:rPr>
          <w:sz w:val="20"/>
          <w:szCs w:val="20"/>
          <w:color w:val="auto"/>
        </w:rPr>
      </w:pPr>
      <w:r>
        <w:rPr>
          <w:rFonts w:ascii="Arial" w:cs="Arial" w:eastAsia="Arial" w:hAnsi="Arial"/>
          <w:sz w:val="16"/>
          <w:szCs w:val="16"/>
          <w:color w:val="auto"/>
        </w:rPr>
        <w:t>the cost growth we are seeing on some of our programs as a result of the recent macroeconomic environment. We generated $3.9 billion of operating cash flow with adjusted free cash flow* growing by 30 percent to $2.1 billion.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we embark on a new year, we remain focused on executing our long-term business strategy. We anticipate continued strong sales and earnings growth in 2024 and have outlined our plan to grow free cash flow*at a greater than 15 percent CAGR through 2026.</w:t>
      </w:r>
    </w:p>
    <w:p>
      <w:pPr>
        <w:spacing w:after="0" w:line="183"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Our outlook is both driven and governed by our Values. Our actions and words demonstrate to our customers and suppliers that we do the right thing, uphold our promises, and commit to shared success. Our team of 101,000 strong embodies these Values as they provide pioneering technological capabilities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essential to our customers’ highest priorities.</w:t>
      </w:r>
    </w:p>
    <w:p>
      <w:pPr>
        <w:spacing w:after="0" w:line="21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continue to make great progress on our six sustainability goals. We were named one of America’s Most Just Companies as well as recognized on the Dow Jones Sustainability North America Index for the eighth year in a row. We encourage you to learn more about our commitment to sustainability by reading both the 2023 Sustainability Report as well as our Human Rights Report.</w:t>
      </w:r>
    </w:p>
    <w:p>
      <w:pPr>
        <w:spacing w:after="0" w:line="199" w:lineRule="exact"/>
        <w:rPr>
          <w:sz w:val="20"/>
          <w:szCs w:val="20"/>
          <w:color w:val="auto"/>
        </w:rPr>
      </w:pPr>
    </w:p>
    <w:p>
      <w:pPr>
        <w:ind w:right="840"/>
        <w:spacing w:after="0" w:line="251" w:lineRule="auto"/>
        <w:rPr>
          <w:sz w:val="20"/>
          <w:szCs w:val="20"/>
          <w:color w:val="auto"/>
        </w:rPr>
      </w:pPr>
      <w:r>
        <w:rPr>
          <w:rFonts w:ascii="Arial" w:cs="Arial" w:eastAsia="Arial" w:hAnsi="Arial"/>
          <w:sz w:val="16"/>
          <w:szCs w:val="16"/>
          <w:color w:val="auto"/>
        </w:rPr>
        <w:t>As we look to the future, we are confident we have the right strategy, technology, and team to lead our industry and deliver for our customers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900"/>
        <w:spacing w:after="0" w:line="427" w:lineRule="auto"/>
        <w:rPr>
          <w:sz w:val="20"/>
          <w:szCs w:val="20"/>
          <w:color w:val="auto"/>
        </w:rPr>
      </w:pPr>
      <w:r>
        <w:rPr>
          <w:rFonts w:ascii="Arial" w:cs="Arial" w:eastAsia="Arial" w:hAnsi="Arial"/>
          <w:sz w:val="16"/>
          <w:szCs w:val="16"/>
          <w:color w:val="auto"/>
        </w:rPr>
        <w:t>*This metric is a non-GAAP financial measure. For more information, see ”Appendix A - Use of Non-GAAP Financial Measures.”</w:t>
      </w:r>
    </w:p>
    <w:p>
      <w:pPr>
        <w:sectPr>
          <w:pgSz w:w="11900" w:h="16838" w:orient="portrait"/>
          <w:cols w:equalWidth="0" w:num="1">
            <w:col w:w="11220"/>
          </w:cols>
          <w:pgMar w:left="320" w:top="1298" w:right="359" w:bottom="606" w:gutter="0" w:footer="0" w:header="0"/>
        </w:sectPr>
      </w:pPr>
    </w:p>
    <w:p>
      <w:pPr>
        <w:spacing w:after="0" w:line="200" w:lineRule="exact"/>
        <w:rPr>
          <w:sz w:val="20"/>
          <w:szCs w:val="20"/>
          <w:color w:val="auto"/>
        </w:rPr>
      </w:pPr>
    </w:p>
    <w:p>
      <w:pPr>
        <w:spacing w:after="0" w:line="338" w:lineRule="exact"/>
        <w:rPr>
          <w:sz w:val="20"/>
          <w:szCs w:val="20"/>
          <w:color w:val="auto"/>
        </w:rPr>
      </w:pPr>
    </w:p>
    <w:p>
      <w:pPr>
        <w:ind w:left="9280"/>
        <w:spacing w:after="0"/>
        <w:tabs>
          <w:tab w:leader="none" w:pos="11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606"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color w:val="auto"/>
        </w:rPr>
        <w:t>Letter from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and we value receiving feedback from our stakeholders.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entire leadership team, thank you for your continued support of Northrop Grumman.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120015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3429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389255</wp:posOffset>
            </wp:positionV>
            <wp:extent cx="1028700" cy="600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60007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509270</wp:posOffset>
            </wp:positionV>
            <wp:extent cx="160337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David P. Abney</w:t>
      </w:r>
      <w:r>
        <w:rPr>
          <w:sz w:val="20"/>
          <w:szCs w:val="20"/>
          <w:color w:val="auto"/>
        </w:rPr>
        <w:tab/>
      </w:r>
      <w:r>
        <w:rPr>
          <w:rFonts w:ascii="Arial" w:cs="Arial" w:eastAsia="Arial" w:hAnsi="Arial"/>
          <w:sz w:val="16"/>
          <w:szCs w:val="16"/>
          <w:b w:val="1"/>
          <w:bCs w:val="1"/>
          <w:color w:val="29378D"/>
        </w:rPr>
        <w:t>Marianne C. Brown</w:t>
      </w:r>
      <w:r>
        <w:rPr>
          <w:sz w:val="20"/>
          <w:szCs w:val="20"/>
          <w:color w:val="auto"/>
        </w:rPr>
        <w:tab/>
      </w:r>
      <w:r>
        <w:rPr>
          <w:rFonts w:ascii="Arial" w:cs="Arial" w:eastAsia="Arial" w:hAnsi="Arial"/>
          <w:sz w:val="16"/>
          <w:szCs w:val="16"/>
          <w:b w:val="1"/>
          <w:bCs w:val="1"/>
          <w:color w:val="29378D"/>
        </w:rPr>
        <w:t>Ann M. Fudge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260985</wp:posOffset>
            </wp:positionV>
            <wp:extent cx="633476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4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Madeleine A. Kleiner</w:t>
      </w:r>
      <w:r>
        <w:rPr>
          <w:sz w:val="20"/>
          <w:szCs w:val="20"/>
          <w:color w:val="auto"/>
        </w:rPr>
        <w:tab/>
      </w:r>
      <w:r>
        <w:rPr>
          <w:rFonts w:ascii="Arial" w:cs="Arial" w:eastAsia="Arial" w:hAnsi="Arial"/>
          <w:sz w:val="16"/>
          <w:szCs w:val="16"/>
          <w:b w:val="1"/>
          <w:bCs w:val="1"/>
          <w:color w:val="29378D"/>
        </w:rPr>
        <w:t>Arvind Krishna</w:t>
      </w:r>
      <w:r>
        <w:rPr>
          <w:sz w:val="20"/>
          <w:szCs w:val="20"/>
          <w:color w:val="auto"/>
        </w:rPr>
        <w:tab/>
      </w:r>
      <w:r>
        <w:rPr>
          <w:rFonts w:ascii="Arial" w:cs="Arial" w:eastAsia="Arial" w:hAnsi="Arial"/>
          <w:sz w:val="16"/>
          <w:szCs w:val="16"/>
          <w:b w:val="1"/>
          <w:bCs w:val="1"/>
          <w:color w:val="29378D"/>
        </w:rPr>
        <w:t>Graham N.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2834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52260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346710</wp:posOffset>
            </wp:positionV>
            <wp:extent cx="108013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0135" cy="26543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303530</wp:posOffset>
            </wp:positionV>
            <wp:extent cx="139700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Kimberly A. Ross</w:t>
      </w:r>
      <w:r>
        <w:rPr>
          <w:sz w:val="20"/>
          <w:szCs w:val="20"/>
          <w:color w:val="auto"/>
        </w:rPr>
        <w:tab/>
      </w:r>
      <w:r>
        <w:rPr>
          <w:rFonts w:ascii="Arial" w:cs="Arial" w:eastAsia="Arial" w:hAnsi="Arial"/>
          <w:sz w:val="16"/>
          <w:szCs w:val="16"/>
          <w:b w:val="1"/>
          <w:bCs w:val="1"/>
          <w:color w:val="29378D"/>
        </w:rPr>
        <w:t>Gary Roughead</w:t>
      </w:r>
      <w:r>
        <w:rPr>
          <w:sz w:val="20"/>
          <w:szCs w:val="20"/>
          <w:color w:val="auto"/>
        </w:rPr>
        <w:tab/>
      </w:r>
      <w:r>
        <w:rPr>
          <w:rFonts w:ascii="Arial" w:cs="Arial" w:eastAsia="Arial" w:hAnsi="Arial"/>
          <w:sz w:val="16"/>
          <w:szCs w:val="16"/>
          <w:b w:val="1"/>
          <w:bCs w:val="1"/>
          <w:color w:val="29378D"/>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209550</wp:posOffset>
            </wp:positionV>
            <wp:extent cx="1285875"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5143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260985</wp:posOffset>
            </wp:positionV>
            <wp:extent cx="1131570" cy="419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1570" cy="41973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278130</wp:posOffset>
            </wp:positionV>
            <wp:extent cx="137160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James S. Turley</w:t>
      </w:r>
      <w:r>
        <w:rPr>
          <w:sz w:val="20"/>
          <w:szCs w:val="20"/>
          <w:color w:val="auto"/>
        </w:rPr>
        <w:tab/>
      </w:r>
      <w:r>
        <w:rPr>
          <w:rFonts w:ascii="Arial" w:cs="Arial" w:eastAsia="Arial" w:hAnsi="Arial"/>
          <w:sz w:val="16"/>
          <w:szCs w:val="16"/>
          <w:b w:val="1"/>
          <w:bCs w:val="1"/>
          <w:color w:val="29378D"/>
        </w:rPr>
        <w:t>Kathy J. Warden</w:t>
      </w:r>
      <w:r>
        <w:rPr>
          <w:sz w:val="20"/>
          <w:szCs w:val="20"/>
          <w:color w:val="auto"/>
        </w:rPr>
        <w:tab/>
      </w:r>
      <w:r>
        <w:rPr>
          <w:rFonts w:ascii="Arial" w:cs="Arial" w:eastAsia="Arial" w:hAnsi="Arial"/>
          <w:sz w:val="16"/>
          <w:szCs w:val="16"/>
          <w:b w:val="1"/>
          <w:bCs w:val="1"/>
          <w:color w:val="29378D"/>
        </w:rPr>
        <w:t>Mark A. Welsh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1131570"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Mary A. Winston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494"/>
        <w:spacing w:after="0"/>
        <w:tabs>
          <w:tab w:leader="none" w:pos="52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5" w:name="page6"/>
    <w:bookmarkEnd w:id="5"/>
    <w:p>
      <w:pPr>
        <w:spacing w:after="0"/>
        <w:rPr>
          <w:sz w:val="20"/>
          <w:szCs w:val="20"/>
          <w:color w:val="auto"/>
        </w:rPr>
      </w:pPr>
      <w:r>
        <w:rPr>
          <w:rFonts w:ascii="Arial" w:cs="Arial" w:eastAsia="Arial" w:hAnsi="Arial"/>
          <w:sz w:val="43"/>
          <w:szCs w:val="43"/>
          <w:b w:val="1"/>
          <w:bCs w:val="1"/>
          <w:color w:val="29378D"/>
        </w:rPr>
        <w:t>Notice of 2024 Annual Meeting of Shareholders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Arial" w:cs="Arial" w:eastAsia="Arial" w:hAnsi="Arial"/>
                <w:sz w:val="14"/>
                <w:szCs w:val="14"/>
                <w:b w:val="1"/>
                <w:bCs w:val="1"/>
                <w:color w:val="00249C"/>
              </w:rPr>
              <w:t>DATE AND TIME</w:t>
            </w:r>
          </w:p>
        </w:tc>
        <w:tc>
          <w:tcPr>
            <w:tcW w:w="5200" w:type="dxa"/>
            <w:vAlign w:val="bottom"/>
          </w:tcPr>
          <w:p>
            <w:pPr>
              <w:ind w:left="620"/>
              <w:spacing w:after="0"/>
              <w:rPr>
                <w:sz w:val="20"/>
                <w:szCs w:val="20"/>
                <w:color w:val="auto"/>
              </w:rPr>
            </w:pPr>
            <w:r>
              <w:rPr>
                <w:rFonts w:ascii="Arial" w:cs="Arial" w:eastAsia="Arial" w:hAnsi="Arial"/>
                <w:sz w:val="14"/>
                <w:szCs w:val="14"/>
                <w:b w:val="1"/>
                <w:bCs w:val="1"/>
                <w:color w:val="29378D"/>
              </w:rPr>
              <w:t>LOCATION</w:t>
            </w:r>
          </w:p>
        </w:tc>
        <w:tc>
          <w:tcPr>
            <w:tcW w:w="1720" w:type="dxa"/>
            <w:vAlign w:val="bottom"/>
          </w:tcPr>
          <w:p>
            <w:pPr>
              <w:spacing w:after="0"/>
              <w:rPr>
                <w:sz w:val="20"/>
                <w:szCs w:val="20"/>
                <w:color w:val="auto"/>
              </w:rPr>
            </w:pPr>
            <w:r>
              <w:rPr>
                <w:rFonts w:ascii="Arial" w:cs="Arial" w:eastAsia="Arial" w:hAnsi="Arial"/>
                <w:sz w:val="14"/>
                <w:szCs w:val="14"/>
                <w:b w:val="1"/>
                <w:bCs w:val="1"/>
                <w:color w:val="00249C"/>
              </w:rPr>
              <w:t>WHO CAN VOTE</w:t>
            </w:r>
          </w:p>
        </w:tc>
        <w:tc>
          <w:tcPr>
            <w:tcW w:w="1340" w:type="dxa"/>
            <w:vAlign w:val="bottom"/>
          </w:tcPr>
          <w:p>
            <w:pPr>
              <w:spacing w:after="0"/>
              <w:rPr>
                <w:sz w:val="16"/>
                <w:szCs w:val="16"/>
                <w:color w:val="auto"/>
              </w:rPr>
            </w:pPr>
          </w:p>
        </w:tc>
      </w:tr>
      <w:tr>
        <w:trPr>
          <w:trHeight w:val="189"/>
        </w:trPr>
        <w:tc>
          <w:tcPr>
            <w:tcW w:w="26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May 15, 2024</w:t>
            </w:r>
          </w:p>
        </w:tc>
        <w:tc>
          <w:tcPr>
            <w:tcW w:w="5200" w:type="dxa"/>
            <w:vAlign w:val="bottom"/>
          </w:tcPr>
          <w:p>
            <w:pPr>
              <w:ind w:left="620"/>
              <w:spacing w:after="0"/>
              <w:rPr>
                <w:sz w:val="20"/>
                <w:szCs w:val="20"/>
                <w:color w:val="auto"/>
              </w:rPr>
            </w:pPr>
            <w:r>
              <w:rPr>
                <w:rFonts w:ascii="Arial" w:cs="Arial" w:eastAsia="Arial" w:hAnsi="Arial"/>
                <w:sz w:val="16"/>
                <w:szCs w:val="16"/>
                <w:color w:val="auto"/>
              </w:rPr>
              <w:t>Online via live webcast at:</w:t>
            </w:r>
          </w:p>
        </w:tc>
        <w:tc>
          <w:tcPr>
            <w:tcW w:w="3060" w:type="dxa"/>
            <w:vAlign w:val="bottom"/>
            <w:gridSpan w:val="2"/>
          </w:tcPr>
          <w:p>
            <w:pPr>
              <w:spacing w:after="0"/>
              <w:rPr>
                <w:sz w:val="20"/>
                <w:szCs w:val="20"/>
                <w:color w:val="auto"/>
              </w:rPr>
            </w:pPr>
            <w:r>
              <w:rPr>
                <w:rFonts w:ascii="Arial" w:cs="Arial" w:eastAsia="Arial" w:hAnsi="Arial"/>
                <w:sz w:val="16"/>
                <w:szCs w:val="16"/>
                <w:color w:val="auto"/>
              </w:rPr>
              <w:t>Shareholders of record at the close of</w:t>
            </w:r>
          </w:p>
        </w:tc>
      </w:tr>
      <w:tr>
        <w:trPr>
          <w:trHeight w:val="203"/>
        </w:trPr>
        <w:tc>
          <w:tcPr>
            <w:tcW w:w="260" w:type="dxa"/>
            <w:vAlign w:val="bottom"/>
          </w:tcPr>
          <w:p>
            <w:pPr>
              <w:spacing w:after="0"/>
              <w:rPr>
                <w:sz w:val="17"/>
                <w:szCs w:val="17"/>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(Wednesday)</w:t>
            </w:r>
          </w:p>
        </w:tc>
        <w:tc>
          <w:tcPr>
            <w:tcW w:w="5200" w:type="dxa"/>
            <w:vAlign w:val="bottom"/>
          </w:tcPr>
          <w:p>
            <w:pPr>
              <w:ind w:left="620"/>
              <w:spacing w:after="0"/>
              <w:rPr>
                <w:sz w:val="20"/>
                <w:szCs w:val="20"/>
                <w:color w:val="auto"/>
              </w:rPr>
            </w:pPr>
            <w:r>
              <w:rPr>
                <w:rFonts w:ascii="Arial" w:cs="Arial" w:eastAsia="Arial" w:hAnsi="Arial"/>
                <w:sz w:val="14"/>
                <w:szCs w:val="14"/>
                <w:color w:val="29378D"/>
              </w:rPr>
              <w:t>virtualshareholdermeeting.com/NOC2024</w:t>
            </w:r>
          </w:p>
        </w:tc>
        <w:tc>
          <w:tcPr>
            <w:tcW w:w="3060" w:type="dxa"/>
            <w:vAlign w:val="bottom"/>
            <w:gridSpan w:val="2"/>
          </w:tcPr>
          <w:p>
            <w:pPr>
              <w:spacing w:after="0"/>
              <w:rPr>
                <w:sz w:val="20"/>
                <w:szCs w:val="20"/>
                <w:color w:val="auto"/>
              </w:rPr>
            </w:pPr>
            <w:r>
              <w:rPr>
                <w:rFonts w:ascii="Arial" w:cs="Arial" w:eastAsia="Arial" w:hAnsi="Arial"/>
                <w:sz w:val="16"/>
                <w:szCs w:val="16"/>
                <w:color w:val="auto"/>
              </w:rPr>
              <w:t>business on March 19, 2024 are</w:t>
            </w:r>
          </w:p>
        </w:tc>
      </w:tr>
      <w:tr>
        <w:trPr>
          <w:trHeight w:val="229"/>
        </w:trPr>
        <w:tc>
          <w:tcPr>
            <w:tcW w:w="260" w:type="dxa"/>
            <w:vAlign w:val="bottom"/>
          </w:tcPr>
          <w:p>
            <w:pPr>
              <w:spacing w:after="0"/>
              <w:rPr>
                <w:sz w:val="19"/>
                <w:szCs w:val="19"/>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8:00 AM Eastern</w:t>
            </w:r>
          </w:p>
        </w:tc>
        <w:tc>
          <w:tcPr>
            <w:tcW w:w="52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entitled to vote at the Annual Meeting</w:t>
            </w:r>
          </w:p>
        </w:tc>
      </w:tr>
      <w:tr>
        <w:trPr>
          <w:trHeight w:val="215"/>
        </w:trPr>
        <w:tc>
          <w:tcPr>
            <w:tcW w:w="2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Daylight Time</w:t>
            </w:r>
          </w:p>
        </w:tc>
        <w:tc>
          <w:tcPr>
            <w:tcW w:w="5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750"/>
        </w:trPr>
        <w:tc>
          <w:tcPr>
            <w:tcW w:w="2980" w:type="dxa"/>
            <w:vAlign w:val="bottom"/>
            <w:gridSpan w:val="2"/>
          </w:tcPr>
          <w:p>
            <w:pPr>
              <w:spacing w:after="0"/>
              <w:rPr>
                <w:sz w:val="20"/>
                <w:szCs w:val="20"/>
                <w:color w:val="auto"/>
              </w:rPr>
            </w:pPr>
            <w:r>
              <w:rPr>
                <w:rFonts w:ascii="Arial" w:cs="Arial" w:eastAsia="Arial" w:hAnsi="Arial"/>
                <w:sz w:val="27"/>
                <w:szCs w:val="27"/>
                <w:b w:val="1"/>
                <w:bCs w:val="1"/>
                <w:color w:val="29378D"/>
              </w:rPr>
              <w:t>Voting Items</w:t>
            </w:r>
          </w:p>
        </w:tc>
        <w:tc>
          <w:tcPr>
            <w:tcW w:w="5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2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Board Vote</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auto"/>
              </w:rPr>
              <w:t>For Further</w:t>
            </w:r>
          </w:p>
        </w:tc>
      </w:tr>
      <w:tr>
        <w:trPr>
          <w:trHeight w:val="185"/>
        </w:trPr>
        <w:tc>
          <w:tcPr>
            <w:tcW w:w="2980" w:type="dxa"/>
            <w:vAlign w:val="bottom"/>
            <w:gridSpan w:val="2"/>
          </w:tcPr>
          <w:p>
            <w:pPr>
              <w:ind w:left="20"/>
              <w:spacing w:after="0"/>
              <w:rPr>
                <w:sz w:val="20"/>
                <w:szCs w:val="20"/>
                <w:color w:val="auto"/>
              </w:rPr>
            </w:pPr>
            <w:r>
              <w:rPr>
                <w:rFonts w:ascii="Arial" w:cs="Arial" w:eastAsia="Arial" w:hAnsi="Arial"/>
                <w:sz w:val="13"/>
                <w:szCs w:val="13"/>
                <w:b w:val="1"/>
                <w:bCs w:val="1"/>
                <w:color w:val="auto"/>
              </w:rPr>
              <w:t>Proposals</w:t>
            </w:r>
          </w:p>
        </w:tc>
        <w:tc>
          <w:tcPr>
            <w:tcW w:w="5200" w:type="dxa"/>
            <w:vAlign w:val="bottom"/>
          </w:tcPr>
          <w:p>
            <w:pPr>
              <w:spacing w:after="0"/>
              <w:rPr>
                <w:sz w:val="16"/>
                <w:szCs w:val="16"/>
                <w:color w:val="auto"/>
              </w:rPr>
            </w:pPr>
          </w:p>
        </w:tc>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Recommendations</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auto"/>
              </w:rPr>
              <w:t>Details</w:t>
            </w:r>
          </w:p>
        </w:tc>
      </w:tr>
      <w:tr>
        <w:trPr>
          <w:trHeight w:val="22"/>
        </w:trPr>
        <w:tc>
          <w:tcPr>
            <w:tcW w:w="260" w:type="dxa"/>
            <w:vAlign w:val="bottom"/>
            <w:tcBorders>
              <w:bottom w:val="single" w:sz="8" w:color="29378D"/>
            </w:tcBorders>
          </w:tcPr>
          <w:p>
            <w:pPr>
              <w:spacing w:after="0" w:line="20" w:lineRule="exact"/>
              <w:rPr>
                <w:sz w:val="1"/>
                <w:szCs w:val="1"/>
                <w:color w:val="auto"/>
              </w:rPr>
            </w:pPr>
          </w:p>
        </w:tc>
        <w:tc>
          <w:tcPr>
            <w:tcW w:w="2720" w:type="dxa"/>
            <w:vAlign w:val="bottom"/>
            <w:tcBorders>
              <w:bottom w:val="single" w:sz="8" w:color="29378D"/>
            </w:tcBorders>
          </w:tcPr>
          <w:p>
            <w:pPr>
              <w:spacing w:after="0" w:line="20" w:lineRule="exact"/>
              <w:rPr>
                <w:sz w:val="1"/>
                <w:szCs w:val="1"/>
                <w:color w:val="auto"/>
              </w:rPr>
            </w:pPr>
          </w:p>
        </w:tc>
        <w:tc>
          <w:tcPr>
            <w:tcW w:w="5200" w:type="dxa"/>
            <w:vAlign w:val="bottom"/>
            <w:tcBorders>
              <w:bottom w:val="single" w:sz="8" w:color="29378D"/>
            </w:tcBorders>
          </w:tcPr>
          <w:p>
            <w:pPr>
              <w:spacing w:after="0" w:line="20" w:lineRule="exact"/>
              <w:rPr>
                <w:sz w:val="1"/>
                <w:szCs w:val="1"/>
                <w:color w:val="auto"/>
              </w:rPr>
            </w:pPr>
          </w:p>
        </w:tc>
        <w:tc>
          <w:tcPr>
            <w:tcW w:w="17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r>
      <w:tr>
        <w:trPr>
          <w:trHeight w:val="195"/>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1.</w:t>
            </w:r>
          </w:p>
        </w:tc>
        <w:tc>
          <w:tcPr>
            <w:tcW w:w="2720" w:type="dxa"/>
            <w:vAlign w:val="bottom"/>
          </w:tcPr>
          <w:p>
            <w:pPr>
              <w:ind w:left="100"/>
              <w:spacing w:after="0"/>
              <w:rPr>
                <w:sz w:val="20"/>
                <w:szCs w:val="20"/>
                <w:color w:val="auto"/>
              </w:rPr>
            </w:pPr>
            <w:r>
              <w:rPr>
                <w:rFonts w:ascii="Arial" w:cs="Arial" w:eastAsia="Arial" w:hAnsi="Arial"/>
                <w:sz w:val="16"/>
                <w:szCs w:val="16"/>
                <w:color w:val="auto"/>
              </w:rPr>
              <w:t>Election of Directors</w:t>
            </w:r>
          </w:p>
        </w:tc>
        <w:tc>
          <w:tcPr>
            <w:tcW w:w="5200" w:type="dxa"/>
            <w:vAlign w:val="bottom"/>
          </w:tcPr>
          <w:p>
            <w:pPr>
              <w:spacing w:after="0"/>
              <w:rPr>
                <w:sz w:val="16"/>
                <w:szCs w:val="16"/>
                <w:color w:val="auto"/>
              </w:rPr>
            </w:pP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 xml:space="preserve">“FOR” </w:t>
            </w:r>
            <w:r>
              <w:rPr>
                <w:rFonts w:ascii="Arial" w:cs="Arial" w:eastAsia="Arial" w:hAnsi="Arial"/>
                <w:sz w:val="16"/>
                <w:szCs w:val="16"/>
                <w:color w:val="000000"/>
              </w:rPr>
              <w:t>each</w:t>
            </w:r>
          </w:p>
        </w:tc>
        <w:tc>
          <w:tcPr>
            <w:tcW w:w="1340" w:type="dxa"/>
            <w:vAlign w:val="bottom"/>
          </w:tcPr>
          <w:p>
            <w:pPr>
              <w:ind w:left="260"/>
              <w:spacing w:after="0"/>
              <w:rPr>
                <w:sz w:val="20"/>
                <w:szCs w:val="20"/>
                <w:color w:val="auto"/>
              </w:rPr>
            </w:pPr>
            <w:r>
              <w:rPr>
                <w:rFonts w:ascii="Arial" w:cs="Arial" w:eastAsia="Arial" w:hAnsi="Arial"/>
                <w:sz w:val="16"/>
                <w:szCs w:val="16"/>
                <w:color w:val="auto"/>
              </w:rPr>
              <w:t>Page 16</w:t>
            </w:r>
          </w:p>
        </w:tc>
      </w:tr>
      <w:tr>
        <w:trPr>
          <w:trHeight w:val="215"/>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Arial" w:cs="Arial" w:eastAsia="Arial" w:hAnsi="Arial"/>
                <w:sz w:val="16"/>
                <w:szCs w:val="16"/>
                <w:color w:val="auto"/>
              </w:rPr>
              <w:t>Director Nominee</w:t>
            </w:r>
          </w:p>
        </w:tc>
        <w:tc>
          <w:tcPr>
            <w:tcW w:w="1340" w:type="dxa"/>
            <w:vAlign w:val="bottom"/>
          </w:tcPr>
          <w:p>
            <w:pPr>
              <w:spacing w:after="0"/>
              <w:rPr>
                <w:sz w:val="18"/>
                <w:szCs w:val="18"/>
                <w:color w:val="auto"/>
              </w:rPr>
            </w:pPr>
          </w:p>
        </w:tc>
      </w:tr>
      <w:tr>
        <w:trPr>
          <w:trHeight w:val="43"/>
        </w:trPr>
        <w:tc>
          <w:tcPr>
            <w:tcW w:w="260" w:type="dxa"/>
            <w:vAlign w:val="bottom"/>
            <w:tcBorders>
              <w:bottom w:val="single" w:sz="8" w:color="BCBEC0"/>
            </w:tcBorders>
          </w:tcPr>
          <w:p>
            <w:pPr>
              <w:spacing w:after="0"/>
              <w:rPr>
                <w:sz w:val="3"/>
                <w:szCs w:val="3"/>
                <w:color w:val="auto"/>
              </w:rPr>
            </w:pPr>
          </w:p>
        </w:tc>
        <w:tc>
          <w:tcPr>
            <w:tcW w:w="7920" w:type="dxa"/>
            <w:vAlign w:val="bottom"/>
            <w:tcBorders>
              <w:bottom w:val="single" w:sz="8" w:color="BCBEC0"/>
            </w:tcBorders>
            <w:gridSpan w:val="2"/>
          </w:tcPr>
          <w:p>
            <w:pPr>
              <w:spacing w:after="0"/>
              <w:rPr>
                <w:sz w:val="3"/>
                <w:szCs w:val="3"/>
                <w:color w:val="auto"/>
              </w:rPr>
            </w:pPr>
          </w:p>
        </w:tc>
        <w:tc>
          <w:tcPr>
            <w:tcW w:w="1720" w:type="dxa"/>
            <w:vAlign w:val="bottom"/>
            <w:tcBorders>
              <w:bottom w:val="single" w:sz="8" w:color="BCBEC0"/>
            </w:tcBorders>
          </w:tcPr>
          <w:p>
            <w:pPr>
              <w:spacing w:after="0"/>
              <w:rPr>
                <w:sz w:val="3"/>
                <w:szCs w:val="3"/>
                <w:color w:val="auto"/>
              </w:rPr>
            </w:pPr>
          </w:p>
        </w:tc>
        <w:tc>
          <w:tcPr>
            <w:tcW w:w="1340" w:type="dxa"/>
            <w:vAlign w:val="bottom"/>
            <w:tcBorders>
              <w:bottom w:val="single" w:sz="8" w:color="BCBEC0"/>
            </w:tcBorders>
          </w:tcPr>
          <w:p>
            <w:pPr>
              <w:spacing w:after="0"/>
              <w:rPr>
                <w:sz w:val="3"/>
                <w:szCs w:val="3"/>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2.</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Advisory Vote on Compensation of Named Executive Officers</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49</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3.</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Ratification of Appointment of Independent Auditor</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90</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195"/>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4.</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Elimination of Personal Liability of Officers for Monetary Damages for Breach of Certain Fiduciary Duties as</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93</w:t>
            </w:r>
          </w:p>
        </w:tc>
      </w:tr>
      <w:tr>
        <w:trPr>
          <w:trHeight w:val="215"/>
        </w:trPr>
        <w:tc>
          <w:tcPr>
            <w:tcW w:w="2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Permitted by Delaware Law</w:t>
            </w:r>
          </w:p>
        </w:tc>
        <w:tc>
          <w:tcPr>
            <w:tcW w:w="5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61"/>
        </w:trPr>
        <w:tc>
          <w:tcPr>
            <w:tcW w:w="260" w:type="dxa"/>
            <w:vAlign w:val="bottom"/>
            <w:tcBorders>
              <w:bottom w:val="single" w:sz="8" w:color="BCBEC0"/>
            </w:tcBorders>
          </w:tcPr>
          <w:p>
            <w:pPr>
              <w:spacing w:after="0"/>
              <w:rPr>
                <w:sz w:val="24"/>
                <w:szCs w:val="24"/>
                <w:color w:val="auto"/>
              </w:rPr>
            </w:pPr>
          </w:p>
        </w:tc>
        <w:tc>
          <w:tcPr>
            <w:tcW w:w="7920" w:type="dxa"/>
            <w:vAlign w:val="bottom"/>
            <w:tcBorders>
              <w:bottom w:val="single" w:sz="8" w:color="BCBEC0"/>
            </w:tcBorders>
            <w:gridSpan w:val="2"/>
          </w:tcPr>
          <w:p>
            <w:pPr>
              <w:spacing w:after="0"/>
              <w:rPr>
                <w:sz w:val="24"/>
                <w:szCs w:val="24"/>
                <w:color w:val="auto"/>
              </w:rPr>
            </w:pPr>
          </w:p>
        </w:tc>
        <w:tc>
          <w:tcPr>
            <w:tcW w:w="1720" w:type="dxa"/>
            <w:vAlign w:val="bottom"/>
            <w:tcBorders>
              <w:bottom w:val="single" w:sz="8" w:color="BCBEC0"/>
            </w:tcBorders>
          </w:tcPr>
          <w:p>
            <w:pPr>
              <w:spacing w:after="0"/>
              <w:rPr>
                <w:sz w:val="24"/>
                <w:szCs w:val="24"/>
                <w:color w:val="auto"/>
              </w:rPr>
            </w:pPr>
          </w:p>
        </w:tc>
        <w:tc>
          <w:tcPr>
            <w:tcW w:w="1340" w:type="dxa"/>
            <w:vAlign w:val="bottom"/>
            <w:tcBorders>
              <w:bottom w:val="single" w:sz="8" w:color="BCBEC0"/>
            </w:tcBorders>
          </w:tcPr>
          <w:p>
            <w:pPr>
              <w:spacing w:after="0"/>
              <w:rPr>
                <w:sz w:val="24"/>
                <w:szCs w:val="24"/>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5.</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Approval of 2024 Long-Term Incentive Stock Plan</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95</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182"/>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6.</w:t>
            </w:r>
          </w:p>
        </w:tc>
        <w:tc>
          <w:tcPr>
            <w:tcW w:w="792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Shareholder Proposal to Annually Conduct an Evaluation and Issue a Report Describing the Alignment of the</w:t>
            </w:r>
          </w:p>
        </w:tc>
        <w:tc>
          <w:tcPr>
            <w:tcW w:w="1720" w:type="dxa"/>
            <w:vAlign w:val="bottom"/>
          </w:tcPr>
          <w:p>
            <w:pPr>
              <w:ind w:left="180"/>
              <w:spacing w:after="0" w:line="182" w:lineRule="exact"/>
              <w:rPr>
                <w:sz w:val="20"/>
                <w:szCs w:val="20"/>
                <w:color w:val="auto"/>
              </w:rPr>
            </w:pPr>
            <w:r>
              <w:rPr>
                <w:rFonts w:ascii="Arial" w:cs="Arial" w:eastAsia="Arial" w:hAnsi="Arial"/>
                <w:sz w:val="16"/>
                <w:szCs w:val="16"/>
                <w:b w:val="1"/>
                <w:bCs w:val="1"/>
                <w:color w:val="00249C"/>
              </w:rPr>
              <w:t>“AGAINST”</w:t>
            </w:r>
          </w:p>
        </w:tc>
        <w:tc>
          <w:tcPr>
            <w:tcW w:w="1340" w:type="dxa"/>
            <w:vAlign w:val="bottom"/>
          </w:tcPr>
          <w:p>
            <w:pPr>
              <w:ind w:left="260"/>
              <w:spacing w:after="0" w:line="182" w:lineRule="exact"/>
              <w:rPr>
                <w:sz w:val="20"/>
                <w:szCs w:val="20"/>
                <w:color w:val="auto"/>
              </w:rPr>
            </w:pPr>
            <w:r>
              <w:rPr>
                <w:rFonts w:ascii="Arial" w:cs="Arial" w:eastAsia="Arial" w:hAnsi="Arial"/>
                <w:sz w:val="16"/>
                <w:szCs w:val="16"/>
                <w:color w:val="auto"/>
              </w:rPr>
              <w:t>Page 98</w:t>
            </w:r>
          </w:p>
        </w:tc>
      </w:tr>
      <w:tr>
        <w:trPr>
          <w:trHeight w:val="215"/>
        </w:trPr>
        <w:tc>
          <w:tcPr>
            <w:tcW w:w="260" w:type="dxa"/>
            <w:vAlign w:val="bottom"/>
          </w:tcPr>
          <w:p>
            <w:pPr>
              <w:spacing w:after="0"/>
              <w:rPr>
                <w:sz w:val="18"/>
                <w:szCs w:val="18"/>
                <w:color w:val="auto"/>
              </w:rPr>
            </w:pP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Company’s Political Activities With Its Human Rights Policy</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
        </w:trPr>
        <w:tc>
          <w:tcPr>
            <w:tcW w:w="260" w:type="dxa"/>
            <w:vAlign w:val="bottom"/>
            <w:tcBorders>
              <w:bottom w:val="single" w:sz="8" w:color="BCBEC0"/>
            </w:tcBorders>
          </w:tcPr>
          <w:p>
            <w:pPr>
              <w:spacing w:after="0"/>
              <w:rPr>
                <w:sz w:val="2"/>
                <w:szCs w:val="2"/>
                <w:color w:val="auto"/>
              </w:rPr>
            </w:pPr>
          </w:p>
        </w:tc>
        <w:tc>
          <w:tcPr>
            <w:tcW w:w="7920" w:type="dxa"/>
            <w:vAlign w:val="bottom"/>
            <w:tcBorders>
              <w:bottom w:val="single" w:sz="8" w:color="BCBEC0"/>
            </w:tcBorders>
            <w:gridSpan w:val="2"/>
          </w:tcPr>
          <w:p>
            <w:pPr>
              <w:spacing w:after="0"/>
              <w:rPr>
                <w:sz w:val="2"/>
                <w:szCs w:val="2"/>
                <w:color w:val="auto"/>
              </w:rPr>
            </w:pPr>
          </w:p>
        </w:tc>
        <w:tc>
          <w:tcPr>
            <w:tcW w:w="17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7.</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Shareholder Proposal to Provide for an Independent Board Chair</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“AGAINST”</w:t>
            </w:r>
          </w:p>
        </w:tc>
        <w:tc>
          <w:tcPr>
            <w:tcW w:w="1340" w:type="dxa"/>
            <w:vAlign w:val="bottom"/>
          </w:tcPr>
          <w:p>
            <w:pPr>
              <w:ind w:left="260"/>
              <w:spacing w:after="0"/>
              <w:rPr>
                <w:sz w:val="20"/>
                <w:szCs w:val="20"/>
                <w:color w:val="auto"/>
              </w:rPr>
            </w:pPr>
            <w:r>
              <w:rPr>
                <w:rFonts w:ascii="Arial" w:cs="Arial" w:eastAsia="Arial" w:hAnsi="Arial"/>
                <w:sz w:val="16"/>
                <w:szCs w:val="16"/>
                <w:color w:val="auto"/>
              </w:rPr>
              <w:t>Page 103</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2720" w:type="dxa"/>
            <w:vAlign w:val="bottom"/>
            <w:tcBorders>
              <w:bottom w:val="single" w:sz="8" w:color="BCBEC0"/>
            </w:tcBorders>
          </w:tcPr>
          <w:p>
            <w:pPr>
              <w:spacing w:after="0" w:line="20" w:lineRule="exact"/>
              <w:rPr>
                <w:sz w:val="1"/>
                <w:szCs w:val="1"/>
                <w:color w:val="auto"/>
              </w:rPr>
            </w:pPr>
          </w:p>
        </w:tc>
        <w:tc>
          <w:tcPr>
            <w:tcW w:w="520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-3231515</wp:posOffset>
            </wp:positionV>
            <wp:extent cx="334010"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-3231515</wp:posOffset>
            </wp:positionV>
            <wp:extent cx="33401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-3231515</wp:posOffset>
            </wp:positionV>
            <wp:extent cx="32575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Shareholders will also act on any other business as may properly come before the Annual Meeting or any adjournment or postponement thereof by or at the direction of the Board of Directors.</w:t>
      </w:r>
    </w:p>
    <w:p>
      <w:pPr>
        <w:spacing w:after="0" w:line="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2024 Annual Meeting will be conducted exclusively online through a live webcast in order to facilitate stockholder attendance and participation. You can find detailed instructions on how to attend on page 110 of this Proxy Statement.</w:t>
      </w:r>
    </w:p>
    <w:p>
      <w:pPr>
        <w:spacing w:after="0" w:line="33"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Your vote is important. Please promptly submit your vote by internet or telephone, or by signing, dating and returning the enclosed proxy card or voting instruction form in the postage-prepaid envelope provided so that your shares will be represented and voted at the meeting.</w:t>
      </w:r>
    </w:p>
    <w:p>
      <w:pPr>
        <w:spacing w:after="0" w:line="33" w:lineRule="exact"/>
        <w:rPr>
          <w:sz w:val="20"/>
          <w:szCs w:val="20"/>
          <w:color w:val="auto"/>
        </w:rPr>
      </w:pPr>
    </w:p>
    <w:p>
      <w:pPr>
        <w:ind w:right="1820"/>
        <w:spacing w:after="0" w:line="427" w:lineRule="auto"/>
        <w:rPr>
          <w:sz w:val="20"/>
          <w:szCs w:val="20"/>
          <w:color w:val="auto"/>
        </w:rPr>
      </w:pPr>
      <w:r>
        <w:rPr>
          <w:rFonts w:ascii="Arial" w:cs="Arial" w:eastAsia="Arial" w:hAnsi="Arial"/>
          <w:sz w:val="16"/>
          <w:szCs w:val="16"/>
          <w:color w:val="auto"/>
        </w:rPr>
        <w:t>We encourage all shareholders to vote on the matters described in the accompanying Proxy Statement prior to the Annual Meeting.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12268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26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Jennifer C. McGarey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606425</wp:posOffset>
            </wp:positionV>
            <wp:extent cx="2606040" cy="2074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207454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29378D"/>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334010"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78740</wp:posOffset>
            </wp:positionV>
            <wp:extent cx="33401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INTERNET</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29378D"/>
        </w:rPr>
        <w:t>www.proxyvote.com</w:t>
      </w:r>
    </w:p>
    <w:p>
      <w:pPr>
        <w:spacing w:after="0" w:line="37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334010" cy="334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6" w:lineRule="exact"/>
        <w:rPr>
          <w:sz w:val="20"/>
          <w:szCs w:val="20"/>
          <w:color w:val="auto"/>
        </w:rPr>
      </w:pPr>
    </w:p>
    <w:p>
      <w:pPr>
        <w:ind w:left="840" w:right="180"/>
        <w:spacing w:after="0" w:line="256" w:lineRule="auto"/>
        <w:rPr>
          <w:sz w:val="20"/>
          <w:szCs w:val="20"/>
          <w:color w:val="auto"/>
        </w:rPr>
      </w:pPr>
      <w:r>
        <w:rPr>
          <w:rFonts w:ascii="Arial" w:cs="Arial" w:eastAsia="Arial" w:hAnsi="Arial"/>
          <w:sz w:val="16"/>
          <w:szCs w:val="16"/>
          <w:color w:val="auto"/>
        </w:rPr>
        <w:t>Mark, sign, date and promptly mail the enclosed proxy card in the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00249C"/>
        </w:rPr>
        <w:t>TELEPHONE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800-690-6903</w:t>
      </w: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29378D"/>
        </w:rPr>
        <w:t xml:space="preserve">QR CODE </w:t>
      </w:r>
      <w:r>
        <w:rPr>
          <w:rFonts w:ascii="Arial" w:cs="Arial" w:eastAsia="Arial" w:hAnsi="Arial"/>
          <w:sz w:val="14"/>
          <w:szCs w:val="14"/>
          <w:color w:val="000000"/>
        </w:rPr>
        <w:t>Registered shareholders</w:t>
      </w:r>
      <w:r>
        <w:rPr>
          <w:rFonts w:ascii="Arial" w:cs="Arial" w:eastAsia="Arial" w:hAnsi="Arial"/>
          <w:sz w:val="14"/>
          <w:szCs w:val="14"/>
          <w:b w:val="1"/>
          <w:bCs w:val="1"/>
          <w:color w:val="29378D"/>
        </w:rPr>
        <w:t xml:space="preserve"> </w:t>
      </w:r>
      <w:r>
        <w:rPr>
          <w:rFonts w:ascii="Arial" w:cs="Arial" w:eastAsia="Arial" w:hAnsi="Arial"/>
          <w:sz w:val="14"/>
          <w:szCs w:val="14"/>
          <w:color w:val="000000"/>
        </w:rPr>
        <w:t>may vote by scanning the QR code on their proxy card or notice with their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-434975</wp:posOffset>
            </wp:positionV>
            <wp:extent cx="33401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b w:val="1"/>
          <w:bCs w:val="1"/>
          <w:color w:val="29378D"/>
        </w:rPr>
        <w:t>Important Notice Regarding the Availability of Proxy Materials for the Shareholders Meeting to be held on May 15, 2024:</w:t>
      </w:r>
    </w:p>
    <w:p>
      <w:pPr>
        <w:spacing w:after="0" w:line="256" w:lineRule="auto"/>
        <w:rPr>
          <w:sz w:val="20"/>
          <w:szCs w:val="20"/>
          <w:color w:val="auto"/>
        </w:rPr>
      </w:pPr>
      <w:r>
        <w:rPr>
          <w:rFonts w:ascii="Arial" w:cs="Arial" w:eastAsia="Arial" w:hAnsi="Arial"/>
          <w:sz w:val="15"/>
          <w:szCs w:val="15"/>
          <w:b w:val="1"/>
          <w:bCs w:val="1"/>
          <w:color w:val="29378D"/>
        </w:rPr>
        <w:t>The Proxy Statement for the 2024 Annual Meeting of Shareholders and the Annual Report for the year ended December 31, 2023 are available at:</w:t>
      </w:r>
    </w:p>
    <w:p>
      <w:pPr>
        <w:spacing w:after="0" w:line="2" w:lineRule="exact"/>
        <w:rPr>
          <w:sz w:val="20"/>
          <w:szCs w:val="20"/>
          <w:color w:val="auto"/>
        </w:rPr>
      </w:pPr>
    </w:p>
    <w:p>
      <w:pPr>
        <w:sectPr>
          <w:pgSz w:w="11900" w:h="16838" w:orient="portrait"/>
          <w:cols w:equalWidth="0" w:num="3">
            <w:col w:w="3880" w:space="720"/>
            <w:col w:w="2440" w:space="280"/>
            <w:col w:w="3720"/>
          </w:cols>
          <w:pgMar w:left="320" w:top="238" w:right="539" w:bottom="1440" w:gutter="0" w:footer="0" w:header="0"/>
          <w:type w:val="continuous"/>
        </w:sectPr>
      </w:pPr>
    </w:p>
    <w:p>
      <w:pPr>
        <w:spacing w:after="0" w:line="6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334010" cy="43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010" cy="4375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color w:val="auto"/>
        </w:rPr>
        <w:t>Registered shareholders may vote during the Annual Meeting online at</w:t>
      </w:r>
    </w:p>
    <w:p>
      <w:pPr>
        <w:spacing w:after="0" w:line="15" w:lineRule="exact"/>
        <w:rPr>
          <w:sz w:val="20"/>
          <w:szCs w:val="20"/>
          <w:color w:val="auto"/>
        </w:rPr>
      </w:pPr>
    </w:p>
    <w:p>
      <w:pPr>
        <w:ind w:left="840"/>
        <w:spacing w:after="0" w:line="264" w:lineRule="auto"/>
        <w:rPr>
          <w:sz w:val="20"/>
          <w:szCs w:val="20"/>
          <w:color w:val="auto"/>
        </w:rPr>
      </w:pPr>
      <w:r>
        <w:rPr>
          <w:rFonts w:ascii="Arial" w:cs="Arial" w:eastAsia="Arial" w:hAnsi="Arial"/>
          <w:sz w:val="14"/>
          <w:szCs w:val="14"/>
          <w:color w:val="auto"/>
        </w:rPr>
        <w:t>v</w:t>
      </w:r>
      <w:r>
        <w:rPr>
          <w:rFonts w:ascii="Arial" w:cs="Arial" w:eastAsia="Arial" w:hAnsi="Arial"/>
          <w:sz w:val="14"/>
          <w:szCs w:val="14"/>
          <w:i w:val="1"/>
          <w:iCs w:val="1"/>
          <w:color w:val="auto"/>
        </w:rPr>
        <w:t>irtualshareholdermeeting.com/NOC2024</w:t>
      </w:r>
      <w:r>
        <w:rPr>
          <w:rFonts w:ascii="Arial" w:cs="Arial" w:eastAsia="Arial" w:hAnsi="Arial"/>
          <w:sz w:val="14"/>
          <w:szCs w:val="14"/>
          <w:color w:val="auto"/>
        </w:rPr>
        <w:t>. If you have already voted online, by telephone, by QR code or by mail, your vote during the Annual Meeting will supersede your earlier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494"/>
        <w:spacing w:after="0"/>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29378D"/>
        </w:rPr>
        <w:t>www.proxyvote.com.</w:t>
      </w:r>
    </w:p>
    <w:p>
      <w:pPr>
        <w:sectPr>
          <w:pgSz w:w="11900" w:h="16838" w:orient="portrait"/>
          <w:cols w:equalWidth="0" w:num="2">
            <w:col w:w="6980" w:space="340"/>
            <w:col w:w="3720"/>
          </w:cols>
          <w:pgMar w:left="320" w:top="238" w:right="539" w:bottom="1440" w:gutter="0" w:footer="0" w:header="0"/>
          <w:type w:val="continuous"/>
        </w:sectPr>
      </w:pPr>
    </w:p>
    <w:bookmarkStart w:id="7" w:name="page8"/>
    <w:bookmarkEnd w:id="7"/>
    <w:p>
      <w:pPr>
        <w:spacing w:after="0" w:line="290" w:lineRule="exact"/>
        <w:rPr>
          <w:sz w:val="20"/>
          <w:szCs w:val="20"/>
          <w:color w:val="auto"/>
        </w:rPr>
      </w:pPr>
    </w:p>
    <w:p>
      <w:pPr>
        <w:spacing w:after="0"/>
        <w:rPr>
          <w:sz w:val="20"/>
          <w:szCs w:val="20"/>
          <w:color w:val="auto"/>
        </w:rPr>
      </w:pPr>
      <w:r>
        <w:rPr>
          <w:rFonts w:ascii="Arial" w:cs="Arial" w:eastAsia="Arial" w:hAnsi="Arial"/>
          <w:sz w:val="43"/>
          <w:szCs w:val="43"/>
          <w:b w:val="1"/>
          <w:bCs w:val="1"/>
          <w:color w:val="29378D"/>
        </w:rPr>
        <w:t>Table of Contents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29378D"/>
              </w:rPr>
              <w:t>Our Values</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9378D"/>
              </w:rPr>
              <w:t>IFC*</w:t>
            </w:r>
          </w:p>
        </w:tc>
      </w:tr>
      <w:tr>
        <w:trPr>
          <w:trHeight w:val="219"/>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Letter from the Board of Directors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Notice of 2024 Annual Meeting of Shareholders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3</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Proxy Statement Summary</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7</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Management and Shareholder Proposals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13</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Shareholder Engagement</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15</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88"/>
        </w:trPr>
        <w:tc>
          <w:tcPr>
            <w:tcW w:w="848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237"/>
        </w:trPr>
        <w:tc>
          <w:tcPr>
            <w:tcW w:w="8480" w:type="dxa"/>
            <w:vAlign w:val="bottom"/>
            <w:tcBorders>
              <w:bottom w:val="single" w:sz="8" w:color="29378D"/>
            </w:tcBorders>
            <w:shd w:val="clear" w:color="auto" w:fill="29378D"/>
          </w:tcPr>
          <w:p>
            <w:pPr>
              <w:ind w:left="420"/>
              <w:spacing w:after="0"/>
              <w:rPr>
                <w:sz w:val="20"/>
                <w:szCs w:val="20"/>
                <w:color w:val="auto"/>
              </w:rPr>
            </w:pPr>
            <w:r>
              <w:rPr>
                <w:rFonts w:ascii="Arial" w:cs="Arial" w:eastAsia="Arial" w:hAnsi="Arial"/>
                <w:sz w:val="16"/>
                <w:szCs w:val="16"/>
                <w:b w:val="1"/>
                <w:bCs w:val="1"/>
                <w:color w:val="FFFFFF"/>
              </w:rPr>
              <w:t>Proposal 1: Election of Directors</w:t>
            </w:r>
          </w:p>
        </w:tc>
        <w:tc>
          <w:tcPr>
            <w:tcW w:w="276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16</w:t>
            </w: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Director Qualifications and Experience</w:t>
            </w:r>
          </w:p>
        </w:tc>
        <w:tc>
          <w:tcPr>
            <w:tcW w:w="2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2024 Nominees for Director</w:t>
            </w:r>
          </w:p>
        </w:tc>
        <w:tc>
          <w:tcPr>
            <w:tcW w:w="27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Nomination Process</w:t>
            </w:r>
          </w:p>
        </w:tc>
        <w:tc>
          <w:tcPr>
            <w:tcW w:w="2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Corporate Governance</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28</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Overview</w:t>
            </w:r>
          </w:p>
        </w:tc>
        <w:tc>
          <w:tcPr>
            <w:tcW w:w="2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Role of the Board and Key Areas of Board Oversight</w:t>
            </w:r>
          </w:p>
        </w:tc>
        <w:tc>
          <w:tcPr>
            <w:tcW w:w="2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Risk Oversight</w:t>
            </w:r>
          </w:p>
        </w:tc>
        <w:tc>
          <w:tcPr>
            <w:tcW w:w="2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Leadership Structure</w:t>
            </w:r>
          </w:p>
        </w:tc>
        <w:tc>
          <w:tcPr>
            <w:tcW w:w="2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Committees of the Board</w:t>
            </w:r>
          </w:p>
        </w:tc>
        <w:tc>
          <w:tcPr>
            <w:tcW w:w="27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Meetings and Executive Sessions</w:t>
            </w:r>
          </w:p>
        </w:tc>
        <w:tc>
          <w:tcPr>
            <w:tcW w:w="27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27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Our Culture</w:t>
            </w:r>
          </w:p>
        </w:tc>
        <w:tc>
          <w:tcPr>
            <w:tcW w:w="2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Orientation and Continuing Education</w:t>
            </w:r>
          </w:p>
        </w:tc>
        <w:tc>
          <w:tcPr>
            <w:tcW w:w="2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Memberships and External Relationships</w:t>
            </w:r>
          </w:p>
        </w:tc>
        <w:tc>
          <w:tcPr>
            <w:tcW w:w="2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Annual Self-Assessment Process</w:t>
            </w:r>
          </w:p>
        </w:tc>
        <w:tc>
          <w:tcPr>
            <w:tcW w:w="27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Succession Planning</w:t>
            </w:r>
          </w:p>
        </w:tc>
        <w:tc>
          <w:tcPr>
            <w:tcW w:w="27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Communications with the Board of Directors</w:t>
            </w:r>
          </w:p>
        </w:tc>
        <w:tc>
          <w:tcPr>
            <w:tcW w:w="27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Compensation of Directors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45</w:t>
            </w:r>
          </w:p>
        </w:tc>
      </w:tr>
      <w:tr>
        <w:trPr>
          <w:trHeight w:val="21"/>
        </w:trPr>
        <w:tc>
          <w:tcPr>
            <w:tcW w:w="8480" w:type="dxa"/>
            <w:vAlign w:val="bottom"/>
            <w:tcBorders>
              <w:bottom w:val="single" w:sz="8" w:color="29378D"/>
            </w:tcBorders>
          </w:tcPr>
          <w:p>
            <w:pPr>
              <w:spacing w:after="0" w:line="20" w:lineRule="exact"/>
              <w:rPr>
                <w:sz w:val="1"/>
                <w:szCs w:val="1"/>
                <w:color w:val="auto"/>
              </w:rPr>
            </w:pPr>
          </w:p>
        </w:tc>
        <w:tc>
          <w:tcPr>
            <w:tcW w:w="2760" w:type="dxa"/>
            <w:vAlign w:val="bottom"/>
            <w:tcBorders>
              <w:bottom w:val="single" w:sz="8" w:color="29378D"/>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2023 Director Compensation</w:t>
            </w:r>
          </w:p>
        </w:tc>
        <w:tc>
          <w:tcPr>
            <w:tcW w:w="2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Deferred Stock Units</w:t>
            </w:r>
          </w:p>
        </w:tc>
        <w:tc>
          <w:tcPr>
            <w:tcW w:w="2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50"/>
        </w:trPr>
        <w:tc>
          <w:tcPr>
            <w:tcW w:w="84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36"/>
        </w:trPr>
        <w:tc>
          <w:tcPr>
            <w:tcW w:w="8480" w:type="dxa"/>
            <w:vAlign w:val="bottom"/>
            <w:tcBorders>
              <w:bottom w:val="single" w:sz="8" w:color="29378D"/>
            </w:tcBorders>
            <w:shd w:val="clear" w:color="auto" w:fill="29378D"/>
          </w:tcPr>
          <w:p>
            <w:pPr>
              <w:ind w:left="420"/>
              <w:spacing w:after="0"/>
              <w:rPr>
                <w:sz w:val="20"/>
                <w:szCs w:val="20"/>
                <w:color w:val="auto"/>
              </w:rPr>
            </w:pPr>
            <w:r>
              <w:rPr>
                <w:rFonts w:ascii="Arial" w:cs="Arial" w:eastAsia="Arial" w:hAnsi="Arial"/>
                <w:sz w:val="16"/>
                <w:szCs w:val="16"/>
                <w:b w:val="1"/>
                <w:bCs w:val="1"/>
                <w:color w:val="FFFFFF"/>
              </w:rPr>
              <w:t>Proposal 2: Advisory Vote on Compensation of Named Executive Officers</w:t>
            </w:r>
          </w:p>
        </w:tc>
        <w:tc>
          <w:tcPr>
            <w:tcW w:w="276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49</w:t>
            </w:r>
          </w:p>
        </w:tc>
      </w:tr>
      <w:tr>
        <w:trPr>
          <w:trHeight w:val="330"/>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Executive Compensation</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50</w:t>
            </w:r>
          </w:p>
        </w:tc>
      </w:tr>
      <w:tr>
        <w:trPr>
          <w:trHeight w:val="21"/>
        </w:trPr>
        <w:tc>
          <w:tcPr>
            <w:tcW w:w="8480" w:type="dxa"/>
            <w:vAlign w:val="bottom"/>
            <w:tcBorders>
              <w:bottom w:val="single" w:sz="8" w:color="29378D"/>
            </w:tcBorders>
          </w:tcPr>
          <w:p>
            <w:pPr>
              <w:spacing w:after="0" w:line="20" w:lineRule="exact"/>
              <w:rPr>
                <w:sz w:val="1"/>
                <w:szCs w:val="1"/>
                <w:color w:val="auto"/>
              </w:rPr>
            </w:pPr>
          </w:p>
        </w:tc>
        <w:tc>
          <w:tcPr>
            <w:tcW w:w="2760" w:type="dxa"/>
            <w:vAlign w:val="bottom"/>
            <w:tcBorders>
              <w:bottom w:val="single" w:sz="8" w:color="29378D"/>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Compensation Discussion &amp; Analysis</w:t>
            </w:r>
          </w:p>
        </w:tc>
        <w:tc>
          <w:tcPr>
            <w:tcW w:w="2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2"/>
        </w:trPr>
        <w:tc>
          <w:tcPr>
            <w:tcW w:w="8480" w:type="dxa"/>
            <w:vAlign w:val="bottom"/>
          </w:tcPr>
          <w:p>
            <w:pPr>
              <w:ind w:left="240"/>
              <w:spacing w:after="0"/>
              <w:rPr>
                <w:sz w:val="20"/>
                <w:szCs w:val="20"/>
                <w:color w:val="auto"/>
              </w:rPr>
            </w:pPr>
            <w:r>
              <w:rPr>
                <w:rFonts w:ascii="Arial" w:cs="Arial" w:eastAsia="Arial" w:hAnsi="Arial"/>
                <w:sz w:val="16"/>
                <w:szCs w:val="16"/>
                <w:color w:val="auto"/>
              </w:rPr>
              <w:t>Compensation Philosophy and Objectives</w:t>
            </w:r>
          </w:p>
        </w:tc>
        <w:tc>
          <w:tcPr>
            <w:tcW w:w="2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2023 Compensation Elements</w:t>
            </w:r>
          </w:p>
        </w:tc>
        <w:tc>
          <w:tcPr>
            <w:tcW w:w="27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2023 Performance Highlights</w:t>
            </w:r>
          </w:p>
        </w:tc>
        <w:tc>
          <w:tcPr>
            <w:tcW w:w="2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Consideration of Say-On-Pay Vote</w:t>
            </w:r>
          </w:p>
        </w:tc>
        <w:tc>
          <w:tcPr>
            <w:tcW w:w="2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Our Compensation Best Practices</w:t>
            </w:r>
          </w:p>
        </w:tc>
        <w:tc>
          <w:tcPr>
            <w:tcW w:w="27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How We Make Executive Compensation Decisions</w:t>
            </w:r>
          </w:p>
        </w:tc>
        <w:tc>
          <w:tcPr>
            <w:tcW w:w="27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Key Components of Our Executive Compensation Programs</w:t>
            </w:r>
          </w:p>
        </w:tc>
        <w:tc>
          <w:tcPr>
            <w:tcW w:w="27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Other NEO Benefits</w:t>
            </w:r>
          </w:p>
        </w:tc>
        <w:tc>
          <w:tcPr>
            <w:tcW w:w="27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Policies and Procedures</w:t>
            </w:r>
          </w:p>
        </w:tc>
        <w:tc>
          <w:tcPr>
            <w:tcW w:w="2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Compensation and Human Capital Committee Report</w:t>
            </w:r>
          </w:p>
        </w:tc>
        <w:tc>
          <w:tcPr>
            <w:tcW w:w="276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80"/>
        <w:spacing w:after="0"/>
        <w:tabs>
          <w:tab w:leader="none" w:pos="11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Compensation Tables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71</w:t>
            </w:r>
          </w:p>
        </w:tc>
      </w:tr>
      <w:tr>
        <w:trPr>
          <w:trHeight w:val="21"/>
        </w:trPr>
        <w:tc>
          <w:tcPr>
            <w:tcW w:w="8180" w:type="dxa"/>
            <w:vAlign w:val="bottom"/>
            <w:tcBorders>
              <w:bottom w:val="single" w:sz="8" w:color="29378D"/>
            </w:tcBorders>
            <w:gridSpan w:val="2"/>
          </w:tcPr>
          <w:p>
            <w:pPr>
              <w:spacing w:after="0" w:line="20" w:lineRule="exact"/>
              <w:rPr>
                <w:sz w:val="1"/>
                <w:szCs w:val="1"/>
                <w:color w:val="auto"/>
              </w:rPr>
            </w:pPr>
          </w:p>
        </w:tc>
        <w:tc>
          <w:tcPr>
            <w:tcW w:w="1540" w:type="dxa"/>
            <w:vAlign w:val="bottom"/>
            <w:tcBorders>
              <w:bottom w:val="single" w:sz="8" w:color="29378D"/>
            </w:tcBorders>
          </w:tcPr>
          <w:p>
            <w:pPr>
              <w:spacing w:after="0" w:line="20" w:lineRule="exact"/>
              <w:rPr>
                <w:sz w:val="1"/>
                <w:szCs w:val="1"/>
                <w:color w:val="auto"/>
              </w:rPr>
            </w:pPr>
          </w:p>
        </w:tc>
      </w:tr>
      <w:tr>
        <w:trPr>
          <w:trHeight w:val="208"/>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Summary Compensation Table</w:t>
            </w:r>
          </w:p>
        </w:tc>
        <w:tc>
          <w:tcPr>
            <w:tcW w:w="15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42"/>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Grants of Plan-Based Awards</w:t>
            </w:r>
          </w:p>
        </w:tc>
        <w:tc>
          <w:tcPr>
            <w:tcW w:w="15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Outstanding Equity Awards at 2023 Fiscal Year End</w:t>
            </w:r>
          </w:p>
        </w:tc>
        <w:tc>
          <w:tcPr>
            <w:tcW w:w="15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Stock Vested</w:t>
            </w:r>
          </w:p>
        </w:tc>
        <w:tc>
          <w:tcPr>
            <w:tcW w:w="15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Pension Benefits</w:t>
            </w:r>
          </w:p>
        </w:tc>
        <w:tc>
          <w:tcPr>
            <w:tcW w:w="15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Termination Payments and Benefits</w:t>
            </w:r>
          </w:p>
        </w:tc>
        <w:tc>
          <w:tcPr>
            <w:tcW w:w="1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1"/>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2023 CEO Pay Ratio</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84</w:t>
            </w:r>
          </w:p>
        </w:tc>
      </w:tr>
      <w:tr>
        <w:trPr>
          <w:trHeight w:val="21"/>
        </w:trPr>
        <w:tc>
          <w:tcPr>
            <w:tcW w:w="8180" w:type="dxa"/>
            <w:vAlign w:val="bottom"/>
            <w:tcBorders>
              <w:bottom w:val="single" w:sz="8" w:color="29378D"/>
            </w:tcBorders>
            <w:gridSpan w:val="2"/>
          </w:tcPr>
          <w:p>
            <w:pPr>
              <w:spacing w:after="0" w:line="20" w:lineRule="exact"/>
              <w:rPr>
                <w:sz w:val="1"/>
                <w:szCs w:val="1"/>
                <w:color w:val="auto"/>
              </w:rPr>
            </w:pPr>
          </w:p>
        </w:tc>
        <w:tc>
          <w:tcPr>
            <w:tcW w:w="1540" w:type="dxa"/>
            <w:vAlign w:val="bottom"/>
            <w:tcBorders>
              <w:bottom w:val="single" w:sz="8" w:color="29378D"/>
            </w:tcBorders>
          </w:tcPr>
          <w:p>
            <w:pPr>
              <w:spacing w:after="0" w:line="20" w:lineRule="exact"/>
              <w:rPr>
                <w:sz w:val="1"/>
                <w:szCs w:val="1"/>
                <w:color w:val="auto"/>
              </w:rPr>
            </w:pPr>
          </w:p>
        </w:tc>
      </w:tr>
      <w:tr>
        <w:trPr>
          <w:trHeight w:val="216"/>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00249C"/>
              </w:rPr>
              <w:t>Pay Versus Performance</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85</w:t>
            </w:r>
          </w:p>
        </w:tc>
      </w:tr>
      <w:tr>
        <w:trPr>
          <w:trHeight w:val="20"/>
        </w:trPr>
        <w:tc>
          <w:tcPr>
            <w:tcW w:w="818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6"/>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Equity Compensation Plan Information</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89</w:t>
            </w:r>
          </w:p>
        </w:tc>
      </w:tr>
      <w:tr>
        <w:trPr>
          <w:trHeight w:val="20"/>
        </w:trPr>
        <w:tc>
          <w:tcPr>
            <w:tcW w:w="818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8"/>
        </w:trPr>
        <w:tc>
          <w:tcPr>
            <w:tcW w:w="400" w:type="dxa"/>
            <w:vAlign w:val="bottom"/>
          </w:tcPr>
          <w:p>
            <w:pPr>
              <w:spacing w:after="0"/>
              <w:rPr>
                <w:sz w:val="7"/>
                <w:szCs w:val="7"/>
                <w:color w:val="auto"/>
              </w:rPr>
            </w:pPr>
          </w:p>
        </w:tc>
        <w:tc>
          <w:tcPr>
            <w:tcW w:w="778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37"/>
        </w:trPr>
        <w:tc>
          <w:tcPr>
            <w:tcW w:w="8180" w:type="dxa"/>
            <w:vAlign w:val="bottom"/>
            <w:tcBorders>
              <w:bottom w:val="single" w:sz="8" w:color="29378D"/>
            </w:tcBorders>
            <w:gridSpan w:val="2"/>
            <w:shd w:val="clear" w:color="auto" w:fill="29378D"/>
          </w:tcPr>
          <w:p>
            <w:pPr>
              <w:ind w:left="360"/>
              <w:spacing w:after="0"/>
              <w:rPr>
                <w:sz w:val="20"/>
                <w:szCs w:val="20"/>
                <w:color w:val="auto"/>
              </w:rPr>
            </w:pPr>
            <w:r>
              <w:rPr>
                <w:rFonts w:ascii="Arial" w:cs="Arial" w:eastAsia="Arial" w:hAnsi="Arial"/>
                <w:sz w:val="16"/>
                <w:szCs w:val="16"/>
                <w:b w:val="1"/>
                <w:bCs w:val="1"/>
                <w:color w:val="FFFFFF"/>
              </w:rPr>
              <w:t>Proposal 3: Ratification of Appointment of Independent Auditor</w:t>
            </w:r>
          </w:p>
        </w:tc>
        <w:tc>
          <w:tcPr>
            <w:tcW w:w="154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90</w:t>
            </w:r>
          </w:p>
        </w:tc>
      </w:tr>
      <w:tr>
        <w:trPr>
          <w:trHeight w:val="215"/>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Audit Fees and All Other Fees</w:t>
            </w: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42"/>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Policy on Audit and Risk Committee Pre-Approval of Audit and Permissible Non-Audit Services</w:t>
            </w: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Audit and Risk Committee Report</w:t>
            </w: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r>
    </w:tbl>
    <w:p>
      <w:pPr>
        <w:spacing w:after="0" w:line="136" w:lineRule="exact"/>
        <w:rPr>
          <w:sz w:val="20"/>
          <w:szCs w:val="20"/>
          <w:color w:val="auto"/>
        </w:rPr>
      </w:pPr>
    </w:p>
    <w:p>
      <w:pPr>
        <w:sectPr>
          <w:pgSz w:w="11900" w:h="16838" w:orient="portrait"/>
          <w:cols w:equalWidth="0" w:num="1">
            <w:col w:w="10139"/>
          </w:cols>
          <w:pgMar w:left="320" w:top="238" w:right="1440" w:bottom="1440" w:gutter="0" w:footer="0" w:header="0"/>
        </w:sectPr>
      </w:pPr>
    </w:p>
    <w:p>
      <w:pPr>
        <w:ind w:left="360"/>
        <w:spacing w:after="0" w:line="296" w:lineRule="auto"/>
        <w:rPr>
          <w:sz w:val="20"/>
          <w:szCs w:val="20"/>
          <w:color w:val="auto"/>
        </w:rPr>
      </w:pPr>
      <w:r>
        <w:rPr>
          <w:rFonts w:ascii="Arial" w:cs="Arial" w:eastAsia="Arial" w:hAnsi="Arial"/>
          <w:sz w:val="16"/>
          <w:szCs w:val="16"/>
          <w:b w:val="1"/>
          <w:bCs w:val="1"/>
          <w:color w:val="FFFFFF"/>
        </w:rPr>
        <w:t>Proposal 4: Elimination of Personal Liability of Officers for Monetary Damages for Breach of Certain Fiduciary Duties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617220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274320"/>
                    </a:xfrm>
                    <a:prstGeom prst="rect">
                      <a:avLst/>
                    </a:prstGeom>
                    <a:noFill/>
                  </pic:spPr>
                </pic:pic>
              </a:graphicData>
            </a:graphic>
          </wp:anchor>
        </w:drawing>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5: Approval of 2024 Long-Term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6: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7: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Transactions with Related Persons and Control Persons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93</w:t>
      </w:r>
    </w:p>
    <w:p>
      <w:pPr>
        <w:spacing w:after="0" w:line="289"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95</w:t>
      </w:r>
    </w:p>
    <w:p>
      <w:pPr>
        <w:spacing w:after="0" w:line="181"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98</w:t>
      </w:r>
    </w:p>
    <w:p>
      <w:pPr>
        <w:spacing w:after="0" w:line="181"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103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106</w:t>
      </w:r>
    </w:p>
    <w:p>
      <w:pPr>
        <w:spacing w:after="0" w:line="40" w:lineRule="exact"/>
        <w:rPr>
          <w:sz w:val="20"/>
          <w:szCs w:val="20"/>
          <w:color w:val="auto"/>
        </w:rPr>
      </w:pPr>
    </w:p>
    <w:p>
      <w:pPr>
        <w:sectPr>
          <w:pgSz w:w="11900" w:h="16838" w:orient="portrait"/>
          <w:cols w:equalWidth="0" w:num="2">
            <w:col w:w="8820" w:space="620"/>
            <w:col w:w="699"/>
          </w:cols>
          <w:pgMar w:left="320" w:top="238" w:right="1440"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9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Related Person Transactions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Indemnification Agreements</w:t>
            </w: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1"/>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Voting Securities and Principal Holders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108</w:t>
            </w:r>
          </w:p>
        </w:tc>
        <w:tc>
          <w:tcPr>
            <w:tcW w:w="0" w:type="dxa"/>
            <w:vAlign w:val="bottom"/>
          </w:tcPr>
          <w:p>
            <w:pPr>
              <w:spacing w:after="0"/>
              <w:rPr>
                <w:sz w:val="1"/>
                <w:szCs w:val="1"/>
                <w:color w:val="auto"/>
              </w:rPr>
            </w:pPr>
          </w:p>
        </w:tc>
      </w:tr>
      <w:tr>
        <w:trPr>
          <w:trHeight w:val="21"/>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20"/>
              <w:spacing w:after="0"/>
              <w:rPr>
                <w:sz w:val="20"/>
                <w:szCs w:val="20"/>
                <w:color w:val="auto"/>
              </w:rPr>
            </w:pPr>
            <w:r>
              <w:rPr>
                <w:rFonts w:ascii="Arial" w:cs="Arial" w:eastAsia="Arial" w:hAnsi="Arial"/>
                <w:sz w:val="16"/>
                <w:szCs w:val="16"/>
                <w:color w:val="auto"/>
              </w:rPr>
              <w:t>Stock Ownership of Certain Beneficial Holders</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Stock Ownership of Officers and Directors</w:t>
            </w:r>
          </w:p>
        </w:tc>
        <w:tc>
          <w:tcPr>
            <w:tcW w:w="5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1"/>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Questions and Answers About the Annual Meeting</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110</w:t>
            </w:r>
          </w:p>
        </w:tc>
        <w:tc>
          <w:tcPr>
            <w:tcW w:w="0" w:type="dxa"/>
            <w:vAlign w:val="bottom"/>
          </w:tcPr>
          <w:p>
            <w:pPr>
              <w:spacing w:after="0"/>
              <w:rPr>
                <w:sz w:val="1"/>
                <w:szCs w:val="1"/>
                <w:color w:val="auto"/>
              </w:rPr>
            </w:pPr>
          </w:p>
        </w:tc>
      </w:tr>
      <w:tr>
        <w:trPr>
          <w:trHeight w:val="21"/>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Miscellaneous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113</w:t>
            </w:r>
          </w:p>
        </w:tc>
        <w:tc>
          <w:tcPr>
            <w:tcW w:w="0" w:type="dxa"/>
            <w:vAlign w:val="bottom"/>
          </w:tcPr>
          <w:p>
            <w:pPr>
              <w:spacing w:after="0"/>
              <w:rPr>
                <w:sz w:val="1"/>
                <w:szCs w:val="1"/>
                <w:color w:val="auto"/>
              </w:rPr>
            </w:pP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20"/>
              <w:spacing w:after="0"/>
              <w:rPr>
                <w:sz w:val="20"/>
                <w:szCs w:val="20"/>
                <w:color w:val="auto"/>
              </w:rPr>
            </w:pPr>
            <w:r>
              <w:rPr>
                <w:rFonts w:ascii="Arial" w:cs="Arial" w:eastAsia="Arial" w:hAnsi="Arial"/>
                <w:sz w:val="16"/>
                <w:szCs w:val="16"/>
                <w:color w:val="auto"/>
              </w:rPr>
              <w:t>Voting on Other Matters</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Shareholder Proposals for the 2025 Annual Meeting</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Shareholder Nominations for Director Elections at the 2025 Annual Meeting</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Householding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Cost of Soliciting Proxies</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Available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Incorporation by Reference</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Annual Report</w:t>
            </w: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9"/>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Appendix A – Use of Non-GAAP Financial Measures</w:t>
            </w: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Appendix B – Summary Description of the 2024 Long-Term Incentive Stock Plan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Exhibit A – Amendment to Amended and Restated Certificate of Incorporation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Exhibit B – Northrop Grumman 2024 Long-Term Incentive Stock Plan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Inside Front Cover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494"/>
        <w:spacing w:after="0"/>
        <w:tabs>
          <w:tab w:leader="none" w:pos="52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3"/>
          <w:szCs w:val="43"/>
          <w:b w:val="1"/>
          <w:bCs w:val="1"/>
          <w:color w:val="29378D"/>
        </w:rPr>
        <w:t>Proxy Statement Summary</w:t>
      </w:r>
    </w:p>
    <w:p>
      <w:pPr>
        <w:spacing w:after="0" w:line="200" w:lineRule="exact"/>
        <w:rPr>
          <w:sz w:val="20"/>
          <w:szCs w:val="20"/>
          <w:color w:val="auto"/>
        </w:rPr>
      </w:pPr>
    </w:p>
    <w:p>
      <w:pPr>
        <w:spacing w:after="0" w:line="266"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 xml:space="preserve">This summary highlights information contained elsewhere in this Proxy Statement. For additional information about these topics, please refer to the discussions contained in this Proxy Statement and in our Annual Report on Form 10-K for the year ended December 31, 2023 (2023 Form 10-K) filed with the United States (U.S.) Securities and Exchange Commission (SEC) on January 25, 2024. Please also refer to our Sustainability Report and our Human Rights Report which are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60"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We intend to mail a Notice of Internet Availability of Proxy Materials to Shareholders of record and to make this Proxy Statement and accompanying materials available on the internet on or about April 3, 2024.</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Performance Highlights</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remain focused on executing our long-term strategy. This has created outstanding shareholder value, as evidenced by our three-year Total Shareholder Return (TSR), and strong demand for our products and capabilities that has led to a new, record backlog. Meanwhile, our sales continue to expand at a rapid rate, growing by over 7% in 2023. Cash is expanding even faster, with cash provided by operating activities increasing by 34% and adjusted free cash flow* growing 30% year over year. These strong and growing cash flows allow us to execute our capital deployment strategy that prioritizes investing in our business and returning cash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9378D"/>
        </w:rPr>
        <w:t>Financial Highlights</w:t>
      </w:r>
    </w:p>
    <w:p>
      <w:pPr>
        <w:sectPr>
          <w:pgSz w:w="11900" w:h="16838" w:orient="portrait"/>
          <w:cols w:equalWidth="0" w:num="1">
            <w:col w:w="11240"/>
          </w:cols>
          <w:pgMar w:left="320" w:top="1298" w:right="339" w:bottom="1440" w:gutter="0" w:footer="0" w:header="0"/>
        </w:sectPr>
      </w:pPr>
    </w:p>
    <w:p>
      <w:pPr>
        <w:spacing w:after="0" w:line="270" w:lineRule="exact"/>
        <w:rPr>
          <w:sz w:val="20"/>
          <w:szCs w:val="20"/>
          <w:color w:val="auto"/>
        </w:rPr>
      </w:pPr>
    </w:p>
    <w:p>
      <w:pPr>
        <w:ind w:left="20"/>
        <w:spacing w:after="0"/>
        <w:tabs>
          <w:tab w:leader="none" w:pos="3620" w:val="left"/>
        </w:tabs>
        <w:rPr>
          <w:sz w:val="20"/>
          <w:szCs w:val="20"/>
          <w:color w:val="auto"/>
        </w:rPr>
      </w:pPr>
      <w:r>
        <w:rPr>
          <w:rFonts w:ascii="Arial" w:cs="Arial" w:eastAsia="Arial" w:hAnsi="Arial"/>
          <w:sz w:val="20"/>
          <w:szCs w:val="20"/>
          <w:b w:val="1"/>
          <w:bCs w:val="1"/>
          <w:color w:val="00249C"/>
        </w:rPr>
        <w:t xml:space="preserve">61% </w:t>
      </w:r>
      <w:r>
        <w:rPr>
          <w:rFonts w:ascii="Arial" w:cs="Arial" w:eastAsia="Arial" w:hAnsi="Arial"/>
          <w:sz w:val="20"/>
          <w:szCs w:val="20"/>
          <w:color w:val="000000"/>
        </w:rPr>
        <w:t>Cumulative 3-Year Total</w:t>
      </w:r>
      <w:r>
        <w:rPr>
          <w:sz w:val="20"/>
          <w:szCs w:val="20"/>
          <w:color w:val="auto"/>
        </w:rPr>
        <w:tab/>
      </w:r>
      <w:r>
        <w:rPr>
          <w:rFonts w:ascii="Arial" w:cs="Arial" w:eastAsia="Arial" w:hAnsi="Arial"/>
          <w:sz w:val="19"/>
          <w:szCs w:val="19"/>
          <w:color w:val="auto"/>
        </w:rPr>
        <w:t xml:space="preserve">Backlog of </w:t>
      </w:r>
      <w:r>
        <w:rPr>
          <w:rFonts w:ascii="Arial" w:cs="Arial" w:eastAsia="Arial" w:hAnsi="Arial"/>
          <w:sz w:val="19"/>
          <w:szCs w:val="19"/>
          <w:b w:val="1"/>
          <w:bCs w:val="1"/>
          <w:color w:val="00249C"/>
        </w:rPr>
        <w:t>$84.2 billion</w:t>
      </w:r>
      <w:r>
        <w:rPr>
          <w:rFonts w:ascii="Arial" w:cs="Arial" w:eastAsia="Arial" w:hAnsi="Arial"/>
          <w:sz w:val="19"/>
          <w:szCs w:val="19"/>
          <w:color w:val="auto"/>
        </w:rPr>
        <w:t xml:space="preserve"> or more than</w:t>
      </w:r>
    </w:p>
    <w:p>
      <w:pPr>
        <w:spacing w:after="0" w:line="33" w:lineRule="exact"/>
        <w:rPr>
          <w:sz w:val="20"/>
          <w:szCs w:val="20"/>
          <w:color w:val="auto"/>
        </w:rPr>
      </w:pPr>
    </w:p>
    <w:p>
      <w:pPr>
        <w:ind w:left="20"/>
        <w:spacing w:after="0"/>
        <w:tabs>
          <w:tab w:leader="none" w:pos="3620" w:val="left"/>
        </w:tabs>
        <w:rPr>
          <w:sz w:val="20"/>
          <w:szCs w:val="20"/>
          <w:color w:val="auto"/>
        </w:rPr>
      </w:pPr>
      <w:r>
        <w:rPr>
          <w:rFonts w:ascii="Arial" w:cs="Arial" w:eastAsia="Arial" w:hAnsi="Arial"/>
          <w:sz w:val="20"/>
          <w:szCs w:val="20"/>
          <w:color w:val="auto"/>
        </w:rPr>
        <w:t>Shareholder Return</w:t>
      </w:r>
      <w:r>
        <w:rPr>
          <w:sz w:val="20"/>
          <w:szCs w:val="20"/>
          <w:color w:val="auto"/>
        </w:rPr>
        <w:tab/>
      </w:r>
      <w:r>
        <w:rPr>
          <w:rFonts w:ascii="Arial" w:cs="Arial" w:eastAsia="Arial" w:hAnsi="Arial"/>
          <w:sz w:val="19"/>
          <w:szCs w:val="19"/>
          <w:b w:val="1"/>
          <w:bCs w:val="1"/>
          <w:color w:val="00249C"/>
        </w:rPr>
        <w:t xml:space="preserve">2x </w:t>
      </w:r>
      <w:r>
        <w:rPr>
          <w:rFonts w:ascii="Arial" w:cs="Arial" w:eastAsia="Arial" w:hAnsi="Arial"/>
          <w:sz w:val="19"/>
          <w:szCs w:val="19"/>
          <w:color w:val="000000"/>
        </w:rPr>
        <w:t>our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920"/>
        <w:spacing w:after="0" w:line="288" w:lineRule="auto"/>
        <w:rPr>
          <w:sz w:val="20"/>
          <w:szCs w:val="20"/>
          <w:color w:val="auto"/>
        </w:rPr>
      </w:pPr>
      <w:r>
        <w:rPr>
          <w:rFonts w:ascii="Arial" w:cs="Arial" w:eastAsia="Arial" w:hAnsi="Arial"/>
          <w:sz w:val="20"/>
          <w:szCs w:val="20"/>
          <w:color w:val="auto"/>
        </w:rPr>
        <w:t xml:space="preserve">Sales of </w:t>
      </w:r>
      <w:r>
        <w:rPr>
          <w:rFonts w:ascii="Arial" w:cs="Arial" w:eastAsia="Arial" w:hAnsi="Arial"/>
          <w:sz w:val="20"/>
          <w:szCs w:val="20"/>
          <w:b w:val="1"/>
          <w:bCs w:val="1"/>
          <w:color w:val="00249C"/>
        </w:rPr>
        <w:t>$39.3 billion</w:t>
      </w:r>
      <w:r>
        <w:rPr>
          <w:rFonts w:ascii="Arial" w:cs="Arial" w:eastAsia="Arial" w:hAnsi="Arial"/>
          <w:sz w:val="20"/>
          <w:szCs w:val="20"/>
          <w:color w:val="auto"/>
        </w:rPr>
        <w:t xml:space="preserve">, up over </w:t>
      </w:r>
      <w:r>
        <w:rPr>
          <w:rFonts w:ascii="Arial" w:cs="Arial" w:eastAsia="Arial" w:hAnsi="Arial"/>
          <w:sz w:val="20"/>
          <w:szCs w:val="20"/>
          <w:b w:val="1"/>
          <w:bCs w:val="1"/>
          <w:color w:val="00249C"/>
        </w:rPr>
        <w:t>7%</w:t>
      </w:r>
      <w:r>
        <w:rPr>
          <w:rFonts w:ascii="Arial" w:cs="Arial" w:eastAsia="Arial" w:hAnsi="Arial"/>
          <w:sz w:val="20"/>
          <w:szCs w:val="20"/>
          <w:color w:val="auto"/>
        </w:rPr>
        <w:t xml:space="preserve"> compared to 2022</w:t>
      </w:r>
    </w:p>
    <w:p>
      <w:pPr>
        <w:spacing w:after="0" w:line="200" w:lineRule="exact"/>
        <w:rPr>
          <w:sz w:val="20"/>
          <w:szCs w:val="20"/>
          <w:color w:val="auto"/>
        </w:rPr>
      </w:pPr>
    </w:p>
    <w:p>
      <w:pPr>
        <w:sectPr>
          <w:pgSz w:w="11900" w:h="16838" w:orient="portrait"/>
          <w:cols w:equalWidth="0" w:num="2">
            <w:col w:w="6940" w:space="360"/>
            <w:col w:w="3940"/>
          </w:cols>
          <w:pgMar w:left="320" w:top="1298" w:right="339" w:bottom="1440" w:gutter="0" w:footer="0" w:header="0"/>
          <w:type w:val="continuous"/>
        </w:sectPr>
      </w:pPr>
    </w:p>
    <w:p>
      <w:pPr>
        <w:spacing w:after="0" w:line="263" w:lineRule="exact"/>
        <w:rPr>
          <w:sz w:val="20"/>
          <w:szCs w:val="20"/>
          <w:color w:val="auto"/>
        </w:rPr>
      </w:pPr>
    </w:p>
    <w:p>
      <w:pPr>
        <w:ind w:left="20"/>
        <w:spacing w:after="0" w:line="259" w:lineRule="auto"/>
        <w:rPr>
          <w:sz w:val="20"/>
          <w:szCs w:val="20"/>
          <w:color w:val="auto"/>
        </w:rPr>
      </w:pPr>
      <w:r>
        <w:rPr>
          <w:rFonts w:ascii="Arial" w:cs="Arial" w:eastAsia="Arial" w:hAnsi="Arial"/>
          <w:sz w:val="20"/>
          <w:szCs w:val="20"/>
          <w:color w:val="auto"/>
        </w:rPr>
        <w:t xml:space="preserve">Net cash provided by operating activities of </w:t>
      </w:r>
      <w:r>
        <w:rPr>
          <w:rFonts w:ascii="Arial" w:cs="Arial" w:eastAsia="Arial" w:hAnsi="Arial"/>
          <w:sz w:val="20"/>
          <w:szCs w:val="20"/>
          <w:b w:val="1"/>
          <w:bCs w:val="1"/>
          <w:color w:val="00249C"/>
        </w:rPr>
        <w:t>$3.9 billion</w:t>
      </w:r>
      <w:r>
        <w:rPr>
          <w:rFonts w:ascii="Arial" w:cs="Arial" w:eastAsia="Arial" w:hAnsi="Arial"/>
          <w:sz w:val="20"/>
          <w:szCs w:val="20"/>
          <w:color w:val="auto"/>
        </w:rPr>
        <w:t xml:space="preserve"> and adjusted free cash flow* of </w:t>
      </w:r>
      <w:r>
        <w:rPr>
          <w:rFonts w:ascii="Arial" w:cs="Arial" w:eastAsia="Arial" w:hAnsi="Arial"/>
          <w:sz w:val="20"/>
          <w:szCs w:val="20"/>
          <w:b w:val="1"/>
          <w:bCs w:val="1"/>
          <w:color w:val="00249C"/>
        </w:rPr>
        <w:t>$2.1 billion</w:t>
      </w:r>
      <w:r>
        <w:rPr>
          <w:rFonts w:ascii="Arial" w:cs="Arial" w:eastAsia="Arial" w:hAnsi="Arial"/>
          <w:sz w:val="20"/>
          <w:szCs w:val="20"/>
          <w:color w:val="auto"/>
        </w:rPr>
        <w:t xml:space="preserve">, up </w:t>
      </w:r>
      <w:r>
        <w:rPr>
          <w:rFonts w:ascii="Arial" w:cs="Arial" w:eastAsia="Arial" w:hAnsi="Arial"/>
          <w:sz w:val="20"/>
          <w:szCs w:val="20"/>
          <w:b w:val="1"/>
          <w:bCs w:val="1"/>
          <w:color w:val="00249C"/>
        </w:rPr>
        <w:t>30%</w:t>
      </w:r>
      <w:r>
        <w:rPr>
          <w:rFonts w:ascii="Arial" w:cs="Arial" w:eastAsia="Arial" w:hAnsi="Arial"/>
          <w:sz w:val="20"/>
          <w:szCs w:val="20"/>
          <w:color w:val="auto"/>
        </w:rPr>
        <w:t xml:space="preserve"> compared to 2022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Invested </w:t>
      </w:r>
      <w:r>
        <w:rPr>
          <w:rFonts w:ascii="Arial" w:cs="Arial" w:eastAsia="Arial" w:hAnsi="Arial"/>
          <w:sz w:val="20"/>
          <w:szCs w:val="20"/>
          <w:b w:val="1"/>
          <w:bCs w:val="1"/>
          <w:color w:val="00249C"/>
        </w:rPr>
        <w:t>7.5%</w:t>
      </w:r>
      <w:r>
        <w:rPr>
          <w:rFonts w:ascii="Arial" w:cs="Arial" w:eastAsia="Arial" w:hAnsi="Arial"/>
          <w:sz w:val="20"/>
          <w:szCs w:val="20"/>
          <w:color w:val="auto"/>
        </w:rPr>
        <w:t xml:space="preserve"> of sales in R&amp;D and capital expenditures, which totaled </w:t>
      </w:r>
      <w:r>
        <w:rPr>
          <w:rFonts w:ascii="Arial" w:cs="Arial" w:eastAsia="Arial" w:hAnsi="Arial"/>
          <w:sz w:val="20"/>
          <w:szCs w:val="20"/>
          <w:b w:val="1"/>
          <w:bCs w:val="1"/>
          <w:color w:val="00249C"/>
        </w:rPr>
        <w:t xml:space="preserve">$1.2 billion </w:t>
      </w:r>
      <w:r>
        <w:rPr>
          <w:rFonts w:ascii="Arial" w:cs="Arial" w:eastAsia="Arial" w:hAnsi="Arial"/>
          <w:sz w:val="20"/>
          <w:szCs w:val="20"/>
          <w:color w:val="000000"/>
        </w:rPr>
        <w:t>and</w:t>
      </w:r>
      <w:r>
        <w:rPr>
          <w:rFonts w:ascii="Arial" w:cs="Arial" w:eastAsia="Arial" w:hAnsi="Arial"/>
          <w:sz w:val="20"/>
          <w:szCs w:val="20"/>
          <w:b w:val="1"/>
          <w:bCs w:val="1"/>
          <w:color w:val="00249C"/>
        </w:rPr>
        <w:t xml:space="preserve"> $1.8 billion</w:t>
      </w:r>
      <w:r>
        <w:rPr>
          <w:rFonts w:ascii="Arial" w:cs="Arial" w:eastAsia="Arial" w:hAnsi="Arial"/>
          <w:sz w:val="20"/>
          <w:szCs w:val="20"/>
          <w:color w:val="000000"/>
        </w:rPr>
        <w:t>,</w:t>
      </w:r>
      <w:r>
        <w:rPr>
          <w:rFonts w:ascii="Arial" w:cs="Arial" w:eastAsia="Arial" w:hAnsi="Arial"/>
          <w:sz w:val="20"/>
          <w:szCs w:val="20"/>
          <w:b w:val="1"/>
          <w:bCs w:val="1"/>
          <w:color w:val="00249C"/>
        </w:rPr>
        <w:t xml:space="preserve"> </w:t>
      </w:r>
      <w:r>
        <w:rPr>
          <w:rFonts w:ascii="Arial" w:cs="Arial" w:eastAsia="Arial" w:hAnsi="Arial"/>
          <w:sz w:val="20"/>
          <w:szCs w:val="20"/>
          <w:color w:val="000000"/>
        </w:rPr>
        <w:t>respectively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color w:val="auto"/>
        </w:rPr>
        <w:t xml:space="preserve">We returned </w:t>
      </w:r>
      <w:r>
        <w:rPr>
          <w:rFonts w:ascii="Arial" w:cs="Arial" w:eastAsia="Arial" w:hAnsi="Arial"/>
          <w:sz w:val="19"/>
          <w:szCs w:val="19"/>
          <w:b w:val="1"/>
          <w:bCs w:val="1"/>
          <w:color w:val="00249C"/>
        </w:rPr>
        <w:t>$2.6 billion</w:t>
      </w:r>
      <w:r>
        <w:rPr>
          <w:rFonts w:ascii="Arial" w:cs="Arial" w:eastAsia="Arial" w:hAnsi="Arial"/>
          <w:sz w:val="19"/>
          <w:szCs w:val="19"/>
          <w:color w:val="auto"/>
        </w:rPr>
        <w:t xml:space="preserve"> to our shareholders through dividends and share repurchases and increased our quarterly dividend by </w:t>
      </w:r>
      <w:r>
        <w:rPr>
          <w:rFonts w:ascii="Arial" w:cs="Arial" w:eastAsia="Arial" w:hAnsi="Arial"/>
          <w:sz w:val="19"/>
          <w:szCs w:val="19"/>
          <w:b w:val="1"/>
          <w:bCs w:val="1"/>
          <w:color w:val="00249C"/>
        </w:rPr>
        <w:t>8% to $1.87 per share</w:t>
      </w:r>
      <w:r>
        <w:rPr>
          <w:rFonts w:ascii="Arial" w:cs="Arial" w:eastAsia="Arial" w:hAnsi="Arial"/>
          <w:sz w:val="19"/>
          <w:szCs w:val="19"/>
          <w:color w:val="auto"/>
        </w:rPr>
        <w:t xml:space="preserve">, our </w:t>
      </w:r>
      <w:r>
        <w:rPr>
          <w:rFonts w:ascii="Arial" w:cs="Arial" w:eastAsia="Arial" w:hAnsi="Arial"/>
          <w:sz w:val="19"/>
          <w:szCs w:val="19"/>
          <w:b w:val="1"/>
          <w:bCs w:val="1"/>
          <w:color w:val="00249C"/>
        </w:rPr>
        <w:t xml:space="preserve">20th </w:t>
      </w:r>
      <w:r>
        <w:rPr>
          <w:rFonts w:ascii="Arial" w:cs="Arial" w:eastAsia="Arial" w:hAnsi="Arial"/>
          <w:sz w:val="19"/>
          <w:szCs w:val="19"/>
          <w:color w:val="000000"/>
        </w:rPr>
        <w:t>consecutive annual increase</w:t>
      </w:r>
    </w:p>
    <w:p>
      <w:pPr>
        <w:spacing w:after="0" w:line="200" w:lineRule="exact"/>
        <w:rPr>
          <w:sz w:val="20"/>
          <w:szCs w:val="20"/>
          <w:color w:val="auto"/>
        </w:rPr>
      </w:pPr>
    </w:p>
    <w:p>
      <w:pPr>
        <w:sectPr>
          <w:pgSz w:w="11900" w:h="16838" w:orient="portrait"/>
          <w:cols w:equalWidth="0" w:num="3">
            <w:col w:w="3400" w:space="360"/>
            <w:col w:w="3040" w:space="500"/>
            <w:col w:w="3940"/>
          </w:cols>
          <w:pgMar w:left="320" w:top="1298"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Highlights</w:t>
      </w:r>
    </w:p>
    <w:p>
      <w:pPr>
        <w:spacing w:after="0" w:line="13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are committed to performance-based executive compensation programs that align with our shareholders’ interests, reflecting our Company’s objectives and our strategy of investing for and delivering long-term profitable growth.</w:t>
      </w:r>
    </w:p>
    <w:p>
      <w:pPr>
        <w:spacing w:after="0" w:line="59"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Snapshot</w:t>
      </w:r>
    </w:p>
    <w:p>
      <w:pPr>
        <w:spacing w:after="0" w:line="119" w:lineRule="exact"/>
        <w:rPr>
          <w:sz w:val="20"/>
          <w:szCs w:val="20"/>
          <w:color w:val="auto"/>
        </w:rPr>
      </w:pPr>
    </w:p>
    <w:p>
      <w:pPr>
        <w:ind w:left="2620"/>
        <w:spacing w:after="0"/>
        <w:tabs>
          <w:tab w:leader="none" w:pos="672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26035</wp:posOffset>
            </wp:positionV>
            <wp:extent cx="6094730" cy="1765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473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Paying For Performance</w:t>
      </w:r>
    </w:p>
    <w:p>
      <w:pPr>
        <w:spacing w:after="0" w:line="123"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In 2023, we continued to maintain robust pay-for-performance practices. All incentive plan performance payouts reflect our performance against our 2023 goals.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423"/>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We delivered strong</w:t>
            </w:r>
          </w:p>
        </w:tc>
        <w:tc>
          <w:tcPr>
            <w:tcW w:w="3140" w:type="dxa"/>
            <w:vAlign w:val="bottom"/>
            <w:tcBorders>
              <w:top w:val="single" w:sz="8" w:color="29378D"/>
            </w:tcBorders>
            <w:vMerge w:val="restart"/>
          </w:tcPr>
          <w:p>
            <w:pPr>
              <w:jc w:val="right"/>
              <w:ind w:right="1920"/>
              <w:spacing w:after="0"/>
              <w:rPr>
                <w:sz w:val="20"/>
                <w:szCs w:val="20"/>
                <w:color w:val="auto"/>
              </w:rPr>
            </w:pPr>
            <w:r>
              <w:rPr>
                <w:rFonts w:ascii="Arial" w:cs="Arial" w:eastAsia="Arial" w:hAnsi="Arial"/>
                <w:sz w:val="43"/>
                <w:szCs w:val="43"/>
                <w:b w:val="1"/>
                <w:bCs w:val="1"/>
                <w:color w:val="29378D"/>
                <w:w w:val="98"/>
              </w:rPr>
              <w:t>157%</w:t>
            </w:r>
          </w:p>
        </w:tc>
        <w:tc>
          <w:tcPr>
            <w:tcW w:w="5020" w:type="dxa"/>
            <w:vAlign w:val="bottom"/>
            <w:tcBorders>
              <w:top w:val="single" w:sz="8" w:color="29378D"/>
              <w:right w:val="single" w:sz="8" w:color="29378D"/>
            </w:tcBorders>
            <w:vMerge w:val="restart"/>
          </w:tcPr>
          <w:p>
            <w:pPr>
              <w:ind w:left="800"/>
              <w:spacing w:after="0"/>
              <w:rPr>
                <w:sz w:val="20"/>
                <w:szCs w:val="20"/>
                <w:color w:val="auto"/>
              </w:rPr>
            </w:pPr>
            <w:r>
              <w:rPr>
                <w:rFonts w:ascii="Arial" w:cs="Arial" w:eastAsia="Arial" w:hAnsi="Arial"/>
                <w:sz w:val="43"/>
                <w:szCs w:val="43"/>
                <w:b w:val="1"/>
                <w:bCs w:val="1"/>
                <w:color w:val="29378D"/>
              </w:rPr>
              <w:t>141%</w:t>
            </w:r>
          </w:p>
        </w:tc>
        <w:tc>
          <w:tcPr>
            <w:tcW w:w="0" w:type="dxa"/>
            <w:vAlign w:val="bottom"/>
          </w:tcPr>
          <w:p>
            <w:pPr>
              <w:spacing w:after="0"/>
              <w:rPr>
                <w:sz w:val="1"/>
                <w:szCs w:val="1"/>
                <w:color w:val="auto"/>
              </w:rPr>
            </w:pPr>
          </w:p>
        </w:tc>
      </w:tr>
      <w:tr>
        <w:trPr>
          <w:trHeight w:val="189"/>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financial performance</w:t>
            </w:r>
          </w:p>
        </w:tc>
        <w:tc>
          <w:tcPr>
            <w:tcW w:w="3140" w:type="dxa"/>
            <w:vAlign w:val="bottom"/>
            <w:vMerge w:val="continue"/>
          </w:tcPr>
          <w:p>
            <w:pPr>
              <w:spacing w:after="0"/>
              <w:rPr>
                <w:sz w:val="16"/>
                <w:szCs w:val="16"/>
                <w:color w:val="auto"/>
              </w:rPr>
            </w:pPr>
          </w:p>
        </w:tc>
        <w:tc>
          <w:tcPr>
            <w:tcW w:w="5020" w:type="dxa"/>
            <w:vAlign w:val="bottom"/>
            <w:tcBorders>
              <w:right w:val="single" w:sz="8" w:color="2937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in 2023</w:t>
            </w:r>
          </w:p>
        </w:tc>
        <w:tc>
          <w:tcPr>
            <w:tcW w:w="3140" w:type="dxa"/>
            <w:vAlign w:val="bottom"/>
          </w:tcPr>
          <w:p>
            <w:pPr>
              <w:ind w:left="140"/>
              <w:spacing w:after="0"/>
              <w:rPr>
                <w:sz w:val="20"/>
                <w:szCs w:val="20"/>
                <w:color w:val="auto"/>
              </w:rPr>
            </w:pPr>
            <w:r>
              <w:rPr>
                <w:rFonts w:ascii="Arial" w:cs="Arial" w:eastAsia="Arial" w:hAnsi="Arial"/>
                <w:sz w:val="14"/>
                <w:szCs w:val="14"/>
                <w:b w:val="1"/>
                <w:bCs w:val="1"/>
                <w:color w:val="auto"/>
              </w:rPr>
              <w:t>2023 ANNUAL INCENTIVE PLAN</w:t>
            </w:r>
          </w:p>
        </w:tc>
        <w:tc>
          <w:tcPr>
            <w:tcW w:w="5020" w:type="dxa"/>
            <w:vAlign w:val="bottom"/>
            <w:tcBorders>
              <w:right w:val="single" w:sz="8" w:color="29378D"/>
            </w:tcBorders>
          </w:tcPr>
          <w:p>
            <w:pPr>
              <w:ind w:left="800"/>
              <w:spacing w:after="0"/>
              <w:rPr>
                <w:sz w:val="20"/>
                <w:szCs w:val="20"/>
                <w:color w:val="auto"/>
              </w:rPr>
            </w:pPr>
            <w:r>
              <w:rPr>
                <w:rFonts w:ascii="Arial" w:cs="Arial" w:eastAsia="Arial" w:hAnsi="Arial"/>
                <w:sz w:val="14"/>
                <w:szCs w:val="14"/>
                <w:b w:val="1"/>
                <w:bCs w:val="1"/>
                <w:color w:val="auto"/>
              </w:rPr>
              <w:t>2023 LONG-TERM INCENTIVE PLAN</w:t>
            </w:r>
          </w:p>
        </w:tc>
        <w:tc>
          <w:tcPr>
            <w:tcW w:w="0" w:type="dxa"/>
            <w:vAlign w:val="bottom"/>
          </w:tcPr>
          <w:p>
            <w:pPr>
              <w:spacing w:after="0"/>
              <w:rPr>
                <w:sz w:val="1"/>
                <w:szCs w:val="1"/>
                <w:color w:val="auto"/>
              </w:rPr>
            </w:pPr>
          </w:p>
        </w:tc>
      </w:tr>
      <w:tr>
        <w:trPr>
          <w:trHeight w:val="196"/>
        </w:trPr>
        <w:tc>
          <w:tcPr>
            <w:tcW w:w="3080" w:type="dxa"/>
            <w:vAlign w:val="bottom"/>
            <w:tcBorders>
              <w:right w:val="single" w:sz="8" w:color="29378D"/>
            </w:tcBorders>
          </w:tcPr>
          <w:p>
            <w:pPr>
              <w:spacing w:after="0"/>
              <w:rPr>
                <w:sz w:val="17"/>
                <w:szCs w:val="17"/>
                <w:color w:val="auto"/>
              </w:rPr>
            </w:pPr>
          </w:p>
        </w:tc>
        <w:tc>
          <w:tcPr>
            <w:tcW w:w="3140" w:type="dxa"/>
            <w:vAlign w:val="bottom"/>
          </w:tcPr>
          <w:p>
            <w:pPr>
              <w:ind w:left="140"/>
              <w:spacing w:after="0"/>
              <w:rPr>
                <w:sz w:val="20"/>
                <w:szCs w:val="20"/>
                <w:color w:val="auto"/>
              </w:rPr>
            </w:pPr>
            <w:r>
              <w:rPr>
                <w:rFonts w:ascii="Arial" w:cs="Arial" w:eastAsia="Arial" w:hAnsi="Arial"/>
                <w:sz w:val="14"/>
                <w:szCs w:val="14"/>
                <w:b w:val="1"/>
                <w:bCs w:val="1"/>
                <w:color w:val="auto"/>
              </w:rPr>
              <w:t>(AIP) PAY FOR OUR NEOs</w:t>
            </w:r>
          </w:p>
        </w:tc>
        <w:tc>
          <w:tcPr>
            <w:tcW w:w="5020" w:type="dxa"/>
            <w:vAlign w:val="bottom"/>
            <w:tcBorders>
              <w:right w:val="single" w:sz="8" w:color="29378D"/>
            </w:tcBorders>
          </w:tcPr>
          <w:p>
            <w:pPr>
              <w:ind w:left="800"/>
              <w:spacing w:after="0"/>
              <w:rPr>
                <w:sz w:val="20"/>
                <w:szCs w:val="20"/>
                <w:color w:val="auto"/>
              </w:rPr>
            </w:pPr>
            <w:r>
              <w:rPr>
                <w:rFonts w:ascii="Arial" w:cs="Arial" w:eastAsia="Arial" w:hAnsi="Arial"/>
                <w:sz w:val="14"/>
                <w:szCs w:val="14"/>
                <w:b w:val="1"/>
                <w:bCs w:val="1"/>
                <w:color w:val="auto"/>
              </w:rPr>
              <w:t>(LTIP) PAYOUT FOR OUR NEOs</w:t>
            </w:r>
          </w:p>
        </w:tc>
        <w:tc>
          <w:tcPr>
            <w:tcW w:w="0" w:type="dxa"/>
            <w:vAlign w:val="bottom"/>
          </w:tcPr>
          <w:p>
            <w:pPr>
              <w:spacing w:after="0"/>
              <w:rPr>
                <w:sz w:val="1"/>
                <w:szCs w:val="1"/>
                <w:color w:val="auto"/>
              </w:rPr>
            </w:pPr>
          </w:p>
        </w:tc>
      </w:tr>
      <w:tr>
        <w:trPr>
          <w:trHeight w:val="83"/>
        </w:trPr>
        <w:tc>
          <w:tcPr>
            <w:tcW w:w="3080" w:type="dxa"/>
            <w:vAlign w:val="bottom"/>
            <w:tcBorders>
              <w:right w:val="single" w:sz="8" w:color="29378D"/>
            </w:tcBorders>
          </w:tcPr>
          <w:p>
            <w:pPr>
              <w:spacing w:after="0"/>
              <w:rPr>
                <w:sz w:val="7"/>
                <w:szCs w:val="7"/>
                <w:color w:val="auto"/>
              </w:rPr>
            </w:pPr>
          </w:p>
        </w:tc>
        <w:tc>
          <w:tcPr>
            <w:tcW w:w="3140" w:type="dxa"/>
            <w:vAlign w:val="bottom"/>
            <w:tcBorders>
              <w:bottom w:val="single" w:sz="8" w:color="29378D"/>
            </w:tcBorders>
          </w:tcPr>
          <w:p>
            <w:pPr>
              <w:spacing w:after="0"/>
              <w:rPr>
                <w:sz w:val="7"/>
                <w:szCs w:val="7"/>
                <w:color w:val="auto"/>
              </w:rPr>
            </w:pPr>
          </w:p>
        </w:tc>
        <w:tc>
          <w:tcPr>
            <w:tcW w:w="5020" w:type="dxa"/>
            <w:vAlign w:val="bottom"/>
            <w:tcBorders>
              <w:bottom w:val="single" w:sz="8" w:color="29378D"/>
              <w:right w:val="single" w:sz="8" w:color="29378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29378D"/>
        </w:rPr>
        <w:t>Non-financial Metrics in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64770</wp:posOffset>
            </wp:positionV>
            <wp:extent cx="4680585"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80585" cy="539750"/>
                    </a:xfrm>
                    <a:prstGeom prst="rect">
                      <a:avLst/>
                    </a:prstGeom>
                    <a:noFill/>
                  </pic:spPr>
                </pic:pic>
              </a:graphicData>
            </a:graphic>
          </wp:anchor>
        </w:drawing>
      </w:r>
    </w:p>
    <w:p>
      <w:pPr>
        <w:spacing w:after="0" w:line="263" w:lineRule="exact"/>
        <w:rPr>
          <w:sz w:val="20"/>
          <w:szCs w:val="20"/>
          <w:color w:val="auto"/>
        </w:rPr>
      </w:pPr>
    </w:p>
    <w:p>
      <w:pPr>
        <w:jc w:val="center"/>
        <w:ind w:left="5120"/>
        <w:spacing w:after="0"/>
        <w:rPr>
          <w:sz w:val="20"/>
          <w:szCs w:val="20"/>
          <w:color w:val="auto"/>
        </w:rPr>
      </w:pPr>
      <w:r>
        <w:rPr>
          <w:rFonts w:ascii="Arial" w:cs="Arial" w:eastAsia="Arial" w:hAnsi="Arial"/>
          <w:sz w:val="20"/>
          <w:szCs w:val="20"/>
          <w:color w:val="29378D"/>
        </w:rPr>
        <w:t>People</w:t>
      </w:r>
    </w:p>
    <w:p>
      <w:pPr>
        <w:sectPr>
          <w:pgSz w:w="11900" w:h="16838" w:orient="portrait"/>
          <w:cols w:equalWidth="0" w:num="1">
            <w:col w:w="11260"/>
          </w:cols>
          <w:pgMar w:left="320" w:top="238" w:right="319" w:bottom="1440" w:gutter="0" w:footer="0" w:header="0"/>
        </w:sectPr>
      </w:pPr>
    </w:p>
    <w:p>
      <w:pPr>
        <w:spacing w:after="0" w:line="187" w:lineRule="exact"/>
        <w:rPr>
          <w:sz w:val="20"/>
          <w:szCs w:val="20"/>
          <w:color w:val="auto"/>
        </w:rPr>
      </w:pPr>
    </w:p>
    <w:p>
      <w:pPr>
        <w:ind w:left="20" w:right="1260"/>
        <w:spacing w:after="0" w:line="292" w:lineRule="auto"/>
        <w:rPr>
          <w:sz w:val="20"/>
          <w:szCs w:val="20"/>
          <w:color w:val="auto"/>
        </w:rPr>
      </w:pPr>
      <w:r>
        <w:rPr>
          <w:rFonts w:ascii="Arial" w:cs="Arial" w:eastAsia="Arial" w:hAnsi="Arial"/>
          <w:sz w:val="14"/>
          <w:szCs w:val="14"/>
          <w:b w:val="1"/>
          <w:bCs w:val="1"/>
          <w:color w:val="29378D"/>
        </w:rPr>
        <w:t>We are committed to a fair and equitable workplace for our employees, environmental sustainability and an unrelenting focus on our customers. To reinforce these commitments we include related non-financial metrics in our executive compensation program.</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Diversity | Employee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177165</wp:posOffset>
            </wp:positionV>
            <wp:extent cx="4680585" cy="53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0585" cy="5397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29378D"/>
        </w:rPr>
        <w:t>Environment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177165</wp:posOffset>
            </wp:positionV>
            <wp:extent cx="4680585" cy="548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80585" cy="548640"/>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4540" w:space="720"/>
            <w:col w:w="6000"/>
          </w:cols>
          <w:pgMar w:left="320" w:top="238" w:right="319" w:bottom="1440" w:gutter="0" w:footer="0" w:header="0"/>
          <w:type w:val="continuous"/>
        </w:sectPr>
      </w:pPr>
    </w:p>
    <w:p>
      <w:pPr>
        <w:spacing w:after="0" w:line="16" w:lineRule="exact"/>
        <w:rPr>
          <w:sz w:val="20"/>
          <w:szCs w:val="20"/>
          <w:color w:val="auto"/>
        </w:rPr>
      </w:pPr>
    </w:p>
    <w:p>
      <w:pPr>
        <w:ind w:left="5260"/>
        <w:spacing w:after="0"/>
        <w:rPr>
          <w:sz w:val="20"/>
          <w:szCs w:val="20"/>
          <w:color w:val="auto"/>
        </w:rPr>
      </w:pPr>
      <w:r>
        <w:rPr>
          <w:rFonts w:ascii="Arial" w:cs="Arial" w:eastAsia="Arial" w:hAnsi="Arial"/>
          <w:sz w:val="20"/>
          <w:szCs w:val="20"/>
          <w:color w:val="29378D"/>
        </w:rPr>
        <w:t>Customer</w:t>
      </w:r>
    </w:p>
    <w:p>
      <w:pPr>
        <w:spacing w:after="0" w:line="31" w:lineRule="exact"/>
        <w:rPr>
          <w:sz w:val="20"/>
          <w:szCs w:val="20"/>
          <w:color w:val="auto"/>
        </w:rPr>
      </w:pPr>
    </w:p>
    <w:p>
      <w:pPr>
        <w:jc w:val="right"/>
        <w:ind w:right="3780"/>
        <w:spacing w:after="0"/>
        <w:rPr>
          <w:sz w:val="20"/>
          <w:szCs w:val="20"/>
          <w:color w:val="auto"/>
        </w:rPr>
      </w:pPr>
      <w:r>
        <w:rPr>
          <w:rFonts w:ascii="Arial" w:cs="Arial" w:eastAsia="Arial" w:hAnsi="Arial"/>
          <w:sz w:val="16"/>
          <w:szCs w:val="16"/>
          <w:color w:val="auto"/>
        </w:rPr>
        <w:t>Quality | Customer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494"/>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type w:val="continuous"/>
        </w:sectPr>
      </w:pPr>
    </w:p>
    <w:bookmarkStart w:id="11" w:name="page12"/>
    <w:bookmarkEnd w:id="11"/>
    <w:p>
      <w:pPr>
        <w:ind w:left="9400"/>
        <w:spacing w:after="0"/>
        <w:rPr>
          <w:sz w:val="20"/>
          <w:szCs w:val="20"/>
          <w:color w:val="auto"/>
        </w:rPr>
      </w:pPr>
      <w:r>
        <w:rPr>
          <w:rFonts w:ascii="Arial" w:cs="Arial" w:eastAsia="Arial" w:hAnsi="Arial"/>
          <w:sz w:val="14"/>
          <w:szCs w:val="14"/>
          <w:b w:val="1"/>
          <w:bCs w:val="1"/>
          <w:color w:val="auto"/>
        </w:rPr>
        <w:t>Proxy Statement Summary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High Say-on-Pay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9378D"/>
        </w:rPr>
        <w:t>Consistent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5"/>
          <w:szCs w:val="25"/>
          <w:color w:val="auto"/>
        </w:rPr>
        <w:t>Shareholder Approval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29378D"/>
        </w:rPr>
        <w:t>97%</w:t>
      </w:r>
    </w:p>
    <w:p>
      <w:pPr>
        <w:spacing w:after="0" w:line="65" w:lineRule="exact"/>
        <w:rPr>
          <w:sz w:val="20"/>
          <w:szCs w:val="20"/>
          <w:color w:val="auto"/>
        </w:rPr>
      </w:pPr>
    </w:p>
    <w:p>
      <w:pPr>
        <w:ind w:left="20" w:right="80"/>
        <w:spacing w:after="0" w:line="297" w:lineRule="auto"/>
        <w:rPr>
          <w:sz w:val="20"/>
          <w:szCs w:val="20"/>
          <w:color w:val="auto"/>
        </w:rPr>
      </w:pPr>
      <w:r>
        <w:rPr>
          <w:rFonts w:ascii="Arial" w:cs="Arial" w:eastAsia="Arial" w:hAnsi="Arial"/>
          <w:sz w:val="14"/>
          <w:szCs w:val="14"/>
          <w:b w:val="1"/>
          <w:bCs w:val="1"/>
          <w:color w:val="auto"/>
        </w:rPr>
        <w:t>3-YEAR AVERAGE OF SHAREHOLDER VOTES IN FAVOR OF SAY-ON-PAY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Highlights of our 2023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-115570</wp:posOffset>
            </wp:positionV>
            <wp:extent cx="8255" cy="1379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3798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Over </w:t>
            </w:r>
            <w:r>
              <w:rPr>
                <w:rFonts w:ascii="Arial" w:cs="Arial" w:eastAsia="Arial" w:hAnsi="Arial"/>
                <w:sz w:val="16"/>
                <w:szCs w:val="16"/>
                <w:b w:val="1"/>
                <w:bCs w:val="1"/>
                <w:color w:val="29378D"/>
              </w:rPr>
              <w:t>80%</w:t>
            </w:r>
            <w:r>
              <w:rPr>
                <w:rFonts w:ascii="Arial" w:cs="Arial" w:eastAsia="Arial" w:hAnsi="Arial"/>
                <w:sz w:val="16"/>
                <w:szCs w:val="16"/>
                <w:color w:val="auto"/>
              </w:rPr>
              <w:t xml:space="preserve"> of Executive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Stock Ownership </w:t>
            </w:r>
            <w:r>
              <w:rPr>
                <w:rFonts w:ascii="Arial" w:cs="Arial" w:eastAsia="Arial" w:hAnsi="Arial"/>
                <w:sz w:val="16"/>
                <w:szCs w:val="16"/>
                <w:color w:val="000000"/>
              </w:rPr>
              <w:t>Guidelines for All</w:t>
            </w:r>
          </w:p>
        </w:tc>
        <w:tc>
          <w:tcPr>
            <w:tcW w:w="2800" w:type="dxa"/>
            <w:vAlign w:val="bottom"/>
          </w:tcPr>
          <w:p>
            <w:pPr>
              <w:ind w:left="20"/>
              <w:spacing w:after="0"/>
              <w:rPr>
                <w:sz w:val="20"/>
                <w:szCs w:val="20"/>
                <w:color w:val="auto"/>
              </w:rPr>
            </w:pPr>
            <w:r>
              <w:rPr>
                <w:rFonts w:ascii="Arial" w:cs="Arial" w:eastAsia="Arial" w:hAnsi="Arial"/>
                <w:sz w:val="16"/>
                <w:szCs w:val="16"/>
                <w:b w:val="1"/>
                <w:bCs w:val="1"/>
                <w:color w:val="29378D"/>
              </w:rPr>
              <w:t>3-Year Mandatory Holding Period</w:t>
            </w: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color w:val="auto"/>
              </w:rPr>
              <w:t>Officers:</w:t>
            </w:r>
          </w:p>
        </w:tc>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for 50% of Vested Shares</w:t>
            </w:r>
          </w:p>
        </w:tc>
        <w:tc>
          <w:tcPr>
            <w:tcW w:w="0" w:type="dxa"/>
            <w:vAlign w:val="bottom"/>
          </w:tcPr>
          <w:p>
            <w:pPr>
              <w:spacing w:after="0"/>
              <w:rPr>
                <w:sz w:val="1"/>
                <w:szCs w:val="1"/>
                <w:color w:val="auto"/>
              </w:rPr>
            </w:pPr>
          </w:p>
        </w:tc>
      </w:tr>
      <w:tr>
        <w:trPr>
          <w:trHeight w:val="107"/>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Compensation is </w:t>
            </w:r>
            <w:r>
              <w:rPr>
                <w:rFonts w:ascii="Arial" w:cs="Arial" w:eastAsia="Arial" w:hAnsi="Arial"/>
                <w:sz w:val="16"/>
                <w:szCs w:val="16"/>
                <w:b w:val="1"/>
                <w:bCs w:val="1"/>
                <w:color w:val="29378D"/>
              </w:rPr>
              <w:t>Variable</w:t>
            </w:r>
          </w:p>
        </w:tc>
        <w:tc>
          <w:tcPr>
            <w:tcW w:w="2840" w:type="dxa"/>
            <w:vAlign w:val="bottom"/>
            <w:gridSpan w:val="2"/>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820" w:type="dxa"/>
            <w:vAlign w:val="bottom"/>
            <w:gridSpan w:val="2"/>
            <w:vMerge w:val="continue"/>
          </w:tcPr>
          <w:p>
            <w:pPr>
              <w:spacing w:after="0"/>
              <w:rPr>
                <w:sz w:val="10"/>
                <w:szCs w:val="10"/>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CEO 7x</w:t>
            </w: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29378D"/>
              </w:rPr>
              <w:t>Other NEOs 3x</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6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Recoupment Policy </w:t>
            </w:r>
            <w:r>
              <w:rPr>
                <w:rFonts w:ascii="Arial" w:cs="Arial" w:eastAsia="Arial" w:hAnsi="Arial"/>
                <w:sz w:val="16"/>
                <w:szCs w:val="16"/>
                <w:color w:val="000000"/>
              </w:rPr>
              <w:t>on Cash</w:t>
            </w: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 xml:space="preserve">No </w:t>
            </w:r>
            <w:r>
              <w:rPr>
                <w:rFonts w:ascii="Arial" w:cs="Arial" w:eastAsia="Arial" w:hAnsi="Arial"/>
                <w:sz w:val="16"/>
                <w:szCs w:val="16"/>
                <w:color w:val="000000"/>
              </w:rPr>
              <w:t>Individual</w:t>
            </w:r>
            <w:r>
              <w:rPr>
                <w:rFonts w:ascii="Arial" w:cs="Arial" w:eastAsia="Arial" w:hAnsi="Arial"/>
                <w:sz w:val="16"/>
                <w:szCs w:val="16"/>
                <w:b w:val="1"/>
                <w:bCs w:val="1"/>
                <w:color w:val="29378D"/>
              </w:rPr>
              <w:t xml:space="preserve"> Change in Control</w:t>
            </w:r>
          </w:p>
        </w:tc>
        <w:tc>
          <w:tcPr>
            <w:tcW w:w="28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 xml:space="preserve">No Hedging or Pledging </w:t>
            </w:r>
            <w:r>
              <w:rPr>
                <w:rFonts w:ascii="Arial" w:cs="Arial" w:eastAsia="Arial" w:hAnsi="Arial"/>
                <w:sz w:val="16"/>
                <w:szCs w:val="16"/>
                <w:color w:val="29378D"/>
              </w:rPr>
              <w:t>of</w:t>
            </w:r>
          </w:p>
        </w:tc>
        <w:tc>
          <w:tcPr>
            <w:tcW w:w="0" w:type="dxa"/>
            <w:vAlign w:val="bottom"/>
          </w:tcPr>
          <w:p>
            <w:pPr>
              <w:spacing w:after="0"/>
              <w:rPr>
                <w:sz w:val="1"/>
                <w:szCs w:val="1"/>
                <w:color w:val="auto"/>
              </w:rPr>
            </w:pPr>
          </w:p>
        </w:tc>
      </w:tr>
      <w:tr>
        <w:trPr>
          <w:trHeight w:val="108"/>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Equity Incentive Payouts</w:t>
            </w:r>
          </w:p>
        </w:tc>
        <w:tc>
          <w:tcPr>
            <w:tcW w:w="2840" w:type="dxa"/>
            <w:vAlign w:val="bottom"/>
            <w:gridSpan w:val="2"/>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820" w:type="dxa"/>
            <w:vAlign w:val="bottom"/>
            <w:gridSpan w:val="2"/>
            <w:vMerge w:val="continue"/>
          </w:tcPr>
          <w:p>
            <w:pPr>
              <w:spacing w:after="0"/>
              <w:rPr>
                <w:sz w:val="9"/>
                <w:szCs w:val="9"/>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Agreements</w:t>
            </w:r>
          </w:p>
        </w:tc>
        <w:tc>
          <w:tcPr>
            <w:tcW w:w="2800" w:type="dxa"/>
            <w:vAlign w:val="bottom"/>
            <w:vMerge w:val="restart"/>
          </w:tcPr>
          <w:p>
            <w:pPr>
              <w:ind w:left="20"/>
              <w:spacing w:after="0"/>
              <w:rPr>
                <w:sz w:val="20"/>
                <w:szCs w:val="20"/>
                <w:color w:val="auto"/>
              </w:rPr>
            </w:pPr>
            <w:r>
              <w:rPr>
                <w:rFonts w:ascii="Arial" w:cs="Arial" w:eastAsia="Arial" w:hAnsi="Arial"/>
                <w:sz w:val="16"/>
                <w:szCs w:val="16"/>
                <w:color w:val="29378D"/>
              </w:rPr>
              <w:t>Company Stock</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5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color w:val="auto"/>
              </w:rPr>
              <w:t>2024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186055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60" w:space="320"/>
            <w:col w:w="8460"/>
          </w:cols>
          <w:pgMar w:left="320" w:top="23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Nominee Highlights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Director</w:t>
            </w:r>
          </w:p>
        </w:tc>
        <w:tc>
          <w:tcPr>
            <w:tcW w:w="1880" w:type="dxa"/>
            <w:vAlign w:val="bottom"/>
            <w:gridSpan w:val="3"/>
          </w:tcPr>
          <w:p>
            <w:pPr>
              <w:ind w:left="360"/>
              <w:spacing w:after="0"/>
              <w:rPr>
                <w:sz w:val="20"/>
                <w:szCs w:val="20"/>
                <w:color w:val="auto"/>
              </w:rPr>
            </w:pPr>
            <w:r>
              <w:rPr>
                <w:rFonts w:ascii="Arial" w:cs="Arial" w:eastAsia="Arial" w:hAnsi="Arial"/>
                <w:sz w:val="13"/>
                <w:szCs w:val="13"/>
                <w:b w:val="1"/>
                <w:bCs w:val="1"/>
                <w:color w:val="auto"/>
                <w:w w:val="97"/>
              </w:rPr>
              <w:t>Committee Memberships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Professional Background</w:t>
            </w:r>
          </w:p>
        </w:tc>
        <w:tc>
          <w:tcPr>
            <w:tcW w:w="60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60" w:type="dxa"/>
            <w:vAlign w:val="bottom"/>
            <w:tcBorders>
              <w:bottom w:val="single" w:sz="8" w:color="29378D"/>
            </w:tcBorders>
          </w:tcPr>
          <w:p>
            <w:pPr>
              <w:spacing w:after="0" w:line="20" w:lineRule="exact"/>
              <w:rPr>
                <w:sz w:val="1"/>
                <w:szCs w:val="1"/>
                <w:color w:val="auto"/>
              </w:rPr>
            </w:pPr>
          </w:p>
        </w:tc>
        <w:tc>
          <w:tcPr>
            <w:tcW w:w="560" w:type="dxa"/>
            <w:vAlign w:val="bottom"/>
            <w:tcBorders>
              <w:bottom w:val="single" w:sz="8" w:color="29378D"/>
            </w:tcBorders>
          </w:tcPr>
          <w:p>
            <w:pPr>
              <w:spacing w:after="0" w:line="20" w:lineRule="exact"/>
              <w:rPr>
                <w:sz w:val="1"/>
                <w:szCs w:val="1"/>
                <w:color w:val="auto"/>
              </w:rPr>
            </w:pPr>
          </w:p>
        </w:tc>
        <w:tc>
          <w:tcPr>
            <w:tcW w:w="760" w:type="dxa"/>
            <w:vAlign w:val="bottom"/>
            <w:tcBorders>
              <w:bottom w:val="single" w:sz="8" w:color="29378D"/>
            </w:tcBorders>
          </w:tcPr>
          <w:p>
            <w:pPr>
              <w:spacing w:after="0" w:line="20" w:lineRule="exact"/>
              <w:rPr>
                <w:sz w:val="1"/>
                <w:szCs w:val="1"/>
                <w:color w:val="auto"/>
              </w:rPr>
            </w:pPr>
          </w:p>
        </w:tc>
        <w:tc>
          <w:tcPr>
            <w:tcW w:w="34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400" w:type="dxa"/>
            <w:vAlign w:val="bottom"/>
            <w:tcBorders>
              <w:bottom w:val="single" w:sz="8" w:color="29378D"/>
            </w:tcBorders>
            <w:vMerge w:val="continue"/>
          </w:tcPr>
          <w:p>
            <w:pPr>
              <w:spacing w:after="0"/>
              <w:rPr>
                <w:sz w:val="16"/>
                <w:szCs w:val="16"/>
                <w:color w:val="auto"/>
              </w:rPr>
            </w:pPr>
          </w:p>
        </w:tc>
        <w:tc>
          <w:tcPr>
            <w:tcW w:w="600" w:type="dxa"/>
            <w:vAlign w:val="bottom"/>
            <w:tcBorders>
              <w:bottom w:val="single" w:sz="8" w:color="29378D"/>
            </w:tcBorders>
          </w:tcPr>
          <w:p>
            <w:pPr>
              <w:jc w:val="center"/>
              <w:ind w:right="73"/>
              <w:spacing w:after="0"/>
              <w:rPr>
                <w:sz w:val="20"/>
                <w:szCs w:val="20"/>
                <w:color w:val="auto"/>
              </w:rPr>
            </w:pPr>
            <w:r>
              <w:rPr>
                <w:rFonts w:ascii="Arial" w:cs="Arial" w:eastAsia="Arial" w:hAnsi="Arial"/>
                <w:sz w:val="13"/>
                <w:szCs w:val="13"/>
                <w:b w:val="1"/>
                <w:bCs w:val="1"/>
                <w:color w:val="auto"/>
              </w:rPr>
              <w:t>Age*</w:t>
            </w:r>
          </w:p>
        </w:tc>
        <w:tc>
          <w:tcPr>
            <w:tcW w:w="1020" w:type="dxa"/>
            <w:vAlign w:val="bottom"/>
            <w:tcBorders>
              <w:bottom w:val="single" w:sz="8" w:color="29378D"/>
            </w:tcBorders>
          </w:tcPr>
          <w:p>
            <w:pPr>
              <w:jc w:val="center"/>
              <w:ind w:right="13"/>
              <w:spacing w:after="0"/>
              <w:rPr>
                <w:sz w:val="20"/>
                <w:szCs w:val="20"/>
                <w:color w:val="auto"/>
              </w:rPr>
            </w:pPr>
            <w:r>
              <w:rPr>
                <w:rFonts w:ascii="Arial" w:cs="Arial" w:eastAsia="Arial" w:hAnsi="Arial"/>
                <w:sz w:val="13"/>
                <w:szCs w:val="13"/>
                <w:b w:val="1"/>
                <w:bCs w:val="1"/>
                <w:color w:val="auto"/>
                <w:w w:val="97"/>
              </w:rPr>
              <w:t>Since</w:t>
            </w:r>
          </w:p>
        </w:tc>
        <w:tc>
          <w:tcPr>
            <w:tcW w:w="560" w:type="dxa"/>
            <w:vAlign w:val="bottom"/>
            <w:tcBorders>
              <w:bottom w:val="single" w:sz="8" w:color="29378D"/>
            </w:tcBorders>
          </w:tcPr>
          <w:p>
            <w:pPr>
              <w:ind w:left="200"/>
              <w:spacing w:after="0"/>
              <w:rPr>
                <w:sz w:val="20"/>
                <w:szCs w:val="20"/>
                <w:color w:val="auto"/>
              </w:rPr>
            </w:pPr>
            <w:r>
              <w:rPr>
                <w:rFonts w:ascii="Arial" w:cs="Arial" w:eastAsia="Arial" w:hAnsi="Arial"/>
                <w:sz w:val="13"/>
                <w:szCs w:val="13"/>
                <w:b w:val="1"/>
                <w:bCs w:val="1"/>
                <w:color w:val="auto"/>
              </w:rPr>
              <w:t>AR</w:t>
            </w:r>
          </w:p>
        </w:tc>
        <w:tc>
          <w:tcPr>
            <w:tcW w:w="560" w:type="dxa"/>
            <w:vAlign w:val="bottom"/>
            <w:tcBorders>
              <w:bottom w:val="single" w:sz="8" w:color="29378D"/>
            </w:tcBorders>
          </w:tcPr>
          <w:p>
            <w:pPr>
              <w:ind w:left="180"/>
              <w:spacing w:after="0"/>
              <w:rPr>
                <w:sz w:val="20"/>
                <w:szCs w:val="20"/>
                <w:color w:val="auto"/>
              </w:rPr>
            </w:pPr>
            <w:r>
              <w:rPr>
                <w:rFonts w:ascii="Arial" w:cs="Arial" w:eastAsia="Arial" w:hAnsi="Arial"/>
                <w:sz w:val="13"/>
                <w:szCs w:val="13"/>
                <w:b w:val="1"/>
                <w:bCs w:val="1"/>
                <w:color w:val="auto"/>
              </w:rPr>
              <w:t>CH</w:t>
            </w:r>
          </w:p>
        </w:tc>
        <w:tc>
          <w:tcPr>
            <w:tcW w:w="760" w:type="dxa"/>
            <w:vAlign w:val="bottom"/>
            <w:tcBorders>
              <w:bottom w:val="single" w:sz="8" w:color="29378D"/>
            </w:tcBorders>
          </w:tcPr>
          <w:p>
            <w:pPr>
              <w:ind w:left="180"/>
              <w:spacing w:after="0"/>
              <w:rPr>
                <w:sz w:val="20"/>
                <w:szCs w:val="20"/>
                <w:color w:val="auto"/>
              </w:rPr>
            </w:pPr>
            <w:r>
              <w:rPr>
                <w:rFonts w:ascii="Arial" w:cs="Arial" w:eastAsia="Arial" w:hAnsi="Arial"/>
                <w:sz w:val="13"/>
                <w:szCs w:val="13"/>
                <w:b w:val="1"/>
                <w:bCs w:val="1"/>
                <w:color w:val="auto"/>
              </w:rPr>
              <w:t>NG</w:t>
            </w:r>
          </w:p>
        </w:tc>
        <w:tc>
          <w:tcPr>
            <w:tcW w:w="34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P</w:t>
            </w:r>
          </w:p>
        </w:tc>
        <w:tc>
          <w:tcPr>
            <w:tcW w:w="0" w:type="dxa"/>
            <w:vAlign w:val="bottom"/>
          </w:tcPr>
          <w:p>
            <w:pPr>
              <w:spacing w:after="0"/>
              <w:rPr>
                <w:sz w:val="1"/>
                <w:szCs w:val="1"/>
                <w:color w:val="auto"/>
              </w:rPr>
            </w:pPr>
          </w:p>
        </w:tc>
      </w:tr>
      <w:tr>
        <w:trPr>
          <w:trHeight w:val="174"/>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David P. Abney</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Executive Chairman of the Board of Directors and</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06/2020</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Chief Executive Officer of United Parcel Service, Inc. (UPS)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Marianne C. Brown</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Chief Operating Officer, Global Financial Solutions,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65</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03/2015</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Fidelity National Information Services, Inc.</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Ann M. Fudge</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Chairman and Chief Executive Officer,</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03/2016</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Young &amp; Rubicam Brands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Madeleine A. Kleiner</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840"/>
              <w:spacing w:after="0"/>
              <w:rPr>
                <w:sz w:val="20"/>
                <w:szCs w:val="20"/>
                <w:color w:val="auto"/>
              </w:rPr>
            </w:pPr>
            <w:r>
              <w:rPr>
                <w:rFonts w:ascii="Arial" w:cs="Arial" w:eastAsia="Arial" w:hAnsi="Arial"/>
                <w:sz w:val="13"/>
                <w:szCs w:val="13"/>
                <w:color w:val="auto"/>
              </w:rPr>
              <w:t>Lead Independent Director, Northrop Grumman Corporation; Former</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10/2008</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Executive Vice President and General Counsel, Hilton Hotels Corporation</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Arvind Krishna</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00" w:type="dxa"/>
            <w:vAlign w:val="bottom"/>
          </w:tcPr>
          <w:p>
            <w:pPr>
              <w:ind w:left="840"/>
              <w:spacing w:after="0"/>
              <w:rPr>
                <w:sz w:val="20"/>
                <w:szCs w:val="20"/>
                <w:color w:val="auto"/>
              </w:rPr>
            </w:pPr>
            <w:r>
              <w:rPr>
                <w:rFonts w:ascii="Arial" w:cs="Arial" w:eastAsia="Arial" w:hAnsi="Arial"/>
                <w:sz w:val="13"/>
                <w:szCs w:val="13"/>
                <w:color w:val="auto"/>
              </w:rPr>
              <w:t>Chairman and Chief Executive Officer, International Business Machines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61</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11/2022</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Corporation (IBM)</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Graham N. Robinson</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840"/>
              <w:spacing w:after="0"/>
              <w:rPr>
                <w:sz w:val="20"/>
                <w:szCs w:val="20"/>
                <w:color w:val="auto"/>
              </w:rPr>
            </w:pPr>
            <w:r>
              <w:rPr>
                <w:rFonts w:ascii="Arial" w:cs="Arial" w:eastAsia="Arial" w:hAnsi="Arial"/>
                <w:sz w:val="13"/>
                <w:szCs w:val="13"/>
                <w:color w:val="auto"/>
              </w:rPr>
              <w:t>Senior Vice President, Stanley Black &amp; Decker, Inc., and President of</w:t>
            </w:r>
          </w:p>
        </w:tc>
        <w:tc>
          <w:tcPr>
            <w:tcW w:w="600" w:type="dxa"/>
            <w:vAlign w:val="bottom"/>
            <w:vMerge w:val="restart"/>
          </w:tcPr>
          <w:p>
            <w:pPr>
              <w:jc w:val="center"/>
              <w:ind w:right="73"/>
              <w:spacing w:after="0"/>
              <w:rPr>
                <w:sz w:val="20"/>
                <w:szCs w:val="20"/>
                <w:color w:val="auto"/>
              </w:rPr>
            </w:pPr>
            <w:r>
              <w:rPr>
                <w:rFonts w:ascii="Arial" w:cs="Arial" w:eastAsia="Arial" w:hAnsi="Arial"/>
                <w:sz w:val="13"/>
                <w:szCs w:val="13"/>
                <w:color w:val="auto"/>
                <w:w w:val="96"/>
              </w:rPr>
              <w:t>55</w:t>
            </w:r>
          </w:p>
        </w:tc>
        <w:tc>
          <w:tcPr>
            <w:tcW w:w="1020" w:type="dxa"/>
            <w:vAlign w:val="bottom"/>
            <w:vMerge w:val="restart"/>
          </w:tcPr>
          <w:p>
            <w:pPr>
              <w:jc w:val="center"/>
              <w:ind w:right="33"/>
              <w:spacing w:after="0"/>
              <w:rPr>
                <w:sz w:val="20"/>
                <w:szCs w:val="20"/>
                <w:color w:val="auto"/>
              </w:rPr>
            </w:pPr>
            <w:r>
              <w:rPr>
                <w:rFonts w:ascii="Arial" w:cs="Arial" w:eastAsia="Arial" w:hAnsi="Arial"/>
                <w:sz w:val="13"/>
                <w:szCs w:val="13"/>
                <w:color w:val="auto"/>
              </w:rPr>
              <w:t>08/2021</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400" w:type="dxa"/>
            <w:vAlign w:val="bottom"/>
            <w:vMerge w:val="restart"/>
          </w:tcPr>
          <w:p>
            <w:pPr>
              <w:ind w:left="840"/>
              <w:spacing w:after="0"/>
              <w:rPr>
                <w:sz w:val="20"/>
                <w:szCs w:val="20"/>
                <w:color w:val="auto"/>
              </w:rPr>
            </w:pPr>
            <w:r>
              <w:rPr>
                <w:rFonts w:ascii="Arial" w:cs="Arial" w:eastAsia="Arial" w:hAnsi="Arial"/>
                <w:sz w:val="13"/>
                <w:szCs w:val="13"/>
                <w:color w:val="auto"/>
              </w:rPr>
              <w:t>STANLEY Industrial</w:t>
            </w:r>
          </w:p>
        </w:tc>
        <w:tc>
          <w:tcPr>
            <w:tcW w:w="6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4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400" w:type="dxa"/>
            <w:vAlign w:val="bottom"/>
            <w:tcBorders>
              <w:bottom w:val="single" w:sz="8" w:color="BCBEC0"/>
            </w:tcBorders>
          </w:tcPr>
          <w:p>
            <w:pPr>
              <w:spacing w:after="0"/>
              <w:rPr>
                <w:sz w:val="11"/>
                <w:szCs w:val="11"/>
                <w:color w:val="auto"/>
              </w:rPr>
            </w:pPr>
          </w:p>
        </w:tc>
        <w:tc>
          <w:tcPr>
            <w:tcW w:w="600" w:type="dxa"/>
            <w:vAlign w:val="bottom"/>
            <w:tcBorders>
              <w:bottom w:val="single" w:sz="8" w:color="BCBEC0"/>
            </w:tcBorders>
          </w:tcPr>
          <w:p>
            <w:pPr>
              <w:spacing w:after="0"/>
              <w:rPr>
                <w:sz w:val="11"/>
                <w:szCs w:val="11"/>
                <w:color w:val="auto"/>
              </w:rPr>
            </w:pPr>
          </w:p>
        </w:tc>
        <w:tc>
          <w:tcPr>
            <w:tcW w:w="1020" w:type="dxa"/>
            <w:vAlign w:val="bottom"/>
            <w:tcBorders>
              <w:bottom w:val="single" w:sz="8" w:color="BCBEC0"/>
            </w:tcBorders>
          </w:tcPr>
          <w:p>
            <w:pPr>
              <w:spacing w:after="0"/>
              <w:rPr>
                <w:sz w:val="11"/>
                <w:szCs w:val="11"/>
                <w:color w:val="auto"/>
              </w:rPr>
            </w:pPr>
          </w:p>
        </w:tc>
        <w:tc>
          <w:tcPr>
            <w:tcW w:w="560" w:type="dxa"/>
            <w:vAlign w:val="bottom"/>
            <w:tcBorders>
              <w:bottom w:val="single" w:sz="8" w:color="BCBEC0"/>
            </w:tcBorders>
          </w:tcPr>
          <w:p>
            <w:pPr>
              <w:spacing w:after="0"/>
              <w:rPr>
                <w:sz w:val="11"/>
                <w:szCs w:val="11"/>
                <w:color w:val="auto"/>
              </w:rPr>
            </w:pPr>
          </w:p>
        </w:tc>
        <w:tc>
          <w:tcPr>
            <w:tcW w:w="560" w:type="dxa"/>
            <w:vAlign w:val="bottom"/>
            <w:tcBorders>
              <w:bottom w:val="single" w:sz="8" w:color="BCBEC0"/>
            </w:tcBorders>
          </w:tcPr>
          <w:p>
            <w:pPr>
              <w:spacing w:after="0"/>
              <w:rPr>
                <w:sz w:val="11"/>
                <w:szCs w:val="11"/>
                <w:color w:val="auto"/>
              </w:rPr>
            </w:pPr>
          </w:p>
        </w:tc>
        <w:tc>
          <w:tcPr>
            <w:tcW w:w="760" w:type="dxa"/>
            <w:vAlign w:val="bottom"/>
            <w:tcBorders>
              <w:bottom w:val="single" w:sz="8" w:color="BCBEC0"/>
            </w:tcBorders>
          </w:tcPr>
          <w:p>
            <w:pPr>
              <w:spacing w:after="0"/>
              <w:rPr>
                <w:sz w:val="11"/>
                <w:szCs w:val="11"/>
                <w:color w:val="auto"/>
              </w:rPr>
            </w:pPr>
          </w:p>
        </w:tc>
        <w:tc>
          <w:tcPr>
            <w:tcW w:w="340" w:type="dxa"/>
            <w:vAlign w:val="bottom"/>
            <w:tcBorders>
              <w:bottom w:val="single" w:sz="8" w:color="BCBEC0"/>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Kimberly A. Ross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Former Chief Financial Officer, WeWork and Baker Hughes Company</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58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03/2023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Gary Roughead</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Retired Admiral, United States Navy and Former Chief of Naval Operations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02/2012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Borders>
              <w:bottom w:val="single" w:sz="8" w:color="BCBEC0"/>
            </w:tcBorders>
          </w:tcPr>
          <w:p>
            <w:pPr>
              <w:spacing w:after="0"/>
              <w:rPr>
                <w:sz w:val="21"/>
                <w:szCs w:val="21"/>
                <w:color w:val="auto"/>
              </w:rPr>
            </w:pPr>
          </w:p>
        </w:tc>
        <w:tc>
          <w:tcPr>
            <w:tcW w:w="600" w:type="dxa"/>
            <w:vAlign w:val="bottom"/>
            <w:tcBorders>
              <w:bottom w:val="single" w:sz="8" w:color="BCBEC0"/>
            </w:tcBorders>
          </w:tcPr>
          <w:p>
            <w:pPr>
              <w:spacing w:after="0"/>
              <w:rPr>
                <w:sz w:val="21"/>
                <w:szCs w:val="21"/>
                <w:color w:val="auto"/>
              </w:rPr>
            </w:pPr>
          </w:p>
        </w:tc>
        <w:tc>
          <w:tcPr>
            <w:tcW w:w="1020" w:type="dxa"/>
            <w:vAlign w:val="bottom"/>
            <w:tcBorders>
              <w:bottom w:val="single" w:sz="8" w:color="BCBEC0"/>
            </w:tcBorders>
          </w:tcPr>
          <w:p>
            <w:pPr>
              <w:spacing w:after="0"/>
              <w:rPr>
                <w:sz w:val="21"/>
                <w:szCs w:val="21"/>
                <w:color w:val="auto"/>
              </w:rPr>
            </w:pPr>
          </w:p>
        </w:tc>
        <w:tc>
          <w:tcPr>
            <w:tcW w:w="560" w:type="dxa"/>
            <w:vAlign w:val="bottom"/>
            <w:tcBorders>
              <w:bottom w:val="single" w:sz="8" w:color="BCBEC0"/>
            </w:tcBorders>
          </w:tcPr>
          <w:p>
            <w:pPr>
              <w:spacing w:after="0"/>
              <w:rPr>
                <w:sz w:val="21"/>
                <w:szCs w:val="21"/>
                <w:color w:val="auto"/>
              </w:rPr>
            </w:pPr>
          </w:p>
        </w:tc>
        <w:tc>
          <w:tcPr>
            <w:tcW w:w="560" w:type="dxa"/>
            <w:vAlign w:val="bottom"/>
            <w:tcBorders>
              <w:bottom w:val="single" w:sz="8" w:color="BCBEC0"/>
            </w:tcBorders>
          </w:tcPr>
          <w:p>
            <w:pPr>
              <w:spacing w:after="0"/>
              <w:rPr>
                <w:sz w:val="21"/>
                <w:szCs w:val="21"/>
                <w:color w:val="auto"/>
              </w:rPr>
            </w:pPr>
          </w:p>
        </w:tc>
        <w:tc>
          <w:tcPr>
            <w:tcW w:w="760" w:type="dxa"/>
            <w:vAlign w:val="bottom"/>
            <w:tcBorders>
              <w:bottom w:val="single" w:sz="8" w:color="BCBEC0"/>
            </w:tcBorders>
          </w:tcPr>
          <w:p>
            <w:pPr>
              <w:spacing w:after="0"/>
              <w:rPr>
                <w:sz w:val="21"/>
                <w:szCs w:val="21"/>
                <w:color w:val="auto"/>
              </w:rPr>
            </w:pPr>
          </w:p>
        </w:tc>
        <w:tc>
          <w:tcPr>
            <w:tcW w:w="340" w:type="dxa"/>
            <w:vAlign w:val="bottom"/>
            <w:tcBorders>
              <w:bottom w:val="single" w:sz="8" w:color="BCBEC0"/>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Thomas M. Schoewe</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Former Executive Vice President and CFO, Wal-Mart Stores, Inc.</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71</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08/2011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James S. Turley</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840"/>
              <w:spacing w:after="0"/>
              <w:rPr>
                <w:sz w:val="20"/>
                <w:szCs w:val="20"/>
                <w:color w:val="auto"/>
              </w:rPr>
            </w:pPr>
            <w:r>
              <w:rPr>
                <w:rFonts w:ascii="Arial" w:cs="Arial" w:eastAsia="Arial" w:hAnsi="Arial"/>
                <w:sz w:val="13"/>
                <w:szCs w:val="13"/>
                <w:color w:val="auto"/>
              </w:rPr>
              <w:t>Former Chairman and Chief Executive Officer, Ernst &amp; Young</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02/2015</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0" w:type="dxa"/>
            <w:vAlign w:val="bottom"/>
            <w:tcBorders>
              <w:bottom w:val="single" w:sz="8" w:color="BCBEC0"/>
            </w:tcBorders>
          </w:tcPr>
          <w:p>
            <w:pPr>
              <w:spacing w:after="0"/>
              <w:rPr>
                <w:sz w:val="18"/>
                <w:szCs w:val="18"/>
                <w:color w:val="auto"/>
              </w:rPr>
            </w:pPr>
          </w:p>
        </w:tc>
        <w:tc>
          <w:tcPr>
            <w:tcW w:w="600" w:type="dxa"/>
            <w:vAlign w:val="bottom"/>
            <w:tcBorders>
              <w:bottom w:val="single" w:sz="8" w:color="BCBEC0"/>
            </w:tcBorders>
          </w:tcPr>
          <w:p>
            <w:pPr>
              <w:spacing w:after="0"/>
              <w:rPr>
                <w:sz w:val="18"/>
                <w:szCs w:val="18"/>
                <w:color w:val="auto"/>
              </w:rPr>
            </w:pPr>
          </w:p>
        </w:tc>
        <w:tc>
          <w:tcPr>
            <w:tcW w:w="1020" w:type="dxa"/>
            <w:vAlign w:val="bottom"/>
            <w:tcBorders>
              <w:bottom w:val="single" w:sz="8" w:color="BCBEC0"/>
            </w:tcBorders>
          </w:tcPr>
          <w:p>
            <w:pPr>
              <w:spacing w:after="0"/>
              <w:rPr>
                <w:sz w:val="18"/>
                <w:szCs w:val="18"/>
                <w:color w:val="auto"/>
              </w:rPr>
            </w:pPr>
          </w:p>
        </w:tc>
        <w:tc>
          <w:tcPr>
            <w:tcW w:w="560" w:type="dxa"/>
            <w:vAlign w:val="bottom"/>
            <w:tcBorders>
              <w:bottom w:val="single" w:sz="8" w:color="BCBEC0"/>
            </w:tcBorders>
          </w:tcPr>
          <w:p>
            <w:pPr>
              <w:spacing w:after="0"/>
              <w:rPr>
                <w:sz w:val="18"/>
                <w:szCs w:val="18"/>
                <w:color w:val="auto"/>
              </w:rPr>
            </w:pPr>
          </w:p>
        </w:tc>
        <w:tc>
          <w:tcPr>
            <w:tcW w:w="560" w:type="dxa"/>
            <w:vAlign w:val="bottom"/>
            <w:tcBorders>
              <w:bottom w:val="single" w:sz="8" w:color="BCBEC0"/>
            </w:tcBorders>
          </w:tcPr>
          <w:p>
            <w:pPr>
              <w:spacing w:after="0"/>
              <w:rPr>
                <w:sz w:val="18"/>
                <w:szCs w:val="18"/>
                <w:color w:val="auto"/>
              </w:rPr>
            </w:pPr>
          </w:p>
        </w:tc>
        <w:tc>
          <w:tcPr>
            <w:tcW w:w="760" w:type="dxa"/>
            <w:vAlign w:val="bottom"/>
            <w:tcBorders>
              <w:bottom w:val="single" w:sz="8" w:color="BCBEC0"/>
            </w:tcBorders>
          </w:tcPr>
          <w:p>
            <w:pPr>
              <w:spacing w:after="0"/>
              <w:rPr>
                <w:sz w:val="18"/>
                <w:szCs w:val="18"/>
                <w:color w:val="auto"/>
              </w:rPr>
            </w:pPr>
          </w:p>
        </w:tc>
        <w:tc>
          <w:tcPr>
            <w:tcW w:w="34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Kathy J. Warden</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840"/>
              <w:spacing w:after="0"/>
              <w:rPr>
                <w:sz w:val="20"/>
                <w:szCs w:val="20"/>
                <w:color w:val="auto"/>
              </w:rPr>
            </w:pPr>
            <w:r>
              <w:rPr>
                <w:rFonts w:ascii="Arial" w:cs="Arial" w:eastAsia="Arial" w:hAnsi="Arial"/>
                <w:sz w:val="13"/>
                <w:szCs w:val="13"/>
                <w:color w:val="auto"/>
              </w:rPr>
              <w:t>Chair, Chief Executive Officer and President, Northrop Grumman Corporation</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52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07/2018</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Mark A. Welsh III</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President, Texas A&amp;M University; Retired General, United States Air Force and Former Chief of Staff, United</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70</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12/2016</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States Air Force</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Mary A. Winston</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President and Founder of WinsCo Enterprises, Inc.</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03/2023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29378D"/>
            </w:tcBorders>
          </w:tcPr>
          <w:p>
            <w:pPr>
              <w:spacing w:after="0"/>
              <w:rPr>
                <w:sz w:val="19"/>
                <w:szCs w:val="19"/>
                <w:color w:val="auto"/>
              </w:rPr>
            </w:pPr>
          </w:p>
        </w:tc>
        <w:tc>
          <w:tcPr>
            <w:tcW w:w="600" w:type="dxa"/>
            <w:vAlign w:val="bottom"/>
            <w:tcBorders>
              <w:bottom w:val="single" w:sz="8" w:color="29378D"/>
            </w:tcBorders>
          </w:tcPr>
          <w:p>
            <w:pPr>
              <w:spacing w:after="0"/>
              <w:rPr>
                <w:sz w:val="19"/>
                <w:szCs w:val="19"/>
                <w:color w:val="auto"/>
              </w:rPr>
            </w:pPr>
          </w:p>
        </w:tc>
        <w:tc>
          <w:tcPr>
            <w:tcW w:w="1020" w:type="dxa"/>
            <w:vAlign w:val="bottom"/>
            <w:tcBorders>
              <w:bottom w:val="single" w:sz="8" w:color="29378D"/>
            </w:tcBorders>
          </w:tcPr>
          <w:p>
            <w:pPr>
              <w:spacing w:after="0"/>
              <w:rPr>
                <w:sz w:val="19"/>
                <w:szCs w:val="19"/>
                <w:color w:val="auto"/>
              </w:rPr>
            </w:pPr>
          </w:p>
        </w:tc>
        <w:tc>
          <w:tcPr>
            <w:tcW w:w="560" w:type="dxa"/>
            <w:vAlign w:val="bottom"/>
            <w:tcBorders>
              <w:bottom w:val="single" w:sz="8" w:color="29378D"/>
            </w:tcBorders>
          </w:tcPr>
          <w:p>
            <w:pPr>
              <w:spacing w:after="0"/>
              <w:rPr>
                <w:sz w:val="19"/>
                <w:szCs w:val="19"/>
                <w:color w:val="auto"/>
              </w:rPr>
            </w:pPr>
          </w:p>
        </w:tc>
        <w:tc>
          <w:tcPr>
            <w:tcW w:w="560" w:type="dxa"/>
            <w:vAlign w:val="bottom"/>
            <w:tcBorders>
              <w:bottom w:val="single" w:sz="8" w:color="29378D"/>
            </w:tcBorders>
          </w:tcPr>
          <w:p>
            <w:pPr>
              <w:spacing w:after="0"/>
              <w:rPr>
                <w:sz w:val="19"/>
                <w:szCs w:val="19"/>
                <w:color w:val="auto"/>
              </w:rPr>
            </w:pPr>
          </w:p>
        </w:tc>
        <w:tc>
          <w:tcPr>
            <w:tcW w:w="760" w:type="dxa"/>
            <w:vAlign w:val="bottom"/>
            <w:tcBorders>
              <w:bottom w:val="single" w:sz="8" w:color="29378D"/>
            </w:tcBorders>
          </w:tcPr>
          <w:p>
            <w:pPr>
              <w:spacing w:after="0"/>
              <w:rPr>
                <w:sz w:val="19"/>
                <w:szCs w:val="19"/>
                <w:color w:val="auto"/>
              </w:rPr>
            </w:pPr>
          </w:p>
        </w:tc>
        <w:tc>
          <w:tcPr>
            <w:tcW w:w="340" w:type="dxa"/>
            <w:vAlign w:val="bottom"/>
            <w:tcBorders>
              <w:bottom w:val="single" w:sz="8" w:color="29378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-5186045</wp:posOffset>
            </wp:positionV>
            <wp:extent cx="30861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-5074285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-5074285</wp:posOffset>
            </wp:positionV>
            <wp:extent cx="10287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-4774565</wp:posOffset>
            </wp:positionV>
            <wp:extent cx="30861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-4662805</wp:posOffset>
            </wp:positionV>
            <wp:extent cx="102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-4662805</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-4363085</wp:posOffset>
            </wp:positionV>
            <wp:extent cx="30861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-4251325</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-4251325</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-3959860</wp:posOffset>
            </wp:positionV>
            <wp:extent cx="30861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-3848735</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-3848735</wp:posOffset>
            </wp:positionV>
            <wp:extent cx="10287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-3565525</wp:posOffset>
            </wp:positionV>
            <wp:extent cx="30861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-3454400</wp:posOffset>
            </wp:positionV>
            <wp:extent cx="10287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-3454400</wp:posOffset>
            </wp:positionV>
            <wp:extent cx="10287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-3162935</wp:posOffset>
            </wp:positionV>
            <wp:extent cx="308610" cy="325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-3051175</wp:posOffset>
            </wp:positionV>
            <wp:extent cx="10287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-3051175</wp:posOffset>
            </wp:positionV>
            <wp:extent cx="10287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-2759710</wp:posOffset>
            </wp:positionV>
            <wp:extent cx="30861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-2648585</wp:posOffset>
            </wp:positionV>
            <wp:extent cx="10287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-2648585</wp:posOffset>
            </wp:positionV>
            <wp:extent cx="10287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-2357120</wp:posOffset>
            </wp:positionV>
            <wp:extent cx="30861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-2245360</wp:posOffset>
            </wp:positionV>
            <wp:extent cx="10287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-2245360</wp:posOffset>
            </wp:positionV>
            <wp:extent cx="10287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-1953895</wp:posOffset>
            </wp:positionV>
            <wp:extent cx="308610" cy="32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-1842770</wp:posOffset>
            </wp:positionV>
            <wp:extent cx="10287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-1842770</wp:posOffset>
            </wp:positionV>
            <wp:extent cx="10287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-1559560</wp:posOffset>
            </wp:positionV>
            <wp:extent cx="30861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-1456690</wp:posOffset>
            </wp:positionV>
            <wp:extent cx="10287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-1456690</wp:posOffset>
            </wp:positionV>
            <wp:extent cx="10287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-1182370</wp:posOffset>
            </wp:positionV>
            <wp:extent cx="30861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-788035</wp:posOffset>
            </wp:positionV>
            <wp:extent cx="30861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-676910</wp:posOffset>
            </wp:positionV>
            <wp:extent cx="10287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-676910</wp:posOffset>
            </wp:positionV>
            <wp:extent cx="10287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-393700</wp:posOffset>
            </wp:positionV>
            <wp:extent cx="30861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-282575</wp:posOffset>
            </wp:positionV>
            <wp:extent cx="10287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-282575</wp:posOffset>
            </wp:positionV>
            <wp:extent cx="10287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Audit and Risk Committee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NG</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Chair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Member</w:t>
      </w:r>
    </w:p>
    <w:p>
      <w:pPr>
        <w:spacing w:after="0" w:line="201" w:lineRule="exact"/>
        <w:rPr>
          <w:sz w:val="20"/>
          <w:szCs w:val="20"/>
          <w:color w:val="auto"/>
        </w:rPr>
      </w:pPr>
    </w:p>
    <w:p>
      <w:pPr>
        <w:sectPr>
          <w:pgSz w:w="11900" w:h="16838" w:orient="portrait"/>
          <w:cols w:equalWidth="0" w:num="6">
            <w:col w:w="240" w:space="200"/>
            <w:col w:w="3100" w:space="720"/>
            <w:col w:w="200" w:space="340"/>
            <w:col w:w="3840" w:space="720"/>
            <w:col w:w="360" w:space="720"/>
            <w:col w:w="800"/>
          </w:cols>
          <w:pgMar w:left="320" w:top="238" w:right="339" w:bottom="1440" w:gutter="0" w:footer="0" w:header="0"/>
          <w:type w:val="continuous"/>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Compensation and Human Capital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Policy Committee</w:t>
      </w:r>
    </w:p>
    <w:p>
      <w:pPr>
        <w:spacing w:after="0" w:line="174" w:lineRule="exact"/>
        <w:rPr>
          <w:sz w:val="20"/>
          <w:szCs w:val="20"/>
          <w:color w:val="auto"/>
        </w:rPr>
      </w:pPr>
    </w:p>
    <w:p>
      <w:pPr>
        <w:sectPr>
          <w:pgSz w:w="11900" w:h="16838" w:orient="portrait"/>
          <w:cols w:equalWidth="0" w:num="4">
            <w:col w:w="240" w:space="200"/>
            <w:col w:w="3100" w:space="720"/>
            <w:col w:w="80" w:space="460"/>
            <w:col w:w="6440"/>
          </w:cols>
          <w:pgMar w:left="320" w:top="238"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  Age as of April 3, 2024.</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494"/>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We have a </w:t>
      </w:r>
      <w:r>
        <w:rPr>
          <w:rFonts w:ascii="Arial" w:cs="Arial" w:eastAsia="Arial" w:hAnsi="Arial"/>
          <w:sz w:val="25"/>
          <w:szCs w:val="25"/>
          <w:b w:val="1"/>
          <w:bCs w:val="1"/>
          <w:color w:val="29378D"/>
        </w:rPr>
        <w:t>diverse and highly qualified slate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244475</wp:posOffset>
            </wp:positionV>
            <wp:extent cx="1731645" cy="694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31645" cy="6940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364490</wp:posOffset>
            </wp:positionV>
            <wp:extent cx="1722755" cy="676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227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00249C"/>
        </w:rPr>
        <w:t>AVERAGE AGE</w:t>
      </w:r>
      <w:r>
        <w:rPr>
          <w:sz w:val="20"/>
          <w:szCs w:val="20"/>
          <w:color w:val="auto"/>
        </w:rPr>
        <w:tab/>
      </w:r>
      <w:r>
        <w:rPr>
          <w:rFonts w:ascii="Arial" w:cs="Arial" w:eastAsia="Arial" w:hAnsi="Arial"/>
          <w:sz w:val="14"/>
          <w:szCs w:val="14"/>
          <w:b w:val="1"/>
          <w:bCs w:val="1"/>
          <w:color w:val="00249C"/>
        </w:rPr>
        <w:t>AVERAGE TENURE</w:t>
      </w:r>
    </w:p>
    <w:p>
      <w:pPr>
        <w:sectPr>
          <w:pgSz w:w="11900" w:h="16838" w:orient="portrait"/>
          <w:cols w:equalWidth="0" w:num="1">
            <w:col w:w="11240"/>
          </w:cols>
          <w:pgMar w:left="320" w:top="238"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29378D"/>
        </w:rPr>
        <w:t>65.1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43"/>
          <w:szCs w:val="43"/>
          <w:b w:val="1"/>
          <w:bCs w:val="1"/>
          <w:color w:val="00249C"/>
        </w:rPr>
        <w:t>6.9</w:t>
      </w:r>
    </w:p>
    <w:p>
      <w:pPr>
        <w:spacing w:after="0" w:line="107" w:lineRule="exact"/>
        <w:rPr>
          <w:sz w:val="20"/>
          <w:szCs w:val="20"/>
          <w:color w:val="auto"/>
        </w:rPr>
      </w:pPr>
    </w:p>
    <w:p>
      <w:pPr>
        <w:sectPr>
          <w:pgSz w:w="11900" w:h="16838" w:orient="portrait"/>
          <w:cols w:equalWidth="0" w:num="2">
            <w:col w:w="4660" w:space="720"/>
            <w:col w:w="5860"/>
          </w:cols>
          <w:pgMar w:left="320" w:top="238"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29378D"/>
        </w:rPr>
        <w:t>YEARS</w:t>
      </w:r>
    </w:p>
    <w:p>
      <w:pPr>
        <w:spacing w:after="0" w:line="20" w:lineRule="exact"/>
        <w:rPr>
          <w:sz w:val="20"/>
          <w:szCs w:val="20"/>
          <w:color w:val="auto"/>
        </w:rPr>
      </w:pPr>
      <w:r>
        <w:rPr>
          <w:sz w:val="20"/>
          <w:szCs w:val="20"/>
          <w:color w:val="auto"/>
        </w:rPr>
        <w:br w:type="column"/>
      </w:r>
    </w:p>
    <w:p>
      <w:pPr>
        <w:jc w:val="center"/>
        <w:ind w:right="5360"/>
        <w:spacing w:after="0"/>
        <w:rPr>
          <w:sz w:val="20"/>
          <w:szCs w:val="20"/>
          <w:color w:val="auto"/>
        </w:rPr>
      </w:pPr>
      <w:r>
        <w:rPr>
          <w:rFonts w:ascii="Arial" w:cs="Arial" w:eastAsia="Arial" w:hAnsi="Arial"/>
          <w:sz w:val="14"/>
          <w:szCs w:val="14"/>
          <w:b w:val="1"/>
          <w:bCs w:val="1"/>
          <w:color w:val="00249C"/>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417830</wp:posOffset>
            </wp:positionV>
            <wp:extent cx="1723390" cy="677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23390" cy="67754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417830</wp:posOffset>
            </wp:positionV>
            <wp:extent cx="1843405" cy="677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43405" cy="677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Arial" w:cs="Arial" w:eastAsia="Arial" w:hAnsi="Arial"/>
                <w:sz w:val="14"/>
                <w:szCs w:val="14"/>
                <w:b w:val="1"/>
                <w:bCs w:val="1"/>
                <w:color w:val="29378D"/>
              </w:rPr>
              <w:t>GENDER</w:t>
            </w:r>
          </w:p>
        </w:tc>
        <w:tc>
          <w:tcPr>
            <w:tcW w:w="3420" w:type="dxa"/>
            <w:vAlign w:val="bottom"/>
          </w:tcPr>
          <w:p>
            <w:pPr>
              <w:ind w:left="2260"/>
              <w:spacing w:after="0"/>
              <w:rPr>
                <w:sz w:val="20"/>
                <w:szCs w:val="20"/>
                <w:color w:val="auto"/>
              </w:rPr>
            </w:pPr>
            <w:r>
              <w:rPr>
                <w:rFonts w:ascii="Arial" w:cs="Arial" w:eastAsia="Arial" w:hAnsi="Arial"/>
                <w:sz w:val="14"/>
                <w:szCs w:val="14"/>
                <w:b w:val="1"/>
                <w:bCs w:val="1"/>
                <w:color w:val="29378D"/>
              </w:rPr>
              <w:t>RACIAL/ ETHNIC</w:t>
            </w:r>
          </w:p>
        </w:tc>
        <w:tc>
          <w:tcPr>
            <w:tcW w:w="0" w:type="dxa"/>
            <w:vAlign w:val="bottom"/>
          </w:tcPr>
          <w:p>
            <w:pPr>
              <w:spacing w:after="0"/>
              <w:rPr>
                <w:sz w:val="1"/>
                <w:szCs w:val="1"/>
                <w:color w:val="auto"/>
              </w:rPr>
            </w:pPr>
          </w:p>
        </w:tc>
      </w:tr>
      <w:tr>
        <w:trPr>
          <w:trHeight w:val="196"/>
        </w:trPr>
        <w:tc>
          <w:tcPr>
            <w:tcW w:w="3100" w:type="dxa"/>
            <w:vAlign w:val="bottom"/>
            <w:vMerge w:val="restart"/>
          </w:tcPr>
          <w:p>
            <w:pPr>
              <w:spacing w:after="0"/>
              <w:rPr>
                <w:sz w:val="20"/>
                <w:szCs w:val="20"/>
                <w:color w:val="auto"/>
              </w:rPr>
            </w:pPr>
            <w:r>
              <w:rPr>
                <w:rFonts w:ascii="Arial" w:cs="Arial" w:eastAsia="Arial" w:hAnsi="Arial"/>
                <w:sz w:val="43"/>
                <w:szCs w:val="43"/>
                <w:b w:val="1"/>
                <w:bCs w:val="1"/>
                <w:color w:val="29378D"/>
              </w:rPr>
              <w:t>6/13</w:t>
            </w:r>
          </w:p>
        </w:tc>
        <w:tc>
          <w:tcPr>
            <w:tcW w:w="3420" w:type="dxa"/>
            <w:vAlign w:val="bottom"/>
          </w:tcPr>
          <w:p>
            <w:pPr>
              <w:ind w:left="2260"/>
              <w:spacing w:after="0"/>
              <w:rPr>
                <w:sz w:val="20"/>
                <w:szCs w:val="20"/>
                <w:color w:val="auto"/>
              </w:rPr>
            </w:pPr>
            <w:r>
              <w:rPr>
                <w:rFonts w:ascii="Arial" w:cs="Arial" w:eastAsia="Arial" w:hAnsi="Arial"/>
                <w:sz w:val="14"/>
                <w:szCs w:val="14"/>
                <w:b w:val="1"/>
                <w:bCs w:val="1"/>
                <w:color w:val="29378D"/>
              </w:rPr>
              <w:t>DIVERSITY</w:t>
            </w:r>
          </w:p>
        </w:tc>
        <w:tc>
          <w:tcPr>
            <w:tcW w:w="0" w:type="dxa"/>
            <w:vAlign w:val="bottom"/>
          </w:tcPr>
          <w:p>
            <w:pPr>
              <w:spacing w:after="0"/>
              <w:rPr>
                <w:sz w:val="1"/>
                <w:szCs w:val="1"/>
                <w:color w:val="auto"/>
              </w:rPr>
            </w:pPr>
          </w:p>
        </w:tc>
      </w:tr>
      <w:tr>
        <w:trPr>
          <w:trHeight w:val="594"/>
        </w:trPr>
        <w:tc>
          <w:tcPr>
            <w:tcW w:w="3100" w:type="dxa"/>
            <w:vAlign w:val="bottom"/>
            <w:vMerge w:val="continue"/>
          </w:tcPr>
          <w:p>
            <w:pPr>
              <w:spacing w:after="0"/>
              <w:rPr>
                <w:sz w:val="24"/>
                <w:szCs w:val="24"/>
                <w:color w:val="auto"/>
              </w:rPr>
            </w:pPr>
          </w:p>
        </w:tc>
        <w:tc>
          <w:tcPr>
            <w:tcW w:w="3420" w:type="dxa"/>
            <w:vAlign w:val="bottom"/>
            <w:vMerge w:val="restart"/>
          </w:tcPr>
          <w:p>
            <w:pPr>
              <w:ind w:left="2260"/>
              <w:spacing w:after="0"/>
              <w:rPr>
                <w:sz w:val="20"/>
                <w:szCs w:val="20"/>
                <w:color w:val="auto"/>
              </w:rPr>
            </w:pPr>
            <w:r>
              <w:rPr>
                <w:rFonts w:ascii="Arial" w:cs="Arial" w:eastAsia="Arial" w:hAnsi="Arial"/>
                <w:sz w:val="43"/>
                <w:szCs w:val="43"/>
                <w:b w:val="1"/>
                <w:bCs w:val="1"/>
                <w:color w:val="29378D"/>
              </w:rPr>
              <w:t>4/13</w:t>
            </w: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200"/>
        <w:spacing w:after="0" w:line="309" w:lineRule="auto"/>
        <w:rPr>
          <w:sz w:val="20"/>
          <w:szCs w:val="20"/>
          <w:color w:val="auto"/>
        </w:rPr>
      </w:pPr>
      <w:r>
        <w:rPr>
          <w:rFonts w:ascii="Arial" w:cs="Arial" w:eastAsia="Arial" w:hAnsi="Arial"/>
          <w:sz w:val="25"/>
          <w:szCs w:val="25"/>
          <w:color w:val="auto"/>
        </w:rPr>
        <w:t xml:space="preserve">Our Board brings a </w:t>
      </w:r>
      <w:r>
        <w:rPr>
          <w:rFonts w:ascii="Arial" w:cs="Arial" w:eastAsia="Arial" w:hAnsi="Arial"/>
          <w:sz w:val="25"/>
          <w:szCs w:val="25"/>
          <w:b w:val="1"/>
          <w:bCs w:val="1"/>
          <w:color w:val="29378D"/>
        </w:rPr>
        <w:t>vast array of experience and talents</w:t>
      </w:r>
      <w:r>
        <w:rPr>
          <w:rFonts w:ascii="Arial" w:cs="Arial" w:eastAsia="Arial" w:hAnsi="Arial"/>
          <w:sz w:val="25"/>
          <w:szCs w:val="25"/>
          <w:color w:val="auto"/>
        </w:rPr>
        <w:t xml:space="preserve"> that help foster the long-term success of the Company, and benefit all of its stakeholders: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546"/>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Senior Leadership Experience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Senior Government/Military Experience</w:t>
            </w:r>
          </w:p>
        </w:tc>
        <w:tc>
          <w:tcPr>
            <w:tcW w:w="0" w:type="dxa"/>
            <w:vAlign w:val="bottom"/>
          </w:tcPr>
          <w:p>
            <w:pPr>
              <w:spacing w:after="0"/>
              <w:rPr>
                <w:sz w:val="1"/>
                <w:szCs w:val="1"/>
                <w:color w:val="auto"/>
              </w:rPr>
            </w:pPr>
          </w:p>
        </w:tc>
      </w:tr>
      <w:tr>
        <w:trPr>
          <w:trHeight w:val="905"/>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Corporate Governance Expertise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International Experience</w:t>
            </w:r>
          </w:p>
        </w:tc>
        <w:tc>
          <w:tcPr>
            <w:tcW w:w="0" w:type="dxa"/>
            <w:vAlign w:val="bottom"/>
          </w:tcPr>
          <w:p>
            <w:pPr>
              <w:spacing w:after="0"/>
              <w:rPr>
                <w:sz w:val="1"/>
                <w:szCs w:val="1"/>
                <w:color w:val="auto"/>
              </w:rPr>
            </w:pPr>
          </w:p>
        </w:tc>
      </w:tr>
      <w:tr>
        <w:trPr>
          <w:trHeight w:val="864"/>
        </w:trPr>
        <w:tc>
          <w:tcPr>
            <w:tcW w:w="1200" w:type="dxa"/>
            <w:vAlign w:val="bottom"/>
            <w:shd w:val="clear" w:color="auto" w:fill="E6E7E8"/>
          </w:tcPr>
          <w:p>
            <w:pPr>
              <w:spacing w:after="0"/>
              <w:rPr>
                <w:sz w:val="24"/>
                <w:szCs w:val="24"/>
                <w:color w:val="auto"/>
              </w:rPr>
            </w:pPr>
          </w:p>
        </w:tc>
        <w:tc>
          <w:tcPr>
            <w:tcW w:w="4220" w:type="dxa"/>
            <w:vAlign w:val="bottom"/>
            <w:vMerge w:val="restart"/>
            <w:shd w:val="clear" w:color="auto" w:fill="E6E7E8"/>
          </w:tcPr>
          <w:p>
            <w:pPr>
              <w:ind w:left="40"/>
              <w:spacing w:after="0"/>
              <w:rPr>
                <w:sz w:val="20"/>
                <w:szCs w:val="20"/>
                <w:color w:val="auto"/>
              </w:rPr>
            </w:pPr>
            <w:r>
              <w:rPr>
                <w:rFonts w:ascii="Arial" w:cs="Arial" w:eastAsia="Arial" w:hAnsi="Arial"/>
                <w:sz w:val="16"/>
                <w:szCs w:val="16"/>
                <w:b w:val="1"/>
                <w:bCs w:val="1"/>
                <w:color w:val="auto"/>
              </w:rPr>
              <w:t>Financial Expertise/Literacy</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Human Capital Strategy/</w:t>
            </w:r>
          </w:p>
        </w:tc>
        <w:tc>
          <w:tcPr>
            <w:tcW w:w="0" w:type="dxa"/>
            <w:vAlign w:val="bottom"/>
          </w:tcPr>
          <w:p>
            <w:pPr>
              <w:spacing w:after="0"/>
              <w:rPr>
                <w:sz w:val="1"/>
                <w:szCs w:val="1"/>
                <w:color w:val="auto"/>
              </w:rPr>
            </w:pPr>
          </w:p>
        </w:tc>
      </w:tr>
      <w:tr>
        <w:trPr>
          <w:trHeight w:val="162"/>
        </w:trPr>
        <w:tc>
          <w:tcPr>
            <w:tcW w:w="1200" w:type="dxa"/>
            <w:vAlign w:val="bottom"/>
            <w:shd w:val="clear" w:color="auto" w:fill="E6E7E8"/>
          </w:tcPr>
          <w:p>
            <w:pPr>
              <w:spacing w:after="0"/>
              <w:rPr>
                <w:sz w:val="14"/>
                <w:szCs w:val="14"/>
                <w:color w:val="auto"/>
              </w:rPr>
            </w:pPr>
          </w:p>
        </w:tc>
        <w:tc>
          <w:tcPr>
            <w:tcW w:w="4220" w:type="dxa"/>
            <w:vAlign w:val="bottom"/>
            <w:vMerge w:val="continue"/>
            <w:shd w:val="clear" w:color="auto" w:fill="E6E7E8"/>
          </w:tcPr>
          <w:p>
            <w:pPr>
              <w:spacing w:after="0"/>
              <w:rPr>
                <w:sz w:val="14"/>
                <w:szCs w:val="14"/>
                <w:color w:val="auto"/>
              </w:rPr>
            </w:pPr>
          </w:p>
        </w:tc>
        <w:tc>
          <w:tcPr>
            <w:tcW w:w="1220" w:type="dxa"/>
            <w:vAlign w:val="bottom"/>
            <w:shd w:val="clear" w:color="auto" w:fill="E6E7E8"/>
          </w:tcPr>
          <w:p>
            <w:pPr>
              <w:spacing w:after="0"/>
              <w:rPr>
                <w:sz w:val="14"/>
                <w:szCs w:val="14"/>
                <w:color w:val="auto"/>
              </w:rPr>
            </w:pPr>
          </w:p>
        </w:tc>
        <w:tc>
          <w:tcPr>
            <w:tcW w:w="4580" w:type="dxa"/>
            <w:vAlign w:val="bottom"/>
            <w:vMerge w:val="restart"/>
            <w:shd w:val="clear" w:color="auto" w:fill="E6E7E8"/>
          </w:tcPr>
          <w:p>
            <w:pPr>
              <w:ind w:left="60"/>
              <w:spacing w:after="0"/>
              <w:rPr>
                <w:sz w:val="20"/>
                <w:szCs w:val="20"/>
                <w:color w:val="auto"/>
              </w:rPr>
            </w:pPr>
            <w:r>
              <w:rPr>
                <w:rFonts w:ascii="Arial" w:cs="Arial" w:eastAsia="Arial" w:hAnsi="Arial"/>
                <w:sz w:val="16"/>
                <w:szCs w:val="16"/>
                <w:b w:val="1"/>
                <w:bCs w:val="1"/>
                <w:color w:val="auto"/>
              </w:rPr>
              <w:t>Talent Management</w:t>
            </w:r>
          </w:p>
        </w:tc>
        <w:tc>
          <w:tcPr>
            <w:tcW w:w="0" w:type="dxa"/>
            <w:vAlign w:val="bottom"/>
          </w:tcPr>
          <w:p>
            <w:pPr>
              <w:spacing w:after="0"/>
              <w:rPr>
                <w:sz w:val="1"/>
                <w:szCs w:val="1"/>
                <w:color w:val="auto"/>
              </w:rPr>
            </w:pPr>
          </w:p>
        </w:tc>
      </w:tr>
      <w:tr>
        <w:trPr>
          <w:trHeight w:val="162"/>
        </w:trPr>
        <w:tc>
          <w:tcPr>
            <w:tcW w:w="1200" w:type="dxa"/>
            <w:vAlign w:val="bottom"/>
            <w:shd w:val="clear" w:color="auto" w:fill="E6E7E8"/>
          </w:tcPr>
          <w:p>
            <w:pPr>
              <w:spacing w:after="0"/>
              <w:rPr>
                <w:sz w:val="14"/>
                <w:szCs w:val="14"/>
                <w:color w:val="auto"/>
              </w:rPr>
            </w:pPr>
          </w:p>
        </w:tc>
        <w:tc>
          <w:tcPr>
            <w:tcW w:w="4220" w:type="dxa"/>
            <w:vAlign w:val="bottom"/>
            <w:shd w:val="clear" w:color="auto" w:fill="E6E7E8"/>
          </w:tcPr>
          <w:p>
            <w:pPr>
              <w:spacing w:after="0"/>
              <w:rPr>
                <w:sz w:val="14"/>
                <w:szCs w:val="14"/>
                <w:color w:val="auto"/>
              </w:rPr>
            </w:pPr>
          </w:p>
        </w:tc>
        <w:tc>
          <w:tcPr>
            <w:tcW w:w="1220" w:type="dxa"/>
            <w:vAlign w:val="bottom"/>
            <w:shd w:val="clear" w:color="auto" w:fill="E6E7E8"/>
          </w:tcPr>
          <w:p>
            <w:pPr>
              <w:spacing w:after="0"/>
              <w:rPr>
                <w:sz w:val="14"/>
                <w:szCs w:val="14"/>
                <w:color w:val="auto"/>
              </w:rPr>
            </w:pPr>
          </w:p>
        </w:tc>
        <w:tc>
          <w:tcPr>
            <w:tcW w:w="4580" w:type="dxa"/>
            <w:vAlign w:val="bottom"/>
            <w:vMerge w:val="continue"/>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850"/>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Risk Oversight/Management</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Cyber/Technology Expertise</w:t>
            </w:r>
          </w:p>
        </w:tc>
        <w:tc>
          <w:tcPr>
            <w:tcW w:w="0" w:type="dxa"/>
            <w:vAlign w:val="bottom"/>
          </w:tcPr>
          <w:p>
            <w:pPr>
              <w:spacing w:after="0"/>
              <w:rPr>
                <w:sz w:val="1"/>
                <w:szCs w:val="1"/>
                <w:color w:val="auto"/>
              </w:rPr>
            </w:pPr>
          </w:p>
        </w:tc>
      </w:tr>
      <w:tr>
        <w:trPr>
          <w:trHeight w:val="1053"/>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Defense and Industrial Experience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Environmental Sustainability/Corporate Responsibility</w:t>
            </w:r>
          </w:p>
        </w:tc>
        <w:tc>
          <w:tcPr>
            <w:tcW w:w="0" w:type="dxa"/>
            <w:vAlign w:val="bottom"/>
          </w:tcPr>
          <w:p>
            <w:pPr>
              <w:spacing w:after="0"/>
              <w:rPr>
                <w:sz w:val="1"/>
                <w:szCs w:val="1"/>
                <w:color w:val="auto"/>
              </w:rPr>
            </w:pPr>
          </w:p>
        </w:tc>
      </w:tr>
      <w:tr>
        <w:trPr>
          <w:trHeight w:val="520"/>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spacing w:after="0"/>
              <w:rPr>
                <w:sz w:val="24"/>
                <w:szCs w:val="24"/>
                <w:color w:val="auto"/>
              </w:rPr>
            </w:pP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-3128645</wp:posOffset>
            </wp:positionV>
            <wp:extent cx="394335"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4335" cy="3346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-3128645</wp:posOffset>
            </wp:positionV>
            <wp:extent cx="240030"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0030" cy="3429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-2580005</wp:posOffset>
            </wp:positionV>
            <wp:extent cx="394335"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38608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-2553970</wp:posOffset>
            </wp:positionV>
            <wp:extent cx="34290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-1894205</wp:posOffset>
            </wp:positionV>
            <wp:extent cx="240030"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 cy="31750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-1911350</wp:posOffset>
            </wp:positionV>
            <wp:extent cx="342900" cy="351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0" cy="3511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-1268095</wp:posOffset>
            </wp:positionV>
            <wp:extent cx="351155" cy="351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-1276985</wp:posOffset>
            </wp:positionV>
            <wp:extent cx="360045" cy="368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0045" cy="3683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-694055</wp:posOffset>
            </wp:positionV>
            <wp:extent cx="41148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-625475</wp:posOffset>
            </wp:positionV>
            <wp:extent cx="291465" cy="403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22885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94615"/>
                    </a:xfrm>
                    <a:prstGeom prst="rect">
                      <a:avLst/>
                    </a:prstGeom>
                    <a:noFill/>
                  </pic:spPr>
                </pic:pic>
              </a:graphicData>
            </a:graphic>
          </wp:anchor>
        </w:drawing>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STRONG INDEPENDENT</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228850" cy="1465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0" cy="1465580"/>
                    </a:xfrm>
                    <a:prstGeom prst="rect">
                      <a:avLst/>
                    </a:prstGeom>
                    <a:noFill/>
                  </pic:spPr>
                </pic:pic>
              </a:graphicData>
            </a:graphic>
          </wp:anchor>
        </w:drawing>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92% independent Board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Fully independent Board committees</w:t>
      </w:r>
    </w:p>
    <w:p>
      <w:pPr>
        <w:spacing w:after="0" w:line="125" w:lineRule="exact"/>
        <w:rPr>
          <w:sz w:val="20"/>
          <w:szCs w:val="20"/>
          <w:color w:val="auto"/>
        </w:rPr>
      </w:pPr>
    </w:p>
    <w:p>
      <w:pPr>
        <w:ind w:left="340" w:right="640" w:hanging="12"/>
        <w:spacing w:after="0" w:line="283" w:lineRule="auto"/>
        <w:rPr>
          <w:sz w:val="20"/>
          <w:szCs w:val="20"/>
          <w:color w:val="auto"/>
        </w:rPr>
      </w:pPr>
      <w:r>
        <w:rPr>
          <w:rFonts w:ascii="Arial" w:cs="Arial" w:eastAsia="Arial" w:hAnsi="Arial"/>
          <w:sz w:val="15"/>
          <w:szCs w:val="15"/>
          <w:color w:val="auto"/>
        </w:rPr>
        <w:t>Lead Independent Director with robust responsibilities and oversight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Regular 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BOARD REFRESHMENT AND</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228850" cy="2777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0" cy="2777490"/>
                    </a:xfrm>
                    <a:prstGeom prst="rect">
                      <a:avLst/>
                    </a:prstGeom>
                    <a:noFill/>
                  </pic:spPr>
                </pic:pic>
              </a:graphicData>
            </a:graphic>
          </wp:anchor>
        </w:drawing>
      </w:r>
    </w:p>
    <w:p>
      <w:pPr>
        <w:spacing w:after="0" w:line="337" w:lineRule="exact"/>
        <w:rPr>
          <w:sz w:val="20"/>
          <w:szCs w:val="20"/>
          <w:color w:val="auto"/>
        </w:rPr>
      </w:pPr>
    </w:p>
    <w:p>
      <w:pPr>
        <w:ind w:left="340" w:right="220" w:hanging="12"/>
        <w:spacing w:after="0" w:line="269" w:lineRule="auto"/>
        <w:rPr>
          <w:sz w:val="20"/>
          <w:szCs w:val="20"/>
          <w:color w:val="auto"/>
        </w:rPr>
      </w:pPr>
      <w:r>
        <w:rPr>
          <w:rFonts w:ascii="Arial" w:cs="Arial" w:eastAsia="Arial" w:hAnsi="Arial"/>
          <w:sz w:val="15"/>
          <w:szCs w:val="15"/>
          <w:color w:val="auto"/>
        </w:rPr>
        <w:t>Sustained history of gender and racial/ethnic diversity on our Board, including current slate of director nominees (8 of 13 nominees)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Mandatory retirement at 75</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6 new directors have been added, including</w:t>
      </w:r>
    </w:p>
    <w:p>
      <w:pPr>
        <w:spacing w:after="0" w:line="28" w:lineRule="exact"/>
        <w:rPr>
          <w:sz w:val="20"/>
          <w:szCs w:val="20"/>
          <w:color w:val="auto"/>
        </w:rPr>
      </w:pPr>
    </w:p>
    <w:p>
      <w:pPr>
        <w:ind w:left="340" w:right="420"/>
        <w:spacing w:after="0" w:line="265" w:lineRule="auto"/>
        <w:rPr>
          <w:sz w:val="20"/>
          <w:szCs w:val="20"/>
          <w:color w:val="auto"/>
        </w:rPr>
      </w:pPr>
      <w:r>
        <w:rPr>
          <w:rFonts w:ascii="Arial" w:cs="Arial" w:eastAsia="Arial" w:hAnsi="Arial"/>
          <w:sz w:val="15"/>
          <w:szCs w:val="15"/>
          <w:color w:val="auto"/>
        </w:rPr>
        <w:t>3 people of color/1 woman of color, and 5 directors have left our Board since the beginning of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9378D"/>
        </w:rPr>
        <w:t>COMMITMENT TO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-241300</wp:posOffset>
            </wp:positionV>
            <wp:extent cx="2237105"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37105" cy="9461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9378D"/>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48895</wp:posOffset>
            </wp:positionV>
            <wp:extent cx="2237105" cy="1465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37105" cy="1465580"/>
                    </a:xfrm>
                    <a:prstGeom prst="rect">
                      <a:avLst/>
                    </a:prstGeom>
                    <a:noFill/>
                  </pic:spPr>
                </pic:pic>
              </a:graphicData>
            </a:graphic>
          </wp:anchor>
        </w:drawing>
      </w:r>
    </w:p>
    <w:p>
      <w:pPr>
        <w:spacing w:after="0" w:line="273" w:lineRule="exact"/>
        <w:rPr>
          <w:sz w:val="20"/>
          <w:szCs w:val="20"/>
          <w:color w:val="auto"/>
        </w:rPr>
      </w:pPr>
    </w:p>
    <w:p>
      <w:pPr>
        <w:ind w:left="160" w:right="80" w:hanging="233"/>
        <w:spacing w:after="0"/>
        <w:rPr>
          <w:sz w:val="20"/>
          <w:szCs w:val="20"/>
          <w:color w:val="auto"/>
        </w:rPr>
      </w:pPr>
      <w:r>
        <w:rPr>
          <w:sz w:val="1"/>
          <w:szCs w:val="1"/>
          <w:color w:val="auto"/>
        </w:rPr>
        <w:drawing>
          <wp:inline distT="0" distB="0" distL="0" distR="0">
            <wp:extent cx="85725" cy="857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5"/>
          <w:szCs w:val="15"/>
          <w:color w:val="auto"/>
        </w:rPr>
        <w:t xml:space="preserve"> Thorough annual self-assessment of Board, Committee and individual director performance</w:t>
      </w:r>
    </w:p>
    <w:p>
      <w:pPr>
        <w:spacing w:after="0" w:line="97" w:lineRule="exact"/>
        <w:rPr>
          <w:sz w:val="20"/>
          <w:szCs w:val="20"/>
          <w:color w:val="auto"/>
        </w:rPr>
      </w:pPr>
    </w:p>
    <w:p>
      <w:pPr>
        <w:ind w:left="160" w:right="240" w:hanging="12"/>
        <w:spacing w:after="0" w:line="269" w:lineRule="auto"/>
        <w:rPr>
          <w:sz w:val="20"/>
          <w:szCs w:val="20"/>
          <w:color w:val="auto"/>
        </w:rPr>
      </w:pPr>
      <w:r>
        <w:rPr>
          <w:rFonts w:ascii="Arial" w:cs="Arial" w:eastAsia="Arial" w:hAnsi="Arial"/>
          <w:sz w:val="15"/>
          <w:szCs w:val="15"/>
          <w:color w:val="auto"/>
        </w:rPr>
        <w:t>Overboarding policy (no more than three other public company boards) without the consent of the Chair, Nominating and Corporate Governance Committee</w:t>
      </w:r>
    </w:p>
    <w:p>
      <w:pPr>
        <w:spacing w:after="0" w:line="91" w:lineRule="exact"/>
        <w:rPr>
          <w:sz w:val="20"/>
          <w:szCs w:val="20"/>
          <w:color w:val="auto"/>
        </w:rPr>
      </w:pPr>
    </w:p>
    <w:p>
      <w:pPr>
        <w:ind w:left="160" w:right="160" w:hanging="12"/>
        <w:spacing w:after="0" w:line="283" w:lineRule="auto"/>
        <w:rPr>
          <w:sz w:val="20"/>
          <w:szCs w:val="20"/>
          <w:color w:val="auto"/>
        </w:rPr>
      </w:pPr>
      <w:r>
        <w:rPr>
          <w:rFonts w:ascii="Arial" w:cs="Arial" w:eastAsia="Arial" w:hAnsi="Arial"/>
          <w:sz w:val="15"/>
          <w:szCs w:val="15"/>
          <w:color w:val="auto"/>
        </w:rPr>
        <w:t>Focus on ability to devote appropriate time and resources</w:t>
      </w:r>
    </w:p>
    <w:p>
      <w:pPr>
        <w:spacing w:after="0" w:line="34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29378D"/>
        </w:rPr>
        <w:t>DIRECTOR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135255</wp:posOffset>
            </wp:positionV>
            <wp:extent cx="2237105" cy="27774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37105" cy="27774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Our Chair, CEO and President, Kathy</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Warden, was awarded the prestigious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Deming Cup for operational excellence</w:t>
      </w:r>
    </w:p>
    <w:p>
      <w:pPr>
        <w:spacing w:after="0" w:line="100" w:lineRule="exact"/>
        <w:rPr>
          <w:sz w:val="20"/>
          <w:szCs w:val="20"/>
          <w:color w:val="auto"/>
        </w:rPr>
      </w:pPr>
    </w:p>
    <w:p>
      <w:pPr>
        <w:ind w:left="160" w:hanging="12"/>
        <w:spacing w:after="0" w:line="269" w:lineRule="auto"/>
        <w:rPr>
          <w:sz w:val="20"/>
          <w:szCs w:val="20"/>
          <w:color w:val="auto"/>
        </w:rPr>
      </w:pPr>
      <w:r>
        <w:rPr>
          <w:rFonts w:ascii="Arial" w:cs="Arial" w:eastAsia="Arial" w:hAnsi="Arial"/>
          <w:sz w:val="15"/>
          <w:szCs w:val="15"/>
          <w:color w:val="auto"/>
        </w:rPr>
        <w:t>Our directors, Ann Fudge, Graham Robinson and Mary Winston, have been recognized as three of Savoy Magazine’s Most Influential Black Corporate Directors</w:t>
      </w:r>
    </w:p>
    <w:p>
      <w:pPr>
        <w:spacing w:after="0" w:line="77" w:lineRule="exact"/>
        <w:rPr>
          <w:sz w:val="20"/>
          <w:szCs w:val="20"/>
          <w:color w:val="auto"/>
        </w:rPr>
      </w:pPr>
    </w:p>
    <w:p>
      <w:pPr>
        <w:ind w:left="160" w:right="200" w:hanging="12"/>
        <w:spacing w:after="0" w:line="273" w:lineRule="auto"/>
        <w:rPr>
          <w:sz w:val="20"/>
          <w:szCs w:val="20"/>
          <w:color w:val="auto"/>
        </w:rPr>
      </w:pPr>
      <w:r>
        <w:rPr>
          <w:rFonts w:ascii="Arial" w:cs="Arial" w:eastAsia="Arial" w:hAnsi="Arial"/>
          <w:sz w:val="15"/>
          <w:szCs w:val="15"/>
          <w:color w:val="auto"/>
        </w:rPr>
        <w:t>James Turley and Thomas Schoewe have been honored as members of the NACD Directors 100</w:t>
      </w:r>
    </w:p>
    <w:p>
      <w:pPr>
        <w:spacing w:after="0" w:line="59" w:lineRule="exact"/>
        <w:rPr>
          <w:sz w:val="20"/>
          <w:szCs w:val="20"/>
          <w:color w:val="auto"/>
        </w:rPr>
      </w:pPr>
    </w:p>
    <w:p>
      <w:pPr>
        <w:jc w:val="both"/>
        <w:ind w:left="160" w:right="480" w:hanging="12"/>
        <w:spacing w:after="0" w:line="282" w:lineRule="auto"/>
        <w:rPr>
          <w:sz w:val="20"/>
          <w:szCs w:val="20"/>
          <w:color w:val="auto"/>
        </w:rPr>
      </w:pPr>
      <w:r>
        <w:rPr>
          <w:rFonts w:ascii="Arial" w:cs="Arial" w:eastAsia="Arial" w:hAnsi="Arial"/>
          <w:sz w:val="15"/>
          <w:szCs w:val="15"/>
          <w:color w:val="auto"/>
        </w:rPr>
        <w:t>Six of our female directors have been honored by Women’s Inc. as the most influential corporate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29378D"/>
        </w:rPr>
        <w:t>ROBUST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-241300</wp:posOffset>
            </wp:positionV>
            <wp:extent cx="2237105"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37105" cy="94615"/>
                    </a:xfrm>
                    <a:prstGeom prst="rect">
                      <a:avLst/>
                    </a:prstGeom>
                    <a:noFill/>
                  </pic:spPr>
                </pic:pic>
              </a:graphicData>
            </a:graphic>
          </wp:anchor>
        </w:drawing>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29378D"/>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48895</wp:posOffset>
            </wp:positionV>
            <wp:extent cx="2237105" cy="4620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37105" cy="4620260"/>
                    </a:xfrm>
                    <a:prstGeom prst="rect">
                      <a:avLst/>
                    </a:prstGeom>
                    <a:noFill/>
                  </pic:spPr>
                </pic:pic>
              </a:graphicData>
            </a:graphic>
          </wp:anchor>
        </w:drawing>
      </w:r>
    </w:p>
    <w:p>
      <w:pPr>
        <w:spacing w:after="0" w:line="273" w:lineRule="exact"/>
        <w:rPr>
          <w:sz w:val="20"/>
          <w:szCs w:val="20"/>
          <w:color w:val="auto"/>
        </w:rPr>
      </w:pPr>
    </w:p>
    <w:p>
      <w:pPr>
        <w:ind w:left="120" w:right="200" w:hanging="233"/>
        <w:spacing w:after="0"/>
        <w:rPr>
          <w:sz w:val="20"/>
          <w:szCs w:val="20"/>
          <w:color w:val="auto"/>
        </w:rPr>
      </w:pPr>
      <w:r>
        <w:rPr>
          <w:sz w:val="1"/>
          <w:szCs w:val="1"/>
          <w:color w:val="auto"/>
        </w:rPr>
        <w:drawing>
          <wp:inline distT="0" distB="0" distL="0" distR="0">
            <wp:extent cx="85725" cy="774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5"/>
          <w:szCs w:val="15"/>
          <w:color w:val="auto"/>
        </w:rPr>
        <w:t xml:space="preserve"> Annual director elections with majority voting standard in uncontested elections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Proxy access</w:t>
      </w:r>
    </w:p>
    <w:p>
      <w:pPr>
        <w:spacing w:after="0" w:line="111" w:lineRule="exact"/>
        <w:rPr>
          <w:sz w:val="20"/>
          <w:szCs w:val="20"/>
          <w:color w:val="auto"/>
        </w:rPr>
      </w:pPr>
    </w:p>
    <w:p>
      <w:pPr>
        <w:ind w:left="120" w:right="780" w:hanging="12"/>
        <w:spacing w:after="0" w:line="301" w:lineRule="auto"/>
        <w:rPr>
          <w:sz w:val="20"/>
          <w:szCs w:val="20"/>
          <w:color w:val="auto"/>
        </w:rPr>
      </w:pPr>
      <w:r>
        <w:rPr>
          <w:rFonts w:ascii="Arial" w:cs="Arial" w:eastAsia="Arial" w:hAnsi="Arial"/>
          <w:sz w:val="15"/>
          <w:szCs w:val="15"/>
          <w:color w:val="auto"/>
        </w:rPr>
        <w:t>Right to call special meeting at 15% threshold</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Right to act by written consent</w:t>
      </w:r>
    </w:p>
    <w:p>
      <w:pPr>
        <w:spacing w:after="0" w:line="125" w:lineRule="exact"/>
        <w:rPr>
          <w:sz w:val="20"/>
          <w:szCs w:val="20"/>
          <w:color w:val="auto"/>
        </w:rPr>
      </w:pPr>
    </w:p>
    <w:p>
      <w:pPr>
        <w:ind w:left="120" w:right="200" w:hanging="12"/>
        <w:spacing w:after="0" w:line="273" w:lineRule="auto"/>
        <w:rPr>
          <w:sz w:val="20"/>
          <w:szCs w:val="20"/>
          <w:color w:val="auto"/>
        </w:rPr>
      </w:pPr>
      <w:r>
        <w:rPr>
          <w:rFonts w:ascii="Arial" w:cs="Arial" w:eastAsia="Arial" w:hAnsi="Arial"/>
          <w:sz w:val="15"/>
          <w:szCs w:val="15"/>
          <w:color w:val="auto"/>
        </w:rPr>
        <w:t>Shareholder engagement program providing for regular shareholder access to management and directors</w:t>
      </w:r>
    </w:p>
    <w:p>
      <w:pPr>
        <w:spacing w:after="0" w:line="3742" w:lineRule="exact"/>
        <w:rPr>
          <w:sz w:val="20"/>
          <w:szCs w:val="20"/>
          <w:color w:val="auto"/>
        </w:rPr>
      </w:pPr>
    </w:p>
    <w:p>
      <w:pPr>
        <w:sectPr>
          <w:pgSz w:w="11900" w:h="16838" w:orient="portrait"/>
          <w:cols w:equalWidth="0" w:num="3">
            <w:col w:w="3560" w:space="460"/>
            <w:col w:w="3200" w:space="700"/>
            <w:col w:w="332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4080" w:type="dxa"/>
            <w:vAlign w:val="bottom"/>
          </w:tcPr>
          <w:p>
            <w:pPr>
              <w:ind w:left="240"/>
              <w:spacing w:after="0"/>
              <w:rPr>
                <w:sz w:val="20"/>
                <w:szCs w:val="20"/>
                <w:color w:val="auto"/>
              </w:rPr>
            </w:pPr>
            <w:r>
              <w:rPr>
                <w:rFonts w:ascii="Arial" w:cs="Arial" w:eastAsia="Arial" w:hAnsi="Arial"/>
                <w:sz w:val="14"/>
                <w:szCs w:val="14"/>
                <w:b w:val="1"/>
                <w:bCs w:val="1"/>
                <w:color w:val="29378D"/>
              </w:rPr>
              <w:t>SUSTAINABILITY AND CORPORATE RESPONSIBILITY</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3520" w:type="dxa"/>
            <w:vAlign w:val="bottom"/>
            <w:shd w:val="clear" w:color="auto" w:fill="E6E7E8"/>
          </w:tcPr>
          <w:p>
            <w:pPr>
              <w:ind w:left="320"/>
              <w:spacing w:after="0"/>
              <w:rPr>
                <w:sz w:val="20"/>
                <w:szCs w:val="20"/>
                <w:color w:val="auto"/>
              </w:rPr>
            </w:pPr>
            <w:r>
              <w:rPr>
                <w:rFonts w:ascii="Arial" w:cs="Arial" w:eastAsia="Arial" w:hAnsi="Arial"/>
                <w:sz w:val="15"/>
                <w:szCs w:val="15"/>
                <w:color w:val="auto"/>
              </w:rPr>
              <w:t>Strong ethics program and corporate culture</w:t>
            </w:r>
          </w:p>
        </w:tc>
        <w:tc>
          <w:tcPr>
            <w:tcW w:w="4080" w:type="dxa"/>
            <w:vAlign w:val="bottom"/>
            <w:shd w:val="clear" w:color="auto" w:fill="E6E7E8"/>
          </w:tcPr>
          <w:p>
            <w:pPr>
              <w:ind w:left="660"/>
              <w:spacing w:after="0"/>
              <w:rPr>
                <w:sz w:val="20"/>
                <w:szCs w:val="20"/>
                <w:color w:val="auto"/>
              </w:rPr>
            </w:pPr>
            <w:r>
              <w:rPr>
                <w:rFonts w:ascii="Arial" w:cs="Arial" w:eastAsia="Arial" w:hAnsi="Arial"/>
                <w:sz w:val="15"/>
                <w:szCs w:val="15"/>
                <w:color w:val="auto"/>
              </w:rPr>
              <w:t>Environmental program integrated into</w:t>
            </w:r>
          </w:p>
        </w:tc>
        <w:tc>
          <w:tcPr>
            <w:tcW w:w="3640" w:type="dxa"/>
            <w:vAlign w:val="bottom"/>
            <w:shd w:val="clear" w:color="auto" w:fill="E6E7E8"/>
          </w:tcPr>
          <w:p>
            <w:pPr>
              <w:ind w:left="440"/>
              <w:spacing w:after="0"/>
              <w:rPr>
                <w:sz w:val="20"/>
                <w:szCs w:val="20"/>
                <w:color w:val="auto"/>
              </w:rPr>
            </w:pPr>
            <w:r>
              <w:rPr>
                <w:rFonts w:ascii="Arial" w:cs="Arial" w:eastAsia="Arial" w:hAnsi="Arial"/>
                <w:sz w:val="15"/>
                <w:szCs w:val="15"/>
                <w:color w:val="auto"/>
              </w:rPr>
              <w:t>Far-reaching engagement with local</w:t>
            </w:r>
          </w:p>
        </w:tc>
        <w:tc>
          <w:tcPr>
            <w:tcW w:w="0" w:type="dxa"/>
            <w:vAlign w:val="bottom"/>
          </w:tcPr>
          <w:p>
            <w:pPr>
              <w:spacing w:after="0"/>
              <w:rPr>
                <w:sz w:val="1"/>
                <w:szCs w:val="1"/>
                <w:color w:val="auto"/>
              </w:rPr>
            </w:pPr>
          </w:p>
        </w:tc>
      </w:tr>
      <w:tr>
        <w:trPr>
          <w:trHeight w:val="189"/>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Long-standing diversity, equity and inclusion</w:t>
            </w:r>
          </w:p>
        </w:tc>
        <w:tc>
          <w:tcPr>
            <w:tcW w:w="4080" w:type="dxa"/>
            <w:vAlign w:val="bottom"/>
            <w:shd w:val="clear" w:color="auto" w:fill="E6E7E8"/>
          </w:tcPr>
          <w:p>
            <w:pPr>
              <w:ind w:left="660"/>
              <w:spacing w:after="0"/>
              <w:rPr>
                <w:sz w:val="20"/>
                <w:szCs w:val="20"/>
                <w:color w:val="auto"/>
              </w:rPr>
            </w:pPr>
            <w:r>
              <w:rPr>
                <w:rFonts w:ascii="Arial" w:cs="Arial" w:eastAsia="Arial" w:hAnsi="Arial"/>
                <w:sz w:val="15"/>
                <w:szCs w:val="15"/>
                <w:color w:val="auto"/>
              </w:rPr>
              <w:t>organizational culture to reduce our</w:t>
            </w:r>
          </w:p>
        </w:tc>
        <w:tc>
          <w:tcPr>
            <w:tcW w:w="3640" w:type="dxa"/>
            <w:vAlign w:val="bottom"/>
            <w:shd w:val="clear" w:color="auto" w:fill="E6E7E8"/>
          </w:tcPr>
          <w:p>
            <w:pPr>
              <w:ind w:left="460"/>
              <w:spacing w:after="0"/>
              <w:rPr>
                <w:sz w:val="20"/>
                <w:szCs w:val="20"/>
                <w:color w:val="auto"/>
              </w:rPr>
            </w:pPr>
            <w:r>
              <w:rPr>
                <w:rFonts w:ascii="Arial" w:cs="Arial" w:eastAsia="Arial" w:hAnsi="Arial"/>
                <w:sz w:val="15"/>
                <w:szCs w:val="15"/>
                <w:color w:val="auto"/>
              </w:rPr>
              <w:t>communities</w:t>
            </w:r>
          </w:p>
        </w:tc>
        <w:tc>
          <w:tcPr>
            <w:tcW w:w="0" w:type="dxa"/>
            <w:vAlign w:val="bottom"/>
          </w:tcPr>
          <w:p>
            <w:pPr>
              <w:spacing w:after="0"/>
              <w:rPr>
                <w:sz w:val="1"/>
                <w:szCs w:val="1"/>
                <w:color w:val="auto"/>
              </w:rPr>
            </w:pPr>
          </w:p>
        </w:tc>
      </w:tr>
      <w:tr>
        <w:trPr>
          <w:trHeight w:val="108"/>
        </w:trPr>
        <w:tc>
          <w:tcPr>
            <w:tcW w:w="3520" w:type="dxa"/>
            <w:vAlign w:val="bottom"/>
            <w:vMerge w:val="continue"/>
            <w:shd w:val="clear" w:color="auto" w:fill="E6E7E8"/>
          </w:tcPr>
          <w:p>
            <w:pPr>
              <w:spacing w:after="0"/>
              <w:rPr>
                <w:sz w:val="9"/>
                <w:szCs w:val="9"/>
                <w:color w:val="auto"/>
              </w:rPr>
            </w:pP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environmental footprint</w:t>
            </w:r>
          </w:p>
        </w:tc>
        <w:tc>
          <w:tcPr>
            <w:tcW w:w="364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programs (DEI) helping to ensure</w:t>
            </w:r>
          </w:p>
        </w:tc>
        <w:tc>
          <w:tcPr>
            <w:tcW w:w="4080" w:type="dxa"/>
            <w:vAlign w:val="bottom"/>
            <w:vMerge w:val="continue"/>
            <w:shd w:val="clear" w:color="auto" w:fill="E6E7E8"/>
          </w:tcPr>
          <w:p>
            <w:pPr>
              <w:spacing w:after="0"/>
              <w:rPr>
                <w:sz w:val="8"/>
                <w:szCs w:val="8"/>
                <w:color w:val="auto"/>
              </w:rPr>
            </w:pPr>
          </w:p>
        </w:tc>
        <w:tc>
          <w:tcPr>
            <w:tcW w:w="3640" w:type="dxa"/>
            <w:vAlign w:val="bottom"/>
            <w:vMerge w:val="restart"/>
            <w:shd w:val="clear" w:color="auto" w:fill="E6E7E8"/>
          </w:tcPr>
          <w:p>
            <w:pPr>
              <w:ind w:left="380"/>
              <w:spacing w:after="0"/>
              <w:rPr>
                <w:sz w:val="20"/>
                <w:szCs w:val="20"/>
                <w:color w:val="auto"/>
              </w:rPr>
            </w:pPr>
            <w:r>
              <w:rPr>
                <w:rFonts w:ascii="Arial" w:cs="Arial" w:eastAsia="Arial" w:hAnsi="Arial"/>
                <w:sz w:val="15"/>
                <w:szCs w:val="15"/>
                <w:color w:val="auto"/>
              </w:rPr>
              <w:t>Chief Sustainability Officer focused on</w:t>
            </w:r>
          </w:p>
        </w:tc>
        <w:tc>
          <w:tcPr>
            <w:tcW w:w="0" w:type="dxa"/>
            <w:vAlign w:val="bottom"/>
          </w:tcPr>
          <w:p>
            <w:pPr>
              <w:spacing w:after="0"/>
              <w:rPr>
                <w:sz w:val="1"/>
                <w:szCs w:val="1"/>
                <w:color w:val="auto"/>
              </w:rPr>
            </w:pPr>
          </w:p>
        </w:tc>
      </w:tr>
      <w:tr>
        <w:trPr>
          <w:trHeight w:val="100"/>
        </w:trPr>
        <w:tc>
          <w:tcPr>
            <w:tcW w:w="3520" w:type="dxa"/>
            <w:vAlign w:val="bottom"/>
            <w:vMerge w:val="continue"/>
            <w:shd w:val="clear" w:color="auto" w:fill="E6E7E8"/>
          </w:tcPr>
          <w:p>
            <w:pPr>
              <w:spacing w:after="0"/>
              <w:rPr>
                <w:sz w:val="8"/>
                <w:szCs w:val="8"/>
                <w:color w:val="auto"/>
              </w:rPr>
            </w:pPr>
          </w:p>
        </w:tc>
        <w:tc>
          <w:tcPr>
            <w:tcW w:w="4080" w:type="dxa"/>
            <w:vAlign w:val="bottom"/>
            <w:vMerge w:val="restart"/>
            <w:shd w:val="clear" w:color="auto" w:fill="E6E7E8"/>
          </w:tcPr>
          <w:p>
            <w:pPr>
              <w:ind w:left="640"/>
              <w:spacing w:after="0"/>
              <w:rPr>
                <w:sz w:val="20"/>
                <w:szCs w:val="20"/>
                <w:color w:val="auto"/>
              </w:rPr>
            </w:pPr>
            <w:r>
              <w:rPr>
                <w:rFonts w:ascii="Arial" w:cs="Arial" w:eastAsia="Arial" w:hAnsi="Arial"/>
                <w:sz w:val="15"/>
                <w:szCs w:val="15"/>
                <w:color w:val="auto"/>
              </w:rPr>
              <w:t>Transparent political contributions policy and</w:t>
            </w:r>
          </w:p>
        </w:tc>
        <w:tc>
          <w:tcPr>
            <w:tcW w:w="3640" w:type="dxa"/>
            <w:vAlign w:val="bottom"/>
            <w:vMerge w:val="continue"/>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meaningful belonging across our employee</w:t>
            </w:r>
          </w:p>
        </w:tc>
        <w:tc>
          <w:tcPr>
            <w:tcW w:w="4080" w:type="dxa"/>
            <w:vAlign w:val="bottom"/>
            <w:vMerge w:val="continue"/>
            <w:shd w:val="clear" w:color="auto" w:fill="E6E7E8"/>
          </w:tcPr>
          <w:p>
            <w:pPr>
              <w:spacing w:after="0"/>
              <w:rPr>
                <w:sz w:val="14"/>
                <w:szCs w:val="14"/>
                <w:color w:val="auto"/>
              </w:rPr>
            </w:pPr>
          </w:p>
        </w:tc>
        <w:tc>
          <w:tcPr>
            <w:tcW w:w="3640" w:type="dxa"/>
            <w:vAlign w:val="bottom"/>
            <w:vMerge w:val="restart"/>
            <w:shd w:val="clear" w:color="auto" w:fill="E6E7E8"/>
          </w:tcPr>
          <w:p>
            <w:pPr>
              <w:ind w:left="460"/>
              <w:spacing w:after="0"/>
              <w:rPr>
                <w:sz w:val="20"/>
                <w:szCs w:val="20"/>
                <w:color w:val="auto"/>
              </w:rPr>
            </w:pPr>
            <w:r>
              <w:rPr>
                <w:rFonts w:ascii="Arial" w:cs="Arial" w:eastAsia="Arial" w:hAnsi="Arial"/>
                <w:sz w:val="15"/>
                <w:szCs w:val="15"/>
                <w:color w:val="auto"/>
              </w:rPr>
              <w:t>sustainability</w:t>
            </w:r>
          </w:p>
        </w:tc>
        <w:tc>
          <w:tcPr>
            <w:tcW w:w="0" w:type="dxa"/>
            <w:vAlign w:val="bottom"/>
          </w:tcPr>
          <w:p>
            <w:pPr>
              <w:spacing w:after="0"/>
              <w:rPr>
                <w:sz w:val="1"/>
                <w:szCs w:val="1"/>
                <w:color w:val="auto"/>
              </w:rPr>
            </w:pPr>
          </w:p>
        </w:tc>
      </w:tr>
      <w:tr>
        <w:trPr>
          <w:trHeight w:val="65"/>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base</w:t>
            </w: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trade association activity aligned with our</w:t>
            </w:r>
          </w:p>
        </w:tc>
        <w:tc>
          <w:tcPr>
            <w:tcW w:w="364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520" w:type="dxa"/>
            <w:vAlign w:val="bottom"/>
            <w:vMerge w:val="continue"/>
            <w:shd w:val="clear" w:color="auto" w:fill="E6E7E8"/>
          </w:tcPr>
          <w:p>
            <w:pPr>
              <w:spacing w:after="0"/>
              <w:rPr>
                <w:sz w:val="9"/>
                <w:szCs w:val="9"/>
                <w:color w:val="auto"/>
              </w:rPr>
            </w:pPr>
          </w:p>
        </w:tc>
        <w:tc>
          <w:tcPr>
            <w:tcW w:w="4080" w:type="dxa"/>
            <w:vAlign w:val="bottom"/>
            <w:vMerge w:val="continue"/>
            <w:shd w:val="clear" w:color="auto" w:fill="E6E7E8"/>
          </w:tcPr>
          <w:p>
            <w:pPr>
              <w:spacing w:after="0"/>
              <w:rPr>
                <w:sz w:val="9"/>
                <w:szCs w:val="9"/>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For more information on our corporate</w:t>
            </w: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Human Rights Policy with robust oversight;</w:t>
            </w:r>
          </w:p>
        </w:tc>
        <w:tc>
          <w:tcPr>
            <w:tcW w:w="4080" w:type="dxa"/>
            <w:vAlign w:val="bottom"/>
            <w:shd w:val="clear" w:color="auto" w:fill="E6E7E8"/>
          </w:tcPr>
          <w:p>
            <w:pPr>
              <w:ind w:left="660"/>
              <w:spacing w:after="0" w:line="162" w:lineRule="exact"/>
              <w:rPr>
                <w:sz w:val="20"/>
                <w:szCs w:val="20"/>
                <w:color w:val="auto"/>
              </w:rPr>
            </w:pPr>
            <w:r>
              <w:rPr>
                <w:rFonts w:ascii="Arial" w:cs="Arial" w:eastAsia="Arial" w:hAnsi="Arial"/>
                <w:sz w:val="15"/>
                <w:szCs w:val="15"/>
                <w:color w:val="auto"/>
              </w:rPr>
              <w:t>business objectives and Company values</w:t>
            </w:r>
          </w:p>
        </w:tc>
        <w:tc>
          <w:tcPr>
            <w:tcW w:w="3640" w:type="dxa"/>
            <w:vAlign w:val="bottom"/>
            <w:vMerge w:val="continue"/>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shd w:val="clear" w:color="auto" w:fill="E6E7E8"/>
          </w:tcPr>
          <w:p>
            <w:pPr>
              <w:spacing w:after="0"/>
              <w:rPr>
                <w:sz w:val="11"/>
                <w:szCs w:val="11"/>
                <w:color w:val="auto"/>
              </w:rPr>
            </w:pPr>
          </w:p>
        </w:tc>
        <w:tc>
          <w:tcPr>
            <w:tcW w:w="4080" w:type="dxa"/>
            <w:vAlign w:val="bottom"/>
            <w:shd w:val="clear" w:color="auto" w:fill="E6E7E8"/>
          </w:tcPr>
          <w:p>
            <w:pPr>
              <w:spacing w:after="0"/>
              <w:rPr>
                <w:sz w:val="11"/>
                <w:szCs w:val="11"/>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responsibility and sustainability programs, see</w:t>
            </w:r>
          </w:p>
        </w:tc>
        <w:tc>
          <w:tcPr>
            <w:tcW w:w="0" w:type="dxa"/>
            <w:vAlign w:val="bottom"/>
          </w:tcPr>
          <w:p>
            <w:pPr>
              <w:spacing w:after="0"/>
              <w:rPr>
                <w:sz w:val="1"/>
                <w:szCs w:val="1"/>
                <w:color w:val="auto"/>
              </w:rPr>
            </w:pPr>
          </w:p>
        </w:tc>
      </w:tr>
      <w:tr>
        <w:trPr>
          <w:trHeight w:val="54"/>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released first Human Rights Report in 2023</w:t>
            </w: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Increased focus on climate change and</w:t>
            </w:r>
          </w:p>
        </w:tc>
        <w:tc>
          <w:tcPr>
            <w:tcW w:w="3640" w:type="dxa"/>
            <w:vAlign w:val="bottom"/>
            <w:vMerge w:val="continue"/>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shd w:val="clear" w:color="auto" w:fill="E6E7E8"/>
          </w:tcPr>
          <w:p>
            <w:pPr>
              <w:spacing w:after="0"/>
              <w:rPr>
                <w:sz w:val="11"/>
                <w:szCs w:val="11"/>
                <w:color w:val="auto"/>
              </w:rPr>
            </w:pPr>
          </w:p>
        </w:tc>
        <w:tc>
          <w:tcPr>
            <w:tcW w:w="4080" w:type="dxa"/>
            <w:vAlign w:val="bottom"/>
            <w:vMerge w:val="continue"/>
            <w:shd w:val="clear" w:color="auto" w:fill="E6E7E8"/>
          </w:tcPr>
          <w:p>
            <w:pPr>
              <w:spacing w:after="0"/>
              <w:rPr>
                <w:sz w:val="11"/>
                <w:szCs w:val="11"/>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page 37 and our latest Sustainability Report and</w:t>
            </w:r>
          </w:p>
        </w:tc>
        <w:tc>
          <w:tcPr>
            <w:tcW w:w="0" w:type="dxa"/>
            <w:vAlign w:val="bottom"/>
          </w:tcPr>
          <w:p>
            <w:pPr>
              <w:spacing w:after="0"/>
              <w:rPr>
                <w:sz w:val="1"/>
                <w:szCs w:val="1"/>
                <w:color w:val="auto"/>
              </w:rPr>
            </w:pPr>
          </w:p>
        </w:tc>
      </w:tr>
      <w:tr>
        <w:trPr>
          <w:trHeight w:val="41"/>
        </w:trPr>
        <w:tc>
          <w:tcPr>
            <w:tcW w:w="3520" w:type="dxa"/>
            <w:vAlign w:val="bottom"/>
            <w:shd w:val="clear" w:color="auto" w:fill="E6E7E8"/>
          </w:tcPr>
          <w:p>
            <w:pPr>
              <w:spacing w:after="0"/>
              <w:rPr>
                <w:sz w:val="3"/>
                <w:szCs w:val="3"/>
                <w:color w:val="auto"/>
              </w:rPr>
            </w:pP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environmental efficiency</w:t>
            </w:r>
          </w:p>
        </w:tc>
        <w:tc>
          <w:tcPr>
            <w:tcW w:w="3640" w:type="dxa"/>
            <w:vAlign w:val="bottom"/>
            <w:vMerge w:val="continue"/>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Long-standing commitment to effective</w:t>
            </w:r>
          </w:p>
        </w:tc>
        <w:tc>
          <w:tcPr>
            <w:tcW w:w="4080" w:type="dxa"/>
            <w:vAlign w:val="bottom"/>
            <w:vMerge w:val="continue"/>
            <w:shd w:val="clear" w:color="auto" w:fill="E6E7E8"/>
          </w:tcPr>
          <w:p>
            <w:pPr>
              <w:spacing w:after="0"/>
              <w:rPr>
                <w:sz w:val="17"/>
                <w:szCs w:val="17"/>
                <w:color w:val="auto"/>
              </w:rPr>
            </w:pPr>
          </w:p>
        </w:tc>
        <w:tc>
          <w:tcPr>
            <w:tcW w:w="3640" w:type="dxa"/>
            <w:vAlign w:val="bottom"/>
            <w:shd w:val="clear" w:color="auto" w:fill="E6E7E8"/>
          </w:tcPr>
          <w:p>
            <w:pPr>
              <w:ind w:left="140"/>
              <w:spacing w:after="0"/>
              <w:rPr>
                <w:sz w:val="20"/>
                <w:szCs w:val="20"/>
                <w:color w:val="auto"/>
              </w:rPr>
            </w:pPr>
            <w:r>
              <w:rPr>
                <w:rFonts w:ascii="Arial" w:cs="Arial" w:eastAsia="Arial" w:hAnsi="Arial"/>
                <w:sz w:val="15"/>
                <w:szCs w:val="15"/>
                <w:color w:val="auto"/>
              </w:rPr>
              <w:t>Human Rights Report</w:t>
            </w:r>
          </w:p>
        </w:tc>
        <w:tc>
          <w:tcPr>
            <w:tcW w:w="0" w:type="dxa"/>
            <w:vAlign w:val="bottom"/>
          </w:tcPr>
          <w:p>
            <w:pPr>
              <w:spacing w:after="0"/>
              <w:rPr>
                <w:sz w:val="1"/>
                <w:szCs w:val="1"/>
                <w:color w:val="auto"/>
              </w:rPr>
            </w:pPr>
          </w:p>
        </w:tc>
      </w:tr>
      <w:tr>
        <w:trPr>
          <w:trHeight w:val="56"/>
        </w:trPr>
        <w:tc>
          <w:tcPr>
            <w:tcW w:w="3520" w:type="dxa"/>
            <w:vAlign w:val="bottom"/>
            <w:vMerge w:val="continue"/>
            <w:shd w:val="clear" w:color="auto" w:fill="E6E7E8"/>
          </w:tcPr>
          <w:p>
            <w:pPr>
              <w:spacing w:after="0"/>
              <w:rPr>
                <w:sz w:val="4"/>
                <w:szCs w:val="4"/>
                <w:color w:val="auto"/>
              </w:rPr>
            </w:pPr>
          </w:p>
        </w:tc>
        <w:tc>
          <w:tcPr>
            <w:tcW w:w="4080" w:type="dxa"/>
            <w:vAlign w:val="bottom"/>
            <w:shd w:val="clear" w:color="auto" w:fill="E6E7E8"/>
          </w:tcPr>
          <w:p>
            <w:pPr>
              <w:spacing w:after="0"/>
              <w:rPr>
                <w:sz w:val="4"/>
                <w:szCs w:val="4"/>
                <w:color w:val="auto"/>
              </w:rPr>
            </w:pPr>
          </w:p>
        </w:tc>
        <w:tc>
          <w:tcPr>
            <w:tcW w:w="3640" w:type="dxa"/>
            <w:vAlign w:val="bottom"/>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corporate governance and shareholder</w:t>
            </w:r>
          </w:p>
        </w:tc>
        <w:tc>
          <w:tcPr>
            <w:tcW w:w="4080" w:type="dxa"/>
            <w:vAlign w:val="bottom"/>
            <w:shd w:val="clear" w:color="auto" w:fill="E6E7E8"/>
          </w:tcPr>
          <w:p>
            <w:pPr>
              <w:spacing w:after="0"/>
              <w:rPr>
                <w:sz w:val="16"/>
                <w:szCs w:val="16"/>
                <w:color w:val="auto"/>
              </w:rPr>
            </w:pPr>
          </w:p>
        </w:tc>
        <w:tc>
          <w:tcPr>
            <w:tcW w:w="3640" w:type="dxa"/>
            <w:vAlign w:val="bottom"/>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rights</w:t>
            </w:r>
          </w:p>
        </w:tc>
        <w:tc>
          <w:tcPr>
            <w:tcW w:w="4080" w:type="dxa"/>
            <w:vAlign w:val="bottom"/>
            <w:shd w:val="clear" w:color="auto" w:fill="E6E7E8"/>
          </w:tcPr>
          <w:p>
            <w:pPr>
              <w:spacing w:after="0"/>
              <w:rPr>
                <w:sz w:val="17"/>
                <w:szCs w:val="17"/>
                <w:color w:val="auto"/>
              </w:rPr>
            </w:pPr>
          </w:p>
        </w:tc>
        <w:tc>
          <w:tcPr>
            <w:tcW w:w="3640" w:type="dxa"/>
            <w:vAlign w:val="bottom"/>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3520" w:type="dxa"/>
            <w:vAlign w:val="bottom"/>
            <w:shd w:val="clear" w:color="auto" w:fill="E6E7E8"/>
          </w:tcPr>
          <w:p>
            <w:pPr>
              <w:spacing w:after="0"/>
              <w:rPr>
                <w:sz w:val="7"/>
                <w:szCs w:val="7"/>
                <w:color w:val="auto"/>
              </w:rPr>
            </w:pPr>
          </w:p>
        </w:tc>
        <w:tc>
          <w:tcPr>
            <w:tcW w:w="4080" w:type="dxa"/>
            <w:vAlign w:val="bottom"/>
            <w:shd w:val="clear" w:color="auto" w:fill="E6E7E8"/>
          </w:tcPr>
          <w:p>
            <w:pPr>
              <w:spacing w:after="0"/>
              <w:rPr>
                <w:sz w:val="7"/>
                <w:szCs w:val="7"/>
                <w:color w:val="auto"/>
              </w:rPr>
            </w:pPr>
          </w:p>
        </w:tc>
        <w:tc>
          <w:tcPr>
            <w:tcW w:w="3640" w:type="dxa"/>
            <w:vAlign w:val="bottom"/>
            <w:shd w:val="clear" w:color="auto" w:fill="E6E7E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-1456690</wp:posOffset>
            </wp:positionV>
            <wp:extent cx="85725"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-1276985</wp:posOffset>
            </wp:positionV>
            <wp:extent cx="85725" cy="768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-736600</wp:posOffset>
            </wp:positionV>
            <wp:extent cx="85725"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-436880</wp:posOffset>
            </wp:positionV>
            <wp:extent cx="85725"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-1456690</wp:posOffset>
            </wp:positionV>
            <wp:extent cx="85725"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-1036955</wp:posOffset>
            </wp:positionV>
            <wp:extent cx="85725"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-625475</wp:posOffset>
            </wp:positionV>
            <wp:extent cx="85725"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-1456690</wp:posOffset>
            </wp:positionV>
            <wp:extent cx="85725"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-1122680</wp:posOffset>
            </wp:positionV>
            <wp:extent cx="76835"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43"/>
          <w:szCs w:val="43"/>
          <w:b w:val="1"/>
          <w:bCs w:val="1"/>
          <w:color w:val="29378D"/>
        </w:rPr>
        <w:t>Management and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58121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1</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80645</wp:posOffset>
            </wp:positionV>
            <wp:extent cx="9398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the 13 nominees for director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5812155"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215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3" w:right="240" w:hanging="203"/>
        <w:spacing w:after="0" w:line="286" w:lineRule="auto"/>
        <w:tabs>
          <w:tab w:leader="none" w:pos="193" w:val="left"/>
        </w:tabs>
        <w:numPr>
          <w:ilvl w:val="0"/>
          <w:numId w:val="7"/>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0C3471"/>
        </w:rPr>
        <w:t>page 16</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-723265</wp:posOffset>
            </wp:positionV>
            <wp:extent cx="1320165" cy="7200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20165" cy="72009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184785</wp:posOffset>
            </wp:positionV>
            <wp:extent cx="1320165"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2016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7" w:space="720"/>
            <w:col w:w="1983"/>
          </w:cols>
          <w:pgMar w:left="320" w:top="1298" w:right="339" w:bottom="1440" w:gutter="0" w:footer="0" w:header="0"/>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66675</wp:posOffset>
            </wp:positionV>
            <wp:extent cx="8255" cy="5918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59182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p>
      <w:pPr>
        <w:spacing w:after="0" w:line="1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Advisory Vote on Compensation of</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Named Executive Officers</w:t>
      </w:r>
    </w:p>
    <w:p>
      <w:pPr>
        <w:spacing w:after="0" w:line="105" w:lineRule="exact"/>
        <w:rPr>
          <w:sz w:val="20"/>
          <w:szCs w:val="20"/>
          <w:color w:val="auto"/>
        </w:rPr>
      </w:pPr>
    </w:p>
    <w:p>
      <w:pPr>
        <w:ind w:left="120"/>
        <w:spacing w:after="0"/>
        <w:rPr>
          <w:sz w:val="20"/>
          <w:szCs w:val="20"/>
          <w:color w:val="auto"/>
        </w:rPr>
      </w:pPr>
      <w:r>
        <w:rPr>
          <w:sz w:val="1"/>
          <w:szCs w:val="1"/>
          <w:color w:val="auto"/>
        </w:rPr>
        <w:drawing>
          <wp:inline distT="0" distB="0" distL="0" distR="0">
            <wp:extent cx="102870" cy="857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6"/>
          <w:szCs w:val="16"/>
          <w:color w:val="auto"/>
        </w:rPr>
        <w:t xml:space="preserve"> 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58121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203" w:right="240" w:hanging="203"/>
        <w:spacing w:after="0" w:line="286" w:lineRule="auto"/>
        <w:tabs>
          <w:tab w:leader="none" w:pos="193" w:val="left"/>
        </w:tabs>
        <w:numPr>
          <w:ilvl w:val="0"/>
          <w:numId w:val="8"/>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0C3471"/>
        </w:rPr>
        <w:t>page 49</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184785</wp:posOffset>
            </wp:positionV>
            <wp:extent cx="1320165"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7" w:space="720"/>
            <w:col w:w="1983"/>
          </w:cols>
          <w:pgMar w:left="320" w:top="1298" w:right="339" w:bottom="1440" w:gutter="0" w:footer="0" w:header="0"/>
          <w:type w:val="continuous"/>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9180" w:type="dxa"/>
            <w:vAlign w:val="bottom"/>
            <w:tcBorders>
              <w:right w:val="single" w:sz="8" w:color="0C3471"/>
            </w:tcBorders>
          </w:tcPr>
          <w:p>
            <w:pPr>
              <w:ind w:left="100"/>
              <w:spacing w:after="0"/>
              <w:rPr>
                <w:sz w:val="20"/>
                <w:szCs w:val="20"/>
                <w:color w:val="auto"/>
              </w:rPr>
            </w:pPr>
            <w:r>
              <w:rPr>
                <w:rFonts w:ascii="Arial" w:cs="Arial" w:eastAsia="Arial" w:hAnsi="Arial"/>
                <w:sz w:val="22"/>
                <w:szCs w:val="22"/>
                <w:b w:val="1"/>
                <w:bCs w:val="1"/>
                <w:color w:val="29378D"/>
              </w:rPr>
              <w:t>Ratification of Appointment of Independent Auditor</w:t>
            </w:r>
          </w:p>
        </w:tc>
        <w:tc>
          <w:tcPr>
            <w:tcW w:w="2060" w:type="dxa"/>
            <w:vAlign w:val="bottom"/>
            <w:vMerge w:val="restart"/>
          </w:tcPr>
          <w:p>
            <w:pPr>
              <w:ind w:left="80"/>
              <w:spacing w:after="0"/>
              <w:rPr>
                <w:sz w:val="20"/>
                <w:szCs w:val="20"/>
                <w:color w:val="auto"/>
              </w:rPr>
            </w:pPr>
            <w:r>
              <w:rPr>
                <w:rFonts w:ascii="Arial" w:cs="Arial" w:eastAsia="Arial" w:hAnsi="Arial"/>
                <w:sz w:val="16"/>
                <w:szCs w:val="16"/>
                <w:b w:val="1"/>
                <w:bCs w:val="1"/>
                <w:color w:val="223A75"/>
              </w:rPr>
              <w:t xml:space="preserve">&gt; </w:t>
            </w:r>
            <w:r>
              <w:rPr>
                <w:rFonts w:ascii="Arial" w:cs="Arial" w:eastAsia="Arial" w:hAnsi="Arial"/>
                <w:sz w:val="16"/>
                <w:szCs w:val="16"/>
                <w:color w:val="000000"/>
              </w:rPr>
              <w:t>See</w:t>
            </w:r>
            <w:r>
              <w:rPr>
                <w:rFonts w:ascii="Arial" w:cs="Arial" w:eastAsia="Arial" w:hAnsi="Arial"/>
                <w:sz w:val="16"/>
                <w:szCs w:val="16"/>
                <w:b w:val="1"/>
                <w:bCs w:val="1"/>
                <w:color w:val="223A75"/>
              </w:rPr>
              <w:t xml:space="preserve"> </w:t>
            </w:r>
            <w:r>
              <w:rPr>
                <w:rFonts w:ascii="Arial" w:cs="Arial" w:eastAsia="Arial" w:hAnsi="Arial"/>
                <w:sz w:val="16"/>
                <w:szCs w:val="16"/>
                <w:color w:val="0C3471"/>
              </w:rPr>
              <w:t>page 90</w:t>
            </w:r>
            <w:r>
              <w:rPr>
                <w:rFonts w:ascii="Arial" w:cs="Arial" w:eastAsia="Arial" w:hAnsi="Arial"/>
                <w:sz w:val="16"/>
                <w:szCs w:val="16"/>
                <w:b w:val="1"/>
                <w:bCs w:val="1"/>
                <w:color w:val="223A75"/>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7"/>
        </w:trPr>
        <w:tc>
          <w:tcPr>
            <w:tcW w:w="9180" w:type="dxa"/>
            <w:vAlign w:val="bottom"/>
            <w:tcBorders>
              <w:right w:val="single" w:sz="8" w:color="0C3471"/>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9180" w:type="dxa"/>
            <w:vAlign w:val="bottom"/>
            <w:tcBorders>
              <w:right w:val="single" w:sz="8" w:color="0C3471"/>
            </w:tcBorders>
          </w:tcPr>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tc>
        <w:tc>
          <w:tcPr>
            <w:tcW w:w="2060" w:type="dxa"/>
            <w:vAlign w:val="bottom"/>
          </w:tcPr>
          <w:p>
            <w:pPr>
              <w:ind w:left="28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r>
        <w:trPr>
          <w:trHeight w:val="20"/>
        </w:trPr>
        <w:tc>
          <w:tcPr>
            <w:tcW w:w="9180" w:type="dxa"/>
            <w:vAlign w:val="bottom"/>
            <w:tcBorders>
              <w:right w:val="single" w:sz="8" w:color="29378D"/>
            </w:tcBorders>
            <w:shd w:val="clear" w:color="auto" w:fill="29378D"/>
          </w:tcPr>
          <w:p>
            <w:pPr>
              <w:spacing w:after="0" w:line="20" w:lineRule="exact"/>
              <w:rPr>
                <w:sz w:val="1"/>
                <w:szCs w:val="1"/>
                <w:color w:val="auto"/>
              </w:rPr>
            </w:pPr>
          </w:p>
        </w:tc>
        <w:tc>
          <w:tcPr>
            <w:tcW w:w="2060" w:type="dxa"/>
            <w:vAlign w:val="bottom"/>
            <w:shd w:val="clear" w:color="auto" w:fill="29378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-213995</wp:posOffset>
            </wp:positionV>
            <wp:extent cx="10287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its recent evaluation, the Audit and Risk Committee of the Board of Directors believes that the appointment of Deloitte &amp; Touche LLP (Deloitte) is in the best interests of the Company and its shareholders. Deloitte served as our independent auditor for 2023, and Deloitte or its predecessors have served as the independent auditor for the Company (including certain of its predecessor companies) since 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4</w:t>
      </w:r>
    </w:p>
    <w:p>
      <w:pPr>
        <w:spacing w:after="0" w:line="103" w:lineRule="exact"/>
        <w:rPr>
          <w:sz w:val="20"/>
          <w:szCs w:val="20"/>
          <w:color w:val="auto"/>
        </w:rPr>
      </w:pPr>
    </w:p>
    <w:p>
      <w:pPr>
        <w:ind w:left="20"/>
        <w:spacing w:after="0" w:line="285" w:lineRule="auto"/>
        <w:rPr>
          <w:sz w:val="20"/>
          <w:szCs w:val="20"/>
          <w:color w:val="auto"/>
        </w:rPr>
      </w:pPr>
      <w:r>
        <w:rPr>
          <w:rFonts w:ascii="Arial" w:cs="Arial" w:eastAsia="Arial" w:hAnsi="Arial"/>
          <w:sz w:val="22"/>
          <w:szCs w:val="22"/>
          <w:b w:val="1"/>
          <w:bCs w:val="1"/>
          <w:color w:val="29378D"/>
        </w:rPr>
        <w:t>Elimination of Personal Liability of Officers for Monetary Damages for Breach of Certain Fiduciary Duties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305435</wp:posOffset>
            </wp:positionV>
            <wp:extent cx="10287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58121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3" w:right="240" w:hanging="203"/>
        <w:spacing w:after="0" w:line="268" w:lineRule="auto"/>
        <w:tabs>
          <w:tab w:leader="none" w:pos="193" w:val="left"/>
        </w:tabs>
        <w:numPr>
          <w:ilvl w:val="0"/>
          <w:numId w:val="9"/>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223A75"/>
        </w:rPr>
        <w:t>page 93</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-851535</wp:posOffset>
            </wp:positionV>
            <wp:extent cx="8255" cy="865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6550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193675</wp:posOffset>
            </wp:positionV>
            <wp:extent cx="132016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0" w:space="217"/>
            <w:col w:w="1983"/>
          </w:cols>
          <w:pgMar w:left="320" w:top="1298" w:right="339" w:bottom="1440" w:gutter="0" w:footer="0" w:header="0"/>
          <w:type w:val="continuous"/>
        </w:sectPr>
      </w:pP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9180" w:type="dxa"/>
            <w:vAlign w:val="bottom"/>
            <w:tcBorders>
              <w:right w:val="single" w:sz="8" w:color="0C3471"/>
            </w:tcBorders>
          </w:tcPr>
          <w:p>
            <w:pPr>
              <w:ind w:left="100"/>
              <w:spacing w:after="0"/>
              <w:rPr>
                <w:sz w:val="20"/>
                <w:szCs w:val="20"/>
                <w:color w:val="auto"/>
              </w:rPr>
            </w:pPr>
            <w:r>
              <w:rPr>
                <w:rFonts w:ascii="Arial" w:cs="Arial" w:eastAsia="Arial" w:hAnsi="Arial"/>
                <w:sz w:val="22"/>
                <w:szCs w:val="22"/>
                <w:b w:val="1"/>
                <w:bCs w:val="1"/>
                <w:color w:val="29378D"/>
              </w:rPr>
              <w:t>Approval of 2024 Long-Term Incentive Stock Plan</w:t>
            </w:r>
          </w:p>
        </w:tc>
        <w:tc>
          <w:tcPr>
            <w:tcW w:w="2060" w:type="dxa"/>
            <w:vAlign w:val="bottom"/>
            <w:vMerge w:val="restart"/>
          </w:tcPr>
          <w:p>
            <w:pPr>
              <w:ind w:left="80"/>
              <w:spacing w:after="0"/>
              <w:rPr>
                <w:sz w:val="20"/>
                <w:szCs w:val="20"/>
                <w:color w:val="auto"/>
              </w:rPr>
            </w:pPr>
            <w:r>
              <w:rPr>
                <w:rFonts w:ascii="Arial" w:cs="Arial" w:eastAsia="Arial" w:hAnsi="Arial"/>
                <w:sz w:val="16"/>
                <w:szCs w:val="16"/>
                <w:b w:val="1"/>
                <w:bCs w:val="1"/>
                <w:color w:val="0C3471"/>
              </w:rPr>
              <w:t xml:space="preserve">&gt; </w:t>
            </w:r>
            <w:r>
              <w:rPr>
                <w:rFonts w:ascii="Arial" w:cs="Arial" w:eastAsia="Arial" w:hAnsi="Arial"/>
                <w:sz w:val="16"/>
                <w:szCs w:val="16"/>
                <w:color w:val="000000"/>
              </w:rPr>
              <w:t>See</w:t>
            </w:r>
            <w:r>
              <w:rPr>
                <w:rFonts w:ascii="Arial" w:cs="Arial" w:eastAsia="Arial" w:hAnsi="Arial"/>
                <w:sz w:val="16"/>
                <w:szCs w:val="16"/>
                <w:b w:val="1"/>
                <w:bCs w:val="1"/>
                <w:color w:val="0C3471"/>
              </w:rPr>
              <w:t xml:space="preserve"> </w:t>
            </w:r>
            <w:r>
              <w:rPr>
                <w:rFonts w:ascii="Arial" w:cs="Arial" w:eastAsia="Arial" w:hAnsi="Arial"/>
                <w:sz w:val="16"/>
                <w:szCs w:val="16"/>
                <w:color w:val="0C3471"/>
              </w:rPr>
              <w:t>page 95</w:t>
            </w:r>
            <w:r>
              <w:rPr>
                <w:rFonts w:ascii="Arial" w:cs="Arial" w:eastAsia="Arial" w:hAnsi="Arial"/>
                <w:sz w:val="16"/>
                <w:szCs w:val="16"/>
                <w:b w:val="1"/>
                <w:bCs w:val="1"/>
                <w:color w:val="0C3471"/>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7"/>
        </w:trPr>
        <w:tc>
          <w:tcPr>
            <w:tcW w:w="9180" w:type="dxa"/>
            <w:vAlign w:val="bottom"/>
            <w:tcBorders>
              <w:right w:val="single" w:sz="8" w:color="0C3471"/>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9180" w:type="dxa"/>
            <w:vAlign w:val="bottom"/>
            <w:tcBorders>
              <w:right w:val="single" w:sz="8" w:color="0C3471"/>
            </w:tcBorders>
          </w:tcPr>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tc>
        <w:tc>
          <w:tcPr>
            <w:tcW w:w="2060" w:type="dxa"/>
            <w:vAlign w:val="bottom"/>
          </w:tcPr>
          <w:p>
            <w:pPr>
              <w:ind w:left="28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r>
        <w:trPr>
          <w:trHeight w:val="20"/>
        </w:trPr>
        <w:tc>
          <w:tcPr>
            <w:tcW w:w="9180" w:type="dxa"/>
            <w:vAlign w:val="bottom"/>
            <w:tcBorders>
              <w:right w:val="single" w:sz="8" w:color="29378D"/>
            </w:tcBorders>
            <w:shd w:val="clear" w:color="auto" w:fill="29378D"/>
          </w:tcPr>
          <w:p>
            <w:pPr>
              <w:spacing w:after="0" w:line="20" w:lineRule="exact"/>
              <w:rPr>
                <w:sz w:val="1"/>
                <w:szCs w:val="1"/>
                <w:color w:val="auto"/>
              </w:rPr>
            </w:pPr>
          </w:p>
        </w:tc>
        <w:tc>
          <w:tcPr>
            <w:tcW w:w="2060" w:type="dxa"/>
            <w:vAlign w:val="bottom"/>
            <w:shd w:val="clear" w:color="auto" w:fill="29378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-205105</wp:posOffset>
            </wp:positionV>
            <wp:extent cx="10287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Management and 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57785</wp:posOffset>
            </wp:positionV>
            <wp:extent cx="8255" cy="7454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745490"/>
                    </a:xfrm>
                    <a:prstGeom prst="rect">
                      <a:avLst/>
                    </a:prstGeom>
                    <a:noFill/>
                  </pic:spPr>
                </pic:pic>
              </a:graphicData>
            </a:graphic>
          </wp:anchor>
        </w:drawing>
      </w:r>
    </w:p>
    <w:p>
      <w:pPr>
        <w:spacing w:after="0" w:line="191" w:lineRule="exact"/>
        <w:rPr>
          <w:sz w:val="20"/>
          <w:szCs w:val="20"/>
          <w:color w:val="auto"/>
        </w:rPr>
      </w:pPr>
    </w:p>
    <w:p>
      <w:pPr>
        <w:ind w:left="20"/>
        <w:spacing w:after="0" w:line="310" w:lineRule="auto"/>
        <w:rPr>
          <w:sz w:val="20"/>
          <w:szCs w:val="20"/>
          <w:color w:val="auto"/>
        </w:rPr>
      </w:pPr>
      <w:r>
        <w:rPr>
          <w:rFonts w:ascii="Arial" w:cs="Arial" w:eastAsia="Arial" w:hAnsi="Arial"/>
          <w:sz w:val="21"/>
          <w:szCs w:val="21"/>
          <w:b w:val="1"/>
          <w:bCs w:val="1"/>
          <w:color w:val="00249C"/>
        </w:rPr>
        <w:t>Shareholder Proposal to Annually Conduct an Evaluation and Issue a Report Describing the Alignment of the Company’s Political Activities With Its Human Rights Policy</w:t>
      </w:r>
    </w:p>
    <w:p>
      <w:pPr>
        <w:spacing w:after="0" w:line="147" w:lineRule="exact"/>
        <w:rPr>
          <w:sz w:val="20"/>
          <w:szCs w:val="20"/>
          <w:color w:val="auto"/>
        </w:rPr>
      </w:pPr>
    </w:p>
    <w:p>
      <w:pPr>
        <w:ind w:left="120"/>
        <w:spacing w:after="0"/>
        <w:rPr>
          <w:sz w:val="20"/>
          <w:szCs w:val="20"/>
          <w:color w:val="auto"/>
        </w:rPr>
      </w:pPr>
      <w:r>
        <w:rPr>
          <w:sz w:val="1"/>
          <w:szCs w:val="1"/>
          <w:color w:val="auto"/>
        </w:rPr>
        <w:drawing>
          <wp:inline distT="0" distB="0" distL="0" distR="0">
            <wp:extent cx="102870" cy="10287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The Board of Directors unanimously recommends that you vote </w:t>
      </w:r>
      <w:r>
        <w:rPr>
          <w:rFonts w:ascii="Arial" w:cs="Arial" w:eastAsia="Arial" w:hAnsi="Arial"/>
          <w:sz w:val="16"/>
          <w:szCs w:val="16"/>
          <w:b w:val="1"/>
          <w:bCs w:val="1"/>
          <w:color w:val="00249C"/>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581215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7" w:right="200" w:hanging="217"/>
        <w:spacing w:after="0" w:line="286" w:lineRule="auto"/>
        <w:tabs>
          <w:tab w:leader="none" w:pos="194" w:val="left"/>
        </w:tabs>
        <w:numPr>
          <w:ilvl w:val="0"/>
          <w:numId w:val="10"/>
        </w:numPr>
        <w:rPr>
          <w:rFonts w:ascii="Arial" w:cs="Arial" w:eastAsia="Arial" w:hAnsi="Arial"/>
          <w:sz w:val="16"/>
          <w:szCs w:val="16"/>
          <w:b w:val="1"/>
          <w:bCs w:val="1"/>
          <w:color w:val="29378D"/>
        </w:rPr>
      </w:pPr>
      <w:r>
        <w:rPr>
          <w:rFonts w:ascii="Arial" w:cs="Arial" w:eastAsia="Arial" w:hAnsi="Arial"/>
          <w:sz w:val="16"/>
          <w:szCs w:val="16"/>
          <w:color w:val="auto"/>
        </w:rPr>
        <w:t xml:space="preserve">See </w:t>
      </w:r>
      <w:r>
        <w:rPr>
          <w:rFonts w:ascii="Arial" w:cs="Arial" w:eastAsia="Arial" w:hAnsi="Arial"/>
          <w:sz w:val="16"/>
          <w:szCs w:val="16"/>
          <w:color w:val="29378D"/>
        </w:rPr>
        <w:t>page 98</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176530</wp:posOffset>
            </wp:positionV>
            <wp:extent cx="132016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203"/>
            <w:col w:w="1957"/>
          </w:cols>
          <w:pgMar w:left="320" w:top="238" w:right="339" w:bottom="1440" w:gutter="0" w:footer="0" w:header="0"/>
          <w:type w:val="continuous"/>
        </w:sectPr>
      </w:pP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180" w:type="dxa"/>
            <w:vAlign w:val="bottom"/>
            <w:tcBorders>
              <w:right w:val="single" w:sz="8" w:color="29378D"/>
            </w:tcBorders>
          </w:tcPr>
          <w:p>
            <w:pPr>
              <w:ind w:left="100"/>
              <w:spacing w:after="0"/>
              <w:rPr>
                <w:sz w:val="20"/>
                <w:szCs w:val="20"/>
                <w:color w:val="auto"/>
              </w:rPr>
            </w:pPr>
            <w:r>
              <w:rPr>
                <w:rFonts w:ascii="Arial" w:cs="Arial" w:eastAsia="Arial" w:hAnsi="Arial"/>
                <w:sz w:val="22"/>
                <w:szCs w:val="22"/>
                <w:b w:val="1"/>
                <w:bCs w:val="1"/>
                <w:color w:val="00249C"/>
              </w:rPr>
              <w:t>Shareholder Proposal to Provide for an Independent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80" w:type="dxa"/>
            <w:vAlign w:val="bottom"/>
            <w:tcBorders>
              <w:right w:val="single" w:sz="8" w:color="29378D"/>
            </w:tcBorders>
          </w:tcPr>
          <w:p>
            <w:pPr>
              <w:ind w:left="100"/>
              <w:spacing w:after="0"/>
              <w:rPr>
                <w:sz w:val="20"/>
                <w:szCs w:val="20"/>
                <w:color w:val="auto"/>
              </w:rPr>
            </w:pPr>
            <w:r>
              <w:rPr>
                <w:rFonts w:ascii="Arial" w:cs="Arial" w:eastAsia="Arial" w:hAnsi="Arial"/>
                <w:sz w:val="22"/>
                <w:szCs w:val="22"/>
                <w:b w:val="1"/>
                <w:bCs w:val="1"/>
                <w:color w:val="00249C"/>
              </w:rPr>
              <w:t>Board Chair</w:t>
            </w:r>
          </w:p>
        </w:tc>
        <w:tc>
          <w:tcPr>
            <w:tcW w:w="206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 xml:space="preserve">&gt; </w:t>
            </w:r>
            <w:r>
              <w:rPr>
                <w:rFonts w:ascii="Arial" w:cs="Arial" w:eastAsia="Arial" w:hAnsi="Arial"/>
                <w:sz w:val="16"/>
                <w:szCs w:val="16"/>
                <w:color w:val="000000"/>
              </w:rPr>
              <w:t>See</w:t>
            </w:r>
            <w:r>
              <w:rPr>
                <w:rFonts w:ascii="Arial" w:cs="Arial" w:eastAsia="Arial" w:hAnsi="Arial"/>
                <w:sz w:val="16"/>
                <w:szCs w:val="16"/>
                <w:b w:val="1"/>
                <w:bCs w:val="1"/>
                <w:color w:val="29378D"/>
              </w:rPr>
              <w:t xml:space="preserve"> </w:t>
            </w:r>
            <w:r>
              <w:rPr>
                <w:rFonts w:ascii="Arial" w:cs="Arial" w:eastAsia="Arial" w:hAnsi="Arial"/>
                <w:sz w:val="16"/>
                <w:szCs w:val="16"/>
                <w:color w:val="29378D"/>
              </w:rPr>
              <w:t>page 103</w:t>
            </w:r>
            <w:r>
              <w:rPr>
                <w:rFonts w:ascii="Arial" w:cs="Arial" w:eastAsia="Arial" w:hAnsi="Arial"/>
                <w:sz w:val="16"/>
                <w:szCs w:val="16"/>
                <w:b w:val="1"/>
                <w:bCs w:val="1"/>
                <w:color w:val="29378D"/>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2"/>
        </w:trPr>
        <w:tc>
          <w:tcPr>
            <w:tcW w:w="9180" w:type="dxa"/>
            <w:vAlign w:val="bottom"/>
            <w:tcBorders>
              <w:right w:val="single" w:sz="8" w:color="29378D"/>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9180" w:type="dxa"/>
            <w:vAlign w:val="bottom"/>
            <w:tcBorders>
              <w:bottom w:val="single" w:sz="8" w:color="auto"/>
              <w:right w:val="single" w:sz="8" w:color="29378D"/>
            </w:tcBorders>
          </w:tcPr>
          <w:p>
            <w:pPr>
              <w:ind w:left="38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00249C"/>
              </w:rPr>
              <w:t>“AGAINST”</w:t>
            </w:r>
            <w:r>
              <w:rPr>
                <w:rFonts w:ascii="Arial" w:cs="Arial" w:eastAsia="Arial" w:hAnsi="Arial"/>
                <w:sz w:val="16"/>
                <w:szCs w:val="16"/>
                <w:color w:val="auto"/>
              </w:rPr>
              <w:t xml:space="preserve"> this proposal.</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-222250</wp:posOffset>
            </wp:positionV>
            <wp:extent cx="10287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43"/>
          <w:szCs w:val="43"/>
          <w:b w:val="1"/>
          <w:bCs w:val="1"/>
          <w:color w:val="29378D"/>
        </w:rPr>
        <w:t>Shareholder Engagement</w:t>
      </w:r>
    </w:p>
    <w:p>
      <w:pPr>
        <w:spacing w:after="0" w:line="200" w:lineRule="exact"/>
        <w:rPr>
          <w:sz w:val="20"/>
          <w:szCs w:val="20"/>
          <w:color w:val="auto"/>
        </w:rPr>
      </w:pPr>
    </w:p>
    <w:p>
      <w:pPr>
        <w:spacing w:after="0" w:line="2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Northrop Grumman, we believe that regular, ongoing engagement with our shareholders is a critical component of our corporate governance framework. We have an extensive shareholder outreach program that facilitates robust engagement with our shareholders in a variety of formats throughout the year. These discussions include key members of our leadership team and Board to ensure we understand our shareholders’ top priorities. Every spring in advance of our annual meeting, and each fall in the off-season, we offer engagement opportunities to our top shareholders as part of our proxy-related outreach. These discussions are in addition to various other ongoing forms of shareholder engagement that we highlighted below.</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have a proven record of adopting provisions or modifying practices as a result of shareholder engagement and feedback, emerging trends and corporate governance best practices. For example, in 2023, after considering shareholder inputs and discussions, we submitted a management proposal at our 2023 Annual Meeting to reduce the threshold required to call a special meeting from 25% to 15%. This proposal was overwhelmingly supported by our shareholders with approximately 99% support. We also adjusted our executive compensation program over the last several years to include Return on Invested Capital (ROIC) as part of our long-term financial metrics and to include non-financial metrics in our annual incentive plan. We remain committed to strong levels of engagement in the future to ensure continued alignment to shareholder interests and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643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WHO WE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940" w:type="dxa"/>
            <w:vAlign w:val="bottom"/>
            <w:shd w:val="clear" w:color="auto" w:fill="E6E7E8"/>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General Counsel</w:t>
            </w:r>
          </w:p>
        </w:tc>
        <w:tc>
          <w:tcPr>
            <w:tcW w:w="0" w:type="dxa"/>
            <w:vAlign w:val="bottom"/>
          </w:tcPr>
          <w:p>
            <w:pPr>
              <w:spacing w:after="0"/>
              <w:rPr>
                <w:sz w:val="1"/>
                <w:szCs w:val="1"/>
                <w:color w:val="auto"/>
              </w:rPr>
            </w:pPr>
          </w:p>
        </w:tc>
      </w:tr>
      <w:tr>
        <w:trPr>
          <w:trHeight w:val="26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COMPANY</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Lead Independent Director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Corporate Secretary</w:t>
            </w:r>
          </w:p>
        </w:tc>
        <w:tc>
          <w:tcPr>
            <w:tcW w:w="0" w:type="dxa"/>
            <w:vAlign w:val="bottom"/>
          </w:tcPr>
          <w:p>
            <w:pPr>
              <w:spacing w:after="0"/>
              <w:rPr>
                <w:sz w:val="1"/>
                <w:szCs w:val="1"/>
                <w:color w:val="auto"/>
              </w:rPr>
            </w:pPr>
          </w:p>
        </w:tc>
      </w:tr>
      <w:tr>
        <w:trPr>
          <w:trHeight w:val="25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REPRESENTATIVES</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Chief Sustainability Officer</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VP, Investor Relations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Business Sector Leadership</w:t>
            </w:r>
          </w:p>
        </w:tc>
        <w:tc>
          <w:tcPr>
            <w:tcW w:w="0" w:type="dxa"/>
            <w:vAlign w:val="bottom"/>
          </w:tcPr>
          <w:p>
            <w:pPr>
              <w:spacing w:after="0"/>
              <w:rPr>
                <w:sz w:val="1"/>
                <w:szCs w:val="1"/>
                <w:color w:val="auto"/>
              </w:rPr>
            </w:pPr>
          </w:p>
        </w:tc>
      </w:tr>
      <w:tr>
        <w:trPr>
          <w:trHeight w:val="89"/>
        </w:trPr>
        <w:tc>
          <w:tcPr>
            <w:tcW w:w="1940" w:type="dxa"/>
            <w:vAlign w:val="bottom"/>
            <w:shd w:val="clear" w:color="auto" w:fill="E6E7E8"/>
          </w:tcPr>
          <w:p>
            <w:pPr>
              <w:spacing w:after="0"/>
              <w:rPr>
                <w:sz w:val="7"/>
                <w:szCs w:val="7"/>
                <w:color w:val="auto"/>
              </w:rPr>
            </w:pPr>
          </w:p>
        </w:tc>
        <w:tc>
          <w:tcPr>
            <w:tcW w:w="4600" w:type="dxa"/>
            <w:vAlign w:val="bottom"/>
            <w:gridSpan w:val="2"/>
          </w:tcPr>
          <w:p>
            <w:pPr>
              <w:spacing w:after="0"/>
              <w:rPr>
                <w:sz w:val="7"/>
                <w:szCs w:val="7"/>
                <w:color w:val="auto"/>
              </w:rPr>
            </w:pPr>
          </w:p>
        </w:tc>
        <w:tc>
          <w:tcPr>
            <w:tcW w:w="47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940" w:type="dxa"/>
            <w:vAlign w:val="bottom"/>
            <w:tcBorders>
              <w:bottom w:val="single" w:sz="8" w:color="BCBEC0"/>
            </w:tcBorders>
          </w:tcPr>
          <w:p>
            <w:pPr>
              <w:spacing w:after="0"/>
              <w:rPr>
                <w:sz w:val="8"/>
                <w:szCs w:val="8"/>
                <w:color w:val="auto"/>
              </w:rPr>
            </w:pPr>
          </w:p>
        </w:tc>
        <w:tc>
          <w:tcPr>
            <w:tcW w:w="4600" w:type="dxa"/>
            <w:vAlign w:val="bottom"/>
            <w:tcBorders>
              <w:bottom w:val="single" w:sz="8" w:color="BCBEC0"/>
            </w:tcBorders>
            <w:gridSpan w:val="2"/>
          </w:tcPr>
          <w:p>
            <w:pPr>
              <w:spacing w:after="0"/>
              <w:rPr>
                <w:sz w:val="8"/>
                <w:szCs w:val="8"/>
                <w:color w:val="auto"/>
              </w:rPr>
            </w:pPr>
          </w:p>
        </w:tc>
        <w:tc>
          <w:tcPr>
            <w:tcW w:w="4700" w:type="dxa"/>
            <w:vAlign w:val="bottom"/>
            <w:tcBorders>
              <w:bottom w:val="single" w:sz="8" w:color="BCBEC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46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Governance Topics</w:t>
            </w:r>
          </w:p>
        </w:tc>
        <w:tc>
          <w:tcPr>
            <w:tcW w:w="4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Sustainability Topics</w:t>
            </w:r>
          </w:p>
        </w:tc>
        <w:tc>
          <w:tcPr>
            <w:tcW w:w="0" w:type="dxa"/>
            <w:vAlign w:val="bottom"/>
          </w:tcPr>
          <w:p>
            <w:pPr>
              <w:spacing w:after="0"/>
              <w:rPr>
                <w:sz w:val="1"/>
                <w:szCs w:val="1"/>
                <w:color w:val="auto"/>
              </w:rPr>
            </w:pPr>
          </w:p>
        </w:tc>
      </w:tr>
      <w:tr>
        <w:trPr>
          <w:trHeight w:val="235"/>
        </w:trPr>
        <w:tc>
          <w:tcPr>
            <w:tcW w:w="1940" w:type="dxa"/>
            <w:vAlign w:val="bottom"/>
            <w:shd w:val="clear" w:color="auto" w:fill="E6E7E8"/>
          </w:tcPr>
          <w:p>
            <w:pPr>
              <w:spacing w:after="0"/>
              <w:rPr>
                <w:sz w:val="20"/>
                <w:szCs w:val="20"/>
                <w:color w:val="auto"/>
              </w:rPr>
            </w:pPr>
          </w:p>
        </w:tc>
        <w:tc>
          <w:tcPr>
            <w:tcW w:w="4600" w:type="dxa"/>
            <w:vAlign w:val="bottom"/>
            <w:gridSpan w:val="2"/>
            <w:vMerge w:val="continue"/>
          </w:tcPr>
          <w:p>
            <w:pPr>
              <w:spacing w:after="0"/>
              <w:rPr>
                <w:sz w:val="20"/>
                <w:szCs w:val="20"/>
                <w:color w:val="auto"/>
              </w:rPr>
            </w:pPr>
          </w:p>
        </w:tc>
        <w:tc>
          <w:tcPr>
            <w:tcW w:w="4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E6E7E8"/>
          </w:tcPr>
          <w:p>
            <w:pPr>
              <w:spacing w:after="0"/>
              <w:rPr>
                <w:sz w:val="22"/>
                <w:szCs w:val="22"/>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Shareholder Proposals/Votes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Environmental Goals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Executive Compensation</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Human Rights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Board Composition, Leadership Structure and Oversight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Inclusion</w:t>
            </w:r>
          </w:p>
        </w:tc>
        <w:tc>
          <w:tcPr>
            <w:tcW w:w="0" w:type="dxa"/>
            <w:vAlign w:val="bottom"/>
          </w:tcPr>
          <w:p>
            <w:pPr>
              <w:spacing w:after="0"/>
              <w:rPr>
                <w:sz w:val="1"/>
                <w:szCs w:val="1"/>
                <w:color w:val="auto"/>
              </w:rPr>
            </w:pPr>
          </w:p>
        </w:tc>
      </w:tr>
      <w:tr>
        <w:trPr>
          <w:trHeight w:val="22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TOPICS</w:t>
            </w:r>
          </w:p>
        </w:tc>
        <w:tc>
          <w:tcPr>
            <w:tcW w:w="4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DISCUSSED</w:t>
            </w:r>
          </w:p>
        </w:tc>
        <w:tc>
          <w:tcPr>
            <w:tcW w:w="46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Financial Topics</w:t>
            </w:r>
          </w:p>
        </w:tc>
        <w:tc>
          <w:tcPr>
            <w:tcW w:w="4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Company Strategy</w:t>
            </w:r>
          </w:p>
        </w:tc>
        <w:tc>
          <w:tcPr>
            <w:tcW w:w="0" w:type="dxa"/>
            <w:vAlign w:val="bottom"/>
          </w:tcPr>
          <w:p>
            <w:pPr>
              <w:spacing w:after="0"/>
              <w:rPr>
                <w:sz w:val="1"/>
                <w:szCs w:val="1"/>
                <w:color w:val="auto"/>
              </w:rPr>
            </w:pPr>
          </w:p>
        </w:tc>
      </w:tr>
      <w:tr>
        <w:trPr>
          <w:trHeight w:val="210"/>
        </w:trPr>
        <w:tc>
          <w:tcPr>
            <w:tcW w:w="1940" w:type="dxa"/>
            <w:vAlign w:val="bottom"/>
            <w:shd w:val="clear" w:color="auto" w:fill="E6E7E8"/>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E6E7E8"/>
          </w:tcPr>
          <w:p>
            <w:pPr>
              <w:spacing w:after="0"/>
              <w:rPr>
                <w:sz w:val="22"/>
                <w:szCs w:val="22"/>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Financial Performance</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Digital Transformation</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Portfolio Mix</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Customer Priorities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Capital Deploymen</w:t>
            </w:r>
            <w:r>
              <w:rPr>
                <w:rFonts w:ascii="Arial" w:cs="Arial" w:eastAsia="Arial" w:hAnsi="Arial"/>
                <w:sz w:val="16"/>
                <w:szCs w:val="16"/>
                <w:color w:val="29378D"/>
              </w:rPr>
              <w:t>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Competitive Landscape</w:t>
            </w:r>
          </w:p>
        </w:tc>
        <w:tc>
          <w:tcPr>
            <w:tcW w:w="0" w:type="dxa"/>
            <w:vAlign w:val="bottom"/>
          </w:tcPr>
          <w:p>
            <w:pPr>
              <w:spacing w:after="0"/>
              <w:rPr>
                <w:sz w:val="1"/>
                <w:szCs w:val="1"/>
                <w:color w:val="auto"/>
              </w:rPr>
            </w:pPr>
          </w:p>
        </w:tc>
      </w:tr>
      <w:tr>
        <w:trPr>
          <w:trHeight w:val="88"/>
        </w:trPr>
        <w:tc>
          <w:tcPr>
            <w:tcW w:w="1940" w:type="dxa"/>
            <w:vAlign w:val="bottom"/>
            <w:shd w:val="clear" w:color="auto" w:fill="E6E7E8"/>
          </w:tcPr>
          <w:p>
            <w:pPr>
              <w:spacing w:after="0"/>
              <w:rPr>
                <w:sz w:val="7"/>
                <w:szCs w:val="7"/>
                <w:color w:val="auto"/>
              </w:rPr>
            </w:pPr>
          </w:p>
        </w:tc>
        <w:tc>
          <w:tcPr>
            <w:tcW w:w="4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tcBorders>
              <w:bottom w:val="single" w:sz="8" w:color="BCBEC0"/>
            </w:tcBorders>
          </w:tcPr>
          <w:p>
            <w:pPr>
              <w:spacing w:after="0"/>
              <w:rPr>
                <w:sz w:val="8"/>
                <w:szCs w:val="8"/>
                <w:color w:val="auto"/>
              </w:rPr>
            </w:pPr>
          </w:p>
        </w:tc>
        <w:tc>
          <w:tcPr>
            <w:tcW w:w="440" w:type="dxa"/>
            <w:vAlign w:val="bottom"/>
            <w:tcBorders>
              <w:bottom w:val="single" w:sz="8" w:color="BCBEC0"/>
            </w:tcBorders>
          </w:tcPr>
          <w:p>
            <w:pPr>
              <w:spacing w:after="0"/>
              <w:rPr>
                <w:sz w:val="8"/>
                <w:szCs w:val="8"/>
                <w:color w:val="auto"/>
              </w:rPr>
            </w:pPr>
          </w:p>
        </w:tc>
        <w:tc>
          <w:tcPr>
            <w:tcW w:w="4160" w:type="dxa"/>
            <w:vAlign w:val="bottom"/>
            <w:tcBorders>
              <w:bottom w:val="single" w:sz="8" w:color="BCBEC0"/>
            </w:tcBorders>
          </w:tcPr>
          <w:p>
            <w:pPr>
              <w:spacing w:after="0"/>
              <w:rPr>
                <w:sz w:val="8"/>
                <w:szCs w:val="8"/>
                <w:color w:val="auto"/>
              </w:rPr>
            </w:pPr>
          </w:p>
        </w:tc>
        <w:tc>
          <w:tcPr>
            <w:tcW w:w="200" w:type="dxa"/>
            <w:vAlign w:val="bottom"/>
            <w:tcBorders>
              <w:bottom w:val="single" w:sz="8" w:color="BCBEC0"/>
            </w:tcBorders>
          </w:tcPr>
          <w:p>
            <w:pPr>
              <w:spacing w:after="0"/>
              <w:rPr>
                <w:sz w:val="8"/>
                <w:szCs w:val="8"/>
                <w:color w:val="auto"/>
              </w:rPr>
            </w:pPr>
          </w:p>
        </w:tc>
        <w:tc>
          <w:tcPr>
            <w:tcW w:w="450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440" w:type="dxa"/>
            <w:vAlign w:val="bottom"/>
            <w:vMerge w:val="restart"/>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Proxy Specific Meetings</w:t>
            </w: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303"/>
        </w:trPr>
        <w:tc>
          <w:tcPr>
            <w:tcW w:w="1940" w:type="dxa"/>
            <w:vAlign w:val="bottom"/>
            <w:shd w:val="clear" w:color="auto" w:fill="E6E7E8"/>
          </w:tcPr>
          <w:p>
            <w:pPr>
              <w:spacing w:after="0"/>
              <w:rPr>
                <w:sz w:val="24"/>
                <w:szCs w:val="24"/>
                <w:color w:val="auto"/>
              </w:rPr>
            </w:pPr>
          </w:p>
        </w:tc>
        <w:tc>
          <w:tcPr>
            <w:tcW w:w="440" w:type="dxa"/>
            <w:vAlign w:val="bottom"/>
            <w:vMerge w:val="continue"/>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4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HOW WE</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Investor Conferences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Non-deal Roadshows (NDRs)</w:t>
            </w:r>
          </w:p>
        </w:tc>
        <w:tc>
          <w:tcPr>
            <w:tcW w:w="0" w:type="dxa"/>
            <w:vAlign w:val="bottom"/>
          </w:tcPr>
          <w:p>
            <w:pPr>
              <w:spacing w:after="0"/>
              <w:rPr>
                <w:sz w:val="1"/>
                <w:szCs w:val="1"/>
                <w:color w:val="auto"/>
              </w:rPr>
            </w:pPr>
          </w:p>
        </w:tc>
      </w:tr>
      <w:tr>
        <w:trPr>
          <w:trHeight w:val="231"/>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ENGAGED</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Site Visits &amp; Facility Tours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1x1 calls/meetings</w:t>
            </w:r>
          </w:p>
        </w:tc>
        <w:tc>
          <w:tcPr>
            <w:tcW w:w="0" w:type="dxa"/>
            <w:vAlign w:val="bottom"/>
          </w:tcPr>
          <w:p>
            <w:pPr>
              <w:spacing w:after="0"/>
              <w:rPr>
                <w:sz w:val="1"/>
                <w:szCs w:val="1"/>
                <w:color w:val="auto"/>
              </w:rPr>
            </w:pPr>
          </w:p>
        </w:tc>
      </w:tr>
      <w:tr>
        <w:trPr>
          <w:trHeight w:val="413"/>
        </w:trPr>
        <w:tc>
          <w:tcPr>
            <w:tcW w:w="1940" w:type="dxa"/>
            <w:vAlign w:val="bottom"/>
            <w:shd w:val="clear" w:color="auto" w:fill="E6E7E8"/>
          </w:tcPr>
          <w:p>
            <w:pPr>
              <w:spacing w:after="0"/>
              <w:rPr>
                <w:sz w:val="24"/>
                <w:szCs w:val="24"/>
                <w:color w:val="auto"/>
              </w:rPr>
            </w:pPr>
          </w:p>
        </w:tc>
        <w:tc>
          <w:tcPr>
            <w:tcW w:w="4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940" w:type="dxa"/>
            <w:vAlign w:val="bottom"/>
            <w:tcBorders>
              <w:bottom w:val="single" w:sz="8" w:color="BCBEC0"/>
            </w:tcBorders>
          </w:tcPr>
          <w:p>
            <w:pPr>
              <w:spacing w:after="0"/>
              <w:rPr>
                <w:sz w:val="8"/>
                <w:szCs w:val="8"/>
                <w:color w:val="auto"/>
              </w:rPr>
            </w:pPr>
          </w:p>
        </w:tc>
        <w:tc>
          <w:tcPr>
            <w:tcW w:w="440" w:type="dxa"/>
            <w:vAlign w:val="bottom"/>
            <w:tcBorders>
              <w:bottom w:val="single" w:sz="8" w:color="BCBEC0"/>
            </w:tcBorders>
          </w:tcPr>
          <w:p>
            <w:pPr>
              <w:spacing w:after="0"/>
              <w:rPr>
                <w:sz w:val="8"/>
                <w:szCs w:val="8"/>
                <w:color w:val="auto"/>
              </w:rPr>
            </w:pPr>
          </w:p>
        </w:tc>
        <w:tc>
          <w:tcPr>
            <w:tcW w:w="4160" w:type="dxa"/>
            <w:vAlign w:val="bottom"/>
            <w:tcBorders>
              <w:bottom w:val="single" w:sz="8" w:color="BCBEC0"/>
            </w:tcBorders>
          </w:tcPr>
          <w:p>
            <w:pPr>
              <w:spacing w:after="0"/>
              <w:rPr>
                <w:sz w:val="8"/>
                <w:szCs w:val="8"/>
                <w:color w:val="auto"/>
              </w:rPr>
            </w:pPr>
          </w:p>
        </w:tc>
        <w:tc>
          <w:tcPr>
            <w:tcW w:w="200" w:type="dxa"/>
            <w:vAlign w:val="bottom"/>
            <w:tcBorders>
              <w:bottom w:val="single" w:sz="8" w:color="BCBEC0"/>
            </w:tcBorders>
          </w:tcPr>
          <w:p>
            <w:pPr>
              <w:spacing w:after="0"/>
              <w:rPr>
                <w:sz w:val="8"/>
                <w:szCs w:val="8"/>
                <w:color w:val="auto"/>
              </w:rPr>
            </w:pPr>
          </w:p>
        </w:tc>
        <w:tc>
          <w:tcPr>
            <w:tcW w:w="450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8" w:name="page19"/>
    <w:bookmarkEnd w:id="18"/>
    <w:p>
      <w:pPr>
        <w:spacing w:after="0"/>
        <w:rPr>
          <w:sz w:val="20"/>
          <w:szCs w:val="20"/>
          <w:color w:val="auto"/>
        </w:rPr>
      </w:pPr>
      <w:r>
        <w:rPr>
          <w:rFonts w:ascii="Arial" w:cs="Arial" w:eastAsia="Arial" w:hAnsi="Arial"/>
          <w:sz w:val="43"/>
          <w:szCs w:val="43"/>
          <w:b w:val="1"/>
          <w:bCs w:val="1"/>
          <w:color w:val="29378D"/>
        </w:rPr>
        <w:t>Proposal 1: Election of Directors</w:t>
      </w:r>
    </w:p>
    <w:p>
      <w:pPr>
        <w:spacing w:after="0" w:line="200" w:lineRule="exact"/>
        <w:rPr>
          <w:sz w:val="20"/>
          <w:szCs w:val="20"/>
          <w:color w:val="auto"/>
        </w:rPr>
      </w:pPr>
    </w:p>
    <w:p>
      <w:pPr>
        <w:spacing w:after="0" w:line="26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Board has nominated 13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In the unanticipated event that a nominee becomes unavailable for election to the Board, the proxyholders will have full discretion and authority to vote, or refrain from voting, for any other nominee in accordance with their judgment.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 See page 27 for additional information on our 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49465" cy="420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420370"/>
                    </a:xfrm>
                    <a:prstGeom prst="rect">
                      <a:avLst/>
                    </a:prstGeom>
                    <a:noFill/>
                  </pic:spPr>
                </pic:pic>
              </a:graphicData>
            </a:graphic>
          </wp:anchor>
        </w:drawing>
      </w:r>
    </w:p>
    <w:p>
      <w:pPr>
        <w:spacing w:after="0" w:line="198" w:lineRule="exact"/>
        <w:rPr>
          <w:sz w:val="20"/>
          <w:szCs w:val="20"/>
          <w:color w:val="auto"/>
        </w:rPr>
      </w:pPr>
    </w:p>
    <w:p>
      <w:pPr>
        <w:ind w:left="880" w:right="960"/>
        <w:spacing w:after="0" w:line="296" w:lineRule="auto"/>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b w:val="1"/>
          <w:bCs w:val="1"/>
          <w:color w:val="auto"/>
        </w:rPr>
        <w:t xml:space="preserve"> THE 13 NOMINEES FOR DIRECTOR LISTED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Qualifications and Experience</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considering Board nominees, the Nominating and Corporate Governance Committee considers each individual’s background and personal and professional experiences in addition to general qualifications. Nominees are evaluated in the context of the Board as a whole, with a focus on achieving a diverse mix of skills and attributes needed to provide effective governance and oversight, advancing the long-term interests of our shareholders. The Nominating and Corporate Governance Committee is focused on ensuring a diverse, talented, and inclusive board, with members who have the background, skills and experience, and the time and resources necessary to devote to their service for our Company and our shareholders. The Nominating and Corporate Governance Committee regularly assesses and communicates with the Board about the current and future skills and backgrounds to ensure the Board maintains an appropriate mix, taking into account anticipated retirement dates. Select critical skills are reflected in the following table. Each nominee also possesses additional skills, experience and attributes that are not highlighted below. We believe the combination of qualifications, including, as shown below, demonstrates that our Board is well-positioned to provide strategic oversight and guidance to our directors and management and serve the best interests of our Company and shareholders.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hanging="494"/>
        <w:spacing w:after="0"/>
        <w:tabs>
          <w:tab w:leader="none" w:pos="52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692150</wp:posOffset>
            </wp:positionV>
            <wp:extent cx="76835" cy="685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6858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726440</wp:posOffset>
            </wp:positionV>
            <wp:extent cx="85725" cy="6254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62547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640715</wp:posOffset>
            </wp:positionV>
            <wp:extent cx="60325" cy="796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79692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743585</wp:posOffset>
            </wp:positionV>
            <wp:extent cx="85725" cy="5829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58293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606425</wp:posOffset>
            </wp:positionV>
            <wp:extent cx="60325" cy="8655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655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701040</wp:posOffset>
            </wp:positionV>
            <wp:extent cx="60325" cy="677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677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606425</wp:posOffset>
            </wp:positionV>
            <wp:extent cx="60325" cy="8655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655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692150</wp:posOffset>
            </wp:positionV>
            <wp:extent cx="85725" cy="694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718185</wp:posOffset>
            </wp:positionV>
            <wp:extent cx="76835" cy="643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643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606425</wp:posOffset>
            </wp:positionV>
            <wp:extent cx="68580" cy="8572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572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718185</wp:posOffset>
            </wp:positionV>
            <wp:extent cx="85725" cy="643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643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683895</wp:posOffset>
            </wp:positionV>
            <wp:extent cx="60325" cy="7029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7029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683895</wp:posOffset>
            </wp:positionV>
            <wp:extent cx="85725" cy="7029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70294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606425</wp:posOffset>
            </wp:positionV>
            <wp:extent cx="240030" cy="8572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Skills and Significant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5760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00" w:type="dxa"/>
            <w:vAlign w:val="bottom"/>
          </w:tcPr>
          <w:p>
            <w:pPr>
              <w:ind w:left="600"/>
              <w:spacing w:after="0"/>
              <w:rPr>
                <w:sz w:val="20"/>
                <w:szCs w:val="20"/>
                <w:color w:val="auto"/>
              </w:rPr>
            </w:pPr>
            <w:r>
              <w:rPr>
                <w:rFonts w:ascii="Arial" w:cs="Arial" w:eastAsia="Arial" w:hAnsi="Arial"/>
                <w:sz w:val="14"/>
                <w:szCs w:val="14"/>
                <w:b w:val="1"/>
                <w:bCs w:val="1"/>
                <w:color w:val="29378D"/>
              </w:rPr>
              <w:t>SENIOR LEADERSHIP EXPERIENCE</w:t>
            </w:r>
          </w:p>
        </w:tc>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67"/>
        </w:trPr>
        <w:tc>
          <w:tcPr>
            <w:tcW w:w="5400" w:type="dxa"/>
            <w:vAlign w:val="bottom"/>
          </w:tcPr>
          <w:p>
            <w:pPr>
              <w:spacing w:after="0"/>
              <w:rPr>
                <w:sz w:val="20"/>
                <w:szCs w:val="20"/>
                <w:color w:val="auto"/>
              </w:rPr>
            </w:pPr>
            <w:r>
              <w:rPr>
                <w:rFonts w:ascii="Arial" w:cs="Arial" w:eastAsia="Arial" w:hAnsi="Arial"/>
                <w:sz w:val="16"/>
                <w:szCs w:val="16"/>
                <w:color w:val="auto"/>
              </w:rPr>
              <w:t>Directors with this experience possess strong leadership qualities that</w:t>
            </w:r>
          </w:p>
        </w:tc>
        <w:tc>
          <w:tcPr>
            <w:tcW w:w="5220" w:type="dxa"/>
            <w:vAlign w:val="bottom"/>
          </w:tcPr>
          <w:p>
            <w:pPr>
              <w:ind w:left="140"/>
              <w:spacing w:after="0"/>
              <w:rPr>
                <w:sz w:val="20"/>
                <w:szCs w:val="20"/>
                <w:color w:val="auto"/>
              </w:rPr>
            </w:pPr>
            <w:r>
              <w:rPr>
                <w:rFonts w:ascii="Wingdings" w:cs="Wingdings" w:eastAsia="Wingdings" w:hAnsi="Wingdings"/>
                <w:sz w:val="25"/>
                <w:szCs w:val="25"/>
                <w:b w:val="1"/>
                <w:bCs w:val="1"/>
                <w:color w:val="29378D"/>
                <w:w w:val="93"/>
              </w:rPr>
              <w:t>n n n n n n n n n n n n n</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62"/>
        </w:trPr>
        <w:tc>
          <w:tcPr>
            <w:tcW w:w="5400" w:type="dxa"/>
            <w:vAlign w:val="bottom"/>
          </w:tcPr>
          <w:p>
            <w:pPr>
              <w:spacing w:after="0" w:line="162" w:lineRule="exact"/>
              <w:rPr>
                <w:sz w:val="20"/>
                <w:szCs w:val="20"/>
                <w:color w:val="auto"/>
              </w:rPr>
            </w:pPr>
            <w:r>
              <w:rPr>
                <w:rFonts w:ascii="Arial" w:cs="Arial" w:eastAsia="Arial" w:hAnsi="Arial"/>
                <w:sz w:val="16"/>
                <w:szCs w:val="16"/>
                <w:color w:val="auto"/>
              </w:rPr>
              <w:t>contribute to their understanding of large complex organizations and their</w:t>
            </w: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6"/>
                <w:szCs w:val="16"/>
                <w:color w:val="auto"/>
              </w:rPr>
              <w:t>ability to identify and develop the quality in others</w:t>
            </w:r>
          </w:p>
        </w:tc>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29378D"/>
        </w:rPr>
        <w:t>CORPORATE GOVERNANCE EXPERTISE</w:t>
      </w:r>
    </w:p>
    <w:p>
      <w:pPr>
        <w:spacing w:after="0" w:line="253"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Supports our goals of strong Board and management accountability, transparency and protection of shareholder interests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5240" w:val="left"/>
        </w:tabs>
        <w:rPr>
          <w:sz w:val="20"/>
          <w:szCs w:val="20"/>
          <w:color w:val="auto"/>
        </w:rPr>
      </w:pPr>
      <w:r>
        <w:rPr>
          <w:rFonts w:ascii="Wingdings" w:cs="Wingdings" w:eastAsia="Wingdings" w:hAnsi="Wingdings"/>
          <w:sz w:val="24"/>
          <w:szCs w:val="24"/>
          <w:b w:val="1"/>
          <w:bCs w:val="1"/>
          <w:color w:val="29378D"/>
        </w:rPr>
        <w:t>n n n n n n n n n n n n n</w:t>
      </w:r>
      <w:r>
        <w:rPr>
          <w:sz w:val="20"/>
          <w:szCs w:val="20"/>
          <w:color w:val="auto"/>
        </w:rPr>
        <w:tab/>
      </w:r>
      <w:r>
        <w:rPr>
          <w:rFonts w:ascii="Arial" w:cs="Arial" w:eastAsia="Arial" w:hAnsi="Arial"/>
          <w:sz w:val="14"/>
          <w:szCs w:val="14"/>
          <w:b w:val="1"/>
          <w:bCs w:val="1"/>
          <w:color w:val="auto"/>
        </w:rPr>
        <w:t>13</w:t>
      </w:r>
    </w:p>
    <w:p>
      <w:pPr>
        <w:spacing w:after="0" w:line="517" w:lineRule="exact"/>
        <w:rPr>
          <w:sz w:val="20"/>
          <w:szCs w:val="20"/>
          <w:color w:val="auto"/>
        </w:rPr>
      </w:pPr>
    </w:p>
    <w:p>
      <w:pPr>
        <w:sectPr>
          <w:pgSz w:w="11900" w:h="16838" w:orient="portrait"/>
          <w:cols w:equalWidth="0" w:num="2">
            <w:col w:w="4900" w:space="660"/>
            <w:col w:w="5680"/>
          </w:cols>
          <w:pgMar w:left="320" w:top="238" w:right="339" w:bottom="1440" w:gutter="0" w:footer="0" w:header="0"/>
          <w:type w:val="continuous"/>
        </w:sectPr>
      </w:pPr>
    </w:p>
    <w:p>
      <w:pPr>
        <w:spacing w:after="0" w:line="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29378D"/>
        </w:rPr>
        <w:t>FINANCIAL EXPERTISE/LITERACY</w:t>
      </w:r>
    </w:p>
    <w:tbl>
      <w:tblPr>
        <w:tblLayout w:type="fixed"/>
        <w:tblInd w:w="0" w:type="dxa"/>
        <w:tblCellMar>
          <w:top w:w="0" w:type="dxa"/>
          <w:left w:w="0" w:type="dxa"/>
          <w:bottom w:w="0" w:type="dxa"/>
          <w:right w:w="0" w:type="dxa"/>
        </w:tblCellMar>
      </w:tblPr>
      <w:tr>
        <w:trPr>
          <w:trHeight w:val="278"/>
        </w:trPr>
        <w:tc>
          <w:tcPr>
            <w:tcW w:w="5380" w:type="dxa"/>
            <w:vAlign w:val="bottom"/>
            <w:vMerge w:val="restart"/>
          </w:tcPr>
          <w:p>
            <w:pPr>
              <w:ind w:left="20"/>
              <w:spacing w:after="0"/>
              <w:rPr>
                <w:sz w:val="20"/>
                <w:szCs w:val="20"/>
                <w:color w:val="auto"/>
              </w:rPr>
            </w:pPr>
            <w:r>
              <w:rPr>
                <w:rFonts w:ascii="Arial" w:cs="Arial" w:eastAsia="Arial" w:hAnsi="Arial"/>
                <w:sz w:val="16"/>
                <w:szCs w:val="16"/>
                <w:color w:val="auto"/>
              </w:rPr>
              <w:t>Assists directors in understanding and overseeing our financial reporting</w:t>
            </w:r>
          </w:p>
        </w:tc>
        <w:tc>
          <w:tcPr>
            <w:tcW w:w="5860" w:type="dxa"/>
            <w:vAlign w:val="bottom"/>
            <w:gridSpan w:val="4"/>
          </w:tcPr>
          <w:p>
            <w:pPr>
              <w:ind w:left="180"/>
              <w:spacing w:after="0"/>
              <w:rPr>
                <w:sz w:val="20"/>
                <w:szCs w:val="20"/>
                <w:color w:val="auto"/>
              </w:rPr>
            </w:pPr>
            <w:r>
              <w:rPr>
                <w:rFonts w:ascii="Wingdings" w:cs="Wingdings" w:eastAsia="Wingdings" w:hAnsi="Wingdings"/>
                <w:sz w:val="25"/>
                <w:szCs w:val="25"/>
                <w:b w:val="1"/>
                <w:bCs w:val="1"/>
                <w:color w:val="29378D"/>
                <w:w w:val="93"/>
              </w:rPr>
              <w:t xml:space="preserve">n n n n n n n n n n n n n  </w:t>
            </w:r>
            <w:r>
              <w:rPr>
                <w:rFonts w:ascii="Arial" w:cs="Arial" w:eastAsia="Arial" w:hAnsi="Arial"/>
                <w:sz w:val="14"/>
                <w:szCs w:val="14"/>
                <w:b w:val="1"/>
                <w:bCs w:val="1"/>
                <w:color w:val="000000"/>
                <w:w w:val="93"/>
              </w:rPr>
              <w:t>13</w:t>
            </w:r>
          </w:p>
        </w:tc>
        <w:tc>
          <w:tcPr>
            <w:tcW w:w="0" w:type="dxa"/>
            <w:vAlign w:val="bottom"/>
          </w:tcPr>
          <w:p>
            <w:pPr>
              <w:spacing w:after="0"/>
              <w:rPr>
                <w:sz w:val="1"/>
                <w:szCs w:val="1"/>
                <w:color w:val="auto"/>
              </w:rPr>
            </w:pPr>
          </w:p>
        </w:tc>
      </w:tr>
      <w:tr>
        <w:trPr>
          <w:trHeight w:val="69"/>
        </w:trPr>
        <w:tc>
          <w:tcPr>
            <w:tcW w:w="53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and internal controls</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274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RISK OVERSIGHT/MANAGEMENT</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vMerge w:val="restart"/>
          </w:tcPr>
          <w:p>
            <w:pPr>
              <w:ind w:left="20"/>
              <w:spacing w:after="0"/>
              <w:rPr>
                <w:sz w:val="20"/>
                <w:szCs w:val="20"/>
                <w:color w:val="auto"/>
              </w:rPr>
            </w:pPr>
            <w:r>
              <w:rPr>
                <w:rFonts w:ascii="Arial" w:cs="Arial" w:eastAsia="Arial" w:hAnsi="Arial"/>
                <w:sz w:val="16"/>
                <w:szCs w:val="16"/>
                <w:color w:val="auto"/>
              </w:rPr>
              <w:t>Critical to the Board’s role in overseeing the risks facing the Company</w:t>
            </w:r>
          </w:p>
        </w:tc>
        <w:tc>
          <w:tcPr>
            <w:tcW w:w="5860" w:type="dxa"/>
            <w:vAlign w:val="bottom"/>
            <w:gridSpan w:val="4"/>
          </w:tcPr>
          <w:p>
            <w:pPr>
              <w:ind w:left="180"/>
              <w:spacing w:after="0"/>
              <w:rPr>
                <w:sz w:val="20"/>
                <w:szCs w:val="20"/>
                <w:color w:val="auto"/>
              </w:rPr>
            </w:pPr>
            <w:r>
              <w:rPr>
                <w:rFonts w:ascii="Wingdings" w:cs="Wingdings" w:eastAsia="Wingdings" w:hAnsi="Wingdings"/>
                <w:sz w:val="25"/>
                <w:szCs w:val="25"/>
                <w:b w:val="1"/>
                <w:bCs w:val="1"/>
                <w:color w:val="29378D"/>
                <w:w w:val="93"/>
              </w:rPr>
              <w:t xml:space="preserve">n n n n n n n n n n n n n  </w:t>
            </w:r>
            <w:r>
              <w:rPr>
                <w:rFonts w:ascii="Arial" w:cs="Arial" w:eastAsia="Arial" w:hAnsi="Arial"/>
                <w:sz w:val="14"/>
                <w:szCs w:val="14"/>
                <w:b w:val="1"/>
                <w:bCs w:val="1"/>
                <w:color w:val="000000"/>
                <w:w w:val="93"/>
              </w:rPr>
              <w:t>13</w:t>
            </w: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380" w:type="dxa"/>
            <w:vAlign w:val="bottom"/>
            <w:tcBorders>
              <w:bottom w:val="single" w:sz="8" w:color="939598"/>
            </w:tcBorders>
          </w:tcPr>
          <w:p>
            <w:pPr>
              <w:spacing w:after="0"/>
              <w:rPr>
                <w:sz w:val="14"/>
                <w:szCs w:val="14"/>
                <w:color w:val="auto"/>
              </w:rPr>
            </w:pPr>
          </w:p>
        </w:tc>
        <w:tc>
          <w:tcPr>
            <w:tcW w:w="1260" w:type="dxa"/>
            <w:vAlign w:val="bottom"/>
            <w:tcBorders>
              <w:bottom w:val="single" w:sz="8" w:color="939598"/>
            </w:tcBorders>
          </w:tcPr>
          <w:p>
            <w:pPr>
              <w:spacing w:after="0"/>
              <w:rPr>
                <w:sz w:val="14"/>
                <w:szCs w:val="14"/>
                <w:color w:val="auto"/>
              </w:rPr>
            </w:pPr>
          </w:p>
        </w:tc>
        <w:tc>
          <w:tcPr>
            <w:tcW w:w="2740" w:type="dxa"/>
            <w:vAlign w:val="bottom"/>
            <w:tcBorders>
              <w:bottom w:val="single" w:sz="8" w:color="939598"/>
            </w:tcBorders>
          </w:tcPr>
          <w:p>
            <w:pPr>
              <w:spacing w:after="0"/>
              <w:rPr>
                <w:sz w:val="14"/>
                <w:szCs w:val="14"/>
                <w:color w:val="auto"/>
              </w:rPr>
            </w:pPr>
          </w:p>
        </w:tc>
        <w:tc>
          <w:tcPr>
            <w:tcW w:w="1260" w:type="dxa"/>
            <w:vAlign w:val="bottom"/>
            <w:tcBorders>
              <w:bottom w:val="single" w:sz="8" w:color="939598"/>
            </w:tcBorders>
          </w:tcPr>
          <w:p>
            <w:pPr>
              <w:spacing w:after="0"/>
              <w:rPr>
                <w:sz w:val="14"/>
                <w:szCs w:val="14"/>
                <w:color w:val="auto"/>
              </w:rPr>
            </w:pPr>
          </w:p>
        </w:tc>
        <w:tc>
          <w:tcPr>
            <w:tcW w:w="6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DEFENSE AND INDUSTRIAL EXPERIENCE</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380" w:type="dxa"/>
            <w:vAlign w:val="bottom"/>
          </w:tcPr>
          <w:p>
            <w:pPr>
              <w:ind w:left="20"/>
              <w:spacing w:after="0"/>
              <w:rPr>
                <w:sz w:val="20"/>
                <w:szCs w:val="20"/>
                <w:color w:val="auto"/>
              </w:rPr>
            </w:pPr>
            <w:r>
              <w:rPr>
                <w:rFonts w:ascii="Arial" w:cs="Arial" w:eastAsia="Arial" w:hAnsi="Arial"/>
                <w:sz w:val="16"/>
                <w:szCs w:val="16"/>
                <w:color w:val="auto"/>
              </w:rPr>
              <w:t>Supports oversight of the Company’s strategy, performance and product</w:t>
            </w:r>
          </w:p>
        </w:tc>
        <w:tc>
          <w:tcPr>
            <w:tcW w:w="1260" w:type="dxa"/>
            <w:vAlign w:val="bottom"/>
          </w:tcPr>
          <w:p>
            <w:pPr>
              <w:ind w:left="180"/>
              <w:spacing w:after="0"/>
              <w:rPr>
                <w:sz w:val="20"/>
                <w:szCs w:val="20"/>
                <w:color w:val="auto"/>
              </w:rPr>
            </w:pPr>
            <w:r>
              <w:rPr>
                <w:rFonts w:ascii="Wingdings" w:cs="Wingdings" w:eastAsia="Wingdings" w:hAnsi="Wingdings"/>
                <w:sz w:val="25"/>
                <w:szCs w:val="25"/>
                <w:b w:val="1"/>
                <w:bCs w:val="1"/>
                <w:color w:val="29378D"/>
              </w:rPr>
              <w:t>n</w:t>
            </w:r>
          </w:p>
        </w:tc>
        <w:tc>
          <w:tcPr>
            <w:tcW w:w="2740" w:type="dxa"/>
            <w:vAlign w:val="bottom"/>
          </w:tcPr>
          <w:p>
            <w:pPr>
              <w:ind w:left="880"/>
              <w:spacing w:after="0"/>
              <w:rPr>
                <w:sz w:val="20"/>
                <w:szCs w:val="20"/>
                <w:color w:val="auto"/>
              </w:rPr>
            </w:pPr>
            <w:r>
              <w:rPr>
                <w:rFonts w:ascii="Wingdings" w:cs="Wingdings" w:eastAsia="Wingdings" w:hAnsi="Wingdings"/>
                <w:sz w:val="25"/>
                <w:szCs w:val="25"/>
                <w:b w:val="1"/>
                <w:bCs w:val="1"/>
                <w:color w:val="29378D"/>
              </w:rPr>
              <w:t>n n n n</w:t>
            </w:r>
          </w:p>
        </w:tc>
        <w:tc>
          <w:tcPr>
            <w:tcW w:w="1260" w:type="dxa"/>
            <w:vAlign w:val="bottom"/>
          </w:tcPr>
          <w:p>
            <w:pPr>
              <w:ind w:left="500"/>
              <w:spacing w:after="0"/>
              <w:rPr>
                <w:sz w:val="20"/>
                <w:szCs w:val="20"/>
                <w:color w:val="auto"/>
              </w:rPr>
            </w:pPr>
            <w:r>
              <w:rPr>
                <w:rFonts w:ascii="Wingdings" w:cs="Wingdings" w:eastAsia="Wingdings" w:hAnsi="Wingdings"/>
                <w:sz w:val="25"/>
                <w:szCs w:val="25"/>
                <w:b w:val="1"/>
                <w:bCs w:val="1"/>
                <w:color w:val="29378D"/>
              </w:rPr>
              <w:t>n</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Arial" w:cs="Arial" w:eastAsia="Arial" w:hAnsi="Arial"/>
                <w:sz w:val="16"/>
                <w:szCs w:val="16"/>
                <w:color w:val="auto"/>
              </w:rPr>
              <w:t>development, with an understanding of strategic developments in our</w:t>
            </w:r>
          </w:p>
        </w:tc>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industry</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274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INTERNATIONAL EXPERIENCE</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380" w:type="dxa"/>
            <w:vAlign w:val="bottom"/>
          </w:tcPr>
          <w:p>
            <w:pPr>
              <w:ind w:left="20"/>
              <w:spacing w:after="0"/>
              <w:rPr>
                <w:sz w:val="20"/>
                <w:szCs w:val="20"/>
                <w:color w:val="auto"/>
              </w:rPr>
            </w:pPr>
            <w:r>
              <w:rPr>
                <w:rFonts w:ascii="Arial" w:cs="Arial" w:eastAsia="Arial" w:hAnsi="Arial"/>
                <w:sz w:val="16"/>
                <w:szCs w:val="16"/>
                <w:color w:val="auto"/>
              </w:rPr>
              <w:t>Supports an understanding of geographically diverse business</w:t>
            </w:r>
          </w:p>
        </w:tc>
        <w:tc>
          <w:tcPr>
            <w:tcW w:w="5260" w:type="dxa"/>
            <w:vAlign w:val="bottom"/>
            <w:gridSpan w:val="3"/>
          </w:tcPr>
          <w:p>
            <w:pPr>
              <w:ind w:left="180"/>
              <w:spacing w:after="0"/>
              <w:rPr>
                <w:sz w:val="20"/>
                <w:szCs w:val="20"/>
                <w:color w:val="auto"/>
              </w:rPr>
            </w:pPr>
            <w:r>
              <w:rPr>
                <w:rFonts w:ascii="Wingdings" w:cs="Wingdings" w:eastAsia="Wingdings" w:hAnsi="Wingdings"/>
                <w:sz w:val="25"/>
                <w:szCs w:val="25"/>
                <w:b w:val="1"/>
                <w:bCs w:val="1"/>
                <w:color w:val="29378D"/>
                <w:w w:val="93"/>
              </w:rPr>
              <w:t>n n n n n n n n n n n n n</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Arial" w:cs="Arial" w:eastAsia="Arial" w:hAnsi="Arial"/>
                <w:sz w:val="16"/>
                <w:szCs w:val="16"/>
                <w:color w:val="auto"/>
              </w:rPr>
              <w:t>environments, regulatory matters, and cultural perspective that informs</w:t>
            </w:r>
          </w:p>
        </w:tc>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global business strategy</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ind w:left="620"/>
        <w:spacing w:after="0"/>
        <w:rPr>
          <w:sz w:val="20"/>
          <w:szCs w:val="20"/>
          <w:color w:val="auto"/>
        </w:rPr>
      </w:pPr>
      <w:r>
        <w:rPr>
          <w:rFonts w:ascii="Arial" w:cs="Arial" w:eastAsia="Arial" w:hAnsi="Arial"/>
          <w:sz w:val="14"/>
          <w:szCs w:val="14"/>
          <w:b w:val="1"/>
          <w:bCs w:val="1"/>
          <w:color w:val="29378D"/>
        </w:rPr>
        <w:t>CYBER/TECHNOLOGY EXPERTISE</w:t>
      </w:r>
    </w:p>
    <w:p>
      <w:pPr>
        <w:spacing w:after="0" w:line="172" w:lineRule="exact"/>
        <w:rPr>
          <w:sz w:val="20"/>
          <w:szCs w:val="20"/>
          <w:color w:val="auto"/>
        </w:rPr>
      </w:pPr>
    </w:p>
    <w:p>
      <w:pPr>
        <w:ind w:left="20" w:right="160"/>
        <w:spacing w:after="0" w:line="251" w:lineRule="auto"/>
        <w:rPr>
          <w:sz w:val="20"/>
          <w:szCs w:val="20"/>
          <w:color w:val="auto"/>
        </w:rPr>
      </w:pPr>
      <w:r>
        <w:rPr>
          <w:rFonts w:ascii="Arial" w:cs="Arial" w:eastAsia="Arial" w:hAnsi="Arial"/>
          <w:sz w:val="16"/>
          <w:szCs w:val="16"/>
          <w:color w:val="auto"/>
        </w:rPr>
        <w:t>Supports our business in providing oversight of cybersecurity risk management and digital transformation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760" w:val="left"/>
          <w:tab w:leader="none" w:pos="1940" w:val="left"/>
          <w:tab w:leader="none" w:pos="3120" w:val="left"/>
          <w:tab w:leader="none" w:pos="4300" w:val="left"/>
          <w:tab w:leader="none" w:pos="5280" w:val="left"/>
        </w:tabs>
        <w:rPr>
          <w:sz w:val="20"/>
          <w:szCs w:val="20"/>
          <w:color w:val="auto"/>
        </w:rPr>
      </w:pP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Arial" w:cs="Arial" w:eastAsia="Arial" w:hAnsi="Arial"/>
          <w:sz w:val="14"/>
          <w:szCs w:val="14"/>
          <w:b w:val="1"/>
          <w:bCs w:val="1"/>
          <w:color w:val="auto"/>
        </w:rPr>
        <w:t>5</w:t>
      </w:r>
    </w:p>
    <w:p>
      <w:pPr>
        <w:spacing w:after="0" w:line="466" w:lineRule="exact"/>
        <w:rPr>
          <w:sz w:val="20"/>
          <w:szCs w:val="20"/>
          <w:color w:val="auto"/>
        </w:rPr>
      </w:pPr>
    </w:p>
    <w:p>
      <w:pPr>
        <w:sectPr>
          <w:pgSz w:w="11900" w:h="16838" w:orient="portrait"/>
          <w:cols w:equalWidth="0" w:num="2">
            <w:col w:w="4840" w:space="720"/>
            <w:col w:w="568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40" w:type="dxa"/>
            <w:vAlign w:val="bottom"/>
          </w:tcPr>
          <w:p>
            <w:pPr>
              <w:ind w:left="620"/>
              <w:spacing w:after="0"/>
              <w:rPr>
                <w:sz w:val="20"/>
                <w:szCs w:val="20"/>
                <w:color w:val="auto"/>
              </w:rPr>
            </w:pPr>
            <w:r>
              <w:rPr>
                <w:rFonts w:ascii="Arial" w:cs="Arial" w:eastAsia="Arial" w:hAnsi="Arial"/>
                <w:sz w:val="14"/>
                <w:szCs w:val="14"/>
                <w:b w:val="1"/>
                <w:bCs w:val="1"/>
                <w:color w:val="29378D"/>
              </w:rPr>
              <w:t>HUMAN CAPITAL STRATEGY/TALENT MANAGEMENT</w:t>
            </w:r>
          </w:p>
        </w:tc>
        <w:tc>
          <w:tcPr>
            <w:tcW w:w="420" w:type="dxa"/>
            <w:vAlign w:val="bottom"/>
            <w:vMerge w:val="restart"/>
          </w:tcPr>
          <w:p>
            <w:pPr>
              <w:ind w:left="120"/>
              <w:spacing w:after="0"/>
              <w:rPr>
                <w:sz w:val="20"/>
                <w:szCs w:val="20"/>
                <w:color w:val="auto"/>
              </w:rPr>
            </w:pPr>
            <w:r>
              <w:rPr>
                <w:rFonts w:ascii="Wingdings" w:cs="Wingdings" w:eastAsia="Wingdings" w:hAnsi="Wingdings"/>
                <w:sz w:val="25"/>
                <w:szCs w:val="25"/>
                <w:b w:val="1"/>
                <w:bCs w:val="1"/>
                <w:color w:val="29378D"/>
              </w:rPr>
              <w:t>n</w:t>
            </w:r>
          </w:p>
        </w:tc>
        <w:tc>
          <w:tcPr>
            <w:tcW w:w="380" w:type="dxa"/>
            <w:vAlign w:val="bottom"/>
            <w:vMerge w:val="restart"/>
          </w:tcPr>
          <w:p>
            <w:pPr>
              <w:jc w:val="right"/>
              <w:spacing w:after="0"/>
              <w:rPr>
                <w:sz w:val="20"/>
                <w:szCs w:val="20"/>
                <w:color w:val="auto"/>
              </w:rPr>
            </w:pPr>
            <w:r>
              <w:rPr>
                <w:rFonts w:ascii="Wingdings" w:cs="Wingdings" w:eastAsia="Wingdings" w:hAnsi="Wingdings"/>
                <w:sz w:val="25"/>
                <w:szCs w:val="25"/>
                <w:b w:val="1"/>
                <w:bCs w:val="1"/>
                <w:color w:val="29378D"/>
              </w:rPr>
              <w:t>n</w:t>
            </w:r>
          </w:p>
        </w:tc>
        <w:tc>
          <w:tcPr>
            <w:tcW w:w="1960" w:type="dxa"/>
            <w:vAlign w:val="bottom"/>
            <w:vMerge w:val="restart"/>
          </w:tcPr>
          <w:p>
            <w:pPr>
              <w:ind w:left="100"/>
              <w:spacing w:after="0"/>
              <w:rPr>
                <w:sz w:val="20"/>
                <w:szCs w:val="20"/>
                <w:color w:val="auto"/>
              </w:rPr>
            </w:pPr>
            <w:r>
              <w:rPr>
                <w:rFonts w:ascii="Wingdings" w:cs="Wingdings" w:eastAsia="Wingdings" w:hAnsi="Wingdings"/>
                <w:sz w:val="25"/>
                <w:szCs w:val="25"/>
                <w:b w:val="1"/>
                <w:bCs w:val="1"/>
                <w:color w:val="29378D"/>
                <w:w w:val="95"/>
              </w:rPr>
              <w:t>n n n n n</w:t>
            </w:r>
          </w:p>
        </w:tc>
        <w:tc>
          <w:tcPr>
            <w:tcW w:w="1560" w:type="dxa"/>
            <w:vAlign w:val="bottom"/>
            <w:vMerge w:val="restart"/>
          </w:tcPr>
          <w:p>
            <w:pPr>
              <w:ind w:left="100"/>
              <w:spacing w:after="0"/>
              <w:rPr>
                <w:sz w:val="20"/>
                <w:szCs w:val="20"/>
                <w:color w:val="auto"/>
              </w:rPr>
            </w:pPr>
            <w:r>
              <w:rPr>
                <w:rFonts w:ascii="Wingdings" w:cs="Wingdings" w:eastAsia="Wingdings" w:hAnsi="Wingdings"/>
                <w:sz w:val="25"/>
                <w:szCs w:val="25"/>
                <w:b w:val="1"/>
                <w:bCs w:val="1"/>
                <w:color w:val="29378D"/>
                <w:w w:val="96"/>
              </w:rPr>
              <w:t>n n n n</w:t>
            </w:r>
          </w:p>
        </w:tc>
        <w:tc>
          <w:tcPr>
            <w:tcW w:w="148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29378D"/>
              </w:rPr>
              <w:t xml:space="preserve">n n  </w:t>
            </w:r>
            <w:r>
              <w:rPr>
                <w:rFonts w:ascii="Arial" w:cs="Arial" w:eastAsia="Arial" w:hAnsi="Arial"/>
                <w:sz w:val="14"/>
                <w:szCs w:val="14"/>
                <w:b w:val="1"/>
                <w:bCs w:val="1"/>
                <w:color w:val="000000"/>
              </w:rPr>
              <w:t>13</w:t>
            </w:r>
          </w:p>
        </w:tc>
        <w:tc>
          <w:tcPr>
            <w:tcW w:w="0" w:type="dxa"/>
            <w:vAlign w:val="bottom"/>
          </w:tcPr>
          <w:p>
            <w:pPr>
              <w:spacing w:after="0"/>
              <w:rPr>
                <w:sz w:val="1"/>
                <w:szCs w:val="1"/>
                <w:color w:val="auto"/>
              </w:rPr>
            </w:pPr>
          </w:p>
        </w:tc>
      </w:tr>
      <w:tr>
        <w:trPr>
          <w:trHeight w:val="230"/>
        </w:trPr>
        <w:tc>
          <w:tcPr>
            <w:tcW w:w="5440" w:type="dxa"/>
            <w:vAlign w:val="bottom"/>
            <w:vMerge w:val="restart"/>
          </w:tcPr>
          <w:p>
            <w:pPr>
              <w:ind w:left="20"/>
              <w:spacing w:after="0"/>
              <w:rPr>
                <w:sz w:val="20"/>
                <w:szCs w:val="20"/>
                <w:color w:val="auto"/>
              </w:rPr>
            </w:pPr>
            <w:r>
              <w:rPr>
                <w:rFonts w:ascii="Arial" w:cs="Arial" w:eastAsia="Arial" w:hAnsi="Arial"/>
                <w:sz w:val="16"/>
                <w:szCs w:val="16"/>
                <w:color w:val="auto"/>
              </w:rPr>
              <w:t>Helps oversee our strategy to recruit, retain and develop top candidates</w:t>
            </w:r>
          </w:p>
        </w:tc>
        <w:tc>
          <w:tcPr>
            <w:tcW w:w="4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96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5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4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with diverse skills and backgrounds</w:t>
            </w:r>
          </w:p>
        </w:tc>
        <w:tc>
          <w:tcPr>
            <w:tcW w:w="420" w:type="dxa"/>
            <w:vAlign w:val="bottom"/>
            <w:tcBorders>
              <w:bottom w:val="single" w:sz="8" w:color="939598"/>
            </w:tcBorders>
          </w:tcPr>
          <w:p>
            <w:pPr>
              <w:spacing w:after="0"/>
              <w:rPr>
                <w:sz w:val="18"/>
                <w:szCs w:val="18"/>
                <w:color w:val="auto"/>
              </w:rPr>
            </w:pPr>
          </w:p>
        </w:tc>
        <w:tc>
          <w:tcPr>
            <w:tcW w:w="380" w:type="dxa"/>
            <w:vAlign w:val="bottom"/>
            <w:tcBorders>
              <w:bottom w:val="single" w:sz="8" w:color="939598"/>
            </w:tcBorders>
          </w:tcPr>
          <w:p>
            <w:pPr>
              <w:spacing w:after="0"/>
              <w:rPr>
                <w:sz w:val="18"/>
                <w:szCs w:val="18"/>
                <w:color w:val="auto"/>
              </w:rPr>
            </w:pPr>
          </w:p>
        </w:tc>
        <w:tc>
          <w:tcPr>
            <w:tcW w:w="1960" w:type="dxa"/>
            <w:vAlign w:val="bottom"/>
            <w:tcBorders>
              <w:bottom w:val="single" w:sz="8" w:color="939598"/>
            </w:tcBorders>
          </w:tcPr>
          <w:p>
            <w:pPr>
              <w:spacing w:after="0"/>
              <w:rPr>
                <w:sz w:val="18"/>
                <w:szCs w:val="18"/>
                <w:color w:val="auto"/>
              </w:rPr>
            </w:pPr>
          </w:p>
        </w:tc>
        <w:tc>
          <w:tcPr>
            <w:tcW w:w="156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spacing w:after="0"/>
              <w:rPr>
                <w:sz w:val="18"/>
                <w:szCs w:val="18"/>
                <w:color w:val="auto"/>
              </w:rPr>
            </w:pPr>
          </w:p>
        </w:tc>
        <w:tc>
          <w:tcPr>
            <w:tcW w:w="5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40" w:type="dxa"/>
            <w:vAlign w:val="bottom"/>
          </w:tcPr>
          <w:p>
            <w:pPr>
              <w:ind w:left="620"/>
              <w:spacing w:after="0"/>
              <w:rPr>
                <w:sz w:val="20"/>
                <w:szCs w:val="20"/>
                <w:color w:val="auto"/>
              </w:rPr>
            </w:pPr>
            <w:r>
              <w:rPr>
                <w:rFonts w:ascii="Arial" w:cs="Arial" w:eastAsia="Arial" w:hAnsi="Arial"/>
                <w:sz w:val="14"/>
                <w:szCs w:val="14"/>
                <w:b w:val="1"/>
                <w:bCs w:val="1"/>
                <w:color w:val="29378D"/>
              </w:rPr>
              <w:t>ENVIRONMENTAL SUSTAINABILITY/ CORPORATE RESPONSIBILITY</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vMerge w:val="restart"/>
          </w:tcPr>
          <w:p>
            <w:pPr>
              <w:ind w:left="20"/>
              <w:spacing w:after="0"/>
              <w:rPr>
                <w:sz w:val="20"/>
                <w:szCs w:val="20"/>
                <w:color w:val="auto"/>
              </w:rPr>
            </w:pPr>
            <w:r>
              <w:rPr>
                <w:rFonts w:ascii="Arial" w:cs="Arial" w:eastAsia="Arial" w:hAnsi="Arial"/>
                <w:sz w:val="16"/>
                <w:szCs w:val="16"/>
                <w:color w:val="auto"/>
              </w:rPr>
              <w:t>Supports the Board’s oversight and management of our commitment to</w:t>
            </w:r>
          </w:p>
        </w:tc>
        <w:tc>
          <w:tcPr>
            <w:tcW w:w="800" w:type="dxa"/>
            <w:vAlign w:val="bottom"/>
            <w:gridSpan w:val="2"/>
          </w:tcPr>
          <w:p>
            <w:pPr>
              <w:jc w:val="right"/>
              <w:spacing w:after="0"/>
              <w:rPr>
                <w:sz w:val="20"/>
                <w:szCs w:val="20"/>
                <w:color w:val="auto"/>
              </w:rPr>
            </w:pPr>
            <w:r>
              <w:rPr>
                <w:rFonts w:ascii="Wingdings" w:cs="Wingdings" w:eastAsia="Wingdings" w:hAnsi="Wingdings"/>
                <w:sz w:val="25"/>
                <w:szCs w:val="25"/>
                <w:b w:val="1"/>
                <w:bCs w:val="1"/>
                <w:color w:val="29378D"/>
              </w:rPr>
              <w:t>n n</w:t>
            </w:r>
          </w:p>
        </w:tc>
        <w:tc>
          <w:tcPr>
            <w:tcW w:w="1960" w:type="dxa"/>
            <w:vAlign w:val="bottom"/>
          </w:tcPr>
          <w:p>
            <w:pPr>
              <w:ind w:left="500"/>
              <w:spacing w:after="0"/>
              <w:rPr>
                <w:sz w:val="20"/>
                <w:szCs w:val="20"/>
                <w:color w:val="auto"/>
              </w:rPr>
            </w:pPr>
            <w:r>
              <w:rPr>
                <w:rFonts w:ascii="Wingdings" w:cs="Wingdings" w:eastAsia="Wingdings" w:hAnsi="Wingdings"/>
                <w:sz w:val="25"/>
                <w:szCs w:val="25"/>
                <w:b w:val="1"/>
                <w:bCs w:val="1"/>
                <w:color w:val="29378D"/>
                <w:w w:val="96"/>
              </w:rPr>
              <w:t>n n n n</w:t>
            </w:r>
          </w:p>
        </w:tc>
        <w:tc>
          <w:tcPr>
            <w:tcW w:w="1560" w:type="dxa"/>
            <w:vAlign w:val="bottom"/>
          </w:tcPr>
          <w:p>
            <w:pPr>
              <w:ind w:left="500"/>
              <w:spacing w:after="0"/>
              <w:rPr>
                <w:sz w:val="20"/>
                <w:szCs w:val="20"/>
                <w:color w:val="auto"/>
              </w:rPr>
            </w:pPr>
            <w:r>
              <w:rPr>
                <w:rFonts w:ascii="Wingdings" w:cs="Wingdings" w:eastAsia="Wingdings" w:hAnsi="Wingdings"/>
                <w:sz w:val="25"/>
                <w:szCs w:val="25"/>
                <w:b w:val="1"/>
                <w:bCs w:val="1"/>
                <w:color w:val="29378D"/>
              </w:rPr>
              <w:t>n</w:t>
            </w:r>
          </w:p>
        </w:tc>
        <w:tc>
          <w:tcPr>
            <w:tcW w:w="900" w:type="dxa"/>
            <w:vAlign w:val="bottom"/>
          </w:tcPr>
          <w:p>
            <w:pPr>
              <w:ind w:left="120"/>
              <w:spacing w:after="0"/>
              <w:rPr>
                <w:sz w:val="20"/>
                <w:szCs w:val="20"/>
                <w:color w:val="auto"/>
              </w:rPr>
            </w:pPr>
            <w:r>
              <w:rPr>
                <w:rFonts w:ascii="Wingdings" w:cs="Wingdings" w:eastAsia="Wingdings" w:hAnsi="Wingdings"/>
                <w:sz w:val="25"/>
                <w:szCs w:val="25"/>
                <w:b w:val="1"/>
                <w:bCs w:val="1"/>
                <w:color w:val="29378D"/>
              </w:rPr>
              <w:t>n n</w:t>
            </w:r>
          </w:p>
        </w:tc>
        <w:tc>
          <w:tcPr>
            <w:tcW w:w="580" w:type="dxa"/>
            <w:vAlign w:val="bottom"/>
          </w:tcPr>
          <w:p>
            <w:pPr>
              <w:jc w:val="right"/>
              <w:ind w:right="2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85"/>
        </w:trPr>
        <w:tc>
          <w:tcPr>
            <w:tcW w:w="5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sustainability initiatives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2024 Nominees for Director</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pages contain biographical and other information about each of the nominees. In addition, we have provided information regarding some of the particular experiences and skills that led the Board to conclude that each nominee should serve as a director.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Unless instructed otherwise, the proxyholders will vote the proxies received by them “FOR” the election of the director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74190" cy="3951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4190" cy="395160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Kathy J. Warden</w:t>
      </w:r>
    </w:p>
    <w:p>
      <w:pPr>
        <w:spacing w:after="0" w:line="131" w:lineRule="exact"/>
        <w:rPr>
          <w:sz w:val="20"/>
          <w:szCs w:val="20"/>
          <w:color w:val="auto"/>
        </w:rPr>
      </w:pPr>
    </w:p>
    <w:p>
      <w:pPr>
        <w:ind w:left="220" w:right="211"/>
        <w:spacing w:after="0" w:line="263" w:lineRule="auto"/>
        <w:rPr>
          <w:sz w:val="20"/>
          <w:szCs w:val="20"/>
          <w:color w:val="auto"/>
        </w:rPr>
      </w:pPr>
      <w:r>
        <w:rPr>
          <w:rFonts w:ascii="Arial" w:cs="Arial" w:eastAsia="Arial" w:hAnsi="Arial"/>
          <w:sz w:val="16"/>
          <w:szCs w:val="16"/>
          <w:color w:val="auto"/>
        </w:rPr>
        <w:t>Chair, Chief Executive Officer and President, Northrop</w:t>
      </w:r>
    </w:p>
    <w:p>
      <w:pPr>
        <w:ind w:left="220"/>
        <w:spacing w:after="0"/>
        <w:rPr>
          <w:sz w:val="20"/>
          <w:szCs w:val="20"/>
          <w:color w:val="auto"/>
        </w:rPr>
      </w:pPr>
      <w:r>
        <w:rPr>
          <w:rFonts w:ascii="Arial" w:cs="Arial" w:eastAsia="Arial" w:hAnsi="Arial"/>
          <w:sz w:val="16"/>
          <w:szCs w:val="16"/>
          <w:color w:val="auto"/>
        </w:rPr>
        <w:t>Grumman Corporation</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52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July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9" w:right="100"/>
        <w:spacing w:after="0" w:line="258" w:lineRule="auto"/>
        <w:rPr>
          <w:sz w:val="20"/>
          <w:szCs w:val="20"/>
          <w:color w:val="auto"/>
        </w:rPr>
      </w:pPr>
      <w:r>
        <w:rPr>
          <w:rFonts w:ascii="Arial" w:cs="Arial" w:eastAsia="Arial" w:hAnsi="Arial"/>
          <w:sz w:val="16"/>
          <w:szCs w:val="16"/>
          <w:color w:val="auto"/>
        </w:rPr>
        <w:t>Ms. Kathy J. Warden has served as Chair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189" w:right="660" w:hanging="189"/>
        <w:spacing w:after="0" w:line="299" w:lineRule="auto"/>
        <w:tabs>
          <w:tab w:leader="none" w:pos="132"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Extensive experience in operational leadership, strategy, performance and business development in government and commercial markets, including cyber expertise</w:t>
      </w:r>
    </w:p>
    <w:p>
      <w:pPr>
        <w:ind w:left="189" w:right="340" w:hanging="189"/>
        <w:spacing w:after="0" w:line="304" w:lineRule="auto"/>
        <w:tabs>
          <w:tab w:leader="none" w:pos="132"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Prior leadership positions within Northrop Grumman (including as President, Chief Operating Officer and President of two business sectors)</w:t>
      </w:r>
    </w:p>
    <w:p>
      <w:pPr>
        <w:spacing w:after="0" w:line="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Significant aerospace and defense industry experience</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29" w:hanging="129"/>
        <w:spacing w:after="0"/>
        <w:tabs>
          <w:tab w:leader="none" w:pos="129" w:val="left"/>
        </w:tabs>
        <w:numPr>
          <w:ilvl w:val="0"/>
          <w:numId w:val="14"/>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Merck &amp; Co., Inc.</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Member and former Chair of the Aerospace Industries Association</w:t>
      </w:r>
    </w:p>
    <w:p>
      <w:pPr>
        <w:spacing w:after="0" w:line="8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Catalyst</w:t>
      </w:r>
    </w:p>
    <w:p>
      <w:pPr>
        <w:spacing w:after="0" w:line="72"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Former Chair of the Board of Directors of the Federal Reserve Bank of Richmond</w:t>
      </w:r>
    </w:p>
    <w:p>
      <w:pPr>
        <w:spacing w:after="0" w:line="8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Former member of the Board of Visitors of James Madison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1949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51" w:space="720"/>
            <w:col w:w="7949"/>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 w:hanging="494"/>
        <w:spacing w:after="0"/>
        <w:tabs>
          <w:tab w:leader="none" w:pos="52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91335" cy="37287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9133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color w:val="29378D"/>
        </w:rPr>
        <w:t>David P. Abney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Chairman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Chief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United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Parcel Service, Inc. (UPS)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June 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Compensation and Human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Capital Committee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Nominating and 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756285</wp:posOffset>
            </wp:positionV>
            <wp:extent cx="1783080" cy="3728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3728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 w:right="240"/>
        <w:spacing w:after="0" w:line="265" w:lineRule="auto"/>
        <w:rPr>
          <w:sz w:val="20"/>
          <w:szCs w:val="20"/>
          <w:color w:val="auto"/>
        </w:rPr>
      </w:pPr>
      <w:r>
        <w:rPr>
          <w:rFonts w:ascii="Arial" w:cs="Arial" w:eastAsia="Arial" w:hAnsi="Arial"/>
          <w:sz w:val="16"/>
          <w:szCs w:val="16"/>
          <w:color w:val="auto"/>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w:t>
      </w:r>
    </w:p>
    <w:p>
      <w:pPr>
        <w:spacing w:after="0" w:line="8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1" w:right="20" w:hanging="201"/>
        <w:spacing w:after="0" w:line="299" w:lineRule="auto"/>
        <w:tabs>
          <w:tab w:leader="none" w:pos="144"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Extensive leadership and business experience as a former Executive Chairman, Chief Executive Officer and Chief Operating Officer of a large multinational enterprise</w:t>
      </w: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Significant expertise in international operations and global logistics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Broad experience with talent management and leading global teams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Significant board experience, including as non-executive chair</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18"/>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Freeport-McMoRan Inc.</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8"/>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Target Corporation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19"/>
        </w:numPr>
        <w:rPr>
          <w:rFonts w:ascii="Arial" w:cs="Arial" w:eastAsia="Arial" w:hAnsi="Arial"/>
          <w:sz w:val="16"/>
          <w:szCs w:val="16"/>
          <w:b w:val="1"/>
          <w:bCs w:val="1"/>
          <w:color w:val="29378D"/>
        </w:rPr>
      </w:pPr>
      <w:r>
        <w:rPr>
          <w:rFonts w:ascii="Arial" w:cs="Arial" w:eastAsia="Arial" w:hAnsi="Arial"/>
          <w:sz w:val="16"/>
          <w:szCs w:val="16"/>
          <w:color w:val="auto"/>
        </w:rPr>
        <w:t>Executive Chairman of the Board of Directors of UPS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9"/>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Macy’s,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1118235</wp:posOffset>
            </wp:positionV>
            <wp:extent cx="51517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1012"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color w:val="29378D"/>
        </w:rPr>
        <w:t>Marianne C. Brown</w:t>
      </w:r>
    </w:p>
    <w:p>
      <w:pPr>
        <w:spacing w:after="0" w:line="117" w:lineRule="exact"/>
        <w:rPr>
          <w:sz w:val="20"/>
          <w:szCs w:val="20"/>
          <w:color w:val="auto"/>
        </w:rPr>
      </w:pPr>
    </w:p>
    <w:p>
      <w:pPr>
        <w:ind w:right="139"/>
        <w:spacing w:after="0" w:line="257" w:lineRule="auto"/>
        <w:rPr>
          <w:sz w:val="20"/>
          <w:szCs w:val="20"/>
          <w:color w:val="auto"/>
        </w:rPr>
      </w:pPr>
      <w:r>
        <w:rPr>
          <w:rFonts w:ascii="Arial" w:cs="Arial" w:eastAsia="Arial" w:hAnsi="Arial"/>
          <w:sz w:val="16"/>
          <w:szCs w:val="16"/>
          <w:color w:val="auto"/>
        </w:rPr>
        <w:t>Former Chief Operating Officer, Global Financial Solutions, Fidelity National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Services, Inc.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March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ind w:right="339"/>
        <w:spacing w:after="0" w:line="262" w:lineRule="auto"/>
        <w:rPr>
          <w:sz w:val="20"/>
          <w:szCs w:val="20"/>
          <w:color w:val="auto"/>
        </w:rPr>
      </w:pPr>
      <w:r>
        <w:rPr>
          <w:rFonts w:ascii="Arial" w:cs="Arial" w:eastAsia="Arial" w:hAnsi="Arial"/>
          <w:sz w:val="16"/>
          <w:szCs w:val="16"/>
          <w:b w:val="1"/>
          <w:bCs w:val="1"/>
          <w:color w:val="29378D"/>
        </w:rPr>
        <w:t>Audit and Risk Committee, Nominating and Corporate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right="80"/>
        <w:spacing w:after="0" w:line="259" w:lineRule="auto"/>
        <w:rPr>
          <w:sz w:val="20"/>
          <w:szCs w:val="20"/>
          <w:color w:val="auto"/>
        </w:rPr>
      </w:pPr>
      <w:r>
        <w:rPr>
          <w:rFonts w:ascii="Arial" w:cs="Arial" w:eastAsia="Arial" w:hAnsi="Arial"/>
          <w:sz w:val="16"/>
          <w:szCs w:val="16"/>
          <w:color w:val="auto"/>
        </w:rPr>
        <w:t>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Substantial business experience as a former Chief Operating Officer and Chief Executive Officer</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Significant experience in IT goods and services, cyber protection and business management</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Community and philanthropic leader</w:t>
      </w:r>
    </w:p>
    <w:p>
      <w:pPr>
        <w:spacing w:after="0" w:line="9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04" w:lineRule="exact"/>
        <w:rPr>
          <w:sz w:val="20"/>
          <w:szCs w:val="20"/>
          <w:color w:val="auto"/>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Akamai Technologies, Inc.</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Charles Schwab Corporation</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IBM</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2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1057910</wp:posOffset>
            </wp:positionV>
            <wp:extent cx="51517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889" w:lineRule="exact"/>
        <w:rPr>
          <w:sz w:val="20"/>
          <w:szCs w:val="20"/>
          <w:color w:val="auto"/>
        </w:rPr>
      </w:pPr>
    </w:p>
    <w:p>
      <w:pPr>
        <w:sectPr>
          <w:pgSz w:w="11900" w:h="16838" w:orient="portrait"/>
          <w:cols w:equalWidth="0" w:num="2">
            <w:col w:w="2399" w:space="720"/>
            <w:col w:w="7901"/>
          </w:cols>
          <w:pgMar w:left="54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060"/>
        <w:spacing w:after="0"/>
        <w:tabs>
          <w:tab w:leader="none" w:pos="108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199390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23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326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8308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Ann M. Fudge</w:t>
      </w:r>
    </w:p>
    <w:p>
      <w:pPr>
        <w:spacing w:after="0" w:line="131" w:lineRule="exact"/>
        <w:rPr>
          <w:sz w:val="20"/>
          <w:szCs w:val="20"/>
          <w:color w:val="auto"/>
        </w:rPr>
      </w:pPr>
    </w:p>
    <w:p>
      <w:pPr>
        <w:ind w:left="220" w:right="399"/>
        <w:spacing w:after="0" w:line="263" w:lineRule="auto"/>
        <w:rPr>
          <w:sz w:val="20"/>
          <w:szCs w:val="20"/>
          <w:color w:val="auto"/>
        </w:rPr>
      </w:pPr>
      <w:r>
        <w:rPr>
          <w:rFonts w:ascii="Arial" w:cs="Arial" w:eastAsia="Arial" w:hAnsi="Arial"/>
          <w:sz w:val="16"/>
          <w:szCs w:val="16"/>
          <w:color w:val="auto"/>
        </w:rPr>
        <w:t>Former Chairman and Chief Executive Officer, Young &amp;</w:t>
      </w:r>
    </w:p>
    <w:p>
      <w:pPr>
        <w:ind w:left="220"/>
        <w:spacing w:after="0"/>
        <w:rPr>
          <w:sz w:val="20"/>
          <w:szCs w:val="20"/>
          <w:color w:val="auto"/>
        </w:rPr>
      </w:pPr>
      <w:r>
        <w:rPr>
          <w:rFonts w:ascii="Arial" w:cs="Arial" w:eastAsia="Arial" w:hAnsi="Arial"/>
          <w:sz w:val="16"/>
          <w:szCs w:val="16"/>
          <w:color w:val="auto"/>
        </w:rPr>
        <w:t>Rubicam Brands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March 2016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15" w:lineRule="exact"/>
        <w:rPr>
          <w:sz w:val="20"/>
          <w:szCs w:val="20"/>
          <w:color w:val="auto"/>
        </w:rPr>
      </w:pPr>
    </w:p>
    <w:p>
      <w:pPr>
        <w:ind w:left="220" w:right="339"/>
        <w:spacing w:after="0" w:line="281"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1783080" cy="3814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3814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spacing w:after="0" w:line="271" w:lineRule="auto"/>
        <w:rPr>
          <w:sz w:val="20"/>
          <w:szCs w:val="20"/>
          <w:color w:val="auto"/>
        </w:rPr>
      </w:pPr>
      <w:r>
        <w:rPr>
          <w:rFonts w:ascii="Arial" w:cs="Arial" w:eastAsia="Arial" w:hAnsi="Arial"/>
          <w:sz w:val="16"/>
          <w:szCs w:val="16"/>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40" w:hanging="201"/>
        <w:spacing w:after="0" w:line="286" w:lineRule="auto"/>
        <w:tabs>
          <w:tab w:leader="none" w:pos="144"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Extensive business experience as former Chief Executive Officer and former president of leading consumer products business units</w:t>
      </w:r>
    </w:p>
    <w:p>
      <w:pPr>
        <w:spacing w:after="0" w:line="20" w:lineRule="exact"/>
        <w:rPr>
          <w:rFonts w:ascii="Arial" w:cs="Arial" w:eastAsia="Arial" w:hAnsi="Arial"/>
          <w:sz w:val="16"/>
          <w:szCs w:val="16"/>
          <w:b w:val="1"/>
          <w:bCs w:val="1"/>
          <w:color w:val="29378D"/>
        </w:rPr>
      </w:pPr>
    </w:p>
    <w:p>
      <w:pPr>
        <w:ind w:left="201" w:right="260" w:hanging="201"/>
        <w:spacing w:after="0" w:line="286" w:lineRule="auto"/>
        <w:tabs>
          <w:tab w:leader="none" w:pos="144"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Substantial international experience through service as an executive and director of a large multinational company and a director of other large multinational companies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Significant public company board experience</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acquisition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24"/>
        </w:numPr>
        <w:rPr>
          <w:rFonts w:ascii="Arial" w:cs="Arial" w:eastAsia="Arial" w:hAnsi="Arial"/>
          <w:sz w:val="16"/>
          <w:szCs w:val="16"/>
          <w:b w:val="1"/>
          <w:bCs w:val="1"/>
          <w:color w:val="29378D"/>
        </w:rPr>
      </w:pPr>
      <w:r>
        <w:rPr>
          <w:rFonts w:ascii="Arial" w:cs="Arial" w:eastAsia="Arial" w:hAnsi="Arial"/>
          <w:sz w:val="16"/>
          <w:szCs w:val="16"/>
          <w:color w:val="auto"/>
        </w:rPr>
        <w:t>Chair of the Board of Trustees of WGBH Public Media</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4"/>
        </w:numPr>
        <w:rPr>
          <w:rFonts w:ascii="Arial" w:cs="Arial" w:eastAsia="Arial" w:hAnsi="Arial"/>
          <w:sz w:val="16"/>
          <w:szCs w:val="16"/>
          <w:b w:val="1"/>
          <w:bCs w:val="1"/>
          <w:color w:val="29378D"/>
        </w:rPr>
      </w:pPr>
      <w:r>
        <w:rPr>
          <w:rFonts w:ascii="Arial" w:cs="Arial" w:eastAsia="Arial" w:hAnsi="Arial"/>
          <w:sz w:val="16"/>
          <w:szCs w:val="16"/>
          <w:color w:val="auto"/>
        </w:rPr>
        <w:t>Senior trustee of the Brookings Institution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2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Catalyst Partners Acquisition Corp.</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518160</wp:posOffset>
            </wp:positionV>
            <wp:extent cx="5151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2619" w:space="720"/>
            <w:col w:w="7861"/>
          </w:cols>
          <w:pgMar w:left="320" w:top="2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Madeleine A. Kleiner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Former Executive Vice President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General Counsel, Hilton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Hotels Corporation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October 2008</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Compensation and Human</w:t>
      </w:r>
    </w:p>
    <w:p>
      <w:pPr>
        <w:spacing w:after="0" w:line="19" w:lineRule="exact"/>
        <w:rPr>
          <w:sz w:val="20"/>
          <w:szCs w:val="20"/>
          <w:color w:val="auto"/>
        </w:rPr>
      </w:pPr>
    </w:p>
    <w:p>
      <w:pPr>
        <w:ind w:left="220" w:right="359"/>
        <w:spacing w:after="0" w:line="261" w:lineRule="auto"/>
        <w:rPr>
          <w:sz w:val="20"/>
          <w:szCs w:val="20"/>
          <w:color w:val="auto"/>
        </w:rPr>
      </w:pPr>
      <w:r>
        <w:rPr>
          <w:rFonts w:ascii="Arial" w:cs="Arial" w:eastAsia="Arial" w:hAnsi="Arial"/>
          <w:sz w:val="16"/>
          <w:szCs w:val="16"/>
          <w:b w:val="1"/>
          <w:bCs w:val="1"/>
          <w:color w:val="29378D"/>
        </w:rPr>
        <w:t>Capital Committee, 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 w:right="20"/>
        <w:spacing w:after="0" w:line="258" w:lineRule="auto"/>
        <w:rPr>
          <w:sz w:val="20"/>
          <w:szCs w:val="20"/>
          <w:color w:val="auto"/>
        </w:rPr>
      </w:pPr>
      <w:r>
        <w:rPr>
          <w:rFonts w:ascii="Arial" w:cs="Arial" w:eastAsia="Arial" w:hAnsi="Arial"/>
          <w:sz w:val="16"/>
          <w:szCs w:val="16"/>
          <w:color w:val="auto"/>
        </w:rPr>
        <w:t>Ms. Madeleine A. Kleiner has served as the Lead Independent Director of the Board of Directors of Northrop Grumman Corporation since December 2022. She served as Executive Vice President, General Counsel and Corporate Secretary for Hilton Hotels Corporation from January 2001 until February 2008. From 1999 through 2001, she served as a director of a number of Merrill Lynch mutual funds operating under the Hotchkis and Wiley name. From 1995 to 1998, she served as Senior Executive Vice President, Chief Administrative Officer and General Counsel of H. F. Ahmanson &amp; Company and its subsidiary, Home Savings of America. Prior to that, she was a partner at the law firm of Gibson, Dunn &amp; Crutcher, where she advised corporations and their boards primarily in the areas of mergers and acquisitions, corporate governance, and securities transactions and compliance.</w:t>
      </w:r>
    </w:p>
    <w:p>
      <w:pPr>
        <w:spacing w:after="0" w:line="8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1" w:hanging="201"/>
        <w:spacing w:after="0" w:line="299" w:lineRule="auto"/>
        <w:tabs>
          <w:tab w:leader="none" w:pos="144"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Expertise in corporate governance and corporate responsibility, Sarbanes-Oxley controls, risk management, securities transactions and mergers and acquisitions</w:t>
      </w:r>
    </w:p>
    <w:p>
      <w:pPr>
        <w:ind w:left="201" w:right="400" w:hanging="201"/>
        <w:spacing w:after="0" w:line="304" w:lineRule="auto"/>
        <w:tabs>
          <w:tab w:leader="none" w:pos="144"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Significant experience from past roles as general counsel for two public companies, outside counsel to numerous public companies and through service on another public company board</w:t>
      </w:r>
    </w:p>
    <w:p>
      <w:pPr>
        <w:spacing w:after="0" w:line="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Substantial international experience as an executive officer of a large company with global operations</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2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Jack in the Box Inc.</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28"/>
        </w:numPr>
        <w:rPr>
          <w:rFonts w:ascii="Arial" w:cs="Arial" w:eastAsia="Arial" w:hAnsi="Arial"/>
          <w:sz w:val="16"/>
          <w:szCs w:val="16"/>
          <w:b w:val="1"/>
          <w:bCs w:val="1"/>
          <w:color w:val="29378D"/>
        </w:rPr>
      </w:pPr>
      <w:r>
        <w:rPr>
          <w:rFonts w:ascii="Arial" w:cs="Arial" w:eastAsia="Arial" w:hAnsi="Arial"/>
          <w:sz w:val="16"/>
          <w:szCs w:val="16"/>
          <w:color w:val="auto"/>
        </w:rPr>
        <w:t>Member of the Board of the Ladies Professional Golf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895350</wp:posOffset>
            </wp:positionV>
            <wp:extent cx="51517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2619" w:space="720"/>
            <w:col w:w="7861"/>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hanging="494"/>
        <w:spacing w:after="0"/>
        <w:tabs>
          <w:tab w:leader="none" w:pos="520" w:val="left"/>
        </w:tabs>
        <w:numPr>
          <w:ilvl w:val="0"/>
          <w:numId w:val="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83080" cy="32918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29378D"/>
        </w:rPr>
        <w:t>Arvind Krishna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International Business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Machines Corporation (IBM)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November 2022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5" w:lineRule="exact"/>
        <w:rPr>
          <w:sz w:val="20"/>
          <w:szCs w:val="20"/>
          <w:color w:val="auto"/>
        </w:rPr>
      </w:pPr>
    </w:p>
    <w:p>
      <w:pPr>
        <w:ind w:right="339"/>
        <w:spacing w:after="0" w:line="263" w:lineRule="auto"/>
        <w:rPr>
          <w:sz w:val="20"/>
          <w:szCs w:val="20"/>
          <w:color w:val="auto"/>
        </w:rPr>
      </w:pPr>
      <w:r>
        <w:rPr>
          <w:rFonts w:ascii="Arial" w:cs="Arial" w:eastAsia="Arial" w:hAnsi="Arial"/>
          <w:sz w:val="16"/>
          <w:szCs w:val="16"/>
          <w:b w:val="1"/>
          <w:bCs w:val="1"/>
          <w:color w:val="29378D"/>
        </w:rPr>
        <w:t>Compensation and Human Capital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457200</wp:posOffset>
            </wp:positionV>
            <wp:extent cx="1783080" cy="3351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3080" cy="3351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 w:right="80"/>
        <w:spacing w:after="0" w:line="262" w:lineRule="auto"/>
        <w:rPr>
          <w:sz w:val="20"/>
          <w:szCs w:val="20"/>
          <w:color w:val="auto"/>
        </w:rPr>
      </w:pPr>
      <w:r>
        <w:rPr>
          <w:rFonts w:ascii="Arial" w:cs="Arial" w:eastAsia="Arial" w:hAnsi="Arial"/>
          <w:sz w:val="16"/>
          <w:szCs w:val="16"/>
          <w:color w:val="auto"/>
        </w:rPr>
        <w:t>Mr. Arvind Krishna has served as Chief Executive Officer of IBM and a member of IBM’s Board of Directors since April 2020. He was elected Chairman of IBM’s Board of Directors in December 2020. He joined IBM in 1990. Mr. Krishna led the IBM Cloud and Cognitive Software business unit from 2017 to April 2020 and was a principal architect of the acquisition of Red Hat, the largest acquisition in IBM’s history. Mr. Krishna also served as the director of IBM’s Research division from 2015 to 2020. Previously, he was general manager of IBM’s Systems and Technology Group, IBM’s development and manufacturing organization. Prior to that, he built and led many of IBM’s data-related businesses.</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80" w:hanging="201"/>
        <w:spacing w:after="0" w:line="286" w:lineRule="auto"/>
        <w:tabs>
          <w:tab w:leader="none" w:pos="144"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Extensive global business and organizational leadership experience as the Chairman and Chief Executive Officer of a large multinational corporation</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Deep knowledge of manufacturing and research, including in artificial intelligence and computing</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Significant experience in cyber and digital transformation</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Significant technology experience</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31"/>
        </w:numPr>
        <w:rPr>
          <w:rFonts w:ascii="Arial" w:cs="Arial" w:eastAsia="Arial" w:hAnsi="Arial"/>
          <w:sz w:val="16"/>
          <w:szCs w:val="16"/>
          <w:b w:val="1"/>
          <w:bCs w:val="1"/>
          <w:color w:val="29378D"/>
        </w:rPr>
      </w:pPr>
      <w:r>
        <w:rPr>
          <w:rFonts w:ascii="Arial" w:cs="Arial" w:eastAsia="Arial" w:hAnsi="Arial"/>
          <w:sz w:val="16"/>
          <w:szCs w:val="16"/>
          <w:color w:val="auto"/>
        </w:rPr>
        <w:t>Chairman of the Board of Directors of IBM</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3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Federal Reserve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569595</wp:posOffset>
            </wp:positionV>
            <wp:extent cx="5151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619"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9378D"/>
        </w:rPr>
        <w:t>Graham N. Robinson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Stanley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Black &amp; Decker, Inc.,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STANLEY Industrial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55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August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Compensation and Human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Capital Committee, Policy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 w:right="60"/>
        <w:spacing w:after="0" w:line="262" w:lineRule="auto"/>
        <w:rPr>
          <w:sz w:val="20"/>
          <w:szCs w:val="20"/>
          <w:color w:val="auto"/>
        </w:rPr>
      </w:pPr>
      <w:r>
        <w:rPr>
          <w:rFonts w:ascii="Arial" w:cs="Arial" w:eastAsia="Arial" w:hAnsi="Arial"/>
          <w:sz w:val="16"/>
          <w:szCs w:val="16"/>
          <w:color w:val="auto"/>
        </w:rPr>
        <w:t>Mr. Graham N. Robinson has served as Senior Vice President &amp; President of STANLEY Industrial, a business segment of Stanley Black &amp; Decker, Inc., since April 2020. Prior to joining Stanley Black &amp; Decker, Mr. Robinson served as an executive with Honeywell for seven years, including roles as President of Honeywell Industrial Safety from 2018 to 2020, President of Honeywell Sensing and Internet of Things from 2016 to 2018, and Chief Marketing Officer of Honeywell’s Automation and Controls Solution division from 2014 to 2016.</w:t>
      </w:r>
    </w:p>
    <w:p>
      <w:pPr>
        <w:spacing w:after="0" w:line="27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80" w:hanging="201"/>
        <w:spacing w:after="0" w:line="299" w:lineRule="auto"/>
        <w:tabs>
          <w:tab w:leader="none" w:pos="144"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Broad industrial and technical experience, including his current and former roles as President of divisions of large public companies</w:t>
      </w:r>
    </w:p>
    <w:p>
      <w:pPr>
        <w:ind w:left="141" w:hanging="141"/>
        <w:spacing w:after="0"/>
        <w:tabs>
          <w:tab w:leader="none" w:pos="141"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Significant international experience as an executive of large multinational companies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Extensive senior leadership skills</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61" w:hanging="161"/>
        <w:spacing w:after="0"/>
        <w:tabs>
          <w:tab w:leader="none" w:pos="161" w:val="left"/>
        </w:tabs>
        <w:numPr>
          <w:ilvl w:val="0"/>
          <w:numId w:val="34"/>
        </w:numPr>
        <w:rPr>
          <w:rFonts w:ascii="Arial" w:cs="Arial" w:eastAsia="Arial" w:hAnsi="Arial"/>
          <w:sz w:val="16"/>
          <w:szCs w:val="16"/>
          <w:color w:val="29378D"/>
        </w:rPr>
      </w:pPr>
      <w:r>
        <w:rPr>
          <w:rFonts w:ascii="Arial" w:cs="Arial" w:eastAsia="Arial" w:hAnsi="Arial"/>
          <w:sz w:val="16"/>
          <w:szCs w:val="16"/>
          <w:color w:val="auto"/>
        </w:rPr>
        <w:t>Member of the Board of Directors of the Connecticut Business &amp; Industry Association</w:t>
      </w:r>
    </w:p>
    <w:p>
      <w:pPr>
        <w:spacing w:after="0" w:line="86" w:lineRule="exact"/>
        <w:rPr>
          <w:rFonts w:ascii="Arial" w:cs="Arial" w:eastAsia="Arial" w:hAnsi="Arial"/>
          <w:sz w:val="16"/>
          <w:szCs w:val="16"/>
          <w:color w:val="29378D"/>
        </w:rPr>
      </w:pPr>
    </w:p>
    <w:p>
      <w:pPr>
        <w:ind w:left="141" w:hanging="141"/>
        <w:spacing w:after="0"/>
        <w:tabs>
          <w:tab w:leader="none" w:pos="141" w:val="left"/>
        </w:tabs>
        <w:numPr>
          <w:ilvl w:val="0"/>
          <w:numId w:val="34"/>
        </w:numPr>
        <w:rPr>
          <w:rFonts w:ascii="Arial" w:cs="Arial" w:eastAsia="Arial" w:hAnsi="Arial"/>
          <w:sz w:val="16"/>
          <w:szCs w:val="16"/>
          <w:b w:val="1"/>
          <w:bCs w:val="1"/>
          <w:color w:val="29378D"/>
        </w:rPr>
      </w:pPr>
      <w:r>
        <w:rPr>
          <w:rFonts w:ascii="Arial" w:cs="Arial" w:eastAsia="Arial" w:hAnsi="Arial"/>
          <w:sz w:val="16"/>
          <w:szCs w:val="16"/>
          <w:color w:val="auto"/>
        </w:rPr>
        <w:t>Member of the Board of Trustees of the Manufacturers Alliance for Productivity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1126490</wp:posOffset>
            </wp:positionV>
            <wp:extent cx="51517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5941" w:type="dxa"/>
        <w:tblCellMar>
          <w:top w:w="0" w:type="dxa"/>
          <w:left w:w="0" w:type="dxa"/>
          <w:bottom w:w="0" w:type="dxa"/>
          <w:right w:w="0" w:type="dxa"/>
        </w:tblCellMar>
      </w:tblPr>
      <w:tr>
        <w:trPr>
          <w:trHeight w:val="196"/>
        </w:trPr>
        <w:tc>
          <w:tcPr>
            <w:tcW w:w="1600" w:type="dxa"/>
            <w:vAlign w:val="bottom"/>
          </w:tcPr>
          <w:p>
            <w:pPr>
              <w:spacing w:after="0"/>
              <w:rPr>
                <w:sz w:val="20"/>
                <w:szCs w:val="20"/>
                <w:color w:val="auto"/>
              </w:rPr>
            </w:pPr>
            <w:r>
              <w:rPr>
                <w:rFonts w:ascii="Arial" w:cs="Arial" w:eastAsia="Arial" w:hAnsi="Arial"/>
                <w:sz w:val="14"/>
                <w:szCs w:val="14"/>
                <w:color w:val="auto"/>
              </w:rPr>
              <w:t>2024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177165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99" w:space="720"/>
            <w:col w:w="7901"/>
          </w:cols>
          <w:pgMar w:left="540" w:top="23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549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8308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Kimberly A. Ross</w:t>
      </w:r>
    </w:p>
    <w:p>
      <w:pPr>
        <w:spacing w:after="0" w:line="131" w:lineRule="exact"/>
        <w:rPr>
          <w:sz w:val="20"/>
          <w:szCs w:val="20"/>
          <w:color w:val="auto"/>
        </w:rPr>
      </w:pPr>
    </w:p>
    <w:p>
      <w:pPr>
        <w:ind w:left="220" w:right="199"/>
        <w:spacing w:after="0" w:line="263" w:lineRule="auto"/>
        <w:rPr>
          <w:sz w:val="20"/>
          <w:szCs w:val="20"/>
          <w:color w:val="auto"/>
        </w:rPr>
      </w:pPr>
      <w:r>
        <w:rPr>
          <w:rFonts w:ascii="Arial" w:cs="Arial" w:eastAsia="Arial" w:hAnsi="Arial"/>
          <w:sz w:val="16"/>
          <w:szCs w:val="16"/>
          <w:color w:val="auto"/>
        </w:rPr>
        <w:t>Former Chief Financial Officer, WeWork and Baker Hughes</w:t>
      </w:r>
    </w:p>
    <w:p>
      <w:pPr>
        <w:ind w:left="220"/>
        <w:spacing w:after="0"/>
        <w:rPr>
          <w:sz w:val="20"/>
          <w:szCs w:val="20"/>
          <w:color w:val="auto"/>
        </w:rPr>
      </w:pPr>
      <w:r>
        <w:rPr>
          <w:rFonts w:ascii="Arial" w:cs="Arial" w:eastAsia="Arial" w:hAnsi="Arial"/>
          <w:sz w:val="16"/>
          <w:szCs w:val="16"/>
          <w:color w:val="auto"/>
        </w:rPr>
        <w:t>Company</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58</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March 2023</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96"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791335" cy="3960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1335" cy="396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right="20"/>
        <w:spacing w:after="0" w:line="265" w:lineRule="auto"/>
        <w:rPr>
          <w:sz w:val="20"/>
          <w:szCs w:val="20"/>
          <w:color w:val="auto"/>
        </w:rPr>
      </w:pPr>
      <w:r>
        <w:rPr>
          <w:rFonts w:ascii="Arial" w:cs="Arial" w:eastAsia="Arial" w:hAnsi="Arial"/>
          <w:sz w:val="16"/>
          <w:szCs w:val="16"/>
          <w:color w:val="auto"/>
        </w:rPr>
        <w:t>Ms. Kimberly A. Ross served as Chief Financial Officer of WeWork from March through October 2020. She served as Senior Vice President and Chief Financial Officer of Baker Hughes Company from 2014 to 2017. Ms. Ross was Executive Vice President and Chief Financial Officer of Avon Products, Inc. from 2011 to 2014. Prior to that, she served as the Executive Vice President and Chief Financial Officer of Royal Ahold N.V. from 2007 to 2011 and previously held a variety of senior management positions at Royal Ahold.</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280" w:hanging="201"/>
        <w:spacing w:after="0" w:line="275" w:lineRule="auto"/>
        <w:tabs>
          <w:tab w:leader="none" w:pos="144"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Extensive experience through service as the Chief Financial Officer of large public companies, including expertise in financial reporting, internal auditing processes and managing corporate finance for global companies</w:t>
      </w:r>
    </w:p>
    <w:p>
      <w:pPr>
        <w:spacing w:after="0" w:line="29" w:lineRule="exact"/>
        <w:rPr>
          <w:rFonts w:ascii="Arial" w:cs="Arial" w:eastAsia="Arial" w:hAnsi="Arial"/>
          <w:sz w:val="16"/>
          <w:szCs w:val="16"/>
          <w:b w:val="1"/>
          <w:bCs w:val="1"/>
          <w:color w:val="29378D"/>
        </w:rPr>
      </w:pPr>
    </w:p>
    <w:p>
      <w:pPr>
        <w:ind w:left="201" w:right="20" w:hanging="201"/>
        <w:spacing w:after="0" w:line="286" w:lineRule="auto"/>
        <w:tabs>
          <w:tab w:leader="none" w:pos="144"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Significant international business experience through her service as an executive of large public companies with extensive international operations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Substantial senior leadership skills</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3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Cigna Group</w:t>
      </w:r>
    </w:p>
    <w:p>
      <w:pPr>
        <w:spacing w:after="0" w:line="72" w:lineRule="exact"/>
        <w:rPr>
          <w:rFonts w:ascii="Arial" w:cs="Arial" w:eastAsia="Arial" w:hAnsi="Arial"/>
          <w:sz w:val="16"/>
          <w:szCs w:val="16"/>
          <w:b w:val="1"/>
          <w:bCs w:val="1"/>
          <w:color w:val="29378D"/>
        </w:rPr>
      </w:pPr>
    </w:p>
    <w:p>
      <w:pPr>
        <w:ind w:left="161" w:hanging="161"/>
        <w:spacing w:after="0"/>
        <w:tabs>
          <w:tab w:leader="none" w:pos="161" w:val="left"/>
        </w:tabs>
        <w:numPr>
          <w:ilvl w:val="0"/>
          <w:numId w:val="36"/>
        </w:numPr>
        <w:rPr>
          <w:rFonts w:ascii="Arial" w:cs="Arial" w:eastAsia="Arial" w:hAnsi="Arial"/>
          <w:sz w:val="16"/>
          <w:szCs w:val="16"/>
          <w:color w:val="29378D"/>
        </w:rPr>
      </w:pPr>
      <w:r>
        <w:rPr>
          <w:rFonts w:ascii="Arial" w:cs="Arial" w:eastAsia="Arial" w:hAnsi="Arial"/>
          <w:sz w:val="16"/>
          <w:szCs w:val="16"/>
          <w:color w:val="auto"/>
        </w:rPr>
        <w:t>Member of the Board of Directors of KKR &amp; Co. Inc.</w:t>
      </w:r>
    </w:p>
    <w:p>
      <w:pPr>
        <w:spacing w:after="0" w:line="86" w:lineRule="exact"/>
        <w:rPr>
          <w:rFonts w:ascii="Arial" w:cs="Arial" w:eastAsia="Arial" w:hAnsi="Arial"/>
          <w:sz w:val="16"/>
          <w:szCs w:val="16"/>
          <w:color w:val="29378D"/>
        </w:rPr>
      </w:pPr>
    </w:p>
    <w:p>
      <w:pPr>
        <w:ind w:left="141" w:hanging="141"/>
        <w:spacing w:after="0"/>
        <w:tabs>
          <w:tab w:leader="none" w:pos="141" w:val="left"/>
        </w:tabs>
        <w:numPr>
          <w:ilvl w:val="0"/>
          <w:numId w:val="3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Nestlé S.A. (to April 2024)</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Chubb Limited</w:t>
      </w:r>
    </w:p>
    <w:p>
      <w:pPr>
        <w:spacing w:after="0" w:line="86" w:lineRule="exact"/>
        <w:rPr>
          <w:rFonts w:ascii="Arial" w:cs="Arial" w:eastAsia="Arial" w:hAnsi="Arial"/>
          <w:sz w:val="16"/>
          <w:szCs w:val="16"/>
          <w:b w:val="1"/>
          <w:bCs w:val="1"/>
          <w:color w:val="00249C"/>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KKR Acquisition Holdings I Corp.</w:t>
      </w:r>
    </w:p>
    <w:p>
      <w:pPr>
        <w:spacing w:after="0" w:line="86" w:lineRule="exact"/>
        <w:rPr>
          <w:rFonts w:ascii="Arial" w:cs="Arial" w:eastAsia="Arial" w:hAnsi="Arial"/>
          <w:sz w:val="16"/>
          <w:szCs w:val="16"/>
          <w:b w:val="1"/>
          <w:bCs w:val="1"/>
          <w:color w:val="00249C"/>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PQ Group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149225</wp:posOffset>
            </wp:positionV>
            <wp:extent cx="5151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41"/>
          </w:cols>
          <w:pgMar w:left="320" w:top="2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Gary Roughead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Admiral, United States Navy</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 and Former Chief of Naval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Operations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72</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February 2012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71" w:lineRule="auto"/>
        <w:rPr>
          <w:sz w:val="20"/>
          <w:szCs w:val="20"/>
          <w:color w:val="auto"/>
        </w:rPr>
      </w:pPr>
      <w:r>
        <w:rPr>
          <w:rFonts w:ascii="Arial" w:cs="Arial" w:eastAsia="Arial" w:hAnsi="Arial"/>
          <w:sz w:val="16"/>
          <w:szCs w:val="16"/>
          <w:b w:val="1"/>
          <w:bCs w:val="1"/>
          <w:color w:val="00249C"/>
        </w:rPr>
        <w:t>Compensation and Human Capital Committee, Policy Committee (Chair)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 w:right="80"/>
        <w:spacing w:after="0" w:line="247" w:lineRule="auto"/>
        <w:rPr>
          <w:sz w:val="20"/>
          <w:szCs w:val="20"/>
          <w:color w:val="auto"/>
        </w:rPr>
      </w:pPr>
      <w:r>
        <w:rPr>
          <w:rFonts w:ascii="Arial" w:cs="Arial" w:eastAsia="Arial" w:hAnsi="Arial"/>
          <w:sz w:val="16"/>
          <w:szCs w:val="16"/>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64" w:lineRule="exact"/>
        <w:rPr>
          <w:sz w:val="20"/>
          <w:szCs w:val="20"/>
          <w:color w:val="auto"/>
        </w:rPr>
      </w:pPr>
    </w:p>
    <w:p>
      <w:pPr>
        <w:ind w:left="201" w:right="260" w:hanging="201"/>
        <w:spacing w:after="0" w:line="286" w:lineRule="auto"/>
        <w:tabs>
          <w:tab w:leader="none" w:pos="144"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Extensive career as a senior military officer with the United States Navy, including numerous operational commands, as well as leadership positions, most recently as the 29th Chief of Naval Operations</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Significant expertise in national security, information warfare, cyber operations and global security issues</w:t>
      </w:r>
    </w:p>
    <w:p>
      <w:pPr>
        <w:spacing w:after="0" w:line="72" w:lineRule="exact"/>
        <w:rPr>
          <w:rFonts w:ascii="Arial" w:cs="Arial" w:eastAsia="Arial" w:hAnsi="Arial"/>
          <w:sz w:val="16"/>
          <w:szCs w:val="16"/>
          <w:b w:val="1"/>
          <w:bCs w:val="1"/>
          <w:color w:val="29378D"/>
        </w:rPr>
      </w:pPr>
    </w:p>
    <w:p>
      <w:pPr>
        <w:ind w:left="201" w:hanging="201"/>
        <w:spacing w:after="0" w:line="286" w:lineRule="auto"/>
        <w:tabs>
          <w:tab w:leader="none" w:pos="144"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Broad experience in leadership and matters of global relations, particularly in the Pacific region, Europe and the Middle East</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management</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04" w:lineRule="exact"/>
        <w:rPr>
          <w:sz w:val="20"/>
          <w:szCs w:val="20"/>
          <w:color w:val="auto"/>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Maersk Line, Limited</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Trustee of the Dodge and Cox Funds</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Trustee of Johns Hopkins University</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Member of the Board of Managers of the Johns Hopkins University Applied Physics Laboratory</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Former Chairman of the Board of Directors of Fincantieri Marinette Marine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826770</wp:posOffset>
            </wp:positionV>
            <wp:extent cx="51517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41"/>
          </w:cols>
          <w:pgMar w:left="320" w:top="23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hanging="494"/>
        <w:spacing w:after="0"/>
        <w:tabs>
          <w:tab w:leader="none" w:pos="520"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91335" cy="37287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133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29378D"/>
        </w:rPr>
        <w:t>Thomas M. Schoewe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Vice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Officer, Wal-Mart Stores,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August 2011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Audit and Risk Committee</w:t>
      </w:r>
    </w:p>
    <w:p>
      <w:pPr>
        <w:spacing w:after="0" w:line="35" w:lineRule="exact"/>
        <w:rPr>
          <w:sz w:val="20"/>
          <w:szCs w:val="20"/>
          <w:color w:val="auto"/>
        </w:rPr>
      </w:pPr>
    </w:p>
    <w:p>
      <w:pPr>
        <w:ind w:right="559"/>
        <w:spacing w:after="0" w:line="261" w:lineRule="auto"/>
        <w:rPr>
          <w:sz w:val="20"/>
          <w:szCs w:val="20"/>
          <w:color w:val="auto"/>
        </w:rPr>
      </w:pPr>
      <w:r>
        <w:rPr>
          <w:rFonts w:ascii="Arial" w:cs="Arial" w:eastAsia="Arial" w:hAnsi="Arial"/>
          <w:sz w:val="16"/>
          <w:szCs w:val="16"/>
          <w:b w:val="1"/>
          <w:bCs w:val="1"/>
          <w:color w:val="29378D"/>
        </w:rPr>
        <w:t>(Chair),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715010</wp:posOffset>
            </wp:positionV>
            <wp:extent cx="1791335" cy="34290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9133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9378D"/>
        </w:rPr>
        <w:t>James S. Turley</w:t>
      </w:r>
    </w:p>
    <w:p>
      <w:pPr>
        <w:spacing w:after="0" w:line="117" w:lineRule="exact"/>
        <w:rPr>
          <w:sz w:val="20"/>
          <w:szCs w:val="20"/>
          <w:color w:val="auto"/>
        </w:rPr>
      </w:pPr>
    </w:p>
    <w:p>
      <w:pPr>
        <w:ind w:right="59"/>
        <w:spacing w:after="0" w:line="304" w:lineRule="auto"/>
        <w:rPr>
          <w:sz w:val="20"/>
          <w:szCs w:val="20"/>
          <w:color w:val="auto"/>
        </w:rPr>
      </w:pPr>
      <w:r>
        <w:rPr>
          <w:rFonts w:ascii="Arial" w:cs="Arial" w:eastAsia="Arial" w:hAnsi="Arial"/>
          <w:sz w:val="16"/>
          <w:szCs w:val="16"/>
          <w:color w:val="auto"/>
        </w:rPr>
        <w:t>Former Chairman and Chief Executive Officer, Ernst &amp; Young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68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February 2015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Audit and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Nominating and 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Governance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right="260"/>
        <w:spacing w:after="0" w:line="275" w:lineRule="auto"/>
        <w:rPr>
          <w:sz w:val="20"/>
          <w:szCs w:val="20"/>
          <w:color w:val="auto"/>
        </w:rPr>
      </w:pPr>
      <w:r>
        <w:rPr>
          <w:rFonts w:ascii="Arial" w:cs="Arial" w:eastAsia="Arial" w:hAnsi="Arial"/>
          <w:sz w:val="16"/>
          <w:szCs w:val="16"/>
          <w:color w:val="auto"/>
        </w:rPr>
        <w:t>Mr. Thomas M. Schoewe was Executive Vice President and Chief Financial Officer of Wal-Mart Stores, Inc. from 2000 to 2011. Prior to his employment with Wal-Mart, he held several leadership roles at the Black &amp; Decker Corporation.</w:t>
      </w:r>
    </w:p>
    <w:p>
      <w:pPr>
        <w:spacing w:after="0" w:line="6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20" w:hanging="201"/>
        <w:spacing w:after="0" w:line="275"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Extensive financial experience acquired through positions held as the Chief Financial Officer of large public companies, as well as expertise in Sarbanes-Oxley controls, risk management and mergers and acquisitions</w:t>
      </w:r>
    </w:p>
    <w:p>
      <w:pPr>
        <w:spacing w:after="0" w:line="15" w:lineRule="exact"/>
        <w:rPr>
          <w:rFonts w:ascii="Arial" w:cs="Arial" w:eastAsia="Arial" w:hAnsi="Arial"/>
          <w:sz w:val="16"/>
          <w:szCs w:val="16"/>
          <w:b w:val="1"/>
          <w:bCs w:val="1"/>
          <w:color w:val="29378D"/>
        </w:rPr>
      </w:pPr>
    </w:p>
    <w:p>
      <w:pPr>
        <w:ind w:left="201" w:right="460" w:hanging="201"/>
        <w:spacing w:after="0" w:line="304"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Significant international experience through his service as an executive of large public companies with substantial international operations</w:t>
      </w:r>
    </w:p>
    <w:p>
      <w:pPr>
        <w:spacing w:after="0" w:line="6" w:lineRule="exact"/>
        <w:rPr>
          <w:rFonts w:ascii="Arial" w:cs="Arial" w:eastAsia="Arial" w:hAnsi="Arial"/>
          <w:sz w:val="16"/>
          <w:szCs w:val="16"/>
          <w:b w:val="1"/>
          <w:bCs w:val="1"/>
          <w:color w:val="29378D"/>
        </w:rPr>
      </w:pPr>
    </w:p>
    <w:p>
      <w:pPr>
        <w:ind w:left="201" w:right="720" w:hanging="201"/>
        <w:spacing w:after="0" w:line="286"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Experience at Wal-Mart and Black &amp; Decker on large-scale transformational enterprise information technology</w:t>
      </w:r>
    </w:p>
    <w:p>
      <w:pPr>
        <w:spacing w:after="0" w:line="20" w:lineRule="exact"/>
        <w:rPr>
          <w:rFonts w:ascii="Arial" w:cs="Arial" w:eastAsia="Arial" w:hAnsi="Arial"/>
          <w:sz w:val="16"/>
          <w:szCs w:val="16"/>
          <w:b w:val="1"/>
          <w:bCs w:val="1"/>
          <w:color w:val="29378D"/>
        </w:rPr>
      </w:pPr>
    </w:p>
    <w:p>
      <w:pPr>
        <w:ind w:left="201" w:right="240" w:hanging="201"/>
        <w:spacing w:after="0" w:line="286"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Extensive experience as a member of the audit, risk, compensation and policy committees of other public companies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4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General Motors Corporation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43"/>
        </w:numPr>
        <w:rPr>
          <w:rFonts w:ascii="Arial" w:cs="Arial" w:eastAsia="Arial" w:hAnsi="Arial"/>
          <w:sz w:val="16"/>
          <w:szCs w:val="16"/>
          <w:b w:val="1"/>
          <w:bCs w:val="1"/>
          <w:color w:val="29378D"/>
        </w:rPr>
      </w:pPr>
      <w:r>
        <w:rPr>
          <w:rFonts w:ascii="Arial" w:cs="Arial" w:eastAsia="Arial" w:hAnsi="Arial"/>
          <w:sz w:val="16"/>
          <w:szCs w:val="16"/>
          <w:color w:val="auto"/>
        </w:rPr>
        <w:t>Former Member of the Board of the Ladies Professional Golf Association</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04" w:lineRule="exact"/>
        <w:rPr>
          <w:sz w:val="20"/>
          <w:szCs w:val="20"/>
          <w:color w:val="auto"/>
        </w:rPr>
      </w:pPr>
    </w:p>
    <w:p>
      <w:pPr>
        <w:ind w:left="141" w:hanging="141"/>
        <w:spacing w:after="0"/>
        <w:tabs>
          <w:tab w:leader="none" w:pos="141" w:val="left"/>
        </w:tabs>
        <w:numPr>
          <w:ilvl w:val="0"/>
          <w:numId w:val="44"/>
        </w:numPr>
        <w:rPr>
          <w:rFonts w:ascii="Arial" w:cs="Arial" w:eastAsia="Arial" w:hAnsi="Arial"/>
          <w:sz w:val="16"/>
          <w:szCs w:val="16"/>
          <w:b w:val="1"/>
          <w:bCs w:val="1"/>
          <w:color w:val="00249C"/>
        </w:rPr>
      </w:pPr>
      <w:r>
        <w:rPr>
          <w:rFonts w:ascii="Arial" w:cs="Arial" w:eastAsia="Arial" w:hAnsi="Arial"/>
          <w:sz w:val="16"/>
          <w:szCs w:val="16"/>
          <w:color w:val="auto"/>
        </w:rPr>
        <w:t>Former Member of the Board of Directors of KKR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483870</wp:posOffset>
            </wp:positionV>
            <wp:extent cx="51517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 w:right="160"/>
        <w:spacing w:after="0" w:line="266" w:lineRule="auto"/>
        <w:rPr>
          <w:sz w:val="20"/>
          <w:szCs w:val="20"/>
          <w:color w:val="auto"/>
        </w:rPr>
      </w:pPr>
      <w:r>
        <w:rPr>
          <w:rFonts w:ascii="Arial" w:cs="Arial" w:eastAsia="Arial" w:hAnsi="Arial"/>
          <w:sz w:val="16"/>
          <w:szCs w:val="16"/>
          <w:color w:val="auto"/>
        </w:rPr>
        <w:t>Mr. James S. Turley served as Chairman and Chief Executive Officer of Ernst &amp; Young from 2001 until his retirement in 2013. Mr. Turley joined Ernst &amp; Young in 1977 and held various positions there. He was named Deputy Chairman in 2000.</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60" w:hanging="201"/>
        <w:spacing w:after="0" w:line="256" w:lineRule="auto"/>
        <w:tabs>
          <w:tab w:leader="none" w:pos="144"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Extensive experience and expertise in areas of finance, accounting and business management acquired over 36-year career at Ernst &amp; Young, including serving as Chairman and Chief Executive Officer of Ernst</w:t>
      </w:r>
    </w:p>
    <w:p>
      <w:pPr>
        <w:spacing w:after="0" w:line="1" w:lineRule="exact"/>
        <w:rPr>
          <w:rFonts w:ascii="Arial" w:cs="Arial" w:eastAsia="Arial" w:hAnsi="Arial"/>
          <w:sz w:val="16"/>
          <w:szCs w:val="16"/>
          <w:b w:val="1"/>
          <w:bCs w:val="1"/>
          <w:color w:val="29378D"/>
        </w:rPr>
      </w:pPr>
    </w:p>
    <w:p>
      <w:pPr>
        <w:ind w:left="341" w:hanging="147"/>
        <w:spacing w:after="0"/>
        <w:tabs>
          <w:tab w:leader="none" w:pos="3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Young</w:t>
      </w:r>
    </w:p>
    <w:p>
      <w:pPr>
        <w:spacing w:after="0" w:line="70" w:lineRule="exact"/>
        <w:rPr>
          <w:rFonts w:ascii="Arial" w:cs="Arial" w:eastAsia="Arial" w:hAnsi="Arial"/>
          <w:sz w:val="16"/>
          <w:szCs w:val="16"/>
          <w:color w:val="auto"/>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Significant experience in areas of risk management</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Extensive experience as a member of the audit committee of other public companies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Citigroup</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Independent Chair of the Board of Directors of Emerson Electric Company</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Precigen, Inc.</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04" w:lineRule="exact"/>
        <w:rPr>
          <w:sz w:val="20"/>
          <w:szCs w:val="20"/>
          <w:color w:val="auto"/>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Boy Scouts of America</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Kohler Co.</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St. Louis Trust &amp; Family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415290</wp:posOffset>
            </wp:positionV>
            <wp:extent cx="51517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60"/>
        <w:spacing w:after="0"/>
        <w:tabs>
          <w:tab w:leader="none" w:pos="108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199390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23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634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Mark A. Welsh III</w:t>
      </w:r>
    </w:p>
    <w:p>
      <w:pPr>
        <w:spacing w:after="0" w:line="90" w:lineRule="exact"/>
        <w:rPr>
          <w:sz w:val="20"/>
          <w:szCs w:val="20"/>
          <w:color w:val="auto"/>
        </w:rPr>
      </w:pPr>
    </w:p>
    <w:p>
      <w:pPr>
        <w:ind w:left="220" w:right="340"/>
        <w:spacing w:after="0" w:line="263" w:lineRule="auto"/>
        <w:rPr>
          <w:sz w:val="20"/>
          <w:szCs w:val="20"/>
          <w:color w:val="auto"/>
        </w:rPr>
      </w:pPr>
      <w:r>
        <w:rPr>
          <w:rFonts w:ascii="Arial" w:cs="Arial" w:eastAsia="Arial" w:hAnsi="Arial"/>
          <w:sz w:val="16"/>
          <w:szCs w:val="16"/>
          <w:color w:val="auto"/>
        </w:rPr>
        <w:t>President, Texas A&amp;M University; General, USAF (Ret.); Former Chief of Staff,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USAF</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Age: 70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December 2016</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4" w:lineRule="exact"/>
        <w:rPr>
          <w:sz w:val="20"/>
          <w:szCs w:val="20"/>
          <w:color w:val="auto"/>
        </w:rPr>
      </w:pPr>
    </w:p>
    <w:p>
      <w:pPr>
        <w:ind w:left="220" w:right="320"/>
        <w:spacing w:after="0" w:line="298"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1783080" cy="39090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390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General Mark A. Welsh III has been the President of Texas A&amp;M University since December 2023 after being named interim President in July 2023. Prior to being named interim President, he had served as Dean of the Bush School of Government and Public Service at Texas A&amp;M University since August 2016. Prior to that, General Welsh served as Chief of Staff of the United States Air Force (USAF), the senior uniformed Air Force officer responsible for the organization, training and equipping of active 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0" w:right="40" w:hanging="195"/>
        <w:spacing w:after="0" w:line="299" w:lineRule="auto"/>
        <w:tabs>
          <w:tab w:leader="none" w:pos="143"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Extensive career as a senior military officer and member of the Joint Chiefs of Staff, having held leadership positions at the highest levels of the United States Air Force</w:t>
      </w: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Experience with administration of large, complex educational institution, including serving as president</w:t>
      </w:r>
    </w:p>
    <w:p>
      <w:pPr>
        <w:spacing w:after="0" w:line="86" w:lineRule="exact"/>
        <w:rPr>
          <w:rFonts w:ascii="Arial" w:cs="Arial" w:eastAsia="Arial" w:hAnsi="Arial"/>
          <w:sz w:val="16"/>
          <w:szCs w:val="16"/>
          <w:b w:val="1"/>
          <w:bCs w:val="1"/>
          <w:color w:val="29378D"/>
        </w:rPr>
      </w:pPr>
    </w:p>
    <w:p>
      <w:pPr>
        <w:ind w:left="200" w:right="460" w:hanging="195"/>
        <w:spacing w:after="0" w:line="299" w:lineRule="auto"/>
        <w:tabs>
          <w:tab w:leader="none" w:pos="157" w:val="left"/>
        </w:tabs>
        <w:numPr>
          <w:ilvl w:val="0"/>
          <w:numId w:val="48"/>
        </w:numPr>
        <w:rPr>
          <w:rFonts w:ascii="Arial" w:cs="Arial" w:eastAsia="Arial" w:hAnsi="Arial"/>
          <w:sz w:val="16"/>
          <w:szCs w:val="16"/>
          <w:color w:val="29378D"/>
        </w:rPr>
      </w:pPr>
      <w:r>
        <w:rPr>
          <w:rFonts w:ascii="Arial" w:cs="Arial" w:eastAsia="Arial" w:hAnsi="Arial"/>
          <w:sz w:val="16"/>
          <w:szCs w:val="16"/>
          <w:color w:val="auto"/>
        </w:rPr>
        <w:t>Extensive experience and in-depth knowledge of issues related to global security and the intelligence community</w:t>
      </w: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Broad leadership experience and international experience, particularly in Europe</w:t>
      </w:r>
    </w:p>
    <w:p>
      <w:pPr>
        <w:spacing w:after="0" w:line="86" w:lineRule="exact"/>
        <w:rPr>
          <w:rFonts w:ascii="Arial" w:cs="Arial" w:eastAsia="Arial" w:hAnsi="Arial"/>
          <w:sz w:val="16"/>
          <w:szCs w:val="16"/>
          <w:b w:val="1"/>
          <w:bCs w:val="1"/>
          <w:color w:val="29378D"/>
        </w:rPr>
      </w:pP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1135380</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971" w:lineRule="exact"/>
        <w:rPr>
          <w:sz w:val="20"/>
          <w:szCs w:val="20"/>
          <w:color w:val="auto"/>
        </w:rPr>
      </w:pPr>
    </w:p>
    <w:p>
      <w:pPr>
        <w:sectPr>
          <w:pgSz w:w="11900" w:h="16838" w:orient="portrait"/>
          <w:cols w:equalWidth="0" w:num="2">
            <w:col w:w="2600" w:space="720"/>
            <w:col w:w="7840"/>
          </w:cols>
          <w:pgMar w:left="320" w:top="23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Mary A. Winston</w:t>
      </w:r>
    </w:p>
    <w:p>
      <w:pPr>
        <w:spacing w:after="0" w:line="131" w:lineRule="exact"/>
        <w:rPr>
          <w:sz w:val="20"/>
          <w:szCs w:val="20"/>
          <w:color w:val="auto"/>
        </w:rPr>
      </w:pPr>
    </w:p>
    <w:p>
      <w:pPr>
        <w:jc w:val="both"/>
        <w:ind w:left="220" w:right="579"/>
        <w:spacing w:after="0" w:line="304" w:lineRule="auto"/>
        <w:rPr>
          <w:sz w:val="20"/>
          <w:szCs w:val="20"/>
          <w:color w:val="auto"/>
        </w:rPr>
      </w:pPr>
      <w:r>
        <w:rPr>
          <w:rFonts w:ascii="Arial" w:cs="Arial" w:eastAsia="Arial" w:hAnsi="Arial"/>
          <w:sz w:val="16"/>
          <w:szCs w:val="16"/>
          <w:color w:val="auto"/>
        </w:rPr>
        <w:t>President and Founder of WinsCo Enterprises, Inc.</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62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March 2023</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65" w:lineRule="auto"/>
        <w:rPr>
          <w:sz w:val="20"/>
          <w:szCs w:val="20"/>
          <w:color w:val="auto"/>
        </w:rPr>
      </w:pPr>
      <w:r>
        <w:rPr>
          <w:rFonts w:ascii="Arial" w:cs="Arial" w:eastAsia="Arial" w:hAnsi="Arial"/>
          <w:sz w:val="16"/>
          <w:szCs w:val="16"/>
          <w:b w:val="1"/>
          <w:bCs w:val="1"/>
          <w:color w:val="29378D"/>
        </w:rPr>
        <w:t>Compensation and Human Capital Committee, Policy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
        <w:spacing w:after="0" w:line="261" w:lineRule="auto"/>
        <w:rPr>
          <w:sz w:val="20"/>
          <w:szCs w:val="20"/>
          <w:color w:val="auto"/>
        </w:rPr>
      </w:pPr>
      <w:r>
        <w:rPr>
          <w:rFonts w:ascii="Arial" w:cs="Arial" w:eastAsia="Arial" w:hAnsi="Arial"/>
          <w:sz w:val="16"/>
          <w:szCs w:val="16"/>
          <w:color w:val="auto"/>
        </w:rPr>
        <w:t>Ms. Mary A. Winston is the President and Founder of WinsCo Enterprises, a consulting firm providing financial and board governance advisory services since 2016. She served as interim Chief Executive Officer of Bed Bath &amp; Beyond from May 2019 to November 2019, and as Executive Vice President and Chief Financial Officer of Family Dollar Stores from 2012 to 2015. Prior to that, Ms. Winston served as Senior Vice President and Chief Financial Officer of Giant Eagle, Inc. from 2008 to 2012, and as Executive Vice President and Chief Financial Officer of Scholastic Corporation from 2004 to 2007.</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77" w:lineRule="exact"/>
        <w:rPr>
          <w:sz w:val="20"/>
          <w:szCs w:val="20"/>
          <w:color w:val="auto"/>
        </w:rPr>
      </w:pPr>
    </w:p>
    <w:p>
      <w:pPr>
        <w:ind w:left="201" w:right="60" w:hanging="201"/>
        <w:spacing w:after="0" w:line="290" w:lineRule="auto"/>
        <w:tabs>
          <w:tab w:leader="none" w:pos="144"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Substantial financial expertise acquired through positions held as the Chief Financial Officer of large public and private companies, as well as expertise in risk management, and mergers and acquisitions</w:t>
      </w:r>
    </w:p>
    <w:p>
      <w:pPr>
        <w:ind w:left="201" w:right="560" w:hanging="201"/>
        <w:spacing w:after="0" w:line="286" w:lineRule="auto"/>
        <w:tabs>
          <w:tab w:leader="none" w:pos="144"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Significant senior leadership and international experience as an executive officer or director of large companies with global operations</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Extensive expertise in corporate governance</w:t>
      </w:r>
    </w:p>
    <w:p>
      <w:pPr>
        <w:spacing w:after="0" w:line="59"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Broad operations, manufacturing and supply chain experience</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Acuity Brands, Inc.</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Chipotle Mexican Grill</w:t>
      </w:r>
    </w:p>
    <w:p>
      <w:pPr>
        <w:spacing w:after="0" w:line="59" w:lineRule="exact"/>
        <w:rPr>
          <w:rFonts w:ascii="Arial" w:cs="Arial" w:eastAsia="Arial" w:hAnsi="Arial"/>
          <w:sz w:val="16"/>
          <w:szCs w:val="16"/>
          <w:b w:val="1"/>
          <w:bCs w:val="1"/>
          <w:color w:val="29378D"/>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Toronto-Dominion Bank</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91" w:lineRule="exact"/>
        <w:rPr>
          <w:sz w:val="20"/>
          <w:szCs w:val="20"/>
          <w:color w:val="auto"/>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Bed Bath &amp; Beyond, Inc.</w:t>
      </w:r>
    </w:p>
    <w:p>
      <w:pPr>
        <w:spacing w:after="0" w:line="59" w:lineRule="exact"/>
        <w:rPr>
          <w:rFonts w:ascii="Arial" w:cs="Arial" w:eastAsia="Arial" w:hAnsi="Arial"/>
          <w:sz w:val="16"/>
          <w:szCs w:val="16"/>
          <w:b w:val="1"/>
          <w:bCs w:val="1"/>
          <w:color w:val="00249C"/>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Domtar Corporation</w:t>
      </w:r>
    </w:p>
    <w:p>
      <w:pPr>
        <w:spacing w:after="0" w:line="59" w:lineRule="exact"/>
        <w:rPr>
          <w:rFonts w:ascii="Arial" w:cs="Arial" w:eastAsia="Arial" w:hAnsi="Arial"/>
          <w:sz w:val="16"/>
          <w:szCs w:val="16"/>
          <w:b w:val="1"/>
          <w:bCs w:val="1"/>
          <w:color w:val="00249C"/>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Dover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646430</wp:posOffset>
            </wp:positionV>
            <wp:extent cx="5151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21"/>
          </w:cols>
          <w:pgMar w:left="320" w:top="23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494"/>
        <w:spacing w:after="0"/>
        <w:tabs>
          <w:tab w:leader="none" w:pos="520" w:val="left"/>
        </w:tabs>
        <w:numPr>
          <w:ilvl w:val="0"/>
          <w:numId w:val="5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type w:val="continuous"/>
        </w:sectPr>
      </w:pPr>
    </w:p>
    <w:bookmarkStart w:id="27" w:name="page28"/>
    <w:bookmarkEnd w:id="27"/>
    <w:p>
      <w:pPr>
        <w:ind w:left="9000"/>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Nomination Process</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Assessment of Board Composition</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Nominating and Corporate Governance Committee actively considers the composition, capabilities and diversity of the Board to ensure it is well positioned to serve the best interests of the Company and its shareholders. The Nominating and Corporate Governance Committee regularly assesses what skills, experiences and other attributes can best contribute to the effective operation of the Board, particularly in light of the changing environment and evolving needs of the Company. The Committee strives to achieve a diverse and effective balance, with strong and varied capabilities, including experience and new perspectives. The Committee also considers other commitments of our directors, including service on other public company boards, and leadership positions. The Nominating and Corporate Governance Committee identifies director candidates from a wide range of sources and often employs a third-party search firm to assist in the process. Information regarding Board changes and the diversity, skills and tenure of our Board nominees is provided below.</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22"/>
                <w:szCs w:val="22"/>
                <w:b w:val="1"/>
                <w:bCs w:val="1"/>
                <w:color w:val="auto"/>
              </w:rPr>
              <w:t>Board Changes</w:t>
            </w:r>
          </w:p>
        </w:tc>
        <w:tc>
          <w:tcPr>
            <w:tcW w:w="3020" w:type="dxa"/>
            <w:vAlign w:val="bottom"/>
            <w:shd w:val="clear" w:color="auto" w:fill="E6E7E8"/>
          </w:tcPr>
          <w:p>
            <w:pPr>
              <w:ind w:left="160"/>
              <w:spacing w:after="0"/>
              <w:rPr>
                <w:sz w:val="20"/>
                <w:szCs w:val="20"/>
                <w:color w:val="auto"/>
              </w:rPr>
            </w:pPr>
            <w:r>
              <w:rPr>
                <w:rFonts w:ascii="Arial" w:cs="Arial" w:eastAsia="Arial" w:hAnsi="Arial"/>
                <w:sz w:val="22"/>
                <w:szCs w:val="22"/>
                <w:b w:val="1"/>
                <w:bCs w:val="1"/>
                <w:color w:val="auto"/>
              </w:rPr>
              <w:t>Diversity of newly</w:t>
            </w:r>
          </w:p>
        </w:tc>
        <w:tc>
          <w:tcPr>
            <w:tcW w:w="3920" w:type="dxa"/>
            <w:vAlign w:val="bottom"/>
            <w:gridSpan w:val="3"/>
            <w:shd w:val="clear" w:color="auto" w:fill="E6E7E8"/>
          </w:tcPr>
          <w:p>
            <w:pPr>
              <w:ind w:left="160"/>
              <w:spacing w:after="0"/>
              <w:rPr>
                <w:sz w:val="20"/>
                <w:szCs w:val="20"/>
                <w:color w:val="auto"/>
              </w:rPr>
            </w:pPr>
            <w:r>
              <w:rPr>
                <w:rFonts w:ascii="Arial" w:cs="Arial" w:eastAsia="Arial" w:hAnsi="Arial"/>
                <w:sz w:val="22"/>
                <w:szCs w:val="22"/>
                <w:b w:val="1"/>
                <w:bCs w:val="1"/>
                <w:color w:val="auto"/>
              </w:rPr>
              <w:t>Skills of newly added Directors</w:t>
            </w: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22"/>
                <w:szCs w:val="22"/>
                <w:b w:val="1"/>
                <w:bCs w:val="1"/>
                <w:color w:val="auto"/>
              </w:rPr>
              <w:t>since 2018</w:t>
            </w:r>
          </w:p>
        </w:tc>
        <w:tc>
          <w:tcPr>
            <w:tcW w:w="3020" w:type="dxa"/>
            <w:vAlign w:val="bottom"/>
            <w:shd w:val="clear" w:color="auto" w:fill="E6E7E8"/>
          </w:tcPr>
          <w:p>
            <w:pPr>
              <w:ind w:left="160"/>
              <w:spacing w:after="0"/>
              <w:rPr>
                <w:sz w:val="20"/>
                <w:szCs w:val="20"/>
                <w:color w:val="auto"/>
              </w:rPr>
            </w:pPr>
            <w:r>
              <w:rPr>
                <w:rFonts w:ascii="Arial" w:cs="Arial" w:eastAsia="Arial" w:hAnsi="Arial"/>
                <w:sz w:val="22"/>
                <w:szCs w:val="22"/>
                <w:b w:val="1"/>
                <w:bCs w:val="1"/>
                <w:color w:val="auto"/>
              </w:rPr>
              <w:t>added Directors</w:t>
            </w: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new directors have been</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new directors are racially/</w:t>
            </w:r>
          </w:p>
        </w:tc>
        <w:tc>
          <w:tcPr>
            <w:tcW w:w="1040" w:type="dxa"/>
            <w:vAlign w:val="bottom"/>
            <w:shd w:val="clear" w:color="auto" w:fill="E6E7E8"/>
          </w:tcPr>
          <w:p>
            <w:pPr>
              <w:spacing w:after="0"/>
              <w:rPr>
                <w:sz w:val="24"/>
                <w:szCs w:val="24"/>
                <w:color w:val="auto"/>
              </w:rPr>
            </w:pPr>
          </w:p>
        </w:tc>
        <w:tc>
          <w:tcPr>
            <w:tcW w:w="2880" w:type="dxa"/>
            <w:vAlign w:val="bottom"/>
            <w:gridSpan w:val="2"/>
            <w:shd w:val="clear" w:color="auto" w:fill="E6E7E8"/>
          </w:tcPr>
          <w:p>
            <w:pPr>
              <w:ind w:left="20"/>
              <w:spacing w:after="0"/>
              <w:rPr>
                <w:sz w:val="20"/>
                <w:szCs w:val="20"/>
                <w:color w:val="auto"/>
              </w:rPr>
            </w:pPr>
            <w:r>
              <w:rPr>
                <w:rFonts w:ascii="Arial" w:cs="Arial" w:eastAsia="Arial" w:hAnsi="Arial"/>
                <w:sz w:val="18"/>
                <w:szCs w:val="18"/>
                <w:color w:val="auto"/>
              </w:rPr>
              <w:t>defense and industrial</w:t>
            </w:r>
          </w:p>
        </w:tc>
        <w:tc>
          <w:tcPr>
            <w:tcW w:w="1640" w:type="dxa"/>
            <w:vAlign w:val="bottom"/>
            <w:shd w:val="clear" w:color="auto" w:fill="E6E7E8"/>
          </w:tcPr>
          <w:p>
            <w:pPr>
              <w:ind w:left="20"/>
              <w:spacing w:after="0"/>
              <w:rPr>
                <w:sz w:val="20"/>
                <w:szCs w:val="20"/>
                <w:color w:val="auto"/>
              </w:rPr>
            </w:pPr>
            <w:r>
              <w:rPr>
                <w:rFonts w:ascii="Arial" w:cs="Arial" w:eastAsia="Arial" w:hAnsi="Arial"/>
                <w:sz w:val="18"/>
                <w:szCs w:val="18"/>
                <w:color w:val="auto"/>
              </w:rPr>
              <w:t>financial</w:t>
            </w:r>
          </w:p>
        </w:tc>
        <w:tc>
          <w:tcPr>
            <w:tcW w:w="0" w:type="dxa"/>
            <w:vAlign w:val="bottom"/>
          </w:tcPr>
          <w:p>
            <w:pPr>
              <w:spacing w:after="0"/>
              <w:rPr>
                <w:sz w:val="1"/>
                <w:szCs w:val="1"/>
                <w:color w:val="auto"/>
              </w:rPr>
            </w:pPr>
          </w:p>
        </w:tc>
      </w:tr>
      <w:tr>
        <w:trPr>
          <w:trHeight w:val="252"/>
        </w:trPr>
        <w:tc>
          <w:tcPr>
            <w:tcW w:w="280" w:type="dxa"/>
            <w:vAlign w:val="bottom"/>
            <w:shd w:val="clear" w:color="auto" w:fill="E6E7E8"/>
          </w:tcPr>
          <w:p>
            <w:pPr>
              <w:spacing w:after="0"/>
              <w:rPr>
                <w:sz w:val="21"/>
                <w:szCs w:val="21"/>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color w:val="auto"/>
              </w:rPr>
              <w:t>added to the Board</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color w:val="auto"/>
              </w:rPr>
              <w:t>ethnically diverse</w:t>
            </w:r>
          </w:p>
        </w:tc>
        <w:tc>
          <w:tcPr>
            <w:tcW w:w="1040" w:type="dxa"/>
            <w:vAlign w:val="bottom"/>
            <w:shd w:val="clear" w:color="auto" w:fill="E6E7E8"/>
          </w:tcPr>
          <w:p>
            <w:pPr>
              <w:spacing w:after="0"/>
              <w:rPr>
                <w:sz w:val="21"/>
                <w:szCs w:val="21"/>
                <w:color w:val="auto"/>
              </w:rPr>
            </w:pPr>
          </w:p>
        </w:tc>
        <w:tc>
          <w:tcPr>
            <w:tcW w:w="2880" w:type="dxa"/>
            <w:vAlign w:val="bottom"/>
            <w:gridSpan w:val="2"/>
            <w:shd w:val="clear" w:color="auto" w:fill="E6E7E8"/>
          </w:tcPr>
          <w:p>
            <w:pPr>
              <w:ind w:left="20"/>
              <w:spacing w:after="0"/>
              <w:rPr>
                <w:sz w:val="20"/>
                <w:szCs w:val="20"/>
                <w:color w:val="auto"/>
              </w:rPr>
            </w:pPr>
            <w:r>
              <w:rPr>
                <w:rFonts w:ascii="Arial" w:cs="Arial" w:eastAsia="Arial" w:hAnsi="Arial"/>
                <w:sz w:val="18"/>
                <w:szCs w:val="18"/>
                <w:color w:val="auto"/>
              </w:rPr>
              <w:t>experience</w:t>
            </w:r>
          </w:p>
        </w:tc>
        <w:tc>
          <w:tcPr>
            <w:tcW w:w="1640" w:type="dxa"/>
            <w:vAlign w:val="bottom"/>
            <w:shd w:val="clear" w:color="auto" w:fill="E6E7E8"/>
          </w:tcPr>
          <w:p>
            <w:pPr>
              <w:ind w:left="20"/>
              <w:spacing w:after="0"/>
              <w:rPr>
                <w:sz w:val="20"/>
                <w:szCs w:val="20"/>
                <w:color w:val="auto"/>
              </w:rPr>
            </w:pPr>
            <w:r>
              <w:rPr>
                <w:rFonts w:ascii="Arial" w:cs="Arial" w:eastAsia="Arial" w:hAnsi="Arial"/>
                <w:sz w:val="18"/>
                <w:szCs w:val="18"/>
                <w:color w:val="auto"/>
              </w:rPr>
              <w:t>expertise/literacy</w:t>
            </w:r>
          </w:p>
        </w:tc>
        <w:tc>
          <w:tcPr>
            <w:tcW w:w="0" w:type="dxa"/>
            <w:vAlign w:val="bottom"/>
          </w:tcPr>
          <w:p>
            <w:pPr>
              <w:spacing w:after="0"/>
              <w:rPr>
                <w:sz w:val="1"/>
                <w:szCs w:val="1"/>
                <w:color w:val="auto"/>
              </w:rPr>
            </w:pPr>
          </w:p>
        </w:tc>
      </w:tr>
      <w:tr>
        <w:trPr>
          <w:trHeight w:val="774"/>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directors have left</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new directors are female</w:t>
            </w: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ind w:left="20"/>
              <w:spacing w:after="0"/>
              <w:rPr>
                <w:sz w:val="20"/>
                <w:szCs w:val="20"/>
                <w:color w:val="auto"/>
              </w:rPr>
            </w:pPr>
            <w:r>
              <w:rPr>
                <w:rFonts w:ascii="Arial" w:cs="Arial" w:eastAsia="Arial" w:hAnsi="Arial"/>
                <w:sz w:val="18"/>
                <w:szCs w:val="18"/>
                <w:color w:val="auto"/>
              </w:rPr>
              <w:t>operations and</w:t>
            </w:r>
          </w:p>
        </w:tc>
        <w:tc>
          <w:tcPr>
            <w:tcW w:w="1040" w:type="dxa"/>
            <w:vAlign w:val="bottom"/>
            <w:shd w:val="clear" w:color="auto" w:fill="E6E7E8"/>
          </w:tcPr>
          <w:p>
            <w:pPr>
              <w:spacing w:after="0"/>
              <w:rPr>
                <w:sz w:val="24"/>
                <w:szCs w:val="24"/>
                <w:color w:val="auto"/>
              </w:rPr>
            </w:pPr>
          </w:p>
        </w:tc>
        <w:tc>
          <w:tcPr>
            <w:tcW w:w="164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cyber expertise</w:t>
            </w:r>
          </w:p>
        </w:tc>
        <w:tc>
          <w:tcPr>
            <w:tcW w:w="0" w:type="dxa"/>
            <w:vAlign w:val="bottom"/>
          </w:tcPr>
          <w:p>
            <w:pPr>
              <w:spacing w:after="0"/>
              <w:rPr>
                <w:sz w:val="1"/>
                <w:szCs w:val="1"/>
                <w:color w:val="auto"/>
              </w:rPr>
            </w:pPr>
          </w:p>
        </w:tc>
      </w:tr>
      <w:tr>
        <w:trPr>
          <w:trHeight w:val="144"/>
        </w:trPr>
        <w:tc>
          <w:tcPr>
            <w:tcW w:w="280" w:type="dxa"/>
            <w:vAlign w:val="bottom"/>
            <w:shd w:val="clear" w:color="auto" w:fill="E6E7E8"/>
          </w:tcPr>
          <w:p>
            <w:pPr>
              <w:spacing w:after="0"/>
              <w:rPr>
                <w:sz w:val="12"/>
                <w:szCs w:val="12"/>
                <w:color w:val="auto"/>
              </w:rPr>
            </w:pPr>
          </w:p>
        </w:tc>
        <w:tc>
          <w:tcPr>
            <w:tcW w:w="238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the Board</w:t>
            </w:r>
          </w:p>
        </w:tc>
        <w:tc>
          <w:tcPr>
            <w:tcW w:w="3020" w:type="dxa"/>
            <w:vAlign w:val="bottom"/>
            <w:shd w:val="clear" w:color="auto" w:fill="E6E7E8"/>
          </w:tcPr>
          <w:p>
            <w:pPr>
              <w:spacing w:after="0"/>
              <w:rPr>
                <w:sz w:val="12"/>
                <w:szCs w:val="12"/>
                <w:color w:val="auto"/>
              </w:rPr>
            </w:pPr>
          </w:p>
        </w:tc>
        <w:tc>
          <w:tcPr>
            <w:tcW w:w="1040" w:type="dxa"/>
            <w:vAlign w:val="bottom"/>
            <w:shd w:val="clear" w:color="auto" w:fill="E6E7E8"/>
          </w:tcPr>
          <w:p>
            <w:pPr>
              <w:spacing w:after="0"/>
              <w:rPr>
                <w:sz w:val="12"/>
                <w:szCs w:val="12"/>
                <w:color w:val="auto"/>
              </w:rPr>
            </w:pPr>
          </w:p>
        </w:tc>
        <w:tc>
          <w:tcPr>
            <w:tcW w:w="184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logistics</w:t>
            </w:r>
          </w:p>
        </w:tc>
        <w:tc>
          <w:tcPr>
            <w:tcW w:w="1040" w:type="dxa"/>
            <w:vAlign w:val="bottom"/>
            <w:shd w:val="clear" w:color="auto" w:fill="E6E7E8"/>
          </w:tcPr>
          <w:p>
            <w:pPr>
              <w:spacing w:after="0"/>
              <w:rPr>
                <w:sz w:val="12"/>
                <w:szCs w:val="12"/>
                <w:color w:val="auto"/>
              </w:rPr>
            </w:pPr>
          </w:p>
        </w:tc>
        <w:tc>
          <w:tcPr>
            <w:tcW w:w="1640" w:type="dxa"/>
            <w:vAlign w:val="bottom"/>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E6E7E8"/>
          </w:tcPr>
          <w:p>
            <w:pPr>
              <w:spacing w:after="0"/>
              <w:rPr>
                <w:sz w:val="9"/>
                <w:szCs w:val="9"/>
                <w:color w:val="auto"/>
              </w:rPr>
            </w:pPr>
          </w:p>
        </w:tc>
        <w:tc>
          <w:tcPr>
            <w:tcW w:w="2380" w:type="dxa"/>
            <w:vAlign w:val="bottom"/>
            <w:vMerge w:val="continue"/>
            <w:shd w:val="clear" w:color="auto" w:fill="E6E7E8"/>
          </w:tcPr>
          <w:p>
            <w:pPr>
              <w:spacing w:after="0"/>
              <w:rPr>
                <w:sz w:val="9"/>
                <w:szCs w:val="9"/>
                <w:color w:val="auto"/>
              </w:rPr>
            </w:pPr>
          </w:p>
        </w:tc>
        <w:tc>
          <w:tcPr>
            <w:tcW w:w="3020" w:type="dxa"/>
            <w:vAlign w:val="bottom"/>
            <w:shd w:val="clear" w:color="auto" w:fill="E6E7E8"/>
          </w:tcPr>
          <w:p>
            <w:pPr>
              <w:spacing w:after="0"/>
              <w:rPr>
                <w:sz w:val="9"/>
                <w:szCs w:val="9"/>
                <w:color w:val="auto"/>
              </w:rPr>
            </w:pPr>
          </w:p>
        </w:tc>
        <w:tc>
          <w:tcPr>
            <w:tcW w:w="1040" w:type="dxa"/>
            <w:vAlign w:val="bottom"/>
            <w:shd w:val="clear" w:color="auto" w:fill="E6E7E8"/>
          </w:tcPr>
          <w:p>
            <w:pPr>
              <w:spacing w:after="0"/>
              <w:rPr>
                <w:sz w:val="9"/>
                <w:szCs w:val="9"/>
                <w:color w:val="auto"/>
              </w:rPr>
            </w:pPr>
          </w:p>
        </w:tc>
        <w:tc>
          <w:tcPr>
            <w:tcW w:w="1840" w:type="dxa"/>
            <w:vAlign w:val="bottom"/>
            <w:vMerge w:val="continue"/>
            <w:shd w:val="clear" w:color="auto" w:fill="E6E7E8"/>
          </w:tcPr>
          <w:p>
            <w:pPr>
              <w:spacing w:after="0"/>
              <w:rPr>
                <w:sz w:val="9"/>
                <w:szCs w:val="9"/>
                <w:color w:val="auto"/>
              </w:rPr>
            </w:pPr>
          </w:p>
        </w:tc>
        <w:tc>
          <w:tcPr>
            <w:tcW w:w="1040" w:type="dxa"/>
            <w:vAlign w:val="bottom"/>
            <w:shd w:val="clear" w:color="auto" w:fill="E6E7E8"/>
          </w:tcPr>
          <w:p>
            <w:pPr>
              <w:spacing w:after="0"/>
              <w:rPr>
                <w:sz w:val="9"/>
                <w:szCs w:val="9"/>
                <w:color w:val="auto"/>
              </w:rPr>
            </w:pPr>
          </w:p>
        </w:tc>
        <w:tc>
          <w:tcPr>
            <w:tcW w:w="164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428"/>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spacing w:after="0"/>
              <w:rPr>
                <w:sz w:val="24"/>
                <w:szCs w:val="24"/>
                <w:color w:val="auto"/>
              </w:rPr>
            </w:pPr>
          </w:p>
        </w:tc>
        <w:tc>
          <w:tcPr>
            <w:tcW w:w="302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-1756410</wp:posOffset>
            </wp:positionV>
            <wp:extent cx="8890" cy="1585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158559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-1756410</wp:posOffset>
            </wp:positionV>
            <wp:extent cx="8890" cy="1585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15855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-1225550</wp:posOffset>
            </wp:positionV>
            <wp:extent cx="25717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-1225550</wp:posOffset>
            </wp:positionV>
            <wp:extent cx="179705"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-556895</wp:posOffset>
            </wp:positionV>
            <wp:extent cx="21463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-556895</wp:posOffset>
            </wp:positionV>
            <wp:extent cx="265430" cy="222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430" cy="2228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right="680"/>
        <w:spacing w:after="0" w:line="312" w:lineRule="auto"/>
        <w:rPr>
          <w:sz w:val="20"/>
          <w:szCs w:val="20"/>
          <w:color w:val="auto"/>
        </w:rPr>
      </w:pPr>
      <w:r>
        <w:rPr>
          <w:rFonts w:ascii="Arial" w:cs="Arial" w:eastAsia="Arial" w:hAnsi="Arial"/>
          <w:sz w:val="16"/>
          <w:szCs w:val="16"/>
          <w:b w:val="1"/>
          <w:bCs w:val="1"/>
          <w:color w:val="29378D"/>
        </w:rPr>
        <w:t xml:space="preserve">AVERAGE AGE </w:t>
      </w:r>
      <w:r>
        <w:rPr>
          <w:rFonts w:ascii="Arial" w:cs="Arial" w:eastAsia="Arial" w:hAnsi="Arial"/>
          <w:sz w:val="40"/>
          <w:szCs w:val="40"/>
          <w:b w:val="1"/>
          <w:bCs w:val="1"/>
          <w:color w:val="29378D"/>
        </w:rPr>
        <w:t xml:space="preserve">65.1 </w:t>
      </w:r>
      <w:r>
        <w:rPr>
          <w:rFonts w:ascii="Arial" w:cs="Arial" w:eastAsia="Arial" w:hAnsi="Arial"/>
          <w:sz w:val="15"/>
          <w:szCs w:val="15"/>
          <w:b w:val="1"/>
          <w:bCs w:val="1"/>
          <w:color w:val="29378D"/>
        </w:rPr>
        <w:t>YEARS</w:t>
      </w:r>
    </w:p>
    <w:p>
      <w:pPr>
        <w:spacing w:after="0" w:line="148" w:lineRule="exact"/>
        <w:rPr>
          <w:sz w:val="20"/>
          <w:szCs w:val="20"/>
          <w:color w:val="auto"/>
        </w:rPr>
      </w:pPr>
    </w:p>
    <w:p>
      <w:pPr>
        <w:ind w:left="260" w:hanging="252"/>
        <w:spacing w:after="0"/>
        <w:tabs>
          <w:tab w:leader="none" w:pos="260" w:val="left"/>
        </w:tabs>
        <w:numPr>
          <w:ilvl w:val="0"/>
          <w:numId w:val="53"/>
        </w:numPr>
        <w:rPr>
          <w:rFonts w:ascii="Wingdings" w:cs="Wingdings" w:eastAsia="Wingdings" w:hAnsi="Wingdings"/>
          <w:sz w:val="25"/>
          <w:szCs w:val="25"/>
          <w:b w:val="1"/>
          <w:bCs w:val="1"/>
          <w:color w:val="29378D"/>
        </w:rPr>
      </w:pPr>
      <w:r>
        <w:rPr>
          <w:rFonts w:ascii="Arial" w:cs="Arial" w:eastAsia="Arial" w:hAnsi="Arial"/>
          <w:sz w:val="16"/>
          <w:szCs w:val="16"/>
          <w:b w:val="1"/>
          <w:bCs w:val="1"/>
          <w:color w:val="auto"/>
        </w:rPr>
        <w:t xml:space="preserve">3 </w:t>
      </w:r>
      <w:r>
        <w:rPr>
          <w:rFonts w:ascii="Arial" w:cs="Arial" w:eastAsia="Arial" w:hAnsi="Arial"/>
          <w:sz w:val="16"/>
          <w:szCs w:val="16"/>
          <w:color w:val="auto"/>
        </w:rPr>
        <w:t>50’s</w:t>
      </w:r>
    </w:p>
    <w:p>
      <w:pPr>
        <w:ind w:left="260" w:hanging="252"/>
        <w:spacing w:after="0" w:line="186" w:lineRule="auto"/>
        <w:tabs>
          <w:tab w:leader="none" w:pos="260" w:val="left"/>
        </w:tabs>
        <w:numPr>
          <w:ilvl w:val="0"/>
          <w:numId w:val="53"/>
        </w:numPr>
        <w:rPr>
          <w:rFonts w:ascii="Wingdings" w:cs="Wingdings" w:eastAsia="Wingdings" w:hAnsi="Wingdings"/>
          <w:sz w:val="25"/>
          <w:szCs w:val="25"/>
          <w:b w:val="1"/>
          <w:bCs w:val="1"/>
          <w:color w:val="C6C5DF"/>
        </w:rPr>
      </w:pPr>
      <w:r>
        <w:rPr>
          <w:rFonts w:ascii="Arial" w:cs="Arial" w:eastAsia="Arial" w:hAnsi="Arial"/>
          <w:sz w:val="16"/>
          <w:szCs w:val="16"/>
          <w:b w:val="1"/>
          <w:bCs w:val="1"/>
          <w:color w:val="auto"/>
        </w:rPr>
        <w:t xml:space="preserve">5 </w:t>
      </w:r>
      <w:r>
        <w:rPr>
          <w:rFonts w:ascii="Arial" w:cs="Arial" w:eastAsia="Arial" w:hAnsi="Arial"/>
          <w:sz w:val="16"/>
          <w:szCs w:val="16"/>
          <w:color w:val="auto"/>
        </w:rPr>
        <w:t>60’s</w:t>
      </w:r>
    </w:p>
    <w:p>
      <w:pPr>
        <w:ind w:left="260" w:hanging="252"/>
        <w:spacing w:after="0" w:line="198" w:lineRule="auto"/>
        <w:tabs>
          <w:tab w:leader="none" w:pos="260" w:val="left"/>
        </w:tabs>
        <w:numPr>
          <w:ilvl w:val="0"/>
          <w:numId w:val="53"/>
        </w:numPr>
        <w:rPr>
          <w:rFonts w:ascii="Wingdings" w:cs="Wingdings" w:eastAsia="Wingdings" w:hAnsi="Wingdings"/>
          <w:sz w:val="25"/>
          <w:szCs w:val="25"/>
          <w:b w:val="1"/>
          <w:bCs w:val="1"/>
          <w:color w:val="939598"/>
        </w:rPr>
      </w:pPr>
      <w:r>
        <w:rPr>
          <w:rFonts w:ascii="Arial" w:cs="Arial" w:eastAsia="Arial" w:hAnsi="Arial"/>
          <w:sz w:val="16"/>
          <w:szCs w:val="16"/>
          <w:b w:val="1"/>
          <w:bCs w:val="1"/>
          <w:color w:val="auto"/>
        </w:rPr>
        <w:t xml:space="preserve">5 </w:t>
      </w:r>
      <w:r>
        <w:rPr>
          <w:rFonts w:ascii="Arial" w:cs="Arial" w:eastAsia="Arial" w:hAnsi="Arial"/>
          <w:sz w:val="16"/>
          <w:szCs w:val="16"/>
          <w:color w:val="auto"/>
        </w:rPr>
        <w:t>70’s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AVERAGE TENURE</w:t>
      </w:r>
    </w:p>
    <w:p>
      <w:pPr>
        <w:spacing w:after="0" w:line="20" w:lineRule="exact"/>
        <w:rPr>
          <w:sz w:val="20"/>
          <w:szCs w:val="20"/>
          <w:color w:val="auto"/>
        </w:rPr>
      </w:pPr>
    </w:p>
    <w:p>
      <w:pPr>
        <w:spacing w:after="0"/>
        <w:rPr>
          <w:sz w:val="20"/>
          <w:szCs w:val="20"/>
          <w:color w:val="auto"/>
        </w:rPr>
      </w:pPr>
      <w:r>
        <w:rPr>
          <w:rFonts w:ascii="Arial" w:cs="Arial" w:eastAsia="Arial" w:hAnsi="Arial"/>
          <w:sz w:val="43"/>
          <w:szCs w:val="43"/>
          <w:b w:val="1"/>
          <w:bCs w:val="1"/>
          <w:color w:val="29378D"/>
        </w:rPr>
        <w:t xml:space="preserve">6.9 </w:t>
      </w:r>
      <w:r>
        <w:rPr>
          <w:rFonts w:ascii="Arial" w:cs="Arial" w:eastAsia="Arial" w:hAnsi="Arial"/>
          <w:sz w:val="16"/>
          <w:szCs w:val="16"/>
          <w:b w:val="1"/>
          <w:bCs w:val="1"/>
          <w:color w:val="29378D"/>
        </w:rPr>
        <w:t>YEARS</w:t>
      </w:r>
    </w:p>
    <w:p>
      <w:pPr>
        <w:spacing w:after="0" w:line="246" w:lineRule="exact"/>
        <w:rPr>
          <w:sz w:val="20"/>
          <w:szCs w:val="20"/>
          <w:color w:val="auto"/>
        </w:rPr>
      </w:pPr>
    </w:p>
    <w:p>
      <w:pPr>
        <w:ind w:left="260" w:hanging="259"/>
        <w:spacing w:after="0"/>
        <w:tabs>
          <w:tab w:leader="none" w:pos="260" w:val="left"/>
        </w:tabs>
        <w:numPr>
          <w:ilvl w:val="0"/>
          <w:numId w:val="54"/>
        </w:numPr>
        <w:rPr>
          <w:rFonts w:ascii="Wingdings" w:cs="Wingdings" w:eastAsia="Wingdings" w:hAnsi="Wingdings"/>
          <w:sz w:val="25"/>
          <w:szCs w:val="25"/>
          <w:b w:val="1"/>
          <w:bCs w:val="1"/>
          <w:color w:val="29378D"/>
        </w:rPr>
      </w:pPr>
      <w:r>
        <w:rPr>
          <w:rFonts w:ascii="Arial" w:cs="Arial" w:eastAsia="Arial" w:hAnsi="Arial"/>
          <w:sz w:val="16"/>
          <w:szCs w:val="16"/>
          <w:b w:val="1"/>
          <w:bCs w:val="1"/>
          <w:color w:val="auto"/>
        </w:rPr>
        <w:t xml:space="preserve">6 </w:t>
      </w:r>
      <w:r>
        <w:rPr>
          <w:rFonts w:ascii="Arial" w:cs="Arial" w:eastAsia="Arial" w:hAnsi="Arial"/>
          <w:sz w:val="16"/>
          <w:szCs w:val="16"/>
          <w:color w:val="auto"/>
        </w:rPr>
        <w:t>≤5 years</w:t>
      </w:r>
    </w:p>
    <w:p>
      <w:pPr>
        <w:ind w:left="260" w:hanging="259"/>
        <w:spacing w:after="0" w:line="198" w:lineRule="auto"/>
        <w:tabs>
          <w:tab w:leader="none" w:pos="260" w:val="left"/>
        </w:tabs>
        <w:numPr>
          <w:ilvl w:val="0"/>
          <w:numId w:val="54"/>
        </w:numPr>
        <w:rPr>
          <w:rFonts w:ascii="Wingdings" w:cs="Wingdings" w:eastAsia="Wingdings" w:hAnsi="Wingdings"/>
          <w:sz w:val="25"/>
          <w:szCs w:val="25"/>
          <w:b w:val="1"/>
          <w:bCs w:val="1"/>
          <w:color w:val="C6C5DF"/>
        </w:rPr>
      </w:pPr>
      <w:r>
        <w:rPr>
          <w:rFonts w:ascii="Arial" w:cs="Arial" w:eastAsia="Arial" w:hAnsi="Arial"/>
          <w:sz w:val="16"/>
          <w:szCs w:val="16"/>
          <w:b w:val="1"/>
          <w:bCs w:val="1"/>
          <w:color w:val="auto"/>
        </w:rPr>
        <w:t xml:space="preserve">4 </w:t>
      </w:r>
      <w:r>
        <w:rPr>
          <w:rFonts w:ascii="Arial" w:cs="Arial" w:eastAsia="Arial" w:hAnsi="Arial"/>
          <w:sz w:val="16"/>
          <w:szCs w:val="16"/>
          <w:color w:val="auto"/>
        </w:rPr>
        <w:t>6-10 years</w:t>
      </w:r>
    </w:p>
    <w:p>
      <w:pPr>
        <w:ind w:left="260" w:hanging="259"/>
        <w:spacing w:after="0" w:line="186" w:lineRule="auto"/>
        <w:tabs>
          <w:tab w:leader="none" w:pos="260" w:val="left"/>
        </w:tabs>
        <w:numPr>
          <w:ilvl w:val="0"/>
          <w:numId w:val="54"/>
        </w:numPr>
        <w:rPr>
          <w:rFonts w:ascii="Wingdings" w:cs="Wingdings" w:eastAsia="Wingdings" w:hAnsi="Wingdings"/>
          <w:sz w:val="25"/>
          <w:szCs w:val="25"/>
          <w:b w:val="1"/>
          <w:bCs w:val="1"/>
          <w:color w:val="939598"/>
        </w:rPr>
      </w:pPr>
      <w:r>
        <w:rPr>
          <w:rFonts w:ascii="Arial" w:cs="Arial" w:eastAsia="Arial" w:hAnsi="Arial"/>
          <w:sz w:val="16"/>
          <w:szCs w:val="16"/>
          <w:b w:val="1"/>
          <w:bCs w:val="1"/>
          <w:color w:val="auto"/>
        </w:rPr>
        <w:t xml:space="preserve">3 </w:t>
      </w:r>
      <w:r>
        <w:rPr>
          <w:rFonts w:ascii="Arial" w:cs="Arial" w:eastAsia="Arial" w:hAnsi="Arial"/>
          <w:sz w:val="16"/>
          <w:szCs w:val="16"/>
          <w:color w:val="auto"/>
        </w:rPr>
        <w:t>&gt;10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40" w:type="dxa"/>
            <w:vAlign w:val="bottom"/>
            <w:gridSpan w:val="2"/>
          </w:tcPr>
          <w:p>
            <w:pPr>
              <w:spacing w:after="0"/>
              <w:rPr>
                <w:sz w:val="20"/>
                <w:szCs w:val="20"/>
                <w:color w:val="auto"/>
              </w:rPr>
            </w:pPr>
            <w:r>
              <w:rPr>
                <w:rFonts w:ascii="Arial" w:cs="Arial" w:eastAsia="Arial" w:hAnsi="Arial"/>
                <w:sz w:val="16"/>
                <w:szCs w:val="16"/>
                <w:b w:val="1"/>
                <w:bCs w:val="1"/>
                <w:color w:val="29378D"/>
              </w:rPr>
              <w:t>GENDER</w:t>
            </w:r>
          </w:p>
        </w:tc>
        <w:tc>
          <w:tcPr>
            <w:tcW w:w="3120" w:type="dxa"/>
            <w:vAlign w:val="bottom"/>
            <w:gridSpan w:val="2"/>
          </w:tcPr>
          <w:p>
            <w:pPr>
              <w:ind w:left="820"/>
              <w:spacing w:after="0"/>
              <w:rPr>
                <w:sz w:val="20"/>
                <w:szCs w:val="20"/>
                <w:color w:val="auto"/>
              </w:rPr>
            </w:pPr>
            <w:r>
              <w:rPr>
                <w:rFonts w:ascii="Arial" w:cs="Arial" w:eastAsia="Arial" w:hAnsi="Arial"/>
                <w:sz w:val="16"/>
                <w:szCs w:val="16"/>
                <w:b w:val="1"/>
                <w:bCs w:val="1"/>
                <w:color w:val="29378D"/>
              </w:rPr>
              <w:t>RACIAL/ ETHNIC DIVERSITY</w:t>
            </w:r>
          </w:p>
        </w:tc>
      </w:tr>
      <w:tr>
        <w:trPr>
          <w:trHeight w:val="597"/>
        </w:trPr>
        <w:tc>
          <w:tcPr>
            <w:tcW w:w="1740" w:type="dxa"/>
            <w:vAlign w:val="bottom"/>
            <w:gridSpan w:val="2"/>
          </w:tcPr>
          <w:p>
            <w:pPr>
              <w:spacing w:after="0"/>
              <w:rPr>
                <w:sz w:val="20"/>
                <w:szCs w:val="20"/>
                <w:color w:val="auto"/>
              </w:rPr>
            </w:pPr>
            <w:r>
              <w:rPr>
                <w:rFonts w:ascii="Arial" w:cs="Arial" w:eastAsia="Arial" w:hAnsi="Arial"/>
                <w:sz w:val="43"/>
                <w:szCs w:val="43"/>
                <w:b w:val="1"/>
                <w:bCs w:val="1"/>
                <w:color w:val="29378D"/>
              </w:rPr>
              <w:t>6/13</w:t>
            </w:r>
          </w:p>
        </w:tc>
        <w:tc>
          <w:tcPr>
            <w:tcW w:w="3120" w:type="dxa"/>
            <w:vAlign w:val="bottom"/>
            <w:gridSpan w:val="2"/>
          </w:tcPr>
          <w:p>
            <w:pPr>
              <w:ind w:left="820"/>
              <w:spacing w:after="0"/>
              <w:rPr>
                <w:sz w:val="20"/>
                <w:szCs w:val="20"/>
                <w:color w:val="auto"/>
              </w:rPr>
            </w:pPr>
            <w:r>
              <w:rPr>
                <w:rFonts w:ascii="Arial" w:cs="Arial" w:eastAsia="Arial" w:hAnsi="Arial"/>
                <w:sz w:val="43"/>
                <w:szCs w:val="43"/>
                <w:b w:val="1"/>
                <w:bCs w:val="1"/>
                <w:color w:val="29378D"/>
              </w:rPr>
              <w:t>4/13</w:t>
            </w:r>
          </w:p>
        </w:tc>
      </w:tr>
      <w:tr>
        <w:trPr>
          <w:trHeight w:val="418"/>
        </w:trPr>
        <w:tc>
          <w:tcPr>
            <w:tcW w:w="360" w:type="dxa"/>
            <w:vAlign w:val="bottom"/>
          </w:tcPr>
          <w:p>
            <w:pPr>
              <w:spacing w:after="0"/>
              <w:rPr>
                <w:sz w:val="20"/>
                <w:szCs w:val="20"/>
                <w:color w:val="auto"/>
              </w:rPr>
            </w:pPr>
            <w:r>
              <w:rPr>
                <w:rFonts w:ascii="Wingdings" w:cs="Wingdings" w:eastAsia="Wingdings" w:hAnsi="Wingdings"/>
                <w:sz w:val="22"/>
                <w:szCs w:val="22"/>
                <w:b w:val="1"/>
                <w:bCs w:val="1"/>
                <w:color w:val="29378D"/>
                <w:w w:val="73"/>
              </w:rPr>
              <w:t xml:space="preserve">n </w:t>
            </w:r>
            <w:r>
              <w:rPr>
                <w:rFonts w:ascii="Arial" w:cs="Arial" w:eastAsia="Arial" w:hAnsi="Arial"/>
                <w:sz w:val="14"/>
                <w:szCs w:val="14"/>
                <w:b w:val="1"/>
                <w:bCs w:val="1"/>
                <w:color w:val="000000"/>
                <w:w w:val="73"/>
              </w:rPr>
              <w:t>6</w:t>
            </w:r>
          </w:p>
        </w:tc>
        <w:tc>
          <w:tcPr>
            <w:tcW w:w="1380" w:type="dxa"/>
            <w:vAlign w:val="bottom"/>
          </w:tcPr>
          <w:p>
            <w:pPr>
              <w:ind w:left="20"/>
              <w:spacing w:after="0"/>
              <w:rPr>
                <w:sz w:val="20"/>
                <w:szCs w:val="20"/>
                <w:color w:val="auto"/>
              </w:rPr>
            </w:pPr>
            <w:r>
              <w:rPr>
                <w:rFonts w:ascii="Arial" w:cs="Arial" w:eastAsia="Arial" w:hAnsi="Arial"/>
                <w:sz w:val="16"/>
                <w:szCs w:val="16"/>
                <w:color w:val="auto"/>
              </w:rPr>
              <w:t>Female</w:t>
            </w:r>
          </w:p>
        </w:tc>
        <w:tc>
          <w:tcPr>
            <w:tcW w:w="1200" w:type="dxa"/>
            <w:vAlign w:val="bottom"/>
          </w:tcPr>
          <w:p>
            <w:pPr>
              <w:ind w:left="820"/>
              <w:spacing w:after="0"/>
              <w:rPr>
                <w:sz w:val="20"/>
                <w:szCs w:val="20"/>
                <w:color w:val="auto"/>
              </w:rPr>
            </w:pPr>
            <w:r>
              <w:rPr>
                <w:rFonts w:ascii="Wingdings" w:cs="Wingdings" w:eastAsia="Wingdings" w:hAnsi="Wingdings"/>
                <w:sz w:val="24"/>
                <w:szCs w:val="24"/>
                <w:b w:val="1"/>
                <w:bCs w:val="1"/>
                <w:color w:val="29378D"/>
                <w:w w:val="71"/>
              </w:rPr>
              <w:t xml:space="preserve">n </w:t>
            </w:r>
            <w:r>
              <w:rPr>
                <w:rFonts w:ascii="Arial" w:cs="Arial" w:eastAsia="Arial" w:hAnsi="Arial"/>
                <w:sz w:val="15"/>
                <w:szCs w:val="15"/>
                <w:b w:val="1"/>
                <w:bCs w:val="1"/>
                <w:color w:val="000000"/>
                <w:w w:val="71"/>
              </w:rPr>
              <w:t>4</w:t>
            </w:r>
          </w:p>
        </w:tc>
        <w:tc>
          <w:tcPr>
            <w:tcW w:w="1920" w:type="dxa"/>
            <w:vAlign w:val="bottom"/>
          </w:tcPr>
          <w:p>
            <w:pPr>
              <w:ind w:left="20"/>
              <w:spacing w:after="0"/>
              <w:rPr>
                <w:sz w:val="20"/>
                <w:szCs w:val="20"/>
                <w:color w:val="auto"/>
              </w:rPr>
            </w:pPr>
            <w:r>
              <w:rPr>
                <w:rFonts w:ascii="Arial" w:cs="Arial" w:eastAsia="Arial" w:hAnsi="Arial"/>
                <w:sz w:val="16"/>
                <w:szCs w:val="16"/>
                <w:color w:val="auto"/>
              </w:rPr>
              <w:t>Racially/Ethnically Diverse</w:t>
            </w:r>
          </w:p>
        </w:tc>
      </w:tr>
      <w:tr>
        <w:trPr>
          <w:trHeight w:val="278"/>
        </w:trPr>
        <w:tc>
          <w:tcPr>
            <w:tcW w:w="360" w:type="dxa"/>
            <w:vAlign w:val="bottom"/>
          </w:tcPr>
          <w:p>
            <w:pPr>
              <w:spacing w:after="0"/>
              <w:rPr>
                <w:sz w:val="20"/>
                <w:szCs w:val="20"/>
                <w:color w:val="auto"/>
              </w:rPr>
            </w:pPr>
            <w:r>
              <w:rPr>
                <w:rFonts w:ascii="Wingdings" w:cs="Wingdings" w:eastAsia="Wingdings" w:hAnsi="Wingdings"/>
                <w:sz w:val="22"/>
                <w:szCs w:val="22"/>
                <w:b w:val="1"/>
                <w:bCs w:val="1"/>
                <w:color w:val="C6C5DF"/>
                <w:w w:val="73"/>
              </w:rPr>
              <w:t xml:space="preserve">n </w:t>
            </w:r>
            <w:r>
              <w:rPr>
                <w:rFonts w:ascii="Arial" w:cs="Arial" w:eastAsia="Arial" w:hAnsi="Arial"/>
                <w:sz w:val="14"/>
                <w:szCs w:val="14"/>
                <w:b w:val="1"/>
                <w:bCs w:val="1"/>
                <w:color w:val="000000"/>
                <w:w w:val="73"/>
              </w:rPr>
              <w:t>7</w:t>
            </w:r>
          </w:p>
        </w:tc>
        <w:tc>
          <w:tcPr>
            <w:tcW w:w="1380" w:type="dxa"/>
            <w:vAlign w:val="bottom"/>
          </w:tcPr>
          <w:p>
            <w:pPr>
              <w:ind w:left="20"/>
              <w:spacing w:after="0"/>
              <w:rPr>
                <w:sz w:val="20"/>
                <w:szCs w:val="20"/>
                <w:color w:val="auto"/>
              </w:rPr>
            </w:pPr>
            <w:r>
              <w:rPr>
                <w:rFonts w:ascii="Arial" w:cs="Arial" w:eastAsia="Arial" w:hAnsi="Arial"/>
                <w:sz w:val="16"/>
                <w:szCs w:val="16"/>
                <w:color w:val="auto"/>
              </w:rPr>
              <w:t>Male</w:t>
            </w:r>
          </w:p>
        </w:tc>
        <w:tc>
          <w:tcPr>
            <w:tcW w:w="1200" w:type="dxa"/>
            <w:vAlign w:val="bottom"/>
          </w:tcPr>
          <w:p>
            <w:pPr>
              <w:ind w:left="820"/>
              <w:spacing w:after="0"/>
              <w:rPr>
                <w:sz w:val="20"/>
                <w:szCs w:val="20"/>
                <w:color w:val="auto"/>
              </w:rPr>
            </w:pPr>
            <w:r>
              <w:rPr>
                <w:rFonts w:ascii="Wingdings" w:cs="Wingdings" w:eastAsia="Wingdings" w:hAnsi="Wingdings"/>
                <w:sz w:val="24"/>
                <w:szCs w:val="24"/>
                <w:b w:val="1"/>
                <w:bCs w:val="1"/>
                <w:color w:val="C6C5DF"/>
                <w:w w:val="71"/>
              </w:rPr>
              <w:t xml:space="preserve">n </w:t>
            </w:r>
            <w:r>
              <w:rPr>
                <w:rFonts w:ascii="Arial" w:cs="Arial" w:eastAsia="Arial" w:hAnsi="Arial"/>
                <w:sz w:val="15"/>
                <w:szCs w:val="15"/>
                <w:b w:val="1"/>
                <w:bCs w:val="1"/>
                <w:color w:val="000000"/>
                <w:w w:val="71"/>
              </w:rPr>
              <w:t>9</w:t>
            </w:r>
          </w:p>
        </w:tc>
        <w:tc>
          <w:tcPr>
            <w:tcW w:w="1920" w:type="dxa"/>
            <w:vAlign w:val="bottom"/>
          </w:tcPr>
          <w:p>
            <w:pPr>
              <w:ind w:left="20"/>
              <w:spacing w:after="0"/>
              <w:rPr>
                <w:sz w:val="20"/>
                <w:szCs w:val="20"/>
                <w:color w:val="auto"/>
              </w:rPr>
            </w:pPr>
            <w:r>
              <w:rPr>
                <w:rFonts w:ascii="Arial" w:cs="Arial" w:eastAsia="Arial" w:hAnsi="Arial"/>
                <w:sz w:val="16"/>
                <w:szCs w:val="16"/>
                <w:color w:val="auto"/>
              </w:rPr>
              <w:t>White/Caucasian</w:t>
            </w:r>
          </w:p>
        </w:tc>
      </w:tr>
    </w:tbl>
    <w:p>
      <w:pPr>
        <w:spacing w:after="0" w:line="426" w:lineRule="exact"/>
        <w:rPr>
          <w:sz w:val="20"/>
          <w:szCs w:val="20"/>
          <w:color w:val="auto"/>
        </w:rPr>
      </w:pPr>
    </w:p>
    <w:p>
      <w:pPr>
        <w:sectPr>
          <w:pgSz w:w="11900" w:h="16838" w:orient="portrait"/>
          <w:cols w:equalWidth="0" w:num="3">
            <w:col w:w="2140" w:space="720"/>
            <w:col w:w="2140" w:space="720"/>
            <w:col w:w="5520"/>
          </w:cols>
          <w:pgMar w:left="320" w:top="238" w:right="3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auto"/>
        </w:rPr>
        <w:t>Retirement Policy</w:t>
      </w:r>
    </w:p>
    <w:p>
      <w:pPr>
        <w:spacing w:after="0" w:line="117"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We have a retirement policy that provides for a director to retire at the annual meeting following his or her 75th birthday, unless the Board determines, based on special circumstances, that it is in the Company’s best interest to request that the director serve beyond such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Identification and Consideration of New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637030" cy="48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37030" cy="480060"/>
                    </a:xfrm>
                    <a:prstGeom prst="rect">
                      <a:avLst/>
                    </a:prstGeom>
                    <a:noFill/>
                  </pic:spPr>
                </pic:pic>
              </a:graphicData>
            </a:graphic>
          </wp:anchor>
        </w:drawing>
      </w:r>
    </w:p>
    <w:p>
      <w:pPr>
        <w:sectPr>
          <w:pgSz w:w="11900" w:h="16838" w:orient="portrait"/>
          <w:cols w:equalWidth="0" w:num="1">
            <w:col w:w="11100"/>
          </w:cols>
          <w:pgMar w:left="320" w:top="238" w:right="479" w:bottom="1440" w:gutter="0" w:footer="0" w:header="0"/>
        </w:sect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325755" cy="4972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5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325755" cy="22199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2252345</wp:posOffset>
            </wp:positionV>
            <wp:extent cx="325755" cy="497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5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300"/>
        <w:spacing w:after="0" w:line="314" w:lineRule="auto"/>
        <w:rPr>
          <w:sz w:val="20"/>
          <w:szCs w:val="20"/>
          <w:color w:val="auto"/>
        </w:rPr>
      </w:pPr>
      <w:r>
        <w:rPr>
          <w:rFonts w:ascii="Arial" w:cs="Arial" w:eastAsia="Arial" w:hAnsi="Arial"/>
          <w:sz w:val="14"/>
          <w:szCs w:val="14"/>
          <w:b w:val="1"/>
          <w:bCs w:val="1"/>
          <w:color w:val="29378D"/>
        </w:rPr>
        <w:t>ESTABLISH NOMINEE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-346710</wp:posOffset>
            </wp:positionV>
            <wp:extent cx="1311275" cy="12426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11275" cy="12426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-346710</wp:posOffset>
            </wp:positionV>
            <wp:extent cx="1311275" cy="12426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1127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29378D"/>
        </w:rPr>
        <w:t>REVIEW OF CANDIDATE’S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295275</wp:posOffset>
            </wp:positionV>
            <wp:extent cx="1311275" cy="2339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1127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CANDIDATE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2183765</wp:posOffset>
            </wp:positionV>
            <wp:extent cx="1311275" cy="497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112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b w:val="1"/>
          <w:bCs w:val="1"/>
          <w:color w:val="29378D"/>
        </w:rPr>
        <w:t>RECOMMENDATION FOR ELECTION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left="6" w:right="600"/>
        <w:spacing w:after="0" w:line="266" w:lineRule="auto"/>
        <w:rPr>
          <w:sz w:val="20"/>
          <w:szCs w:val="20"/>
          <w:color w:val="auto"/>
        </w:rPr>
      </w:pPr>
      <w:r>
        <w:rPr>
          <w:rFonts w:ascii="Arial" w:cs="Arial" w:eastAsia="Arial" w:hAnsi="Arial"/>
          <w:sz w:val="16"/>
          <w:szCs w:val="16"/>
          <w:color w:val="auto"/>
        </w:rPr>
        <w:t>The Nominating and Corporate Governance Committee is responsible for establishing the criteria for Board membership, recognizing that it is the responsibility of a director to represent the long-term interests of our shareholders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5349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The employment and other activities and associations of candidates are reviewed for any legal impediment, conflict of interest or other consideration or concerns that might prevent or interfere with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236220</wp:posOffset>
            </wp:positionV>
            <wp:extent cx="5349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evaluating candidates, the Nominating and Corporate Governance Committee considers:</w:t>
      </w:r>
    </w:p>
    <w:p>
      <w:pPr>
        <w:spacing w:after="0" w:line="248" w:lineRule="exact"/>
        <w:rPr>
          <w:sz w:val="20"/>
          <w:szCs w:val="20"/>
          <w:color w:val="auto"/>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the personal integrity and the professional reputation of the individual;</w:t>
      </w:r>
    </w:p>
    <w:p>
      <w:pPr>
        <w:spacing w:after="0" w:line="21" w:lineRule="exact"/>
        <w:rPr>
          <w:rFonts w:ascii="Arial" w:cs="Arial" w:eastAsia="Arial" w:hAnsi="Arial"/>
          <w:sz w:val="16"/>
          <w:szCs w:val="16"/>
          <w:color w:val="29378D"/>
        </w:rPr>
      </w:pPr>
    </w:p>
    <w:p>
      <w:pPr>
        <w:ind w:left="186" w:right="340" w:hanging="186"/>
        <w:spacing w:after="0" w:line="237" w:lineRule="auto"/>
        <w:tabs>
          <w:tab w:leader="none" w:pos="143"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the education, professional background and particular skills and experience most beneficial to service on our Board;</w:t>
      </w:r>
    </w:p>
    <w:p>
      <w:pPr>
        <w:spacing w:after="0" w:line="1" w:lineRule="exact"/>
        <w:rPr>
          <w:rFonts w:ascii="Arial" w:cs="Arial" w:eastAsia="Arial" w:hAnsi="Arial"/>
          <w:sz w:val="16"/>
          <w:szCs w:val="16"/>
          <w:color w:val="29378D"/>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how the nominee brings diversity, experience and skills valuable to the Company and Board at the time;</w:t>
      </w:r>
    </w:p>
    <w:p>
      <w:pPr>
        <w:spacing w:after="0" w:line="5" w:lineRule="exact"/>
        <w:rPr>
          <w:rFonts w:ascii="Arial" w:cs="Arial" w:eastAsia="Arial" w:hAnsi="Arial"/>
          <w:sz w:val="16"/>
          <w:szCs w:val="16"/>
          <w:color w:val="29378D"/>
        </w:rPr>
      </w:pPr>
    </w:p>
    <w:p>
      <w:pPr>
        <w:ind w:left="186" w:hanging="186"/>
        <w:spacing w:after="0"/>
        <w:tabs>
          <w:tab w:leader="none" w:pos="143"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a director candidate's ability and willingness to devote appropriate time and resources to Board service, taking account of a director candidate's outside time commitments, including service on other public company boards of directors and leadership positions held on such boards; and</w:t>
      </w:r>
    </w:p>
    <w:p>
      <w:pPr>
        <w:spacing w:after="0" w:line="1" w:lineRule="exact"/>
        <w:rPr>
          <w:rFonts w:ascii="Arial" w:cs="Arial" w:eastAsia="Arial" w:hAnsi="Arial"/>
          <w:sz w:val="16"/>
          <w:szCs w:val="16"/>
          <w:color w:val="29378D"/>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a director candidate's willingness to obtain and retain a top secret security clearance.</w:t>
      </w:r>
    </w:p>
    <w:p>
      <w:pPr>
        <w:spacing w:after="0" w:line="232" w:lineRule="exact"/>
        <w:rPr>
          <w:sz w:val="20"/>
          <w:szCs w:val="20"/>
          <w:color w:val="auto"/>
        </w:rPr>
      </w:pPr>
    </w:p>
    <w:p>
      <w:pPr>
        <w:ind w:left="6"/>
        <w:spacing w:after="0" w:line="251" w:lineRule="auto"/>
        <w:rPr>
          <w:sz w:val="20"/>
          <w:szCs w:val="20"/>
          <w:color w:val="auto"/>
        </w:rPr>
      </w:pPr>
      <w:r>
        <w:rPr>
          <w:rFonts w:ascii="Arial" w:cs="Arial" w:eastAsia="Arial" w:hAnsi="Arial"/>
          <w:sz w:val="16"/>
          <w:szCs w:val="16"/>
          <w:color w:val="auto"/>
        </w:rPr>
        <w:t>The Nominating and Corporate Governance Committee evaluates potential director candidates on the basis of the candidate’s background, qualifications and experience. The Committee is committed to enhancing diversity on the Board, including diversity of experience. The Committee carefully considers whether a potential candidate would be able to fulfill his or her duties to the Company consistent with Delaware law and the Company’s governing documents, including the Principles of Corporate Governance and security requirements. The Committee seeks to ensure each candidate will enhance the effectiveness of the Board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133350</wp:posOffset>
            </wp:positionV>
            <wp:extent cx="5349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494"/>
        <w:spacing w:after="0"/>
        <w:rPr>
          <w:sz w:val="20"/>
          <w:szCs w:val="20"/>
          <w:color w:val="auto"/>
        </w:rPr>
      </w:pPr>
      <w:r>
        <w:rPr>
          <w:rFonts w:ascii="Arial" w:cs="Arial" w:eastAsia="Arial" w:hAnsi="Arial"/>
          <w:sz w:val="16"/>
          <w:szCs w:val="16"/>
          <w:color w:val="auto"/>
        </w:rPr>
        <w:t>The Nominating and Corporate Governance Committee recommends to the full Board nominees for election.</w:t>
      </w:r>
    </w:p>
    <w:p>
      <w:pPr>
        <w:spacing w:after="0" w:line="563" w:lineRule="exact"/>
        <w:rPr>
          <w:sz w:val="20"/>
          <w:szCs w:val="20"/>
          <w:color w:val="auto"/>
        </w:rPr>
      </w:pPr>
    </w:p>
    <w:p>
      <w:pPr>
        <w:sectPr>
          <w:pgSz w:w="11900" w:h="16838" w:orient="portrait"/>
          <w:cols w:equalWidth="0" w:num="3">
            <w:col w:w="180" w:space="360"/>
            <w:col w:w="1820" w:space="474"/>
            <w:col w:w="8266"/>
          </w:cols>
          <w:pgMar w:left="320" w:top="238" w:right="47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color w:val="auto"/>
        </w:rPr>
        <w:t>Commitment to Diversity</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evaluating director candidates, the Nominating and Corporate Governance Committee aims to ensure a diverse, inclusive and effective board, benefiting from diversity of thought, perspective and experience. The Nominating and Corporate Governance Committee seeks to ensure broad diversity, including in race and gender, as well as in professional experience, education, skill and other qualities that contribute to our Board and the long-term interests of our Company and our shareholders.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8" w:right="47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Shareholder Nominations</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Shareholders may recommend director candidates for consideration by the Nominating and Corporate Governance Committee pursuant to our Principles of Corporate Governance. The Nominating and Corporate Governance Committee considers such director candidates recommended by shareholders similarly to other potential director candidates brought to the attention of the Nominating and Corporate Governance Committee. Shareholder recommendations for director candidates under our Principles of Corporate Governance must be addressed to the Nominating and Corporate Governance Committee in care of the Corporate Secretary. In addition, and as discussed immediately below, shareholders may also directly nominate director candidates in accordance with our Bylaws.</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Proxy Access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spacing w:after="0" w:line="82"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Director Election Process</w:t>
      </w:r>
    </w:p>
    <w:p>
      <w:pPr>
        <w:spacing w:after="0" w:line="12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Effect of Failure to Obtain and Retain Security Clearance or Receive the Required Vote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director is required to tender a resignation in the event of and effective upon the failure to obtain top secret security clearance within 12 months of election or appointment to the Board, or the failure to retain a top secret security clearance once obtained. If an incumbent director fails to obtain and retain a top secret security clearance, the Nominating and Corporate Governance Committee will consider whether the Board should accept the director’s resignation and will submit a recommendation for prompt consideration by the Board. In addition, each director is required to tender a resignation in the event of and effective upon the failure to receive the required vote at any future meeting at which such director faces re-election. The Nominating and Corporate Governance Committee and the Board will consider relevant facts in deciding whether to accept a resignation, including, without limitation, any harm to our Company that may result from accepting the resignation.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43"/>
          <w:szCs w:val="43"/>
          <w:b w:val="1"/>
          <w:bCs w:val="1"/>
          <w:color w:val="29378D"/>
        </w:rPr>
        <w:t>Corporate Governance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Overview</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committed to maintaining high standards of corporate governance, reflecting on our values, protecting the interests of our shareholders, and promoting long-term, profitable growth. With strong oversight from the Board, our corporate governance regime is intended to promote the long-term success of our Company to benefit our shareholders, employees, customers, partners and communities.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Our strong corporate governance and responsible business practices reflect and are built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55245</wp:posOffset>
            </wp:positionV>
            <wp:extent cx="8255" cy="3197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319722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55245</wp:posOffset>
            </wp:positionV>
            <wp:extent cx="8890" cy="3197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3197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377190" cy="3771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158115</wp:posOffset>
            </wp:positionV>
            <wp:extent cx="37719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158115</wp:posOffset>
            </wp:positionV>
            <wp:extent cx="368300" cy="3689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Values</w:t>
      </w:r>
    </w:p>
    <w:p>
      <w:pPr>
        <w:spacing w:after="0" w:line="181"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color w:val="auto"/>
        </w:rPr>
        <w:t>Our values provide the foundation for our culture and success:</w:t>
      </w:r>
    </w:p>
    <w:p>
      <w:pPr>
        <w:spacing w:after="0" w:line="7" w:lineRule="exact"/>
        <w:rPr>
          <w:sz w:val="20"/>
          <w:szCs w:val="20"/>
          <w:color w:val="auto"/>
        </w:rPr>
      </w:pPr>
    </w:p>
    <w:p>
      <w:pPr>
        <w:ind w:left="220" w:right="220" w:hanging="194"/>
        <w:spacing w:after="0" w:line="252"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Do The Right Thing - we earn trust, act with ethics, integrity and transparency, treat everyone with respect, value diversity and foster safe and inclusive environments;</w:t>
      </w:r>
    </w:p>
    <w:p>
      <w:pPr>
        <w:spacing w:after="0" w:line="46" w:lineRule="exact"/>
        <w:rPr>
          <w:rFonts w:ascii="Arial" w:cs="Arial" w:eastAsia="Arial" w:hAnsi="Arial"/>
          <w:sz w:val="16"/>
          <w:szCs w:val="16"/>
          <w:b w:val="1"/>
          <w:bCs w:val="1"/>
          <w:color w:val="29378D"/>
        </w:rPr>
      </w:pPr>
    </w:p>
    <w:p>
      <w:pPr>
        <w:ind w:left="220" w:right="240" w:hanging="194"/>
        <w:spacing w:after="0" w:line="257"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Do What We Promise - we own the delivery of results, focused on quality outcomes;</w:t>
      </w:r>
    </w:p>
    <w:p>
      <w:pPr>
        <w:spacing w:after="0" w:line="29" w:lineRule="exact"/>
        <w:rPr>
          <w:rFonts w:ascii="Arial" w:cs="Arial" w:eastAsia="Arial" w:hAnsi="Arial"/>
          <w:sz w:val="16"/>
          <w:szCs w:val="16"/>
          <w:b w:val="1"/>
          <w:bCs w:val="1"/>
          <w:color w:val="29378D"/>
        </w:rPr>
      </w:pPr>
    </w:p>
    <w:p>
      <w:pPr>
        <w:ind w:left="220" w:hanging="194"/>
        <w:spacing w:after="0" w:line="256"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Commit To Shared Success -we work together to focus on the mission and take accountability for the sustainable success of our people, customers, shareholders, suppliers and communities; and</w:t>
      </w:r>
    </w:p>
    <w:p>
      <w:pPr>
        <w:spacing w:after="0" w:line="31" w:lineRule="exact"/>
        <w:rPr>
          <w:rFonts w:ascii="Arial" w:cs="Arial" w:eastAsia="Arial" w:hAnsi="Arial"/>
          <w:sz w:val="16"/>
          <w:szCs w:val="16"/>
          <w:b w:val="1"/>
          <w:bCs w:val="1"/>
          <w:color w:val="29378D"/>
        </w:rPr>
      </w:pPr>
    </w:p>
    <w:p>
      <w:pPr>
        <w:ind w:left="220" w:right="280" w:hanging="194"/>
        <w:spacing w:after="0" w:line="253"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Pioneer - with fierce curiosity, dedication and innovation, we seek to solve the world’s most challenging problems.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Principles of</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Corporate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Governance</w:t>
      </w:r>
    </w:p>
    <w:p>
      <w:pPr>
        <w:spacing w:after="0" w:line="84"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 xml:space="preserve">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w:t>
      </w:r>
      <w:r>
        <w:rPr>
          <w:rFonts w:ascii="Arial" w:cs="Arial" w:eastAsia="Arial" w:hAnsi="Arial"/>
          <w:sz w:val="16"/>
          <w:szCs w:val="16"/>
          <w:i w:val="1"/>
          <w:iCs w:val="1"/>
          <w:color w:val="auto"/>
        </w:rPr>
        <w:t>investor.northropgrumman.com/principles-corporate-governance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Standards</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of Business</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Conduct</w:t>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 xml:space="preserve">Our Standards of Business Conduct outline our commitment to ethics and integrity, consistent with our values and how we do business. They reflect and reinforce our commitment to our core values. They apply to our directors, officers and employees. We also require our suppliers to meet similar standards through our Standards of Business Conduct for Suppliers and Other Trading Partners. In 2023, we updated our Standards of Business Conduct as part of our efforts to review and continuously update key governance documents. Our Standards of Business Conduct and our Standards of Business Conduct for Suppliers and Other Trading Partners are available at </w:t>
      </w:r>
      <w:r>
        <w:rPr>
          <w:rFonts w:ascii="Arial" w:cs="Arial" w:eastAsia="Arial" w:hAnsi="Arial"/>
          <w:sz w:val="16"/>
          <w:szCs w:val="16"/>
          <w:i w:val="1"/>
          <w:iCs w:val="1"/>
          <w:color w:val="auto"/>
        </w:rPr>
        <w:t>www.northropgrumman.com/corporate-responsibility/ethics-and-business-conduct/standards-of-business-conduct/</w:t>
      </w:r>
      <w:r>
        <w:rPr>
          <w:rFonts w:ascii="Arial" w:cs="Arial" w:eastAsia="Arial" w:hAnsi="Arial"/>
          <w:sz w:val="16"/>
          <w:szCs w:val="16"/>
          <w:color w:val="auto"/>
        </w:rPr>
        <w:t>.</w:t>
      </w:r>
    </w:p>
    <w:p>
      <w:pPr>
        <w:spacing w:after="0" w:line="536" w:lineRule="exact"/>
        <w:rPr>
          <w:sz w:val="20"/>
          <w:szCs w:val="20"/>
          <w:color w:val="auto"/>
        </w:rPr>
      </w:pPr>
    </w:p>
    <w:p>
      <w:pPr>
        <w:sectPr>
          <w:pgSz w:w="11900" w:h="16838" w:orient="portrait"/>
          <w:cols w:equalWidth="0" w:num="3">
            <w:col w:w="3200" w:space="700"/>
            <w:col w:w="3260" w:space="720"/>
            <w:col w:w="3360"/>
          </w:cols>
          <w:pgMar w:left="320" w:top="1298" w:right="339" w:bottom="1440" w:gutter="0" w:footer="0" w:header="0"/>
          <w:type w:val="continuous"/>
        </w:sectPr>
      </w:pPr>
    </w:p>
    <w:p>
      <w:pPr>
        <w:spacing w:after="0"/>
        <w:rPr>
          <w:sz w:val="20"/>
          <w:szCs w:val="20"/>
          <w:color w:val="auto"/>
        </w:rPr>
      </w:pPr>
      <w:r>
        <w:rPr>
          <w:rFonts w:ascii="Arial" w:cs="Arial" w:eastAsia="Arial" w:hAnsi="Arial"/>
          <w:sz w:val="16"/>
          <w:szCs w:val="16"/>
          <w:color w:val="auto"/>
        </w:rPr>
        <w:t>Among other things, our Standards of Business Conduct:</w:t>
      </w:r>
    </w:p>
    <w:p>
      <w:pPr>
        <w:spacing w:after="0" w:line="100"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our employees to live our values in all aspects of our business;</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strict adherence to all applicable laws and regulations;</w:t>
      </w:r>
    </w:p>
    <w:p>
      <w:pPr>
        <w:spacing w:after="0" w:line="72"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maintaining a speak-up culture that values diversity, equity, and inclusion, and provides our employees a sense of belonging to enable success;</w:t>
      </w:r>
    </w:p>
    <w:p>
      <w:pPr>
        <w:spacing w:after="0" w:line="7"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reinforce our commitment to being a good corporate citizen;</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our work environment and the global communities where we live, work and serve;</w:t>
      </w:r>
    </w:p>
    <w:p>
      <w:pPr>
        <w:spacing w:after="0" w:line="72" w:lineRule="exact"/>
        <w:rPr>
          <w:rFonts w:ascii="Arial" w:cs="Arial" w:eastAsia="Arial" w:hAnsi="Arial"/>
          <w:sz w:val="16"/>
          <w:szCs w:val="16"/>
          <w:b w:val="1"/>
          <w:bCs w:val="1"/>
          <w:color w:val="29378D"/>
        </w:rPr>
      </w:pPr>
    </w:p>
    <w:p>
      <w:pPr>
        <w:ind w:left="200" w:right="180" w:hanging="192"/>
        <w:spacing w:after="0" w:line="286" w:lineRule="auto"/>
        <w:tabs>
          <w:tab w:leader="none" w:pos="143"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broad and deep commitment to sustainability, including reducing our environmental impacts, conserving natural and energy resources, as well as innovating practices that maintain the quality of the environment;</w:t>
      </w:r>
    </w:p>
    <w:p>
      <w:pPr>
        <w:spacing w:after="0" w:line="7"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a focus on performance and the consistent production of quality results;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the safety of our people and products; and</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call upon all employees and other stakeholders to raise any questions or issues of concern (including on an anonymous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report amendments to provisions of our Standards of Business Conduct on our website.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494"/>
        <w:spacing w:after="0"/>
        <w:tabs>
          <w:tab w:leader="none" w:pos="52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Role of the Board and Key Areas of</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Oversight</w:t>
      </w:r>
    </w:p>
    <w:p>
      <w:pPr>
        <w:spacing w:after="0" w:line="11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primary responsibility of our Board is to foster the long-term success of the Company, promoting the interests of our shareholders. Our directors are well informed and exercise their business judgment in a manner they reasonably believe to be in the best interests of the Company and our shareholders and in a manner consistent with their fiduciary responsibilities. The role of the Board includes, but is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02870" cy="12515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251585"/>
                    </a:xfrm>
                    <a:prstGeom prst="rect">
                      <a:avLst/>
                    </a:prstGeom>
                    <a:noFill/>
                  </pic:spPr>
                </pic:pic>
              </a:graphicData>
            </a:graphic>
          </wp:anchor>
        </w:drawing>
      </w:r>
    </w:p>
    <w:p>
      <w:pPr>
        <w:spacing w:after="0" w:line="253"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Strategy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33020</wp:posOffset>
            </wp:positionV>
            <wp:extent cx="505460" cy="5060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261" w:lineRule="exact"/>
        <w:rPr>
          <w:sz w:val="20"/>
          <w:szCs w:val="20"/>
          <w:color w:val="auto"/>
        </w:rPr>
      </w:pPr>
    </w:p>
    <w:p>
      <w:pPr>
        <w:ind w:left="2020" w:hanging="158"/>
        <w:spacing w:after="0"/>
        <w:tabs>
          <w:tab w:leader="none" w:pos="2020"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Oversee our long-term business strategies, operations and performance (including restricted programs)</w:t>
      </w:r>
    </w:p>
    <w:p>
      <w:pPr>
        <w:spacing w:after="0" w:line="86" w:lineRule="exact"/>
        <w:rPr>
          <w:rFonts w:ascii="Arial" w:cs="Arial" w:eastAsia="Arial" w:hAnsi="Arial"/>
          <w:sz w:val="16"/>
          <w:szCs w:val="16"/>
          <w:color w:val="29378D"/>
        </w:rPr>
      </w:pPr>
    </w:p>
    <w:p>
      <w:pPr>
        <w:ind w:left="2060" w:right="100" w:hanging="198"/>
        <w:spacing w:after="0" w:line="286" w:lineRule="auto"/>
        <w:tabs>
          <w:tab w:leader="none" w:pos="2017"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Oversee management of each of our major risks and the enterprise risk management processes overall, including management of cyber and other security risks</w:t>
      </w:r>
    </w:p>
    <w:p>
      <w:pPr>
        <w:spacing w:after="0" w:line="20" w:lineRule="exact"/>
        <w:rPr>
          <w:rFonts w:ascii="Arial" w:cs="Arial" w:eastAsia="Arial" w:hAnsi="Arial"/>
          <w:sz w:val="16"/>
          <w:szCs w:val="16"/>
          <w:color w:val="29378D"/>
        </w:rPr>
      </w:pPr>
    </w:p>
    <w:p>
      <w:pPr>
        <w:ind w:left="2020" w:hanging="158"/>
        <w:spacing w:after="0"/>
        <w:tabs>
          <w:tab w:leader="none" w:pos="2020"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Review and approve significant corporate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611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Culture and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109855</wp:posOffset>
            </wp:positionV>
            <wp:extent cx="505460" cy="5054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000000"/>
                        </a:clrFrom>
                        <a:clrTo>
                          <a:srgbClr val="000000">
                            <a:alpha val="0"/>
                          </a:srgbClr>
                        </a:clrTo>
                      </a:clrChange>
                      <a:extLst>
                        <a:ext uri="{28A0092B-C50C-407E-A947-70E740481C1C}"/>
                      </a:extLst>
                    </a:blip>
                    <a:srcRect/>
                    <a:stretch>
                      <a:fillRect/>
                    </a:stretch>
                  </pic:blipFill>
                  <pic:spPr bwMode="auto">
                    <a:xfrm>
                      <a:off x="0" y="0"/>
                      <a:ext cx="505460" cy="5054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109855</wp:posOffset>
            </wp:positionV>
            <wp:extent cx="505460" cy="5054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5460"/>
                    </a:xfrm>
                    <a:prstGeom prst="rect">
                      <a:avLst/>
                    </a:prstGeom>
                    <a:noFill/>
                  </pic:spPr>
                </pic:pic>
              </a:graphicData>
            </a:graphic>
          </wp:anchor>
        </w:drawing>
      </w:r>
    </w:p>
    <w:p>
      <w:pPr>
        <w:spacing w:after="0" w:line="274" w:lineRule="exact"/>
        <w:rPr>
          <w:sz w:val="20"/>
          <w:szCs w:val="20"/>
          <w:color w:val="auto"/>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Ensure a strong culture</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Oversee human capital strategy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Execute robust succession planning, including selecting the Chief Executive Officer, and electing officers of the Company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Oversee our diversity, equity and inclusion programs</w:t>
      </w:r>
    </w:p>
    <w:p>
      <w:pPr>
        <w:spacing w:after="0" w:line="72"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Review and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748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-189230</wp:posOffset>
            </wp:positionV>
            <wp:extent cx="505460" cy="5060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-189230</wp:posOffset>
            </wp:positionV>
            <wp:extent cx="505460" cy="5060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261" w:lineRule="exact"/>
        <w:rPr>
          <w:sz w:val="20"/>
          <w:szCs w:val="20"/>
          <w:color w:val="auto"/>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Ensure an effective corporate governance practice</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Oversee our ethics and compliance programs</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Review and enhance Board performance</w:t>
      </w:r>
    </w:p>
    <w:p>
      <w:pPr>
        <w:spacing w:after="0" w:line="72"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Elect directors to fill vacant positions between Annual Meetings</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Oversee our commitment to sustainability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Provide advice to management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As noted above, the Board is responsible for overseeing our enterprise risk management activities, with a particular focus on the Company’s significant risks. For each such risk, the Company has identified a senior executive responsible for managing the risk and a Board committee (or the full Board), responsible for providing oversight. The Enterprise Risk Management Council (ERMC) reviews the significant risks to the enterprise; ensures each significant risk is being effectively considered, mitigated and managed through the senior executive identified to manage that risk; and helps to ensure that each risk is appropriately disclosed, including in the Company's Annual Report on Form 10-K and other public filings. The senior executive and other members of management regularly update the responsible committee or the full Board on the nature of the risk and mitigation measures, including their effectiveness. Management and the Board also regularly consider emerging or potentially emerging risk, and steps necessary to address them.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As discussed on the next page, each of our Board committees assists the Board in the role of risk oversight.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68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7454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62" w:lineRule="exact"/>
        <w:rPr>
          <w:sz w:val="20"/>
          <w:szCs w:val="20"/>
          <w:color w:val="auto"/>
        </w:rPr>
      </w:pPr>
    </w:p>
    <w:p>
      <w:pPr>
        <w:ind w:left="300" w:hanging="193"/>
        <w:spacing w:after="0" w:line="223" w:lineRule="auto"/>
        <w:tabs>
          <w:tab w:leader="none" w:pos="257" w:val="left"/>
        </w:tabs>
        <w:numPr>
          <w:ilvl w:val="0"/>
          <w:numId w:val="63"/>
        </w:numPr>
        <w:rPr>
          <w:rFonts w:ascii="Arial" w:cs="Arial" w:eastAsia="Arial" w:hAnsi="Arial"/>
          <w:sz w:val="16"/>
          <w:szCs w:val="16"/>
          <w:color w:val="29378D"/>
        </w:rPr>
      </w:pPr>
      <w:r>
        <w:rPr>
          <w:rFonts w:ascii="Arial" w:cs="Arial" w:eastAsia="Arial" w:hAnsi="Arial"/>
          <w:sz w:val="14"/>
          <w:szCs w:val="14"/>
          <w:color w:val="auto"/>
        </w:rPr>
        <w:t>Has ultimate responsibility for the oversight of risk, and receives updates from each of the committees, as well as directly from management addressing the range of risks, including those related to financial and other performance, cybersecurity, climate, human capital and culture.</w:t>
      </w:r>
    </w:p>
    <w:p>
      <w:pPr>
        <w:spacing w:after="0" w:line="2" w:lineRule="exact"/>
        <w:rPr>
          <w:rFonts w:ascii="Arial" w:cs="Arial" w:eastAsia="Arial" w:hAnsi="Arial"/>
          <w:sz w:val="16"/>
          <w:szCs w:val="16"/>
          <w:color w:val="29378D"/>
        </w:rPr>
      </w:pPr>
    </w:p>
    <w:p>
      <w:pPr>
        <w:ind w:left="300" w:right="420" w:hanging="193"/>
        <w:spacing w:after="0" w:line="234" w:lineRule="auto"/>
        <w:tabs>
          <w:tab w:leader="none" w:pos="257" w:val="left"/>
        </w:tabs>
        <w:numPr>
          <w:ilvl w:val="0"/>
          <w:numId w:val="63"/>
        </w:numPr>
        <w:rPr>
          <w:rFonts w:ascii="Arial" w:cs="Arial" w:eastAsia="Arial" w:hAnsi="Arial"/>
          <w:sz w:val="16"/>
          <w:szCs w:val="16"/>
          <w:color w:val="29378D"/>
        </w:rPr>
      </w:pPr>
      <w:r>
        <w:rPr>
          <w:rFonts w:ascii="Arial" w:cs="Arial" w:eastAsia="Arial" w:hAnsi="Arial"/>
          <w:sz w:val="14"/>
          <w:szCs w:val="14"/>
          <w:color w:val="auto"/>
        </w:rPr>
        <w:t>Reviews and approves all committee charters and the agenda of topics to be covered by the Board each year to help ensure effective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071995"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71995" cy="6858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125730</wp:posOffset>
            </wp:positionV>
            <wp:extent cx="180340" cy="128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34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57" w:hanging="157"/>
        <w:spacing w:after="0"/>
        <w:tabs>
          <w:tab w:leader="none" w:pos="157"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Meets regularly with employees across the enterprise at various sites.</w:t>
      </w:r>
    </w:p>
    <w:p>
      <w:pPr>
        <w:spacing w:after="0" w:line="12" w:lineRule="exact"/>
        <w:rPr>
          <w:rFonts w:ascii="Arial" w:cs="Arial" w:eastAsia="Arial" w:hAnsi="Arial"/>
          <w:sz w:val="16"/>
          <w:szCs w:val="16"/>
          <w:color w:val="29378D"/>
        </w:rPr>
      </w:pPr>
    </w:p>
    <w:p>
      <w:pPr>
        <w:ind w:left="197" w:right="180" w:hanging="197"/>
        <w:spacing w:after="0" w:line="230" w:lineRule="auto"/>
        <w:tabs>
          <w:tab w:leader="none" w:pos="153"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Reviews and/or approves annual and quarterly SEC filings, including risk factors, and receives quarterly reports and certifications from senior management.</w:t>
      </w:r>
    </w:p>
    <w:p>
      <w:pPr>
        <w:spacing w:after="0" w:line="13" w:lineRule="exact"/>
        <w:rPr>
          <w:rFonts w:ascii="Arial" w:cs="Arial" w:eastAsia="Arial" w:hAnsi="Arial"/>
          <w:sz w:val="16"/>
          <w:szCs w:val="16"/>
          <w:color w:val="29378D"/>
        </w:rPr>
      </w:pPr>
    </w:p>
    <w:p>
      <w:pPr>
        <w:ind w:left="197" w:right="260" w:hanging="197"/>
        <w:spacing w:after="0" w:line="235" w:lineRule="auto"/>
        <w:tabs>
          <w:tab w:leader="none" w:pos="153"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Provides oversight of the Company’s risk management processes, including the Enterprise Risk Management Council (ERMC).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425450</wp:posOffset>
            </wp:positionV>
            <wp:extent cx="5969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5560" w:space="203"/>
            <w:col w:w="5477"/>
          </w:cols>
          <w:pgMar w:left="320" w:top="238"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 AND RISK COMMITTEE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 w:type="dxa"/>
            <w:vAlign w:val="bottom"/>
            <w:shd w:val="clear" w:color="auto" w:fill="E6E7E8"/>
          </w:tcPr>
          <w:p>
            <w:pPr>
              <w:spacing w:after="0"/>
              <w:rPr>
                <w:sz w:val="21"/>
                <w:szCs w:val="21"/>
                <w:color w:val="auto"/>
              </w:rPr>
            </w:pPr>
          </w:p>
        </w:tc>
        <w:tc>
          <w:tcPr>
            <w:tcW w:w="5540" w:type="dxa"/>
            <w:vAlign w:val="bottom"/>
            <w:gridSpan w:val="3"/>
            <w:shd w:val="clear" w:color="auto" w:fill="E6E7E8"/>
          </w:tcPr>
          <w:p>
            <w:pPr>
              <w:ind w:left="20"/>
              <w:spacing w:after="0"/>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Responsible for assisting the Board in its oversight of enterprise risk management</w:t>
            </w: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7.  from the Company's Chief Ethics and Compliance Officer on matters</w:t>
            </w:r>
          </w:p>
        </w:tc>
        <w:tc>
          <w:tcPr>
            <w:tcW w:w="0" w:type="dxa"/>
            <w:vAlign w:val="bottom"/>
          </w:tcPr>
          <w:p>
            <w:pPr>
              <w:spacing w:after="0"/>
              <w:rPr>
                <w:sz w:val="1"/>
                <w:szCs w:val="1"/>
                <w:color w:val="auto"/>
              </w:rPr>
            </w:pPr>
          </w:p>
        </w:tc>
      </w:tr>
      <w:tr>
        <w:trPr>
          <w:trHeight w:val="148"/>
        </w:trPr>
        <w:tc>
          <w:tcPr>
            <w:tcW w:w="80" w:type="dxa"/>
            <w:vAlign w:val="bottom"/>
            <w:shd w:val="clear" w:color="auto" w:fill="E6E7E8"/>
          </w:tcPr>
          <w:p>
            <w:pPr>
              <w:spacing w:after="0"/>
              <w:rPr>
                <w:sz w:val="12"/>
                <w:szCs w:val="12"/>
                <w:color w:val="auto"/>
              </w:rPr>
            </w:pPr>
          </w:p>
        </w:tc>
        <w:tc>
          <w:tcPr>
            <w:tcW w:w="5540" w:type="dxa"/>
            <w:vAlign w:val="bottom"/>
            <w:gridSpan w:val="3"/>
            <w:shd w:val="clear" w:color="auto" w:fill="E6E7E8"/>
          </w:tcPr>
          <w:p>
            <w:pPr>
              <w:ind w:left="220"/>
              <w:spacing w:after="0" w:line="149" w:lineRule="exact"/>
              <w:rPr>
                <w:sz w:val="20"/>
                <w:szCs w:val="20"/>
                <w:color w:val="auto"/>
              </w:rPr>
            </w:pPr>
            <w:r>
              <w:rPr>
                <w:rFonts w:ascii="Arial" w:cs="Arial" w:eastAsia="Arial" w:hAnsi="Arial"/>
                <w:sz w:val="14"/>
                <w:szCs w:val="14"/>
                <w:color w:val="auto"/>
              </w:rPr>
              <w:t>overall; reviews Company process for effective management of enterprise risks</w:t>
            </w:r>
          </w:p>
        </w:tc>
        <w:tc>
          <w:tcPr>
            <w:tcW w:w="5620" w:type="dxa"/>
            <w:vAlign w:val="bottom"/>
            <w:gridSpan w:val="2"/>
            <w:shd w:val="clear" w:color="auto" w:fill="E6E7E8"/>
          </w:tcPr>
          <w:p>
            <w:pPr>
              <w:ind w:left="540"/>
              <w:spacing w:after="0" w:line="149" w:lineRule="exact"/>
              <w:rPr>
                <w:sz w:val="20"/>
                <w:szCs w:val="20"/>
                <w:color w:val="auto"/>
              </w:rPr>
            </w:pPr>
            <w:r>
              <w:rPr>
                <w:rFonts w:ascii="Arial" w:cs="Arial" w:eastAsia="Arial" w:hAnsi="Arial"/>
                <w:sz w:val="14"/>
                <w:szCs w:val="14"/>
                <w:color w:val="auto"/>
              </w:rPr>
              <w:t>communicated through the Company’s OpenLine;</w:t>
            </w:r>
          </w:p>
        </w:tc>
        <w:tc>
          <w:tcPr>
            <w:tcW w:w="0" w:type="dxa"/>
            <w:vAlign w:val="bottom"/>
          </w:tcPr>
          <w:p>
            <w:pPr>
              <w:spacing w:after="0"/>
              <w:rPr>
                <w:sz w:val="1"/>
                <w:szCs w:val="1"/>
                <w:color w:val="auto"/>
              </w:rPr>
            </w:pPr>
          </w:p>
        </w:tc>
      </w:tr>
      <w:tr>
        <w:trPr>
          <w:trHeight w:val="162"/>
        </w:trPr>
        <w:tc>
          <w:tcPr>
            <w:tcW w:w="80" w:type="dxa"/>
            <w:vAlign w:val="bottom"/>
            <w:shd w:val="clear" w:color="auto" w:fill="E6E7E8"/>
          </w:tcPr>
          <w:p>
            <w:pPr>
              <w:spacing w:after="0"/>
              <w:rPr>
                <w:sz w:val="14"/>
                <w:szCs w:val="14"/>
                <w:color w:val="auto"/>
              </w:rPr>
            </w:pPr>
          </w:p>
        </w:tc>
        <w:tc>
          <w:tcPr>
            <w:tcW w:w="4360" w:type="dxa"/>
            <w:vAlign w:val="bottom"/>
            <w:gridSpan w:val="2"/>
            <w:shd w:val="clear" w:color="auto" w:fill="E6E7E8"/>
          </w:tcPr>
          <w:p>
            <w:pPr>
              <w:ind w:left="220"/>
              <w:spacing w:after="0"/>
              <w:rPr>
                <w:sz w:val="20"/>
                <w:szCs w:val="20"/>
                <w:color w:val="auto"/>
              </w:rPr>
            </w:pPr>
            <w:r>
              <w:rPr>
                <w:rFonts w:ascii="Arial" w:cs="Arial" w:eastAsia="Arial" w:hAnsi="Arial"/>
                <w:sz w:val="14"/>
                <w:szCs w:val="14"/>
                <w:color w:val="auto"/>
              </w:rPr>
              <w:t>and disclosures, including briefings by senior management.</w:t>
            </w:r>
          </w:p>
        </w:tc>
        <w:tc>
          <w:tcPr>
            <w:tcW w:w="1180" w:type="dxa"/>
            <w:vAlign w:val="bottom"/>
            <w:shd w:val="clear" w:color="auto" w:fill="E6E7E8"/>
          </w:tcPr>
          <w:p>
            <w:pPr>
              <w:spacing w:after="0"/>
              <w:rPr>
                <w:sz w:val="14"/>
                <w:szCs w:val="14"/>
                <w:color w:val="auto"/>
              </w:rPr>
            </w:pP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8.  from the Company’s Vice President and Chief Information Security Officer</w:t>
            </w:r>
          </w:p>
        </w:tc>
        <w:tc>
          <w:tcPr>
            <w:tcW w:w="0" w:type="dxa"/>
            <w:vAlign w:val="bottom"/>
          </w:tcPr>
          <w:p>
            <w:pPr>
              <w:spacing w:after="0"/>
              <w:rPr>
                <w:sz w:val="1"/>
                <w:szCs w:val="1"/>
                <w:color w:val="auto"/>
              </w:rPr>
            </w:pPr>
          </w:p>
        </w:tc>
      </w:tr>
      <w:tr>
        <w:trPr>
          <w:trHeight w:val="175"/>
        </w:trPr>
        <w:tc>
          <w:tcPr>
            <w:tcW w:w="80" w:type="dxa"/>
            <w:vAlign w:val="bottom"/>
            <w:shd w:val="clear" w:color="auto" w:fill="E6E7E8"/>
          </w:tcPr>
          <w:p>
            <w:pPr>
              <w:spacing w:after="0"/>
              <w:rPr>
                <w:sz w:val="15"/>
                <w:szCs w:val="15"/>
                <w:color w:val="auto"/>
              </w:rPr>
            </w:pPr>
          </w:p>
        </w:tc>
        <w:tc>
          <w:tcPr>
            <w:tcW w:w="4360" w:type="dxa"/>
            <w:vAlign w:val="bottom"/>
            <w:gridSpan w:val="2"/>
            <w:shd w:val="clear" w:color="auto" w:fill="E6E7E8"/>
          </w:tcPr>
          <w:p>
            <w:pPr>
              <w:ind w:left="20"/>
              <w:spacing w:after="0" w:line="175" w:lineRule="exact"/>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Receives multiple regular reports, including, among others,</w:t>
            </w:r>
          </w:p>
        </w:tc>
        <w:tc>
          <w:tcPr>
            <w:tcW w:w="1180" w:type="dxa"/>
            <w:vAlign w:val="bottom"/>
            <w:shd w:val="clear" w:color="auto" w:fill="E6E7E8"/>
          </w:tcPr>
          <w:p>
            <w:pPr>
              <w:spacing w:after="0"/>
              <w:rPr>
                <w:sz w:val="15"/>
                <w:szCs w:val="15"/>
                <w:color w:val="auto"/>
              </w:rPr>
            </w:pPr>
          </w:p>
        </w:tc>
        <w:tc>
          <w:tcPr>
            <w:tcW w:w="5620" w:type="dxa"/>
            <w:vAlign w:val="bottom"/>
            <w:gridSpan w:val="2"/>
            <w:shd w:val="clear" w:color="auto" w:fill="E6E7E8"/>
          </w:tcPr>
          <w:p>
            <w:pPr>
              <w:ind w:left="540"/>
              <w:spacing w:after="0"/>
              <w:rPr>
                <w:sz w:val="20"/>
                <w:szCs w:val="20"/>
                <w:color w:val="auto"/>
              </w:rPr>
            </w:pPr>
            <w:r>
              <w:rPr>
                <w:rFonts w:ascii="Arial" w:cs="Arial" w:eastAsia="Arial" w:hAnsi="Arial"/>
                <w:sz w:val="14"/>
                <w:szCs w:val="14"/>
                <w:color w:val="auto"/>
              </w:rPr>
              <w:t>addressing information security and cybersecurity matters, at least four</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vMerge w:val="restart"/>
            <w:shd w:val="clear" w:color="auto" w:fill="E6E7E8"/>
          </w:tcPr>
          <w:p>
            <w:pPr>
              <w:ind w:left="220"/>
              <w:spacing w:after="0"/>
              <w:rPr>
                <w:sz w:val="20"/>
                <w:szCs w:val="20"/>
                <w:color w:val="auto"/>
              </w:rPr>
            </w:pPr>
            <w:r>
              <w:rPr>
                <w:rFonts w:ascii="Arial" w:cs="Arial" w:eastAsia="Arial" w:hAnsi="Arial"/>
                <w:sz w:val="14"/>
                <w:szCs w:val="14"/>
                <w:color w:val="auto"/>
              </w:rPr>
              <w:t>1.</w:t>
            </w:r>
          </w:p>
        </w:tc>
        <w:tc>
          <w:tcPr>
            <w:tcW w:w="5140" w:type="dxa"/>
            <w:vAlign w:val="bottom"/>
            <w:gridSpan w:val="2"/>
            <w:vMerge w:val="restart"/>
            <w:shd w:val="clear" w:color="auto" w:fill="E6E7E8"/>
          </w:tcPr>
          <w:p>
            <w:pPr>
              <w:ind w:left="60"/>
              <w:spacing w:after="0"/>
              <w:rPr>
                <w:sz w:val="20"/>
                <w:szCs w:val="20"/>
                <w:color w:val="auto"/>
              </w:rPr>
            </w:pPr>
            <w:r>
              <w:rPr>
                <w:rFonts w:ascii="Arial" w:cs="Arial" w:eastAsia="Arial" w:hAnsi="Arial"/>
                <w:sz w:val="14"/>
                <w:szCs w:val="14"/>
                <w:color w:val="auto"/>
              </w:rPr>
              <w:t>from the Chief Financial Officer and members of the corporate and sector</w:t>
            </w:r>
          </w:p>
        </w:tc>
        <w:tc>
          <w:tcPr>
            <w:tcW w:w="2000" w:type="dxa"/>
            <w:vAlign w:val="bottom"/>
            <w:shd w:val="clear" w:color="auto" w:fill="E6E7E8"/>
          </w:tcPr>
          <w:p>
            <w:pPr>
              <w:ind w:left="540"/>
              <w:spacing w:after="0" w:line="139" w:lineRule="exact"/>
              <w:rPr>
                <w:sz w:val="20"/>
                <w:szCs w:val="20"/>
                <w:color w:val="auto"/>
              </w:rPr>
            </w:pPr>
            <w:r>
              <w:rPr>
                <w:rFonts w:ascii="Arial" w:cs="Arial" w:eastAsia="Arial" w:hAnsi="Arial"/>
                <w:sz w:val="14"/>
                <w:szCs w:val="14"/>
                <w:color w:val="auto"/>
              </w:rPr>
              <w:t>times a year;</w:t>
            </w:r>
          </w:p>
        </w:tc>
        <w:tc>
          <w:tcPr>
            <w:tcW w:w="3620" w:type="dxa"/>
            <w:vAlign w:val="bottom"/>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80" w:type="dxa"/>
            <w:vAlign w:val="bottom"/>
            <w:shd w:val="clear" w:color="auto" w:fill="E6E7E8"/>
          </w:tcPr>
          <w:p>
            <w:pPr>
              <w:spacing w:after="0"/>
              <w:rPr>
                <w:sz w:val="3"/>
                <w:szCs w:val="3"/>
                <w:color w:val="auto"/>
              </w:rPr>
            </w:pPr>
          </w:p>
        </w:tc>
        <w:tc>
          <w:tcPr>
            <w:tcW w:w="400" w:type="dxa"/>
            <w:vAlign w:val="bottom"/>
            <w:vMerge w:val="continue"/>
            <w:shd w:val="clear" w:color="auto" w:fill="E6E7E8"/>
          </w:tcPr>
          <w:p>
            <w:pPr>
              <w:spacing w:after="0"/>
              <w:rPr>
                <w:sz w:val="3"/>
                <w:szCs w:val="3"/>
                <w:color w:val="auto"/>
              </w:rPr>
            </w:pPr>
          </w:p>
        </w:tc>
        <w:tc>
          <w:tcPr>
            <w:tcW w:w="5140" w:type="dxa"/>
            <w:vAlign w:val="bottom"/>
            <w:gridSpan w:val="2"/>
            <w:vMerge w:val="continue"/>
            <w:shd w:val="clear" w:color="auto" w:fill="E6E7E8"/>
          </w:tcPr>
          <w:p>
            <w:pPr>
              <w:spacing w:after="0"/>
              <w:rPr>
                <w:sz w:val="3"/>
                <w:szCs w:val="3"/>
                <w:color w:val="auto"/>
              </w:rPr>
            </w:pPr>
          </w:p>
        </w:tc>
        <w:tc>
          <w:tcPr>
            <w:tcW w:w="5620" w:type="dxa"/>
            <w:vAlign w:val="bottom"/>
            <w:gridSpan w:val="2"/>
            <w:vMerge w:val="restart"/>
            <w:shd w:val="clear" w:color="auto" w:fill="E6E7E8"/>
          </w:tcPr>
          <w:p>
            <w:pPr>
              <w:ind w:left="280"/>
              <w:spacing w:after="0"/>
              <w:rPr>
                <w:sz w:val="20"/>
                <w:szCs w:val="20"/>
                <w:color w:val="auto"/>
              </w:rPr>
            </w:pPr>
            <w:r>
              <w:rPr>
                <w:rFonts w:ascii="Arial" w:cs="Arial" w:eastAsia="Arial" w:hAnsi="Arial"/>
                <w:sz w:val="14"/>
                <w:szCs w:val="14"/>
                <w:color w:val="auto"/>
              </w:rPr>
              <w:t>9.  from the Company’s Treasurer addressing the Company’s insurance</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5140" w:type="dxa"/>
            <w:vAlign w:val="bottom"/>
            <w:gridSpan w:val="2"/>
            <w:shd w:val="clear" w:color="auto" w:fill="E6E7E8"/>
          </w:tcPr>
          <w:p>
            <w:pPr>
              <w:ind w:left="80"/>
              <w:spacing w:after="0" w:line="145" w:lineRule="exact"/>
              <w:rPr>
                <w:sz w:val="20"/>
                <w:szCs w:val="20"/>
                <w:color w:val="auto"/>
              </w:rPr>
            </w:pPr>
            <w:r>
              <w:rPr>
                <w:rFonts w:ascii="Arial" w:cs="Arial" w:eastAsia="Arial" w:hAnsi="Arial"/>
                <w:sz w:val="14"/>
                <w:szCs w:val="14"/>
                <w:color w:val="auto"/>
              </w:rPr>
              <w:t>business management and legal teams addressing the nature of the material</w:t>
            </w:r>
          </w:p>
        </w:tc>
        <w:tc>
          <w:tcPr>
            <w:tcW w:w="5620" w:type="dxa"/>
            <w:vAlign w:val="bottom"/>
            <w:gridSpan w:val="2"/>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5140" w:type="dxa"/>
            <w:vAlign w:val="bottom"/>
            <w:gridSpan w:val="2"/>
            <w:shd w:val="clear" w:color="auto" w:fill="E6E7E8"/>
          </w:tcPr>
          <w:p>
            <w:pPr>
              <w:ind w:left="80"/>
              <w:spacing w:after="0" w:line="149" w:lineRule="exact"/>
              <w:rPr>
                <w:sz w:val="20"/>
                <w:szCs w:val="20"/>
                <w:color w:val="auto"/>
              </w:rPr>
            </w:pPr>
            <w:r>
              <w:rPr>
                <w:rFonts w:ascii="Arial" w:cs="Arial" w:eastAsia="Arial" w:hAnsi="Arial"/>
                <w:sz w:val="14"/>
                <w:szCs w:val="14"/>
                <w:color w:val="auto"/>
              </w:rPr>
              <w:t>financial risks the Company faces and how the Company responds to and</w:t>
            </w:r>
          </w:p>
        </w:tc>
        <w:tc>
          <w:tcPr>
            <w:tcW w:w="5620" w:type="dxa"/>
            <w:vAlign w:val="bottom"/>
            <w:gridSpan w:val="2"/>
            <w:shd w:val="clear" w:color="auto" w:fill="E6E7E8"/>
          </w:tcPr>
          <w:p>
            <w:pPr>
              <w:ind w:left="540"/>
              <w:spacing w:after="0" w:line="149" w:lineRule="exact"/>
              <w:rPr>
                <w:sz w:val="20"/>
                <w:szCs w:val="20"/>
                <w:color w:val="auto"/>
              </w:rPr>
            </w:pPr>
            <w:r>
              <w:rPr>
                <w:rFonts w:ascii="Arial" w:cs="Arial" w:eastAsia="Arial" w:hAnsi="Arial"/>
                <w:sz w:val="14"/>
                <w:szCs w:val="14"/>
                <w:color w:val="auto"/>
              </w:rPr>
              <w:t>program, including coverage with respect to property and casualty,</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39" w:lineRule="exact"/>
              <w:rPr>
                <w:sz w:val="20"/>
                <w:szCs w:val="20"/>
                <w:color w:val="auto"/>
              </w:rPr>
            </w:pPr>
            <w:r>
              <w:rPr>
                <w:rFonts w:ascii="Arial" w:cs="Arial" w:eastAsia="Arial" w:hAnsi="Arial"/>
                <w:sz w:val="14"/>
                <w:szCs w:val="14"/>
                <w:color w:val="auto"/>
              </w:rPr>
              <w:t>mitigates these risks;</w:t>
            </w:r>
          </w:p>
        </w:tc>
        <w:tc>
          <w:tcPr>
            <w:tcW w:w="1180" w:type="dxa"/>
            <w:vAlign w:val="bottom"/>
            <w:shd w:val="clear" w:color="auto" w:fill="E6E7E8"/>
          </w:tcPr>
          <w:p>
            <w:pPr>
              <w:spacing w:after="0"/>
              <w:rPr>
                <w:sz w:val="12"/>
                <w:szCs w:val="12"/>
                <w:color w:val="auto"/>
              </w:rPr>
            </w:pPr>
          </w:p>
        </w:tc>
        <w:tc>
          <w:tcPr>
            <w:tcW w:w="5620" w:type="dxa"/>
            <w:vAlign w:val="bottom"/>
            <w:gridSpan w:val="2"/>
            <w:shd w:val="clear" w:color="auto" w:fill="E6E7E8"/>
          </w:tcPr>
          <w:p>
            <w:pPr>
              <w:ind w:left="540"/>
              <w:spacing w:after="0" w:line="139" w:lineRule="exact"/>
              <w:rPr>
                <w:sz w:val="20"/>
                <w:szCs w:val="20"/>
                <w:color w:val="auto"/>
              </w:rPr>
            </w:pPr>
            <w:r>
              <w:rPr>
                <w:rFonts w:ascii="Arial" w:cs="Arial" w:eastAsia="Arial" w:hAnsi="Arial"/>
                <w:sz w:val="14"/>
                <w:szCs w:val="14"/>
                <w:color w:val="auto"/>
              </w:rPr>
              <w:t>information security and cybersecurity;</w:t>
            </w:r>
          </w:p>
        </w:tc>
        <w:tc>
          <w:tcPr>
            <w:tcW w:w="0" w:type="dxa"/>
            <w:vAlign w:val="bottom"/>
          </w:tcPr>
          <w:p>
            <w:pPr>
              <w:spacing w:after="0"/>
              <w:rPr>
                <w:sz w:val="1"/>
                <w:szCs w:val="1"/>
                <w:color w:val="auto"/>
              </w:rPr>
            </w:pPr>
          </w:p>
        </w:tc>
      </w:tr>
      <w:tr>
        <w:trPr>
          <w:trHeight w:val="185"/>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2.</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Controller and Chief Accounting Officer on our internal controls and</w:t>
            </w: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10. from the Chief Sustainability Officer on climate-related risks; and</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39" w:lineRule="exact"/>
              <w:rPr>
                <w:sz w:val="20"/>
                <w:szCs w:val="20"/>
                <w:color w:val="auto"/>
              </w:rPr>
            </w:pPr>
            <w:r>
              <w:rPr>
                <w:rFonts w:ascii="Arial" w:cs="Arial" w:eastAsia="Arial" w:hAnsi="Arial"/>
                <w:sz w:val="14"/>
                <w:szCs w:val="14"/>
                <w:color w:val="auto"/>
              </w:rPr>
              <w:t>SEC filings;</w:t>
            </w:r>
          </w:p>
        </w:tc>
        <w:tc>
          <w:tcPr>
            <w:tcW w:w="1180" w:type="dxa"/>
            <w:vAlign w:val="bottom"/>
            <w:shd w:val="clear" w:color="auto" w:fill="E6E7E8"/>
          </w:tcPr>
          <w:p>
            <w:pPr>
              <w:spacing w:after="0"/>
              <w:rPr>
                <w:sz w:val="12"/>
                <w:szCs w:val="12"/>
                <w:color w:val="auto"/>
              </w:rPr>
            </w:pPr>
          </w:p>
        </w:tc>
        <w:tc>
          <w:tcPr>
            <w:tcW w:w="5620" w:type="dxa"/>
            <w:vAlign w:val="bottom"/>
            <w:gridSpan w:val="2"/>
            <w:shd w:val="clear" w:color="auto" w:fill="E6E7E8"/>
          </w:tcPr>
          <w:p>
            <w:pPr>
              <w:ind w:left="280"/>
              <w:spacing w:after="0" w:line="139" w:lineRule="exact"/>
              <w:rPr>
                <w:sz w:val="20"/>
                <w:szCs w:val="20"/>
                <w:color w:val="auto"/>
              </w:rPr>
            </w:pPr>
            <w:r>
              <w:rPr>
                <w:rFonts w:ascii="Arial" w:cs="Arial" w:eastAsia="Arial" w:hAnsi="Arial"/>
                <w:sz w:val="14"/>
                <w:szCs w:val="14"/>
                <w:color w:val="auto"/>
              </w:rPr>
              <w:t>11. from the Chief Financial Officer, General Counsel and Corporate Vice</w:t>
            </w:r>
          </w:p>
        </w:tc>
        <w:tc>
          <w:tcPr>
            <w:tcW w:w="0" w:type="dxa"/>
            <w:vAlign w:val="bottom"/>
          </w:tcPr>
          <w:p>
            <w:pPr>
              <w:spacing w:after="0"/>
              <w:rPr>
                <w:sz w:val="1"/>
                <w:szCs w:val="1"/>
                <w:color w:val="auto"/>
              </w:rPr>
            </w:pPr>
          </w:p>
        </w:tc>
      </w:tr>
      <w:tr>
        <w:trPr>
          <w:trHeight w:val="185"/>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3.</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Vice President, Internal Audit addressing the internal audits;</w:t>
            </w:r>
          </w:p>
        </w:tc>
        <w:tc>
          <w:tcPr>
            <w:tcW w:w="5620" w:type="dxa"/>
            <w:vAlign w:val="bottom"/>
            <w:gridSpan w:val="2"/>
            <w:shd w:val="clear" w:color="auto" w:fill="E6E7E8"/>
          </w:tcPr>
          <w:p>
            <w:pPr>
              <w:ind w:left="540"/>
              <w:spacing w:after="0"/>
              <w:rPr>
                <w:sz w:val="20"/>
                <w:szCs w:val="20"/>
                <w:color w:val="auto"/>
              </w:rPr>
            </w:pPr>
            <w:r>
              <w:rPr>
                <w:rFonts w:ascii="Arial" w:cs="Arial" w:eastAsia="Arial" w:hAnsi="Arial"/>
                <w:sz w:val="14"/>
                <w:szCs w:val="14"/>
                <w:color w:val="auto"/>
              </w:rPr>
              <w:t>President, Global Operations on a review of the Company’s process for</w:t>
            </w:r>
          </w:p>
        </w:tc>
        <w:tc>
          <w:tcPr>
            <w:tcW w:w="0" w:type="dxa"/>
            <w:vAlign w:val="bottom"/>
          </w:tcPr>
          <w:p>
            <w:pPr>
              <w:spacing w:after="0"/>
              <w:rPr>
                <w:sz w:val="1"/>
                <w:szCs w:val="1"/>
                <w:color w:val="auto"/>
              </w:rPr>
            </w:pPr>
          </w:p>
        </w:tc>
      </w:tr>
      <w:tr>
        <w:trPr>
          <w:trHeight w:val="134"/>
        </w:trPr>
        <w:tc>
          <w:tcPr>
            <w:tcW w:w="80" w:type="dxa"/>
            <w:vAlign w:val="bottom"/>
            <w:shd w:val="clear" w:color="auto" w:fill="E6E7E8"/>
          </w:tcPr>
          <w:p>
            <w:pPr>
              <w:spacing w:after="0"/>
              <w:rPr>
                <w:sz w:val="11"/>
                <w:szCs w:val="11"/>
                <w:color w:val="auto"/>
              </w:rPr>
            </w:pPr>
          </w:p>
        </w:tc>
        <w:tc>
          <w:tcPr>
            <w:tcW w:w="400" w:type="dxa"/>
            <w:vAlign w:val="bottom"/>
            <w:vMerge w:val="restart"/>
            <w:shd w:val="clear" w:color="auto" w:fill="E6E7E8"/>
          </w:tcPr>
          <w:p>
            <w:pPr>
              <w:ind w:left="220"/>
              <w:spacing w:after="0"/>
              <w:rPr>
                <w:sz w:val="20"/>
                <w:szCs w:val="20"/>
                <w:color w:val="auto"/>
              </w:rPr>
            </w:pPr>
            <w:r>
              <w:rPr>
                <w:rFonts w:ascii="Arial" w:cs="Arial" w:eastAsia="Arial" w:hAnsi="Arial"/>
                <w:sz w:val="14"/>
                <w:szCs w:val="14"/>
                <w:color w:val="auto"/>
              </w:rPr>
              <w:t>4.</w:t>
            </w:r>
          </w:p>
        </w:tc>
        <w:tc>
          <w:tcPr>
            <w:tcW w:w="5140" w:type="dxa"/>
            <w:vAlign w:val="bottom"/>
            <w:gridSpan w:val="2"/>
            <w:vMerge w:val="restart"/>
            <w:shd w:val="clear" w:color="auto" w:fill="E6E7E8"/>
          </w:tcPr>
          <w:p>
            <w:pPr>
              <w:ind w:left="60"/>
              <w:spacing w:after="0"/>
              <w:rPr>
                <w:sz w:val="20"/>
                <w:szCs w:val="20"/>
                <w:color w:val="auto"/>
              </w:rPr>
            </w:pPr>
            <w:r>
              <w:rPr>
                <w:rFonts w:ascii="Arial" w:cs="Arial" w:eastAsia="Arial" w:hAnsi="Arial"/>
                <w:sz w:val="14"/>
                <w:szCs w:val="14"/>
                <w:color w:val="auto"/>
              </w:rPr>
              <w:t>from our independent auditors on their review of our internal controls over</w:t>
            </w:r>
          </w:p>
        </w:tc>
        <w:tc>
          <w:tcPr>
            <w:tcW w:w="5620" w:type="dxa"/>
            <w:vAlign w:val="bottom"/>
            <w:gridSpan w:val="2"/>
            <w:shd w:val="clear" w:color="auto" w:fill="E6E7E8"/>
          </w:tcPr>
          <w:p>
            <w:pPr>
              <w:ind w:left="540"/>
              <w:spacing w:after="0" w:line="135" w:lineRule="exact"/>
              <w:rPr>
                <w:sz w:val="20"/>
                <w:szCs w:val="20"/>
                <w:color w:val="auto"/>
              </w:rPr>
            </w:pPr>
            <w:r>
              <w:rPr>
                <w:rFonts w:ascii="Arial" w:cs="Arial" w:eastAsia="Arial" w:hAnsi="Arial"/>
                <w:sz w:val="14"/>
                <w:szCs w:val="14"/>
                <w:color w:val="auto"/>
              </w:rPr>
              <w:t>effective management of enterprise risks and disclosures.</w:t>
            </w:r>
          </w:p>
        </w:tc>
        <w:tc>
          <w:tcPr>
            <w:tcW w:w="0" w:type="dxa"/>
            <w:vAlign w:val="bottom"/>
          </w:tcPr>
          <w:p>
            <w:pPr>
              <w:spacing w:after="0"/>
              <w:rPr>
                <w:sz w:val="1"/>
                <w:szCs w:val="1"/>
                <w:color w:val="auto"/>
              </w:rPr>
            </w:pPr>
          </w:p>
        </w:tc>
      </w:tr>
      <w:tr>
        <w:trPr>
          <w:trHeight w:val="45"/>
        </w:trPr>
        <w:tc>
          <w:tcPr>
            <w:tcW w:w="80" w:type="dxa"/>
            <w:vAlign w:val="bottom"/>
            <w:shd w:val="clear" w:color="auto" w:fill="E6E7E8"/>
          </w:tcPr>
          <w:p>
            <w:pPr>
              <w:spacing w:after="0"/>
              <w:rPr>
                <w:sz w:val="3"/>
                <w:szCs w:val="3"/>
                <w:color w:val="auto"/>
              </w:rPr>
            </w:pPr>
          </w:p>
        </w:tc>
        <w:tc>
          <w:tcPr>
            <w:tcW w:w="400" w:type="dxa"/>
            <w:vAlign w:val="bottom"/>
            <w:vMerge w:val="continue"/>
            <w:shd w:val="clear" w:color="auto" w:fill="E6E7E8"/>
          </w:tcPr>
          <w:p>
            <w:pPr>
              <w:spacing w:after="0"/>
              <w:rPr>
                <w:sz w:val="3"/>
                <w:szCs w:val="3"/>
                <w:color w:val="auto"/>
              </w:rPr>
            </w:pPr>
          </w:p>
        </w:tc>
        <w:tc>
          <w:tcPr>
            <w:tcW w:w="5140" w:type="dxa"/>
            <w:vAlign w:val="bottom"/>
            <w:gridSpan w:val="2"/>
            <w:vMerge w:val="continue"/>
            <w:shd w:val="clear" w:color="auto" w:fill="E6E7E8"/>
          </w:tcPr>
          <w:p>
            <w:pPr>
              <w:spacing w:after="0"/>
              <w:rPr>
                <w:sz w:val="3"/>
                <w:szCs w:val="3"/>
                <w:color w:val="auto"/>
              </w:rPr>
            </w:pPr>
          </w:p>
        </w:tc>
        <w:tc>
          <w:tcPr>
            <w:tcW w:w="5620" w:type="dxa"/>
            <w:vAlign w:val="bottom"/>
            <w:gridSpan w:val="2"/>
            <w:vMerge w:val="restart"/>
            <w:shd w:val="clear" w:color="auto" w:fill="E6E7E8"/>
          </w:tcPr>
          <w:p>
            <w:pPr>
              <w:ind w:left="140"/>
              <w:spacing w:after="0"/>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Provides opportunity for regular discussion of new and emerging risks.</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45" w:lineRule="exact"/>
              <w:rPr>
                <w:sz w:val="20"/>
                <w:szCs w:val="20"/>
                <w:color w:val="auto"/>
              </w:rPr>
            </w:pPr>
            <w:r>
              <w:rPr>
                <w:rFonts w:ascii="Arial" w:cs="Arial" w:eastAsia="Arial" w:hAnsi="Arial"/>
                <w:sz w:val="14"/>
                <w:szCs w:val="14"/>
                <w:color w:val="auto"/>
              </w:rPr>
              <w:t>financial reporting;</w:t>
            </w:r>
          </w:p>
        </w:tc>
        <w:tc>
          <w:tcPr>
            <w:tcW w:w="1180" w:type="dxa"/>
            <w:vAlign w:val="bottom"/>
            <w:shd w:val="clear" w:color="auto" w:fill="E6E7E8"/>
          </w:tcPr>
          <w:p>
            <w:pPr>
              <w:spacing w:after="0"/>
              <w:rPr>
                <w:sz w:val="12"/>
                <w:szCs w:val="12"/>
                <w:color w:val="auto"/>
              </w:rPr>
            </w:pPr>
          </w:p>
        </w:tc>
        <w:tc>
          <w:tcPr>
            <w:tcW w:w="5620" w:type="dxa"/>
            <w:vAlign w:val="bottom"/>
            <w:gridSpan w:val="2"/>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E6E7E8"/>
          </w:tcPr>
          <w:p>
            <w:pPr>
              <w:spacing w:after="0"/>
              <w:rPr>
                <w:sz w:val="15"/>
                <w:szCs w:val="15"/>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5.</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General Counsel on legal and other compliance risks and how the</w:t>
            </w:r>
          </w:p>
        </w:tc>
        <w:tc>
          <w:tcPr>
            <w:tcW w:w="5620" w:type="dxa"/>
            <w:vAlign w:val="bottom"/>
            <w:gridSpan w:val="2"/>
            <w:shd w:val="clear" w:color="auto" w:fill="E6E7E8"/>
          </w:tcPr>
          <w:p>
            <w:pPr>
              <w:ind w:left="140"/>
              <w:spacing w:after="0" w:line="175" w:lineRule="exact"/>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Focuses on risks tied most directly to our financial performance, and those</w:t>
            </w:r>
          </w:p>
        </w:tc>
        <w:tc>
          <w:tcPr>
            <w:tcW w:w="0" w:type="dxa"/>
            <w:vAlign w:val="bottom"/>
          </w:tcPr>
          <w:p>
            <w:pPr>
              <w:spacing w:after="0"/>
              <w:rPr>
                <w:sz w:val="1"/>
                <w:szCs w:val="1"/>
                <w:color w:val="auto"/>
              </w:rPr>
            </w:pPr>
          </w:p>
        </w:tc>
      </w:tr>
      <w:tr>
        <w:trPr>
          <w:trHeight w:val="180"/>
        </w:trPr>
        <w:tc>
          <w:tcPr>
            <w:tcW w:w="80" w:type="dxa"/>
            <w:vAlign w:val="bottom"/>
            <w:shd w:val="clear" w:color="auto" w:fill="E6E7E8"/>
          </w:tcPr>
          <w:p>
            <w:pPr>
              <w:spacing w:after="0"/>
              <w:rPr>
                <w:sz w:val="15"/>
                <w:szCs w:val="15"/>
                <w:color w:val="auto"/>
              </w:rPr>
            </w:pPr>
          </w:p>
        </w:tc>
        <w:tc>
          <w:tcPr>
            <w:tcW w:w="400" w:type="dxa"/>
            <w:vAlign w:val="bottom"/>
            <w:shd w:val="clear" w:color="auto" w:fill="E6E7E8"/>
          </w:tcPr>
          <w:p>
            <w:pPr>
              <w:spacing w:after="0"/>
              <w:rPr>
                <w:sz w:val="15"/>
                <w:szCs w:val="15"/>
                <w:color w:val="auto"/>
              </w:rPr>
            </w:pPr>
          </w:p>
        </w:tc>
        <w:tc>
          <w:tcPr>
            <w:tcW w:w="3960" w:type="dxa"/>
            <w:vAlign w:val="bottom"/>
            <w:shd w:val="clear" w:color="auto" w:fill="E6E7E8"/>
          </w:tcPr>
          <w:p>
            <w:pPr>
              <w:ind w:left="80"/>
              <w:spacing w:after="0"/>
              <w:rPr>
                <w:sz w:val="20"/>
                <w:szCs w:val="20"/>
                <w:color w:val="auto"/>
              </w:rPr>
            </w:pPr>
            <w:r>
              <w:rPr>
                <w:rFonts w:ascii="Arial" w:cs="Arial" w:eastAsia="Arial" w:hAnsi="Arial"/>
                <w:sz w:val="14"/>
                <w:szCs w:val="14"/>
                <w:color w:val="auto"/>
              </w:rPr>
              <w:t>Company is addressing and mitigating those risks;</w:t>
            </w:r>
          </w:p>
        </w:tc>
        <w:tc>
          <w:tcPr>
            <w:tcW w:w="1180" w:type="dxa"/>
            <w:vAlign w:val="bottom"/>
            <w:shd w:val="clear" w:color="auto" w:fill="E6E7E8"/>
          </w:tcPr>
          <w:p>
            <w:pPr>
              <w:spacing w:after="0"/>
              <w:rPr>
                <w:sz w:val="15"/>
                <w:szCs w:val="15"/>
                <w:color w:val="auto"/>
              </w:rPr>
            </w:pPr>
          </w:p>
        </w:tc>
        <w:tc>
          <w:tcPr>
            <w:tcW w:w="5620" w:type="dxa"/>
            <w:vAlign w:val="bottom"/>
            <w:gridSpan w:val="2"/>
            <w:shd w:val="clear" w:color="auto" w:fill="E6E7E8"/>
          </w:tcPr>
          <w:p>
            <w:pPr>
              <w:ind w:left="340"/>
              <w:spacing w:after="0"/>
              <w:rPr>
                <w:sz w:val="20"/>
                <w:szCs w:val="20"/>
                <w:color w:val="auto"/>
              </w:rPr>
            </w:pPr>
            <w:r>
              <w:rPr>
                <w:rFonts w:ascii="Arial" w:cs="Arial" w:eastAsia="Arial" w:hAnsi="Arial"/>
                <w:sz w:val="14"/>
                <w:szCs w:val="14"/>
                <w:color w:val="auto"/>
              </w:rPr>
              <w:t>related to natural disasters and security, including cybersecurity.</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ind w:left="220"/>
              <w:spacing w:after="0" w:line="145" w:lineRule="exact"/>
              <w:rPr>
                <w:sz w:val="20"/>
                <w:szCs w:val="20"/>
                <w:color w:val="auto"/>
              </w:rPr>
            </w:pPr>
            <w:r>
              <w:rPr>
                <w:rFonts w:ascii="Arial" w:cs="Arial" w:eastAsia="Arial" w:hAnsi="Arial"/>
                <w:sz w:val="14"/>
                <w:szCs w:val="14"/>
                <w:color w:val="auto"/>
              </w:rPr>
              <w:t>6.</w:t>
            </w:r>
          </w:p>
        </w:tc>
        <w:tc>
          <w:tcPr>
            <w:tcW w:w="5140" w:type="dxa"/>
            <w:vAlign w:val="bottom"/>
            <w:gridSpan w:val="2"/>
            <w:shd w:val="clear" w:color="auto" w:fill="E6E7E8"/>
          </w:tcPr>
          <w:p>
            <w:pPr>
              <w:ind w:left="60"/>
              <w:spacing w:after="0" w:line="145" w:lineRule="exact"/>
              <w:rPr>
                <w:sz w:val="20"/>
                <w:szCs w:val="20"/>
                <w:color w:val="auto"/>
              </w:rPr>
            </w:pPr>
            <w:r>
              <w:rPr>
                <w:rFonts w:ascii="Arial" w:cs="Arial" w:eastAsia="Arial" w:hAnsi="Arial"/>
                <w:sz w:val="14"/>
                <w:szCs w:val="14"/>
                <w:color w:val="auto"/>
              </w:rPr>
              <w:t>from the Company's Chief Ethics and Compliance Officer (CECO) on the</w:t>
            </w:r>
          </w:p>
        </w:tc>
        <w:tc>
          <w:tcPr>
            <w:tcW w:w="2000" w:type="dxa"/>
            <w:vAlign w:val="bottom"/>
            <w:shd w:val="clear" w:color="auto" w:fill="E6E7E8"/>
          </w:tcPr>
          <w:p>
            <w:pPr>
              <w:spacing w:after="0"/>
              <w:rPr>
                <w:sz w:val="12"/>
                <w:szCs w:val="12"/>
                <w:color w:val="auto"/>
              </w:rPr>
            </w:pPr>
          </w:p>
        </w:tc>
        <w:tc>
          <w:tcPr>
            <w:tcW w:w="3620" w:type="dxa"/>
            <w:vAlign w:val="bottom"/>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spacing w:after="0"/>
              <w:rPr>
                <w:sz w:val="16"/>
                <w:szCs w:val="16"/>
                <w:color w:val="auto"/>
              </w:rPr>
            </w:pPr>
          </w:p>
        </w:tc>
        <w:tc>
          <w:tcPr>
            <w:tcW w:w="3960" w:type="dxa"/>
            <w:vAlign w:val="bottom"/>
            <w:shd w:val="clear" w:color="auto" w:fill="E6E7E8"/>
          </w:tcPr>
          <w:p>
            <w:pPr>
              <w:ind w:left="80"/>
              <w:spacing w:after="0"/>
              <w:rPr>
                <w:sz w:val="20"/>
                <w:szCs w:val="20"/>
                <w:color w:val="auto"/>
              </w:rPr>
            </w:pPr>
            <w:r>
              <w:rPr>
                <w:rFonts w:ascii="Arial" w:cs="Arial" w:eastAsia="Arial" w:hAnsi="Arial"/>
                <w:sz w:val="14"/>
                <w:szCs w:val="14"/>
                <w:color w:val="auto"/>
              </w:rPr>
              <w:t>Company’s global compliance program overall;</w:t>
            </w:r>
          </w:p>
        </w:tc>
        <w:tc>
          <w:tcPr>
            <w:tcW w:w="1180" w:type="dxa"/>
            <w:vAlign w:val="bottom"/>
            <w:shd w:val="clear" w:color="auto" w:fill="E6E7E8"/>
          </w:tcPr>
          <w:p>
            <w:pPr>
              <w:spacing w:after="0"/>
              <w:rPr>
                <w:sz w:val="16"/>
                <w:szCs w:val="16"/>
                <w:color w:val="auto"/>
              </w:rPr>
            </w:pPr>
          </w:p>
        </w:tc>
        <w:tc>
          <w:tcPr>
            <w:tcW w:w="2000" w:type="dxa"/>
            <w:vAlign w:val="bottom"/>
            <w:shd w:val="clear" w:color="auto" w:fill="E6E7E8"/>
          </w:tcPr>
          <w:p>
            <w:pPr>
              <w:spacing w:after="0"/>
              <w:rPr>
                <w:sz w:val="16"/>
                <w:szCs w:val="16"/>
                <w:color w:val="auto"/>
              </w:rPr>
            </w:pPr>
          </w:p>
        </w:tc>
        <w:tc>
          <w:tcPr>
            <w:tcW w:w="3620" w:type="dxa"/>
            <w:vAlign w:val="bottom"/>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 w:type="dxa"/>
            <w:vAlign w:val="bottom"/>
            <w:shd w:val="clear" w:color="auto" w:fill="E6E7E8"/>
          </w:tcPr>
          <w:p>
            <w:pPr>
              <w:spacing w:after="0"/>
              <w:rPr>
                <w:sz w:val="8"/>
                <w:szCs w:val="8"/>
                <w:color w:val="auto"/>
              </w:rPr>
            </w:pPr>
          </w:p>
        </w:tc>
        <w:tc>
          <w:tcPr>
            <w:tcW w:w="4360" w:type="dxa"/>
            <w:vAlign w:val="bottom"/>
            <w:gridSpan w:val="2"/>
            <w:shd w:val="clear" w:color="auto" w:fill="E6E7E8"/>
          </w:tcPr>
          <w:p>
            <w:pPr>
              <w:spacing w:after="0"/>
              <w:rPr>
                <w:sz w:val="8"/>
                <w:szCs w:val="8"/>
                <w:color w:val="auto"/>
              </w:rPr>
            </w:pPr>
          </w:p>
        </w:tc>
        <w:tc>
          <w:tcPr>
            <w:tcW w:w="1180" w:type="dxa"/>
            <w:vAlign w:val="bottom"/>
            <w:shd w:val="clear" w:color="auto" w:fill="E6E7E8"/>
          </w:tcPr>
          <w:p>
            <w:pPr>
              <w:spacing w:after="0"/>
              <w:rPr>
                <w:sz w:val="8"/>
                <w:szCs w:val="8"/>
                <w:color w:val="auto"/>
              </w:rPr>
            </w:pPr>
          </w:p>
        </w:tc>
        <w:tc>
          <w:tcPr>
            <w:tcW w:w="2000" w:type="dxa"/>
            <w:vAlign w:val="bottom"/>
            <w:shd w:val="clear" w:color="auto" w:fill="E6E7E8"/>
          </w:tcPr>
          <w:p>
            <w:pPr>
              <w:spacing w:after="0"/>
              <w:rPr>
                <w:sz w:val="8"/>
                <w:szCs w:val="8"/>
                <w:color w:val="auto"/>
              </w:rPr>
            </w:pPr>
          </w:p>
        </w:tc>
        <w:tc>
          <w:tcPr>
            <w:tcW w:w="3620" w:type="dxa"/>
            <w:vAlign w:val="bottom"/>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5"/>
                <w:szCs w:val="15"/>
                <w:b w:val="1"/>
                <w:bCs w:val="1"/>
                <w:color w:val="auto"/>
              </w:rPr>
              <w:t>COMPENSATION AND HUMAN CAPITAL</w:t>
            </w:r>
          </w:p>
        </w:tc>
        <w:tc>
          <w:tcPr>
            <w:tcW w:w="318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POLICY COMMITTEE</w:t>
            </w:r>
          </w:p>
        </w:tc>
        <w:tc>
          <w:tcPr>
            <w:tcW w:w="3620" w:type="dxa"/>
            <w:vAlign w:val="bottom"/>
          </w:tcPr>
          <w:p>
            <w:pPr>
              <w:jc w:val="center"/>
              <w:spacing w:after="0"/>
              <w:rPr>
                <w:sz w:val="20"/>
                <w:szCs w:val="20"/>
                <w:color w:val="auto"/>
              </w:rPr>
            </w:pPr>
            <w:r>
              <w:rPr>
                <w:rFonts w:ascii="Arial" w:cs="Arial" w:eastAsia="Arial" w:hAnsi="Arial"/>
                <w:sz w:val="15"/>
                <w:szCs w:val="15"/>
                <w:b w:val="1"/>
                <w:bCs w:val="1"/>
                <w:color w:val="auto"/>
              </w:rPr>
              <w:t>NOMINATING AND CORPORATE</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vMerge w:val="restart"/>
          </w:tcPr>
          <w:p>
            <w:pPr>
              <w:ind w:left="800"/>
              <w:spacing w:after="0"/>
              <w:rPr>
                <w:sz w:val="20"/>
                <w:szCs w:val="20"/>
                <w:color w:val="auto"/>
              </w:rPr>
            </w:pPr>
            <w:r>
              <w:rPr>
                <w:rFonts w:ascii="Arial" w:cs="Arial" w:eastAsia="Arial" w:hAnsi="Arial"/>
                <w:sz w:val="15"/>
                <w:szCs w:val="15"/>
                <w:b w:val="1"/>
                <w:bCs w:val="1"/>
                <w:color w:val="auto"/>
              </w:rPr>
              <w:t>COMMITTEE</w:t>
            </w:r>
          </w:p>
        </w:tc>
        <w:tc>
          <w:tcPr>
            <w:tcW w:w="3180" w:type="dxa"/>
            <w:vAlign w:val="bottom"/>
            <w:gridSpan w:val="2"/>
            <w:vMerge w:val="continue"/>
          </w:tcPr>
          <w:p>
            <w:pPr>
              <w:spacing w:after="0"/>
              <w:rPr>
                <w:sz w:val="10"/>
                <w:szCs w:val="10"/>
                <w:color w:val="auto"/>
              </w:rPr>
            </w:pPr>
          </w:p>
        </w:tc>
        <w:tc>
          <w:tcPr>
            <w:tcW w:w="36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GOVERNANCE COMMITTEE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2344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78" w:lineRule="exact"/>
        <w:rPr>
          <w:sz w:val="20"/>
          <w:szCs w:val="20"/>
          <w:color w:val="auto"/>
        </w:rPr>
      </w:pPr>
    </w:p>
    <w:p>
      <w:pPr>
        <w:jc w:val="both"/>
        <w:ind w:left="300" w:right="40" w:hanging="193"/>
        <w:spacing w:after="0" w:line="224" w:lineRule="auto"/>
        <w:tabs>
          <w:tab w:leader="none" w:pos="257" w:val="left"/>
        </w:tabs>
        <w:numPr>
          <w:ilvl w:val="0"/>
          <w:numId w:val="65"/>
        </w:numPr>
        <w:rPr>
          <w:rFonts w:ascii="Arial" w:cs="Arial" w:eastAsia="Arial" w:hAnsi="Arial"/>
          <w:sz w:val="16"/>
          <w:szCs w:val="16"/>
          <w:color w:val="29378D"/>
        </w:rPr>
      </w:pPr>
      <w:r>
        <w:rPr>
          <w:rFonts w:ascii="Arial" w:cs="Arial" w:eastAsia="Arial" w:hAnsi="Arial"/>
          <w:sz w:val="14"/>
          <w:szCs w:val="14"/>
          <w:color w:val="auto"/>
        </w:rPr>
        <w:t>Oversees management of human capital risk, including talent management, diversity, equity and inclusion, and engagement.</w:t>
      </w:r>
    </w:p>
    <w:p>
      <w:pPr>
        <w:spacing w:after="0" w:line="13" w:lineRule="exact"/>
        <w:rPr>
          <w:rFonts w:ascii="Arial" w:cs="Arial" w:eastAsia="Arial" w:hAnsi="Arial"/>
          <w:sz w:val="16"/>
          <w:szCs w:val="16"/>
          <w:color w:val="29378D"/>
        </w:rPr>
      </w:pPr>
    </w:p>
    <w:p>
      <w:pPr>
        <w:ind w:left="300" w:hanging="193"/>
        <w:spacing w:after="0" w:line="223" w:lineRule="auto"/>
        <w:tabs>
          <w:tab w:leader="none" w:pos="257" w:val="left"/>
        </w:tabs>
        <w:numPr>
          <w:ilvl w:val="0"/>
          <w:numId w:val="65"/>
        </w:numPr>
        <w:rPr>
          <w:rFonts w:ascii="Arial" w:cs="Arial" w:eastAsia="Arial" w:hAnsi="Arial"/>
          <w:sz w:val="16"/>
          <w:szCs w:val="16"/>
          <w:color w:val="29378D"/>
        </w:rPr>
      </w:pPr>
      <w:r>
        <w:rPr>
          <w:rFonts w:ascii="Arial" w:cs="Arial" w:eastAsia="Arial" w:hAnsi="Arial"/>
          <w:sz w:val="14"/>
          <w:szCs w:val="14"/>
          <w:color w:val="auto"/>
        </w:rPr>
        <w:t>Reviews at least annually a risk assessment of the Company’s compensation programs and, together with its independent compensation consultant, evaluates the mix of at-risk compensation linked to stock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51435" cy="603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04" w:hanging="204"/>
        <w:spacing w:after="0" w:line="223"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Assists the Board in identifying and considering geopolitical risks, including global security, political, budgetary, technological and other similar issues and trends that could significantly impact the Company’s business.</w:t>
      </w:r>
    </w:p>
    <w:p>
      <w:pPr>
        <w:spacing w:after="0" w:line="2" w:lineRule="exact"/>
        <w:rPr>
          <w:rFonts w:ascii="Arial" w:cs="Arial" w:eastAsia="Arial" w:hAnsi="Arial"/>
          <w:sz w:val="16"/>
          <w:szCs w:val="16"/>
          <w:color w:val="29378D"/>
        </w:rPr>
      </w:pPr>
    </w:p>
    <w:p>
      <w:pPr>
        <w:ind w:left="204" w:right="220" w:hanging="204"/>
        <w:spacing w:after="0" w:line="230"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Reviews the Company’s external relations and provides oversight over the Company’s policies and programs for ethics and corporate social responsibility.</w:t>
      </w:r>
    </w:p>
    <w:p>
      <w:pPr>
        <w:spacing w:after="0" w:line="1" w:lineRule="exact"/>
        <w:rPr>
          <w:rFonts w:ascii="Arial" w:cs="Arial" w:eastAsia="Arial" w:hAnsi="Arial"/>
          <w:sz w:val="16"/>
          <w:szCs w:val="16"/>
          <w:color w:val="29378D"/>
        </w:rPr>
      </w:pPr>
    </w:p>
    <w:p>
      <w:pPr>
        <w:ind w:left="204" w:right="220" w:hanging="204"/>
        <w:spacing w:after="0" w:line="228"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Reviews and oversees the Company’s commitment to environmental sustainability, climate change, health and safety and human rights, including review of the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365760</wp:posOffset>
            </wp:positionV>
            <wp:extent cx="7020560" cy="603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0560" cy="6032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116840</wp:posOffset>
            </wp:positionV>
            <wp:extent cx="18034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92" w:right="460" w:hanging="192"/>
        <w:spacing w:after="0" w:line="224"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Oversees and reviews the Company’s management of its governance-related risks, including risks related to corporate culture.</w:t>
      </w:r>
    </w:p>
    <w:p>
      <w:pPr>
        <w:spacing w:after="0" w:line="13" w:lineRule="exact"/>
        <w:rPr>
          <w:rFonts w:ascii="Arial" w:cs="Arial" w:eastAsia="Arial" w:hAnsi="Arial"/>
          <w:sz w:val="16"/>
          <w:szCs w:val="16"/>
          <w:color w:val="29378D"/>
        </w:rPr>
      </w:pPr>
    </w:p>
    <w:p>
      <w:pPr>
        <w:ind w:left="192" w:right="400" w:hanging="192"/>
        <w:spacing w:after="0" w:line="219"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Regularly reviews the Company’s policies and practices on issues of corporate governance, and considers issues of succession and composition of the Board, recommending proposed changes to the full Board for approval.</w:t>
      </w:r>
    </w:p>
    <w:p>
      <w:pPr>
        <w:spacing w:after="0" w:line="15" w:lineRule="exact"/>
        <w:rPr>
          <w:rFonts w:ascii="Arial" w:cs="Arial" w:eastAsia="Arial" w:hAnsi="Arial"/>
          <w:sz w:val="16"/>
          <w:szCs w:val="16"/>
          <w:color w:val="29378D"/>
        </w:rPr>
      </w:pPr>
    </w:p>
    <w:p>
      <w:pPr>
        <w:ind w:left="192" w:right="480" w:hanging="192"/>
        <w:spacing w:after="0" w:line="235"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Oversees the roles and responsibilities of the Committees and Committee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365760</wp:posOffset>
            </wp:positionV>
            <wp:extent cx="59690" cy="603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240" w:space="296"/>
            <w:col w:w="3964" w:space="248"/>
            <w:col w:w="3492"/>
          </w:cols>
          <w:pgMar w:left="320" w:top="238"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ENTERPRISE RISK MANAGEMENT COUNCIL (ERMC)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157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182" w:lineRule="exact"/>
        <w:rPr>
          <w:sz w:val="20"/>
          <w:szCs w:val="20"/>
          <w:color w:val="auto"/>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Seeks to ensure that the Company has identified significant risks and implemented effective mitigation plans for each risk.</w:t>
      </w:r>
    </w:p>
    <w:p>
      <w:pPr>
        <w:spacing w:after="0" w:line="12" w:lineRule="exact"/>
        <w:rPr>
          <w:rFonts w:ascii="Arial" w:cs="Arial" w:eastAsia="Arial" w:hAnsi="Arial"/>
          <w:sz w:val="16"/>
          <w:szCs w:val="16"/>
          <w:color w:val="29378D"/>
        </w:rPr>
      </w:pPr>
    </w:p>
    <w:p>
      <w:pPr>
        <w:ind w:left="300" w:right="60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Comprised of all members of the Executive Leadership Team, as well as the Chief Accounting Officer, CECO, Corporate Secretary, Chief Sustainability Officer, Vice President, Internal Audit and Treasurer.</w:t>
      </w:r>
    </w:p>
    <w:p>
      <w:pPr>
        <w:spacing w:after="0" w:line="13" w:lineRule="exact"/>
        <w:rPr>
          <w:rFonts w:ascii="Arial" w:cs="Arial" w:eastAsia="Arial" w:hAnsi="Arial"/>
          <w:sz w:val="16"/>
          <w:szCs w:val="16"/>
          <w:color w:val="29378D"/>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Meets at least twice each year to oversee, review and ensure effective management of enterprise risks.</w:t>
      </w:r>
    </w:p>
    <w:p>
      <w:pPr>
        <w:spacing w:after="0" w:line="12" w:lineRule="exact"/>
        <w:rPr>
          <w:rFonts w:ascii="Arial" w:cs="Arial" w:eastAsia="Arial" w:hAnsi="Arial"/>
          <w:sz w:val="16"/>
          <w:szCs w:val="16"/>
          <w:color w:val="29378D"/>
        </w:rPr>
      </w:pPr>
    </w:p>
    <w:p>
      <w:pPr>
        <w:ind w:left="300" w:right="78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Receives updates from management lead at each meeting, with particular focus on any significant changes in the risk profile or necessary mitigations; discusses changes in the environment and potential new and emerging risks; takes actions to address; ensures any material changes to risks are reflected in SEC filings.</w:t>
      </w:r>
    </w:p>
    <w:p>
      <w:pPr>
        <w:spacing w:after="0" w:line="13" w:lineRule="exact"/>
        <w:rPr>
          <w:rFonts w:ascii="Arial" w:cs="Arial" w:eastAsia="Arial" w:hAnsi="Arial"/>
          <w:sz w:val="16"/>
          <w:szCs w:val="16"/>
          <w:color w:val="29378D"/>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The Chief Information Officer, Chief Technology Officer and Vice President, Supply Chain also attend each ERMC meeting.</w:t>
      </w:r>
    </w:p>
    <w:p>
      <w:pPr>
        <w:spacing w:after="0" w:line="12" w:lineRule="exact"/>
        <w:rPr>
          <w:rFonts w:ascii="Arial" w:cs="Arial" w:eastAsia="Arial" w:hAnsi="Arial"/>
          <w:sz w:val="16"/>
          <w:szCs w:val="16"/>
          <w:color w:val="29378D"/>
        </w:rPr>
      </w:pPr>
    </w:p>
    <w:p>
      <w:pPr>
        <w:ind w:left="300" w:right="38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The General Counsel, Chief Financial Officer and Corporate Vice President, Global Operations provide an update at least annually to the Audit and Risk Committee on the deliberations of the ERMC and significant areas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708088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hanging="494"/>
        <w:spacing w:after="0"/>
        <w:tabs>
          <w:tab w:leader="none" w:pos="520"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Chair of the Board</w:t>
      </w:r>
    </w:p>
    <w:p>
      <w:pPr>
        <w:spacing w:after="0" w:line="123"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Our Bylaws provide that our directors will designate a Chair of the Board from among its members. The Chair presides at all Board and shareholder meetings. The Chair interacts directly with all members of the Board and assists the Board to fulfill its responsibilities, including those related to risk oversight. As the Principles of Corporate Governance provide, the Board believes it is in the best interests of the Company and the shareholders for the Board to have flexibility to determine the best director to serve as Chair of the Board at the time, based on consideration of all relevant factors.</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At least once every year, the Board considers who will best serve as Chair and whether that person should be an independent director given the environment and needs of the Company. The Board has concluded that having Ms. Warden, our Chief Executive Officer, serve as Chair is the most appropriate leadership structure for the Company at this time, and best positions the Company to be innovative, compete successfully, present one face to our customers and advance shareholder interests in today’s environment. The Board believes that Ms. Warden’s years of experience and her deep understanding of the Company’s business, day-to-day operations, growth opportunities, challenges and risk management practices gained through various leadership positions enable her to provide strong and effective leadership to the Board and to ensure that the Board is informed of important issues facing the Company. The Board consists entirely of independent directors, other than Ms. Warden, and continues to exercise a strong,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 that best meets the needs of the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Lead Independent Director</w:t>
      </w:r>
    </w:p>
    <w:p>
      <w:pPr>
        <w:spacing w:after="0" w:line="12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If the Chair is not independent, the independent directors will designate annually from among them a Lead Independent Director. Following our 2023 Annual Meeting, the independent directors designated Ms. Kleiner as Lead Independent Director.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Our Principles of Corporate Governance set forth specific duties and responsibilities of the Lead Independent Director, which include the following:</w:t>
      </w:r>
    </w:p>
    <w:p>
      <w:pPr>
        <w:spacing w:after="0" w:line="113" w:lineRule="exact"/>
        <w:rPr>
          <w:sz w:val="20"/>
          <w:szCs w:val="20"/>
          <w:color w:val="auto"/>
        </w:rPr>
      </w:pPr>
    </w:p>
    <w:p>
      <w:pPr>
        <w:ind w:left="200" w:right="200" w:hanging="192"/>
        <w:spacing w:after="0" w:line="27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authority to call, establish the agenda and review all the materials for, and chair all meetings of the Independent Directors, including executive sessions regularly scheduled at each full Board meeting, and special sessions of Independent Directors called in case of crisis or matters requiring their separate consideration or decision;</w:t>
      </w:r>
    </w:p>
    <w:p>
      <w:pPr>
        <w:spacing w:after="0" w:line="29"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chair all other meetings of the Board at which the Chair is not present;</w:t>
      </w:r>
    </w:p>
    <w:p>
      <w:pPr>
        <w:spacing w:after="0" w:line="86" w:lineRule="exact"/>
        <w:rPr>
          <w:rFonts w:ascii="Arial" w:cs="Arial" w:eastAsia="Arial" w:hAnsi="Arial"/>
          <w:sz w:val="16"/>
          <w:szCs w:val="16"/>
          <w:b w:val="1"/>
          <w:bCs w:val="1"/>
          <w:color w:val="29378D"/>
        </w:rPr>
      </w:pPr>
    </w:p>
    <w:p>
      <w:pPr>
        <w:ind w:left="200" w:right="60" w:hanging="192"/>
        <w:spacing w:after="0" w:line="26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regularly meet with the Chair to provide independent oversight, as well as guidance and requests from Independent Directors; to review the agenda for upcoming Board and committee meetings, and materials provided to Directors; to review the results of recently held Board meetings and to agree to next steps; to advise the Chair on decisions made by the Independent Directors in executive session and ensure implementation; and to consult with the Chair more broadly to help ensure the Board’s effective exercise of governance, risk and oversight responsibilities;</w:t>
      </w:r>
    </w:p>
    <w:p>
      <w:pPr>
        <w:spacing w:after="0" w:line="37"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approve the schedule of Board and committee meetings to assure there is significant opportunity for the Board to consider properly all necessary agenda items;</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serve as a liaison between the Chair and the Independent Directors;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meet with shareholders and other stakeholders as appropriate;</w:t>
      </w:r>
    </w:p>
    <w:p>
      <w:pPr>
        <w:spacing w:after="0" w:line="8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70"/>
        </w:numPr>
        <w:rPr>
          <w:rFonts w:ascii="Arial" w:cs="Arial" w:eastAsia="Arial" w:hAnsi="Arial"/>
          <w:sz w:val="16"/>
          <w:szCs w:val="16"/>
          <w:color w:val="29378D"/>
        </w:rPr>
      </w:pPr>
      <w:r>
        <w:rPr>
          <w:rFonts w:ascii="Arial" w:cs="Arial" w:eastAsia="Arial" w:hAnsi="Arial"/>
          <w:sz w:val="16"/>
          <w:szCs w:val="16"/>
          <w:color w:val="auto"/>
        </w:rPr>
        <w:t>meet with senior management outside of Board meetings periodically and as requested;</w:t>
      </w:r>
    </w:p>
    <w:p>
      <w:pPr>
        <w:spacing w:after="0" w:line="86" w:lineRule="exact"/>
        <w:rPr>
          <w:rFonts w:ascii="Arial" w:cs="Arial" w:eastAsia="Arial" w:hAnsi="Arial"/>
          <w:sz w:val="16"/>
          <w:szCs w:val="16"/>
          <w:color w:val="29378D"/>
        </w:rPr>
      </w:pPr>
    </w:p>
    <w:p>
      <w:pPr>
        <w:ind w:left="200" w:right="160" w:hanging="192"/>
        <w:spacing w:after="0" w:line="27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interview, along with the Chair and the Chair of the Nominating and Corporate Governance Committee, Board candidates and make recommendations to the Nominating and Corporate Governance Committee and the Board, helping to prioritize the specific skill sets, diversity, experience and values that candidates for consideration should possess;</w:t>
      </w:r>
    </w:p>
    <w:p>
      <w:pPr>
        <w:spacing w:after="0" w:line="15"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coordinate with Chair on the structure of Committee membership and leadership;</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help to enable confidence in the Company’s leadership;</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support the chair to facilitate succession planning and management development;</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lead the annual evaluation of the Chair and CEO;</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oversee the evaluation of the performance of the Board and meet with independent directors to discuss results of director peer evaluations;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6"/>
          <w:szCs w:val="16"/>
          <w:b w:val="1"/>
          <w:bCs w:val="1"/>
          <w:color w:val="29378D"/>
        </w:rPr>
      </w:pPr>
      <w:r>
        <w:rPr>
          <w:rFonts w:ascii="Arial" w:cs="Arial" w:eastAsia="Arial" w:hAnsi="Arial"/>
          <w:sz w:val="16"/>
          <w:szCs w:val="16"/>
          <w:color w:val="auto"/>
        </w:rPr>
        <w:t>perform such other duties as may be assigned by the Board.</w:t>
      </w:r>
    </w:p>
    <w:p>
      <w:pPr>
        <w:spacing w:after="0" w:line="113"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Our Lead Independent Director plays a critical role in reviewing director feedback received through the annual director evaluation process and providing feedback to each director on their individual performance. Our Lead Independent Director is empowered to and does actively engage with our Chair and Chief Executive Officer to help enable a strong and effective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Committees of the Board</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has four standing committees: the Audit and Risk Committee, the Compensation and Human Capital Committee, the Nominating and Corporate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as of December 31, 2023, and Chair of each committee. The charters for each standing committee can be found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37030" cy="4963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7030" cy="4963160"/>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p>
      <w:pPr>
        <w:spacing w:after="0" w:line="277" w:lineRule="exact"/>
        <w:rPr>
          <w:sz w:val="20"/>
          <w:szCs w:val="20"/>
          <w:color w:val="auto"/>
        </w:rPr>
      </w:pPr>
    </w:p>
    <w:p>
      <w:pPr>
        <w:ind w:left="100" w:right="740"/>
        <w:spacing w:after="0" w:line="296" w:lineRule="auto"/>
        <w:rPr>
          <w:sz w:val="20"/>
          <w:szCs w:val="20"/>
          <w:color w:val="auto"/>
        </w:rPr>
      </w:pPr>
      <w:r>
        <w:rPr>
          <w:rFonts w:ascii="Arial" w:cs="Arial" w:eastAsia="Arial" w:hAnsi="Arial"/>
          <w:sz w:val="23"/>
          <w:szCs w:val="23"/>
          <w:color w:val="29378D"/>
        </w:rPr>
        <w:t>Audit and Risk Committee</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Thomas M. Schoewe* (chair)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Marianne C. Brown</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 M. Fudge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Kimberly A. Ross*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S. Turley*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A. Welsh III</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8</w:t>
      </w:r>
    </w:p>
    <w:p>
      <w:pPr>
        <w:spacing w:after="0" w:line="216" w:lineRule="exact"/>
        <w:rPr>
          <w:sz w:val="20"/>
          <w:szCs w:val="20"/>
          <w:color w:val="auto"/>
        </w:rPr>
      </w:pPr>
    </w:p>
    <w:p>
      <w:pPr>
        <w:ind w:left="100" w:firstLine="4"/>
        <w:spacing w:after="0" w:line="262" w:lineRule="auto"/>
        <w:tabs>
          <w:tab w:leader="none" w:pos="2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Qualifies as Audit Committee Financial Expert; all members are financially literate.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financial and enterprise-related risk activities, including by:</w:t>
      </w:r>
    </w:p>
    <w:p>
      <w:pPr>
        <w:spacing w:after="0" w:line="113" w:lineRule="exact"/>
        <w:rPr>
          <w:sz w:val="20"/>
          <w:szCs w:val="20"/>
          <w:color w:val="auto"/>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the Company’s Annual Reports on Form 10-K and Quarterly Reports on Form 10-Q</w:t>
      </w:r>
    </w:p>
    <w:p>
      <w:pPr>
        <w:spacing w:after="0" w:line="86" w:lineRule="exact"/>
        <w:rPr>
          <w:rFonts w:ascii="Arial" w:cs="Arial" w:eastAsia="Arial" w:hAnsi="Arial"/>
          <w:sz w:val="16"/>
          <w:szCs w:val="16"/>
          <w:b w:val="1"/>
          <w:bCs w:val="1"/>
          <w:color w:val="29378D"/>
        </w:rPr>
      </w:pPr>
    </w:p>
    <w:p>
      <w:pPr>
        <w:ind w:left="200" w:right="5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management’s assessment of, and report on, the effectiveness of the Company’s internal control over financial reporting at least annually and independent auditor's related report</w:t>
      </w:r>
    </w:p>
    <w:p>
      <w:pPr>
        <w:spacing w:after="0" w:line="20" w:lineRule="exact"/>
        <w:rPr>
          <w:rFonts w:ascii="Arial" w:cs="Arial" w:eastAsia="Arial" w:hAnsi="Arial"/>
          <w:sz w:val="16"/>
          <w:szCs w:val="16"/>
          <w:b w:val="1"/>
          <w:bCs w:val="1"/>
          <w:color w:val="29378D"/>
        </w:rPr>
      </w:pPr>
    </w:p>
    <w:p>
      <w:pPr>
        <w:ind w:left="200" w:right="28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assisting the Board in its oversight of enterprise risk management (including through the different board committees), including reviewing at least annually the overall risk management process at the Company level</w:t>
      </w:r>
    </w:p>
    <w:p>
      <w:pPr>
        <w:spacing w:after="0" w:line="20" w:lineRule="exact"/>
        <w:rPr>
          <w:rFonts w:ascii="Arial" w:cs="Arial" w:eastAsia="Arial" w:hAnsi="Arial"/>
          <w:sz w:val="16"/>
          <w:szCs w:val="16"/>
          <w:b w:val="1"/>
          <w:bCs w:val="1"/>
          <w:color w:val="29378D"/>
        </w:rPr>
      </w:pPr>
    </w:p>
    <w:p>
      <w:pPr>
        <w:ind w:left="200" w:right="6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appointing, retaining, overseeing, evaluating and terminating, if necessary, the independent auditor; reviewing the performance of the lead audit partner and involvement in the selection and approval of the lead audit partner</w:t>
      </w:r>
    </w:p>
    <w:p>
      <w:pPr>
        <w:spacing w:after="0" w:line="20"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pre-approving audit and permitted non-audit services and related fees for the independent auditor</w:t>
      </w:r>
    </w:p>
    <w:p>
      <w:pPr>
        <w:spacing w:after="0" w:line="86" w:lineRule="exact"/>
        <w:rPr>
          <w:rFonts w:ascii="Arial" w:cs="Arial" w:eastAsia="Arial" w:hAnsi="Arial"/>
          <w:sz w:val="16"/>
          <w:szCs w:val="16"/>
          <w:b w:val="1"/>
          <w:bCs w:val="1"/>
          <w:color w:val="29378D"/>
        </w:rPr>
      </w:pPr>
    </w:p>
    <w:p>
      <w:pPr>
        <w:ind w:left="200" w:right="38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with the independent auditor any critical audit matters identified by the independent auditor, the Company’s critical accounting policies, and material written communications with management</w:t>
      </w:r>
    </w:p>
    <w:p>
      <w:pPr>
        <w:spacing w:after="0" w:line="20" w:lineRule="exact"/>
        <w:rPr>
          <w:rFonts w:ascii="Arial" w:cs="Arial" w:eastAsia="Arial" w:hAnsi="Arial"/>
          <w:sz w:val="16"/>
          <w:szCs w:val="16"/>
          <w:b w:val="1"/>
          <w:bCs w:val="1"/>
          <w:color w:val="29378D"/>
        </w:rPr>
      </w:pPr>
    </w:p>
    <w:p>
      <w:pPr>
        <w:ind w:left="200" w:right="6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with the General Counsel, at least annually, the status of significant pending litigation and various other significant legal, compliance or regulatory matters</w:t>
      </w:r>
    </w:p>
    <w:p>
      <w:pPr>
        <w:spacing w:after="0" w:line="20" w:lineRule="exact"/>
        <w:rPr>
          <w:rFonts w:ascii="Arial" w:cs="Arial" w:eastAsia="Arial" w:hAnsi="Arial"/>
          <w:sz w:val="16"/>
          <w:szCs w:val="16"/>
          <w:b w:val="1"/>
          <w:bCs w:val="1"/>
          <w:color w:val="29378D"/>
        </w:rPr>
      </w:pPr>
    </w:p>
    <w:p>
      <w:pPr>
        <w:ind w:left="200" w:right="5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with the Chief Ethics and Compliance Officer, at least annually, the state of the Company’s global compliance program</w:t>
      </w:r>
    </w:p>
    <w:p>
      <w:pPr>
        <w:spacing w:after="0" w:line="20"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at least quarterly, matters that are communicated through the Company’s OpenLine reporting system</w:t>
      </w:r>
    </w:p>
    <w:p>
      <w:pPr>
        <w:spacing w:after="0" w:line="86" w:lineRule="exact"/>
        <w:rPr>
          <w:rFonts w:ascii="Arial" w:cs="Arial" w:eastAsia="Arial" w:hAnsi="Arial"/>
          <w:sz w:val="16"/>
          <w:szCs w:val="16"/>
          <w:b w:val="1"/>
          <w:bCs w:val="1"/>
          <w:color w:val="29378D"/>
        </w:rPr>
      </w:pPr>
    </w:p>
    <w:p>
      <w:pPr>
        <w:ind w:left="200" w:right="200" w:hanging="199"/>
        <w:spacing w:after="0" w:line="275"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providing oversight and reviewing periodically the Company’s management of its financial risks, including at the sector level, as well as the Company’s management of its risks related to cybersecurity, insurance, nuclear, natural and environmental (including climate change) matters</w:t>
      </w:r>
    </w:p>
    <w:p>
      <w:pPr>
        <w:spacing w:after="0" w:line="15" w:lineRule="exact"/>
        <w:rPr>
          <w:rFonts w:ascii="Arial" w:cs="Arial" w:eastAsia="Arial" w:hAnsi="Arial"/>
          <w:sz w:val="16"/>
          <w:szCs w:val="16"/>
          <w:b w:val="1"/>
          <w:bCs w:val="1"/>
          <w:color w:val="29378D"/>
        </w:rPr>
      </w:pPr>
    </w:p>
    <w:p>
      <w:pPr>
        <w:ind w:left="200" w:right="40" w:hanging="199"/>
        <w:spacing w:after="0" w:line="275"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providing oversight of internal controls over publicly reported data in environmental, social and governance (ESG) and in Task Force on Climate-related Financial Disclosures reports, and oversight of audit and assurance processes for ESG reporting</w:t>
      </w:r>
    </w:p>
    <w:p>
      <w:pPr>
        <w:spacing w:after="0" w:line="29" w:lineRule="exact"/>
        <w:rPr>
          <w:rFonts w:ascii="Arial" w:cs="Arial" w:eastAsia="Arial" w:hAnsi="Arial"/>
          <w:sz w:val="16"/>
          <w:szCs w:val="16"/>
          <w:b w:val="1"/>
          <w:bCs w:val="1"/>
          <w:color w:val="29378D"/>
        </w:rPr>
      </w:pPr>
    </w:p>
    <w:p>
      <w:pPr>
        <w:ind w:left="200" w:right="2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any significant issues raised by the internal audit function and, as appropriate, management’s actions for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1162050</wp:posOffset>
            </wp:positionV>
            <wp:extent cx="53060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540"/>
            <w:col w:w="8300"/>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637030" cy="3960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3703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right="260"/>
        <w:spacing w:after="0" w:line="276" w:lineRule="auto"/>
        <w:rPr>
          <w:sz w:val="20"/>
          <w:szCs w:val="20"/>
          <w:color w:val="auto"/>
        </w:rPr>
      </w:pPr>
      <w:r>
        <w:rPr>
          <w:rFonts w:ascii="Arial" w:cs="Arial" w:eastAsia="Arial" w:hAnsi="Arial"/>
          <w:sz w:val="23"/>
          <w:szCs w:val="23"/>
          <w:color w:val="29378D"/>
        </w:rPr>
        <w:t>Compensation and Human Capital Committee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David P. Abney (chair)</w:t>
      </w:r>
    </w:p>
    <w:p>
      <w:pPr>
        <w:spacing w:after="0" w:line="35" w:lineRule="exact"/>
        <w:rPr>
          <w:sz w:val="20"/>
          <w:szCs w:val="20"/>
          <w:color w:val="auto"/>
        </w:rPr>
      </w:pPr>
    </w:p>
    <w:p>
      <w:pPr>
        <w:ind w:left="100" w:right="700"/>
        <w:spacing w:after="0" w:line="250" w:lineRule="auto"/>
        <w:rPr>
          <w:sz w:val="20"/>
          <w:szCs w:val="20"/>
          <w:color w:val="auto"/>
        </w:rPr>
      </w:pPr>
      <w:r>
        <w:rPr>
          <w:rFonts w:ascii="Arial" w:cs="Arial" w:eastAsia="Arial" w:hAnsi="Arial"/>
          <w:sz w:val="16"/>
          <w:szCs w:val="16"/>
          <w:color w:val="auto"/>
        </w:rPr>
        <w:t>Madeleine A. Kleiner Arvind Krishna Graham N. Robinson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Gary Roughead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Mary A. Winston</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compensation policies and practices, including by:</w:t>
      </w:r>
    </w:p>
    <w:p>
      <w:pPr>
        <w:spacing w:after="0" w:line="127" w:lineRule="exact"/>
        <w:rPr>
          <w:sz w:val="20"/>
          <w:szCs w:val="20"/>
          <w:color w:val="auto"/>
        </w:rPr>
      </w:pPr>
    </w:p>
    <w:p>
      <w:pPr>
        <w:ind w:left="200" w:right="680" w:hanging="199"/>
        <w:spacing w:after="0" w:line="286"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at least annually a risk assessment of the Company’s compensation programs, ensuring, among other factors, that compensation appropriately reflects certain priorities</w:t>
      </w:r>
    </w:p>
    <w:p>
      <w:pPr>
        <w:spacing w:after="0" w:line="20" w:lineRule="exact"/>
        <w:rPr>
          <w:rFonts w:ascii="Arial" w:cs="Arial" w:eastAsia="Arial" w:hAnsi="Arial"/>
          <w:sz w:val="16"/>
          <w:szCs w:val="16"/>
          <w:b w:val="1"/>
          <w:bCs w:val="1"/>
          <w:color w:val="29378D"/>
        </w:rPr>
      </w:pPr>
    </w:p>
    <w:p>
      <w:pPr>
        <w:ind w:left="200" w:right="240" w:hanging="199"/>
        <w:spacing w:after="0" w:line="286"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approving the compensation for elected officers (other than the Chief Executive Officer, whose compensation is recommended by the Committee and approved by all the independent directors)</w:t>
      </w:r>
    </w:p>
    <w:p>
      <w:pPr>
        <w:spacing w:after="0" w:line="20" w:lineRule="exact"/>
        <w:rPr>
          <w:rFonts w:ascii="Arial" w:cs="Arial" w:eastAsia="Arial" w:hAnsi="Arial"/>
          <w:sz w:val="16"/>
          <w:szCs w:val="16"/>
          <w:b w:val="1"/>
          <w:bCs w:val="1"/>
          <w:color w:val="29378D"/>
        </w:rPr>
      </w:pPr>
    </w:p>
    <w:p>
      <w:pPr>
        <w:ind w:left="200" w:right="160" w:hanging="199"/>
        <w:spacing w:after="0" w:line="265"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reviewing incentive and equity compensation plans (including performance metrics under such plans), approving financial and non-financial metrics (incorporating diversity, equity and inclusion (DE&amp;I), environmental and other goals), and approving payments or grants under these plans for elected officers (other than the Chief Executive Officer, whose payments or grants are recommended by the Committee and approved by all the independent directors)</w:t>
      </w:r>
    </w:p>
    <w:p>
      <w:pPr>
        <w:spacing w:after="0" w:line="23" w:lineRule="exact"/>
        <w:rPr>
          <w:rFonts w:ascii="Arial" w:cs="Arial" w:eastAsia="Arial" w:hAnsi="Arial"/>
          <w:sz w:val="16"/>
          <w:szCs w:val="16"/>
          <w:b w:val="1"/>
          <w:bCs w:val="1"/>
          <w:color w:val="29378D"/>
        </w:rPr>
      </w:pPr>
    </w:p>
    <w:p>
      <w:pPr>
        <w:ind w:left="200" w:right="80" w:hanging="199"/>
        <w:spacing w:after="0" w:line="299"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recommending for approval compensation for the non-employee directors, after consultation with the independent compensation consultant</w:t>
      </w:r>
    </w:p>
    <w:p>
      <w:pPr>
        <w:ind w:left="200" w:right="220" w:hanging="199"/>
        <w:spacing w:after="0" w:line="304"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the Company’s management of its human capital risk, including talent acquisition and retention</w:t>
      </w:r>
    </w:p>
    <w:p>
      <w:pPr>
        <w:spacing w:after="0" w:line="6"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and monitoring the Company’s DEI programs</w:t>
      </w:r>
    </w:p>
    <w:p>
      <w:pPr>
        <w:spacing w:after="0" w:line="72" w:lineRule="exact"/>
        <w:rPr>
          <w:rFonts w:ascii="Arial" w:cs="Arial" w:eastAsia="Arial" w:hAnsi="Arial"/>
          <w:sz w:val="16"/>
          <w:szCs w:val="16"/>
          <w:b w:val="1"/>
          <w:bCs w:val="1"/>
          <w:color w:val="29378D"/>
        </w:rPr>
      </w:pPr>
    </w:p>
    <w:p>
      <w:pPr>
        <w:ind w:left="200" w:right="380" w:hanging="199"/>
        <w:spacing w:after="0" w:line="299"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conducting an annual evaluation of the compensation consultant and reporting results of the evaluation to the Board</w:t>
      </w: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producing an annual report on executive compensation for inclusion in the Proxy Statement</w:t>
      </w:r>
    </w:p>
    <w:p>
      <w:pPr>
        <w:spacing w:after="0" w:line="86"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establishing stock ownership guidelines and reviewing ownership levels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955040</wp:posOffset>
            </wp:positionV>
            <wp:extent cx="53060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80"/>
            <w:col w:w="83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Committee Interlocks and Insider Participation</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2023, Ms. Kleiner, Ms. Winston and Messrs. Abney, Krishna, Robinson and Roughead served as members of the Compensation and Human Capital Committee. Messrs. Felsinger and Krapek, who did not stand for re-election at our 2023 Annual Meeting, also served as members of the Compensation and Human Capital Committee until their terms ended in May 2023. During 2023, no member of the Compensation and Human Capital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637030" cy="41662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37030" cy="416623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line="276" w:lineRule="auto"/>
        <w:rPr>
          <w:sz w:val="20"/>
          <w:szCs w:val="20"/>
          <w:color w:val="auto"/>
        </w:rPr>
      </w:pPr>
      <w:r>
        <w:rPr>
          <w:rFonts w:ascii="Arial" w:cs="Arial" w:eastAsia="Arial" w:hAnsi="Arial"/>
          <w:sz w:val="23"/>
          <w:szCs w:val="23"/>
          <w:color w:val="29378D"/>
        </w:rPr>
        <w:t>Nominating and Corporate Governance Committee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Marianne C. Brown (chair)</w:t>
      </w:r>
    </w:p>
    <w:p>
      <w:pPr>
        <w:spacing w:after="0" w:line="35" w:lineRule="exact"/>
        <w:rPr>
          <w:sz w:val="20"/>
          <w:szCs w:val="20"/>
          <w:color w:val="auto"/>
        </w:rPr>
      </w:pPr>
    </w:p>
    <w:p>
      <w:pPr>
        <w:ind w:left="100" w:right="860"/>
        <w:spacing w:after="0" w:line="250" w:lineRule="auto"/>
        <w:rPr>
          <w:sz w:val="20"/>
          <w:szCs w:val="20"/>
          <w:color w:val="auto"/>
        </w:rPr>
      </w:pPr>
      <w:r>
        <w:rPr>
          <w:rFonts w:ascii="Arial" w:cs="Arial" w:eastAsia="Arial" w:hAnsi="Arial"/>
          <w:sz w:val="16"/>
          <w:szCs w:val="16"/>
          <w:color w:val="auto"/>
        </w:rPr>
        <w:t>David P. Abney Madeleine A. Kleiner Thomas M. Schoewe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S. Turley</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2600960</wp:posOffset>
            </wp:positionV>
            <wp:extent cx="1637030" cy="32404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37030" cy="3240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corporate governance practices, including by:</w:t>
      </w:r>
    </w:p>
    <w:p>
      <w:pPr>
        <w:spacing w:after="0" w:line="127" w:lineRule="exact"/>
        <w:rPr>
          <w:sz w:val="20"/>
          <w:szCs w:val="20"/>
          <w:color w:val="auto"/>
        </w:rPr>
      </w:pPr>
    </w:p>
    <w:p>
      <w:pPr>
        <w:ind w:left="200" w:right="14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overseeing and reviewing the Company’s management of governance-related risks, including the risks related to corporate culture</w:t>
      </w:r>
    </w:p>
    <w:p>
      <w:pPr>
        <w:spacing w:after="0" w:line="7"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assisting the Board in ensuring a comprehensive and effective framework for Board oversight</w:t>
      </w:r>
    </w:p>
    <w:p>
      <w:pPr>
        <w:spacing w:after="0" w:line="59" w:lineRule="exact"/>
        <w:rPr>
          <w:rFonts w:ascii="Arial" w:cs="Arial" w:eastAsia="Arial" w:hAnsi="Arial"/>
          <w:sz w:val="16"/>
          <w:szCs w:val="16"/>
          <w:b w:val="1"/>
          <w:bCs w:val="1"/>
          <w:color w:val="29378D"/>
        </w:rPr>
      </w:pPr>
    </w:p>
    <w:p>
      <w:pPr>
        <w:ind w:left="200" w:right="8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the Company’s corporate governance policies and practices, including the Company’s Bylaws and other corporate documents</w:t>
      </w:r>
    </w:p>
    <w:p>
      <w:pPr>
        <w:spacing w:after="0" w:line="7" w:lineRule="exact"/>
        <w:rPr>
          <w:rFonts w:ascii="Arial" w:cs="Arial" w:eastAsia="Arial" w:hAnsi="Arial"/>
          <w:sz w:val="16"/>
          <w:szCs w:val="16"/>
          <w:b w:val="1"/>
          <w:bCs w:val="1"/>
          <w:color w:val="29378D"/>
        </w:rPr>
      </w:pPr>
    </w:p>
    <w:p>
      <w:pPr>
        <w:ind w:left="200" w:right="4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and considering corporate governance developments, emerging trends and best practices and recommending changes to the Board</w:t>
      </w:r>
    </w:p>
    <w:p>
      <w:pPr>
        <w:spacing w:after="0" w:line="7" w:lineRule="exact"/>
        <w:rPr>
          <w:rFonts w:ascii="Arial" w:cs="Arial" w:eastAsia="Arial" w:hAnsi="Arial"/>
          <w:sz w:val="16"/>
          <w:szCs w:val="16"/>
          <w:b w:val="1"/>
          <w:bCs w:val="1"/>
          <w:color w:val="29378D"/>
        </w:rPr>
      </w:pPr>
    </w:p>
    <w:p>
      <w:pPr>
        <w:ind w:left="200" w:right="360" w:hanging="199"/>
        <w:spacing w:after="0" w:line="281"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reviewing and making recommendations to the Board with respect to the corporate governance section of the proxy statement, including proposed responses to any management and shareholder proposals</w:t>
      </w:r>
    </w:p>
    <w:p>
      <w:pPr>
        <w:spacing w:after="0" w:line="1"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meeting with shareholders and proxy advisory groups, as needed, to discuss issues of corporate governance</w:t>
      </w:r>
    </w:p>
    <w:p>
      <w:pPr>
        <w:spacing w:after="0" w:line="72" w:lineRule="exact"/>
        <w:rPr>
          <w:rFonts w:ascii="Arial" w:cs="Arial" w:eastAsia="Arial" w:hAnsi="Arial"/>
          <w:sz w:val="16"/>
          <w:szCs w:val="16"/>
          <w:b w:val="1"/>
          <w:bCs w:val="1"/>
          <w:color w:val="29378D"/>
        </w:rPr>
      </w:pPr>
    </w:p>
    <w:p>
      <w:pPr>
        <w:ind w:left="200" w:right="20" w:hanging="199"/>
        <w:spacing w:after="0" w:line="26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and making recommendations to the Board regarding the composition and size of the Board and the criteria for Board membership, which should include, among other things, skills, experience, diversity and integrity</w:t>
      </w:r>
    </w:p>
    <w:p>
      <w:pPr>
        <w:spacing w:after="0" w:line="22" w:lineRule="exact"/>
        <w:rPr>
          <w:rFonts w:ascii="Arial" w:cs="Arial" w:eastAsia="Arial" w:hAnsi="Arial"/>
          <w:sz w:val="16"/>
          <w:szCs w:val="16"/>
          <w:b w:val="1"/>
          <w:bCs w:val="1"/>
          <w:color w:val="29378D"/>
        </w:rPr>
      </w:pPr>
    </w:p>
    <w:p>
      <w:pPr>
        <w:ind w:left="200" w:right="440" w:hanging="199"/>
        <w:spacing w:after="0" w:line="275"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providing effective board succession planning, identifying and recommending to the Board qualified potential candidates to serve on the Board and its committees, including candidates who are recommended by the shareholders</w:t>
      </w:r>
    </w:p>
    <w:p>
      <w:pPr>
        <w:spacing w:after="0" w:line="2" w:lineRule="exact"/>
        <w:rPr>
          <w:rFonts w:ascii="Arial" w:cs="Arial" w:eastAsia="Arial" w:hAnsi="Arial"/>
          <w:sz w:val="16"/>
          <w:szCs w:val="16"/>
          <w:b w:val="1"/>
          <w:bCs w:val="1"/>
          <w:color w:val="29378D"/>
        </w:rPr>
      </w:pPr>
    </w:p>
    <w:p>
      <w:pPr>
        <w:ind w:left="200" w:right="2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reviewing and determining whether a director’s service on another board or elsewhere is likely to interfere with the director’s duties and responsibilities as a member of the Board</w:t>
      </w:r>
    </w:p>
    <w:p>
      <w:pPr>
        <w:spacing w:after="0" w:line="7" w:lineRule="exact"/>
        <w:rPr>
          <w:rFonts w:ascii="Arial" w:cs="Arial" w:eastAsia="Arial" w:hAnsi="Arial"/>
          <w:sz w:val="16"/>
          <w:szCs w:val="16"/>
          <w:b w:val="1"/>
          <w:bCs w:val="1"/>
          <w:color w:val="29378D"/>
        </w:rPr>
      </w:pPr>
    </w:p>
    <w:p>
      <w:pPr>
        <w:ind w:left="200" w:right="100" w:hanging="199"/>
        <w:spacing w:after="0" w:line="275"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developing, recommending to the Board, and overseeing implementation of a robust annual performance evaluation process that includes an evaluation of each individual director, each committee and of the full Board's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807720</wp:posOffset>
            </wp:positionV>
            <wp:extent cx="53060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20"/>
            <w:col w:w="832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23"/>
          <w:szCs w:val="23"/>
          <w:color w:val="29378D"/>
        </w:rPr>
        <w:t>Policy Committee</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Gary Roughead (chair)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 M. Fudge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Arvind Krishna</w:t>
      </w:r>
    </w:p>
    <w:p>
      <w:pPr>
        <w:spacing w:after="0" w:line="15" w:lineRule="exact"/>
        <w:rPr>
          <w:sz w:val="20"/>
          <w:szCs w:val="20"/>
          <w:color w:val="auto"/>
        </w:rPr>
      </w:pPr>
    </w:p>
    <w:p>
      <w:pPr>
        <w:ind w:left="100" w:right="700"/>
        <w:spacing w:after="0" w:line="255" w:lineRule="auto"/>
        <w:rPr>
          <w:sz w:val="20"/>
          <w:szCs w:val="20"/>
          <w:color w:val="auto"/>
        </w:rPr>
      </w:pPr>
      <w:r>
        <w:rPr>
          <w:rFonts w:ascii="Arial" w:cs="Arial" w:eastAsia="Arial" w:hAnsi="Arial"/>
          <w:sz w:val="16"/>
          <w:szCs w:val="16"/>
          <w:color w:val="auto"/>
        </w:rPr>
        <w:t>Graham N. Robinson Kimberly A. Ross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A. Welsh III</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Mary A. Winston</w:t>
      </w:r>
    </w:p>
    <w:p>
      <w:pPr>
        <w:spacing w:after="0" w:line="3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reviewing policy, government relations and corporate responsibility, including by:</w:t>
      </w:r>
    </w:p>
    <w:p>
      <w:pPr>
        <w:spacing w:after="0" w:line="127" w:lineRule="exact"/>
        <w:rPr>
          <w:sz w:val="20"/>
          <w:szCs w:val="20"/>
          <w:color w:val="auto"/>
        </w:rPr>
      </w:pPr>
    </w:p>
    <w:p>
      <w:pPr>
        <w:ind w:left="200" w:right="10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input on select global security, political, budgetary, technological and other similar issues and trends that could significantly impact the Company’s business activities and performance</w:t>
      </w:r>
    </w:p>
    <w:p>
      <w:pPr>
        <w:spacing w:after="0" w:line="7" w:lineRule="exact"/>
        <w:rPr>
          <w:rFonts w:ascii="Arial" w:cs="Arial" w:eastAsia="Arial" w:hAnsi="Arial"/>
          <w:sz w:val="16"/>
          <w:szCs w:val="16"/>
          <w:b w:val="1"/>
          <w:bCs w:val="1"/>
          <w:color w:val="29378D"/>
        </w:rPr>
      </w:pPr>
    </w:p>
    <w:p>
      <w:pPr>
        <w:ind w:left="200" w:hanging="199"/>
        <w:spacing w:after="0" w:line="26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environmental policies and programs (including climate change, net-zero, water and waste reduction, and other environmental initiatives and matters), and reviewing with the Company’s Chief Sustainability Officer at least annually the status of such programs</w:t>
      </w:r>
    </w:p>
    <w:p>
      <w:pPr>
        <w:spacing w:after="0" w:line="22" w:lineRule="exact"/>
        <w:rPr>
          <w:rFonts w:ascii="Arial" w:cs="Arial" w:eastAsia="Arial" w:hAnsi="Arial"/>
          <w:sz w:val="16"/>
          <w:szCs w:val="16"/>
          <w:b w:val="1"/>
          <w:bCs w:val="1"/>
          <w:color w:val="29378D"/>
        </w:rPr>
      </w:pPr>
    </w:p>
    <w:p>
      <w:pPr>
        <w:ind w:left="200" w:right="36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Sustainability Report and Task Force on Climate-Related Financial Disclosures reports</w:t>
      </w:r>
    </w:p>
    <w:p>
      <w:pPr>
        <w:spacing w:after="0" w:line="7" w:lineRule="exact"/>
        <w:rPr>
          <w:rFonts w:ascii="Arial" w:cs="Arial" w:eastAsia="Arial" w:hAnsi="Arial"/>
          <w:sz w:val="16"/>
          <w:szCs w:val="16"/>
          <w:b w:val="1"/>
          <w:bCs w:val="1"/>
          <w:color w:val="29378D"/>
        </w:rPr>
      </w:pPr>
    </w:p>
    <w:p>
      <w:pPr>
        <w:ind w:left="200" w:right="160" w:hanging="199"/>
        <w:spacing w:after="0" w:line="26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policies supporting human rights and health and safety, and receiving an update from the Company’s General Counsel at least annually on the Company’s Human Rights Working Group</w:t>
      </w:r>
    </w:p>
    <w:p>
      <w:pPr>
        <w:spacing w:after="0" w:line="22" w:lineRule="exact"/>
        <w:rPr>
          <w:rFonts w:ascii="Arial" w:cs="Arial" w:eastAsia="Arial" w:hAnsi="Arial"/>
          <w:sz w:val="16"/>
          <w:szCs w:val="16"/>
          <w:b w:val="1"/>
          <w:bCs w:val="1"/>
          <w:color w:val="29378D"/>
        </w:rPr>
      </w:pPr>
    </w:p>
    <w:p>
      <w:pPr>
        <w:ind w:left="200" w:right="440" w:hanging="199"/>
        <w:spacing w:after="0" w:line="281"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over the Company’s ethics and corporate social responsibility policies and programs</w:t>
      </w:r>
    </w:p>
    <w:p>
      <w:pPr>
        <w:spacing w:after="0" w:line="1"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the Company’s public relations strategy</w:t>
      </w:r>
    </w:p>
    <w:p>
      <w:pPr>
        <w:spacing w:after="0" w:line="72" w:lineRule="exact"/>
        <w:rPr>
          <w:rFonts w:ascii="Arial" w:cs="Arial" w:eastAsia="Arial" w:hAnsi="Arial"/>
          <w:sz w:val="16"/>
          <w:szCs w:val="16"/>
          <w:b w:val="1"/>
          <w:bCs w:val="1"/>
          <w:color w:val="29378D"/>
        </w:rPr>
      </w:pPr>
    </w:p>
    <w:p>
      <w:pPr>
        <w:ind w:left="200" w:right="8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the Company’s government relations strategy and providing oversight of the compliance and policies of the political action committee</w:t>
      </w:r>
    </w:p>
    <w:p>
      <w:pPr>
        <w:spacing w:after="0" w:line="7" w:lineRule="exact"/>
        <w:rPr>
          <w:rFonts w:ascii="Arial" w:cs="Arial" w:eastAsia="Arial" w:hAnsi="Arial"/>
          <w:sz w:val="16"/>
          <w:szCs w:val="16"/>
          <w:b w:val="1"/>
          <w:bCs w:val="1"/>
          <w:color w:val="29378D"/>
        </w:rPr>
      </w:pPr>
    </w:p>
    <w:p>
      <w:pPr>
        <w:ind w:left="200" w:right="56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provide oversight of the Company’s community relations programs and support of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441960</wp:posOffset>
            </wp:positionV>
            <wp:extent cx="53060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80"/>
            <w:col w:w="832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 w:hanging="494"/>
        <w:spacing w:after="0"/>
        <w:tabs>
          <w:tab w:leader="none" w:pos="520"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Meetings and Executive Sessions</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6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Board often holds its meetings at Company locations other than our corporate headquarters to provide the directors with a first-hand view of different elements of our business and an opportunity to interact with local management and employees at various levels.</w:t>
      </w:r>
    </w:p>
    <w:p>
      <w:pPr>
        <w:spacing w:after="0" w:line="4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Board meets in executive session (with the directors only and then with the independent directors only) following each in-person Board meeting and on other occasions as needed. The Lead Independent Director presides over the executive sessions of the independent directors. The Audit and Risk Committee meets in executive session at least four times each year, and regularly requests separate executive sessions with representatives of our independent auditor and our senior management, including our Chief Financial Officer, General Counsel and our Vice President, Internal Audit. The Compensation and Human Capital Committee also meets in executive session from time to time and regularly receives a report from the Compensation and Human Capital Committee’s independent compensation consultant. The Nominating and Corporate Governance and Policy Committees also meet in executive session as they deem necessary.</w:t>
      </w: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Meeting Attendance</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2023, the Board held nine meetings. Each director serving in 2023 attended 75% or more of the meetings of the Board and the committees on which he or she served during 2023, with the average attendance for all Board and committee meetings being 97%. Board members are expected to attend each annual meeting, except where the failure to attend is due to unavoidable circumstances. All of our directors except one attended our 2023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Independence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Board and the Nominating and Corporate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Principles of Corporate Governance provide that a director may be found not to qualify as an independent director if the director:</w:t>
      </w:r>
    </w:p>
    <w:p>
      <w:pPr>
        <w:spacing w:after="0" w:line="113" w:lineRule="exact"/>
        <w:rPr>
          <w:sz w:val="20"/>
          <w:szCs w:val="20"/>
          <w:color w:val="auto"/>
        </w:rPr>
      </w:pPr>
    </w:p>
    <w:p>
      <w:pPr>
        <w:ind w:left="200" w:right="380" w:hanging="192"/>
        <w:spacing w:after="0" w:line="275"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29" w:lineRule="exact"/>
        <w:rPr>
          <w:rFonts w:ascii="Arial" w:cs="Arial" w:eastAsia="Arial" w:hAnsi="Arial"/>
          <w:sz w:val="16"/>
          <w:szCs w:val="16"/>
          <w:b w:val="1"/>
          <w:bCs w:val="1"/>
          <w:color w:val="29378D"/>
        </w:rPr>
      </w:pPr>
    </w:p>
    <w:p>
      <w:pPr>
        <w:ind w:left="200" w:right="80" w:hanging="192"/>
        <w:spacing w:after="0" w:line="265"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37" w:lineRule="exact"/>
        <w:rPr>
          <w:rFonts w:ascii="Arial" w:cs="Arial" w:eastAsia="Arial" w:hAnsi="Arial"/>
          <w:sz w:val="16"/>
          <w:szCs w:val="16"/>
          <w:b w:val="1"/>
          <w:bCs w:val="1"/>
          <w:color w:val="29378D"/>
        </w:rPr>
      </w:pPr>
    </w:p>
    <w:p>
      <w:pPr>
        <w:ind w:left="200" w:right="160" w:hanging="192"/>
        <w:spacing w:after="0" w:line="266"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Independence Determination</w:t>
      </w:r>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connection with their annual independence review, the Board and Nominating and Corporate Governance Committee considered certain relationships with organizations to which we have made payments or from which we have received payments in the usual course of our business in 2023. The Board of Directors considered that Mr. Abney, Ms. Brown, Ms. Fudge, Mr. Krishna, Mr. Robinson, Ms. Ross, Adm. Roughead, Mr. Schoewe, Mr. Turley, Gen. Welsh and Ms. Winston served as members of the board of directors or trustees and/or employees or executive officers of companies with which we do business or have made payments in the ordinary course.</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of Directors considered that Ms. Ross, Adm. Roughead and Mr. Turley served as members of the boards of organizations to which the Company made contributions during 2023 in the usual course of our charitable contributions program, or in connection with our matching gifts program (which limits the contributions to $10,000 per year per director). The amounts paid were below the applicable thresholds under NYSE rules and our Principles of Corporate Governance.</w:t>
      </w:r>
    </w:p>
    <w:p>
      <w:pPr>
        <w:spacing w:after="0" w:line="65"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Following its review and the recommendation of the Nominating and Corporate Governance Committee, the Board affirmatively determined that all of the directors, except Ms. Warden, are independent. The independent directors constitute approximately 92% of the members of our Board.</w:t>
      </w:r>
    </w:p>
    <w:p>
      <w:pPr>
        <w:spacing w:after="0" w:line="200" w:lineRule="exact"/>
        <w:rPr>
          <w:sz w:val="20"/>
          <w:szCs w:val="20"/>
          <w:color w:val="auto"/>
        </w:rPr>
      </w:pPr>
    </w:p>
    <w:p>
      <w:pPr>
        <w:spacing w:after="0" w:line="311" w:lineRule="exact"/>
        <w:rPr>
          <w:sz w:val="20"/>
          <w:szCs w:val="20"/>
          <w:color w:val="auto"/>
        </w:rPr>
      </w:pPr>
    </w:p>
    <w:p>
      <w:pPr>
        <w:ind w:left="520" w:hanging="494"/>
        <w:spacing w:after="0"/>
        <w:tabs>
          <w:tab w:leader="none" w:pos="520" w:val="left"/>
        </w:tabs>
        <w:numPr>
          <w:ilvl w:val="0"/>
          <w:numId w:val="8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Our Culture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strong culture — founded on our values; reflecting our commitment to ethics, integrity, belonging, inclusion and respect; and focused on enduring performance, innovation, agility and accountability — enables our success and long-term sustainable growth. Culture is critical to who we are and how we do business. Our values guide our Company and provide the foundation for our culture. Our culture is critical to our ability to do business, to attract and retain talent, to perform, to earn trust, to serve our customers and to deliver long-term value for our shareholders. We all have a shared responsibility to maintain and enhance it.</w:t>
      </w:r>
    </w:p>
    <w:p>
      <w:pPr>
        <w:spacing w:after="0" w:line="8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culture is reflected in our commitment to corporate responsibility and sustainability. We are proud of our long-standing advancement of diversity, equity and inclusion, our service to our communities and the progress we have driven across the various aspects of sustainability. Corporate responsibility and sustainability are critical to our business and long-term value creation for our shareholders, customers, employees and suppliers, and the communities we serve.</w:t>
      </w:r>
    </w:p>
    <w:p>
      <w:pPr>
        <w:spacing w:after="0" w:line="65"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Management establishes and reinforces the Company’s culture, and our Board is actively engaged in providing oversight. The Board is committed to sustaining and enhancing the Company’s strong culture. For example:</w:t>
      </w:r>
    </w:p>
    <w:p>
      <w:pPr>
        <w:spacing w:after="0" w:line="33" w:lineRule="exact"/>
        <w:rPr>
          <w:sz w:val="20"/>
          <w:szCs w:val="20"/>
          <w:color w:val="auto"/>
        </w:rPr>
      </w:pPr>
    </w:p>
    <w:p>
      <w:pPr>
        <w:ind w:left="200" w:right="140" w:hanging="192"/>
        <w:spacing w:after="0" w:line="265" w:lineRule="auto"/>
        <w:tabs>
          <w:tab w:leader="none" w:pos="143"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The Company conducts an annual employee experience survey, which gives our employees the opportunity to provide feedback on our Company culture and the environment that enables their success. This survey is managed by a third-party vendor to encourage candor and solicit feedback on many aspects of the employee experience, including career development, enablement, team culture, manager effectiveness, belonging and well-being. The results of this survey are reported to and discussed with the full Board annually.</w:t>
      </w:r>
    </w:p>
    <w:p>
      <w:pPr>
        <w:spacing w:after="0" w:line="37" w:lineRule="exact"/>
        <w:rPr>
          <w:rFonts w:ascii="Arial" w:cs="Arial" w:eastAsia="Arial" w:hAnsi="Arial"/>
          <w:sz w:val="16"/>
          <w:szCs w:val="16"/>
          <w:b w:val="1"/>
          <w:bCs w:val="1"/>
          <w:color w:val="29378D"/>
        </w:rPr>
      </w:pPr>
    </w:p>
    <w:p>
      <w:pPr>
        <w:ind w:left="200" w:right="240" w:hanging="192"/>
        <w:spacing w:after="0" w:line="286" w:lineRule="auto"/>
        <w:tabs>
          <w:tab w:leader="none" w:pos="143"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The Board meets regularly with employees at all levels to reaffirm the health of our culture. The Board meets with employees during site visits that are a critical part of Board meetings, and also during “Sector Days,” when our directors visit the operations across our four business sectors.</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Members of our Board often share their time by generously participating as speakers in Company leadership programs.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Board’s Committees oversee elements of the Company’s culture associated with their respective area of responsibility.</w:t>
      </w:r>
    </w:p>
    <w:p>
      <w:pPr>
        <w:spacing w:after="0" w:line="127" w:lineRule="exact"/>
        <w:rPr>
          <w:sz w:val="20"/>
          <w:szCs w:val="20"/>
          <w:color w:val="auto"/>
        </w:rPr>
      </w:pPr>
    </w:p>
    <w:p>
      <w:pPr>
        <w:ind w:left="200" w:right="20" w:hanging="192"/>
        <w:spacing w:after="0" w:line="275"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Audit and Risk Committee reviews and discusses the Company’s global compliance programs with our General Counsel and CECO, including the tone set by leaders throughout the organization, and they meet quarterly with our CECO to receive a report on matters that are communicated through the OpenLine reporting system.</w:t>
      </w:r>
    </w:p>
    <w:p>
      <w:pPr>
        <w:spacing w:after="0" w:line="56" w:lineRule="exact"/>
        <w:rPr>
          <w:rFonts w:ascii="Arial" w:cs="Arial" w:eastAsia="Arial" w:hAnsi="Arial"/>
          <w:sz w:val="16"/>
          <w:szCs w:val="16"/>
          <w:b w:val="1"/>
          <w:bCs w:val="1"/>
          <w:color w:val="29378D"/>
        </w:rPr>
      </w:pPr>
    </w:p>
    <w:p>
      <w:pPr>
        <w:ind w:left="200" w:right="60" w:hanging="192"/>
        <w:spacing w:after="0" w:line="286"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Compensation and Human Capital Committee reviews with the Chief Human Resources Officer the Company’s human capital management, monitors policies and practices with respect to diversity, equity and inclusion, and reviews a risk assessment of the Company’s compensation programs.</w:t>
      </w:r>
    </w:p>
    <w:p>
      <w:pPr>
        <w:spacing w:after="0" w:line="61"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Nominating and Corporate Governance Committee provides the Board oversight of the Company’s corporate culture and governance-related risks.</w:t>
      </w:r>
    </w:p>
    <w:p>
      <w:pPr>
        <w:spacing w:after="0" w:line="86" w:lineRule="exact"/>
        <w:rPr>
          <w:rFonts w:ascii="Arial" w:cs="Arial" w:eastAsia="Arial" w:hAnsi="Arial"/>
          <w:sz w:val="16"/>
          <w:szCs w:val="16"/>
          <w:b w:val="1"/>
          <w:bCs w:val="1"/>
          <w:color w:val="29378D"/>
        </w:rPr>
      </w:pPr>
    </w:p>
    <w:p>
      <w:pPr>
        <w:ind w:left="200" w:right="100" w:hanging="192"/>
        <w:spacing w:after="0" w:line="266"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Policy Committee receives at least annually a report from the officers responsible for our ethics and compliance programs, including our Standards of Business Conduct, and reviews and monitors practices with respect to sustainability and environmental matters, human rights, health and safety, and charitable organizations.</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Sustainability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strong environmental, social and governance (ESG) programs and practices reflect and enhance our culture and are designed to promote the long-term interests of our shareholders and other stakeholders and the communities in which we operate. They help us attract and retain the best talent, perform for our customers, serve as responsible corporate citizens in the communities where we live and operate and create long-term value for our stakeholders.</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annual Sustainability Report provides our stakeholders with detailed information on various ESG programs and our related goals and achievements. The Sustainability Report, our ESG Performance Data Matrix and other ESG-related disclosures, including reporting aligned with the Task Force on Climate-related Financial Disclosures, are available at </w:t>
      </w:r>
      <w:r>
        <w:rPr>
          <w:rFonts w:ascii="Arial" w:cs="Arial" w:eastAsia="Arial" w:hAnsi="Arial"/>
          <w:sz w:val="16"/>
          <w:szCs w:val="16"/>
          <w:i w:val="1"/>
          <w:iCs w:val="1"/>
          <w:color w:val="auto"/>
        </w:rPr>
        <w:t>www.northropgrumman.com/corporate-responsibility/esg-reports</w:t>
      </w:r>
      <w:r>
        <w:rPr>
          <w:rFonts w:ascii="Arial" w:cs="Arial" w:eastAsia="Arial" w:hAnsi="Arial"/>
          <w:sz w:val="16"/>
          <w:szCs w:val="16"/>
          <w:color w:val="auto"/>
        </w:rPr>
        <w:t xml:space="preserve">. Our Human Rights Report is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Environmental</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are proud of our long-standing commitment to environmental stewardship, and our record of setting and achieving robust goals. As described in our 2023 Sustainability Report, our next generation of environmental sustainability goals focus on the Company’s facilities, as well as supply chain partners and customers:</w:t>
      </w:r>
    </w:p>
    <w:p>
      <w:pPr>
        <w:spacing w:after="0" w:line="56" w:lineRule="exact"/>
        <w:rPr>
          <w:sz w:val="20"/>
          <w:szCs w:val="20"/>
          <w:color w:val="auto"/>
        </w:rPr>
      </w:pPr>
    </w:p>
    <w:p>
      <w:pPr>
        <w:ind w:left="160" w:hanging="152"/>
        <w:spacing w:after="0"/>
        <w:tabs>
          <w:tab w:leader="none" w:pos="160" w:val="left"/>
        </w:tabs>
        <w:numPr>
          <w:ilvl w:val="0"/>
          <w:numId w:val="83"/>
        </w:numPr>
        <w:rPr>
          <w:rFonts w:ascii="Arial" w:cs="Arial" w:eastAsia="Arial" w:hAnsi="Arial"/>
          <w:sz w:val="16"/>
          <w:szCs w:val="16"/>
          <w:color w:val="29378D"/>
        </w:rPr>
      </w:pPr>
      <w:r>
        <w:rPr>
          <w:rFonts w:ascii="Arial" w:cs="Arial" w:eastAsia="Arial" w:hAnsi="Arial"/>
          <w:sz w:val="16"/>
          <w:szCs w:val="16"/>
          <w:color w:val="auto"/>
        </w:rPr>
        <w:t>Net zero greenhouse gas emissions in our operations by 2035.</w:t>
      </w:r>
    </w:p>
    <w:p>
      <w:pPr>
        <w:spacing w:after="0" w:line="86" w:lineRule="exact"/>
        <w:rPr>
          <w:rFonts w:ascii="Arial" w:cs="Arial" w:eastAsia="Arial" w:hAnsi="Arial"/>
          <w:sz w:val="16"/>
          <w:szCs w:val="16"/>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Source 50% of total electricity from renewable sources by 2030.</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Reduce 10% of absolute water withdrawals, reuse 10% of water withdrawals and replenish 10% of water withdrawals, focusing in water-stressed regions</w:t>
      </w:r>
    </w:p>
    <w:p>
      <w:pPr>
        <w:spacing w:after="0" w:line="34" w:lineRule="exact"/>
        <w:rPr>
          <w:rFonts w:ascii="Arial" w:cs="Arial" w:eastAsia="Arial" w:hAnsi="Arial"/>
          <w:sz w:val="16"/>
          <w:szCs w:val="16"/>
          <w:b w:val="1"/>
          <w:bCs w:val="1"/>
          <w:color w:val="29378D"/>
        </w:rPr>
      </w:pPr>
    </w:p>
    <w:p>
      <w:pPr>
        <w:ind w:left="200"/>
        <w:spacing w:after="0"/>
        <w:rPr>
          <w:rFonts w:ascii="Arial" w:cs="Arial" w:eastAsia="Arial" w:hAnsi="Arial"/>
          <w:sz w:val="16"/>
          <w:szCs w:val="16"/>
          <w:b w:val="1"/>
          <w:bCs w:val="1"/>
          <w:color w:val="29378D"/>
        </w:rPr>
      </w:pPr>
      <w:r>
        <w:rPr>
          <w:rFonts w:ascii="Arial" w:cs="Arial" w:eastAsia="Arial" w:hAnsi="Arial"/>
          <w:sz w:val="16"/>
          <w:szCs w:val="16"/>
          <w:color w:val="auto"/>
        </w:rPr>
        <w:t>— all by 2030.</w:t>
      </w:r>
    </w:p>
    <w:p>
      <w:pPr>
        <w:spacing w:after="0" w:line="70" w:lineRule="exact"/>
        <w:rPr>
          <w:rFonts w:ascii="Arial" w:cs="Arial" w:eastAsia="Arial" w:hAnsi="Arial"/>
          <w:sz w:val="16"/>
          <w:szCs w:val="16"/>
          <w:b w:val="1"/>
          <w:bCs w:val="1"/>
          <w:color w:val="29378D"/>
        </w:rPr>
      </w:pPr>
    </w:p>
    <w:p>
      <w:pPr>
        <w:ind w:left="160" w:hanging="152"/>
        <w:spacing w:after="0"/>
        <w:tabs>
          <w:tab w:leader="none" w:pos="160" w:val="left"/>
        </w:tabs>
        <w:numPr>
          <w:ilvl w:val="0"/>
          <w:numId w:val="83"/>
        </w:numPr>
        <w:rPr>
          <w:rFonts w:ascii="Arial" w:cs="Arial" w:eastAsia="Arial" w:hAnsi="Arial"/>
          <w:sz w:val="16"/>
          <w:szCs w:val="16"/>
          <w:color w:val="29378D"/>
        </w:rPr>
      </w:pPr>
      <w:r>
        <w:rPr>
          <w:rFonts w:ascii="Arial" w:cs="Arial" w:eastAsia="Arial" w:hAnsi="Arial"/>
          <w:sz w:val="16"/>
          <w:szCs w:val="16"/>
          <w:color w:val="auto"/>
        </w:rPr>
        <w:t>Reduce solid waste sent to landfill and incineration by 10% by 2030.</w:t>
      </w:r>
    </w:p>
    <w:p>
      <w:pPr>
        <w:spacing w:after="0" w:line="72" w:lineRule="exact"/>
        <w:rPr>
          <w:rFonts w:ascii="Arial" w:cs="Arial" w:eastAsia="Arial" w:hAnsi="Arial"/>
          <w:sz w:val="16"/>
          <w:szCs w:val="16"/>
          <w:color w:val="29378D"/>
        </w:rPr>
      </w:pPr>
    </w:p>
    <w:p>
      <w:pPr>
        <w:ind w:left="200" w:right="360" w:hanging="192"/>
        <w:spacing w:after="0" w:line="304" w:lineRule="auto"/>
        <w:tabs>
          <w:tab w:leader="none" w:pos="143"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In collaboration with key customers, work to develop a pioneering product stewardship program focused on material efficiency, product design and life cycle assessment.</w:t>
      </w:r>
    </w:p>
    <w:p>
      <w:pPr>
        <w:spacing w:after="0" w:line="33"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Expand Technology for Conservation initiatives in proximity to Northrop Grumman’s U.S. locations by 2030, in collaboration with external partners.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See our 2023 Sustainability Report for discussion of the progress we made on our goals this year. Further, as described in our 2023 Sustainability Report, our Board of Directors, and its committees, are involved in the oversight of our environmental sustainability strategy, the management of environmental risks, including climate-change, and reviewing environmental policies and goals (including Net Zero operations, water and waste reductions and other footprint plans).</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auto"/>
        </w:rPr>
        <w:t>Social</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People are our most valued resource. We work hard to provide an environment in which our employees belong and can thrive and stay safe. Indeed, we believe that our success depends on our ability to provide an environment in which our employees are not only enabled, but expected to bring their differing perspectives to work, challenging us all to think more broadly and enhancing outcomes. Among many other initiatives, the Company maintains 14 employee resource groups, including over 30,000 diverse colleagues, which meet regularly to identify and address concerns and opportunities. These networks are an industry-leading example of workforce inclusion and contribute to our overarching DEI strategy.</w:t>
      </w:r>
    </w:p>
    <w:p>
      <w:pPr>
        <w:spacing w:after="0" w:line="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described in our 2023 Sustainability Report and our Human Rights Report, our Board of Directors, and the Compensation and Human Capital Committee in particular, are deeply engaged in our strategy for enhancing DEI, and understanding the outcome of our employee engagement surveys.</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are proud that our employees continue to volunteer their time and talents to help those most in need. The Company, our Northrop Grumman Foundation and our employees contributed to global, national and local efforts addressing food insecurity, advancing opportunity for all, increasing student access to technology, and providing disaster relief to help some of our most vulnerable populations. During 2023, our Company and the Company’s Foundation contributed a total of approximately $31 million in philanthropic giving.</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Governance</w:t>
      </w:r>
    </w:p>
    <w:p>
      <w:pPr>
        <w:spacing w:after="0" w:line="13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benefited from a robust and progressive governance regime, carefully designed to promote the long-term success of our Company by providing for effective and efficient oversight by a strong board of directors engaged with and informed by our shareholders. We are committed to continuing to maintain these high standards of corporate governance, in service to our shareholders, employees and customers.</w:t>
      </w:r>
    </w:p>
    <w:p>
      <w:pPr>
        <w:spacing w:after="0" w:line="77"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Our governance policies include our Principles of Corporate Governance, our corporate Bylaws, Policy and Procedure Regarding Company Transactions with Related Persons and our Standards of Business Conduct, among others. As discussed in our 2023 Sustainability Report, our exemplary governance practices include:</w:t>
      </w:r>
    </w:p>
    <w:p>
      <w:pPr>
        <w:spacing w:after="0" w:line="77" w:lineRule="exact"/>
        <w:rPr>
          <w:sz w:val="20"/>
          <w:szCs w:val="20"/>
          <w:color w:val="auto"/>
        </w:rPr>
      </w:pP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 diverse, informed and engaged Board of Directors who are committed to thoughtful debate and collaboration;</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All Board committees are fully comprised of independent members;</w:t>
      </w:r>
    </w:p>
    <w:p>
      <w:pPr>
        <w:spacing w:after="0" w:line="72" w:lineRule="exact"/>
        <w:rPr>
          <w:rFonts w:ascii="Arial" w:cs="Arial" w:eastAsia="Arial" w:hAnsi="Arial"/>
          <w:sz w:val="16"/>
          <w:szCs w:val="16"/>
          <w:b w:val="1"/>
          <w:bCs w:val="1"/>
          <w:color w:val="29378D"/>
        </w:rPr>
      </w:pPr>
    </w:p>
    <w:p>
      <w:pPr>
        <w:ind w:left="200" w:right="200" w:hanging="192"/>
        <w:spacing w:after="0" w:line="299" w:lineRule="auto"/>
        <w:tabs>
          <w:tab w:leader="none" w:pos="143"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 Lead Independent Director with significant and clearly established responsibilities, who also serves as a resource for our CEO, other directors and our shareholders;</w:t>
      </w: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Deliberate and effective ongoing Board refreshment and succession planning, with mandatory retirement at age 75;</w:t>
      </w:r>
    </w:p>
    <w:p>
      <w:pPr>
        <w:spacing w:after="0" w:line="86" w:lineRule="exact"/>
        <w:rPr>
          <w:rFonts w:ascii="Arial" w:cs="Arial" w:eastAsia="Arial" w:hAnsi="Arial"/>
          <w:sz w:val="16"/>
          <w:szCs w:val="16"/>
          <w:b w:val="1"/>
          <w:bCs w:val="1"/>
          <w:color w:val="29378D"/>
        </w:rPr>
      </w:pPr>
    </w:p>
    <w:p>
      <w:pPr>
        <w:ind w:left="200" w:right="260" w:hanging="192"/>
        <w:spacing w:after="0" w:line="304" w:lineRule="auto"/>
        <w:tabs>
          <w:tab w:leader="none" w:pos="143"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Multiple and varied opportunities for shareholder engagement, including: right to act by written consent, right to call a special meeting at 15% threshold, and right to nominate through proxy access, as well as less formal opportunities to meet with management and directors throughout the year;</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8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Annual re-assessments of the effectiveness of the full Board, each committee and each director, with a focus on opportunities for further improvement;</w:t>
      </w:r>
    </w:p>
    <w:p>
      <w:pPr>
        <w:spacing w:after="0" w:line="86" w:lineRule="exact"/>
        <w:rPr>
          <w:rFonts w:ascii="Arial" w:cs="Arial" w:eastAsia="Arial" w:hAnsi="Arial"/>
          <w:sz w:val="16"/>
          <w:szCs w:val="16"/>
          <w:b w:val="1"/>
          <w:bCs w:val="1"/>
          <w:color w:val="29378D"/>
        </w:rPr>
      </w:pPr>
    </w:p>
    <w:p>
      <w:pPr>
        <w:ind w:left="200" w:right="120" w:hanging="192"/>
        <w:spacing w:after="0" w:line="275" w:lineRule="auto"/>
        <w:tabs>
          <w:tab w:leader="none" w:pos="143"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Overboarding policy limiting service on more than three other public company boards and limiting service on other audit committees to no more than two other public company audit committees, unless the Board determines that such service does not impair the ability of such member to serve effectively on the audit committee;</w:t>
      </w:r>
    </w:p>
    <w:p>
      <w:pPr>
        <w:spacing w:after="0" w:line="15"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Robust recoupment policy for incentive compensation;</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Stock ownership requirements for directors and executive officers;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Policy prohibiting hedging, pledging and other related actions related to Company stock.</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Oversight</w:t>
      </w:r>
    </w:p>
    <w:p>
      <w:pPr>
        <w:spacing w:after="0" w:line="13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Board of Directors provides leadership and oversight with respect to ESG practices, and regularly receives reports from management on these varied issues.</w:t>
      </w:r>
    </w:p>
    <w:p>
      <w:pPr>
        <w:spacing w:after="0" w:line="33" w:lineRule="exact"/>
        <w:rPr>
          <w:sz w:val="20"/>
          <w:szCs w:val="20"/>
          <w:color w:val="auto"/>
        </w:rPr>
      </w:pPr>
    </w:p>
    <w:p>
      <w:pPr>
        <w:ind w:left="200" w:right="320" w:hanging="192"/>
        <w:spacing w:after="0" w:line="286"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Audit and Risk Committee assists the Board of Directors in its oversight of effective internal controls; approves auditors; reviews and, if applicable, approves publicly filed data in annual and quarterly reports and earnings releases.</w:t>
      </w:r>
    </w:p>
    <w:p>
      <w:pPr>
        <w:spacing w:after="0" w:line="20" w:lineRule="exact"/>
        <w:rPr>
          <w:rFonts w:ascii="Arial" w:cs="Arial" w:eastAsia="Arial" w:hAnsi="Arial"/>
          <w:sz w:val="16"/>
          <w:szCs w:val="16"/>
          <w:b w:val="1"/>
          <w:bCs w:val="1"/>
          <w:color w:val="29378D"/>
        </w:rPr>
      </w:pPr>
    </w:p>
    <w:p>
      <w:pPr>
        <w:ind w:left="200" w:right="180" w:hanging="192"/>
        <w:spacing w:after="0" w:line="275"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Compensation and Human Capital Committee provides oversight of compensation programs, including approving environmental goals and diversity, equity and inclusion goals; and the Company’s management of its human capital and talent, including the Company’s focus on diversity, equity and inclusion.</w:t>
      </w:r>
    </w:p>
    <w:p>
      <w:pPr>
        <w:spacing w:after="0" w:line="29" w:lineRule="exact"/>
        <w:rPr>
          <w:rFonts w:ascii="Arial" w:cs="Arial" w:eastAsia="Arial" w:hAnsi="Arial"/>
          <w:sz w:val="16"/>
          <w:szCs w:val="16"/>
          <w:b w:val="1"/>
          <w:bCs w:val="1"/>
          <w:color w:val="29378D"/>
        </w:rPr>
      </w:pPr>
    </w:p>
    <w:p>
      <w:pPr>
        <w:ind w:left="200" w:right="480" w:hanging="192"/>
        <w:spacing w:after="0" w:line="286"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Nominating and Corporate Governance Committee oversees matters related to corporate governance, the Board (including diversity, equity and inclusion for Board members), shareholder rights, and our corporate culture.</w:t>
      </w:r>
    </w:p>
    <w:p>
      <w:pPr>
        <w:spacing w:after="0" w:line="20" w:lineRule="exact"/>
        <w:rPr>
          <w:rFonts w:ascii="Arial" w:cs="Arial" w:eastAsia="Arial" w:hAnsi="Arial"/>
          <w:sz w:val="16"/>
          <w:szCs w:val="16"/>
          <w:b w:val="1"/>
          <w:bCs w:val="1"/>
          <w:color w:val="29378D"/>
        </w:rPr>
      </w:pPr>
    </w:p>
    <w:p>
      <w:pPr>
        <w:ind w:left="200" w:right="220" w:hanging="192"/>
        <w:spacing w:after="0" w:line="265"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Policy Committee provides oversight of the Company’s policies and programs for environmental matters and climate change-related risks (including among other things, Scope 1 and 2 greenhouse gas emissions, and targets for emissions reductions); ethics and standards of business conduct, corporate responsibility, human rights, employee health and safety and corporate citizenship, political contributions and charitable programs. The Committee receives periodic updates from the Chief Sustainability Officer, CECO and Vice President, Global Corporate Responsibility.</w:t>
      </w:r>
    </w:p>
    <w:p>
      <w:pPr>
        <w:spacing w:after="0" w:line="6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Enterprise Risk Management Council also reviews risks related to sustainability, including risks related to climate change and natural disasters that may affect operations, especially in regions prone to hurricanes, earthquakes, damaging storms and other natural disasters.</w:t>
      </w:r>
    </w:p>
    <w:p>
      <w:pPr>
        <w:spacing w:after="0" w:line="3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commitment to strong corporate responsibility and sustainability is demonstrated by the incorporation of non-financial ESG performance metrics into our annual incentive compensation program. See page 62 in the Compensation Discussion and Analysis section. We engage with a variety of stakeholders — including shareholders, employees, customers and community advocates — and regularly obtain feedback on our performance against our sustainability goals and objectives.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Awards and Recognitions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are proud that our corporate responsibility and sustainability programs received various notable recognitions in 2023. They include:</w:t>
      </w:r>
    </w:p>
    <w:p>
      <w:pPr>
        <w:sectPr>
          <w:pgSz w:w="11900" w:h="16838" w:orient="portrait"/>
          <w:cols w:equalWidth="0" w:num="1">
            <w:col w:w="11200"/>
          </w:cols>
          <w:pgMar w:left="320" w:top="238" w:right="379" w:bottom="1440" w:gutter="0" w:footer="0" w:header="0"/>
        </w:sectPr>
      </w:pPr>
    </w:p>
    <w:p>
      <w:pPr>
        <w:spacing w:after="0" w:line="172" w:lineRule="exact"/>
        <w:rPr>
          <w:sz w:val="20"/>
          <w:szCs w:val="20"/>
          <w:color w:val="auto"/>
        </w:rPr>
      </w:pPr>
    </w:p>
    <w:p>
      <w:pPr>
        <w:ind w:left="3540"/>
        <w:spacing w:after="0" w:line="283" w:lineRule="auto"/>
        <w:rPr>
          <w:sz w:val="20"/>
          <w:szCs w:val="20"/>
          <w:color w:val="auto"/>
        </w:rPr>
      </w:pPr>
      <w:r>
        <w:rPr>
          <w:rFonts w:ascii="Arial" w:cs="Arial" w:eastAsia="Arial" w:hAnsi="Arial"/>
          <w:sz w:val="14"/>
          <w:szCs w:val="14"/>
          <w:color w:val="auto"/>
        </w:rPr>
        <w:t>Dow Jones Sustainability North America Index for the eighth consecutive year and member of the Global Index for the second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-286385</wp:posOffset>
            </wp:positionV>
            <wp:extent cx="1645920" cy="28460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45920" cy="2846070"/>
                    </a:xfrm>
                    <a:prstGeom prst="rect">
                      <a:avLst/>
                    </a:prstGeom>
                    <a:noFill/>
                  </pic:spPr>
                </pic:pic>
              </a:graphicData>
            </a:graphic>
          </wp:anchor>
        </w:drawing>
      </w:r>
    </w:p>
    <w:p>
      <w:pPr>
        <w:spacing w:after="0" w:line="4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09" w:lineRule="exact"/>
        <w:rPr>
          <w:sz w:val="20"/>
          <w:szCs w:val="20"/>
          <w:color w:val="auto"/>
        </w:rPr>
      </w:pPr>
    </w:p>
    <w:p>
      <w:pPr>
        <w:ind w:left="3540" w:right="200"/>
        <w:spacing w:after="0" w:line="305" w:lineRule="auto"/>
        <w:rPr>
          <w:sz w:val="20"/>
          <w:szCs w:val="20"/>
          <w:color w:val="auto"/>
        </w:rPr>
      </w:pPr>
      <w:r>
        <w:rPr>
          <w:rFonts w:ascii="Arial" w:cs="Arial" w:eastAsia="Arial" w:hAnsi="Arial"/>
          <w:sz w:val="14"/>
          <w:szCs w:val="14"/>
          <w:color w:val="auto"/>
        </w:rPr>
        <w:t>an AA rating from MSCI for environmental, social and governance management and performance</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260"/>
        <w:spacing w:after="0" w:line="305" w:lineRule="auto"/>
        <w:rPr>
          <w:sz w:val="20"/>
          <w:szCs w:val="20"/>
          <w:color w:val="auto"/>
        </w:rPr>
      </w:pPr>
      <w:r>
        <w:rPr>
          <w:rFonts w:ascii="Arial" w:cs="Arial" w:eastAsia="Arial" w:hAnsi="Arial"/>
          <w:sz w:val="14"/>
          <w:szCs w:val="14"/>
          <w:color w:val="auto"/>
        </w:rPr>
        <w:t>achieved a perfect score on the CPA-Zicklin Index of Corporate Political Disclosure and Accountability</w:t>
      </w:r>
    </w:p>
    <w:p>
      <w:pPr>
        <w:spacing w:after="0" w:line="36"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600"/>
        <w:spacing w:after="0" w:line="305" w:lineRule="auto"/>
        <w:rPr>
          <w:sz w:val="20"/>
          <w:szCs w:val="20"/>
          <w:color w:val="auto"/>
        </w:rPr>
      </w:pPr>
      <w:r>
        <w:rPr>
          <w:rFonts w:ascii="Arial" w:cs="Arial" w:eastAsia="Arial" w:hAnsi="Arial"/>
          <w:sz w:val="14"/>
          <w:szCs w:val="14"/>
          <w:color w:val="auto"/>
        </w:rPr>
        <w:t>named as one of JUST Capital’s 100 Most Just Companies for the second consecutive year</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20"/>
        <w:spacing w:after="0" w:line="266" w:lineRule="auto"/>
        <w:rPr>
          <w:sz w:val="20"/>
          <w:szCs w:val="20"/>
          <w:color w:val="auto"/>
        </w:rPr>
      </w:pPr>
      <w:r>
        <w:rPr>
          <w:rFonts w:ascii="Arial" w:cs="Arial" w:eastAsia="Arial" w:hAnsi="Arial"/>
          <w:sz w:val="14"/>
          <w:szCs w:val="14"/>
          <w:color w:val="auto"/>
        </w:rPr>
        <w:t>one of DiversityInc’s Top 50 Companies for Diversity for the 14th year in a row as well as a top company for Veterans, employee resource groups, people with disabilities, executive diversity councils, Black executives, LGBTQ employees, Native American/Pacific Islander executives and Latino executives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named as one of the top 15 industry supporters for engineering programs at HBCUs by Career Communications Group, Inc.</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received the highest ranking for the ninth year in a row on the Disability Equality Index and named a “Best Place to Work For Disability Inclusion”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Received the Human Rights Campaign “Equality 100 Award” as a leader in LGBTQ+ Workplace Inclusion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09"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named as a 2023 VETS Indexes 5-Star Employer and received a Military Friendly Employers Gold Award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color w:val="auto"/>
        </w:rPr>
        <w:t>participated in the CDP Climate Survey for the 12th consecutive year, receiving a B score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Named as one of the best places to grow a career by LinkedIn</w:t>
      </w:r>
    </w:p>
    <w:p>
      <w:pPr>
        <w:spacing w:after="0" w:line="200" w:lineRule="exact"/>
        <w:rPr>
          <w:sz w:val="20"/>
          <w:szCs w:val="20"/>
          <w:color w:val="auto"/>
        </w:rPr>
      </w:pPr>
    </w:p>
    <w:p>
      <w:pPr>
        <w:sectPr>
          <w:pgSz w:w="11900" w:h="16838" w:orient="portrait"/>
          <w:cols w:equalWidth="0" w:num="2">
            <w:col w:w="7140" w:space="400"/>
            <w:col w:w="3660"/>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hanging="494"/>
        <w:spacing w:after="0"/>
        <w:tabs>
          <w:tab w:leader="none" w:pos="520" w:val="left"/>
        </w:tabs>
        <w:numPr>
          <w:ilvl w:val="0"/>
          <w:numId w:val="8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rPr>
        <w:t>Human Rights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Northrop Grumman is committed to maintaining a strong culture with a deep respect for individuals and human rights. The Company has a robust and wide-reaching Human Rights Policy that reflects this commitment. (The Policy is available on the Company’s website at </w:t>
      </w:r>
      <w:r>
        <w:rPr>
          <w:rFonts w:ascii="Arial" w:cs="Arial" w:eastAsia="Arial" w:hAnsi="Arial"/>
          <w:sz w:val="16"/>
          <w:szCs w:val="16"/>
          <w:i w:val="1"/>
          <w:iCs w:val="1"/>
          <w:color w:val="auto"/>
        </w:rPr>
        <w:t>www.northropgrumman.com/corporate-responsibility/northrop-grumman-human-rights-policy/</w:t>
      </w:r>
      <w:r>
        <w:rPr>
          <w:rFonts w:ascii="Arial" w:cs="Arial" w:eastAsia="Arial" w:hAnsi="Arial"/>
          <w:sz w:val="16"/>
          <w:szCs w:val="16"/>
          <w:color w:val="auto"/>
        </w:rPr>
        <w:t>). The Company has also established a Human Rights Working Group to help ensure our human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is being implemented effectively and achieving our goals. The Working Group is led by the Company’s General Counsel (or her designee) and includes senior representatives from, among others, the Office of Global Corporate Responsibility, Global Supply Chain, Investor Relations, Treasury, Contracts, Environmental, Health and Safety, Global Business Development Office, Government Relations, Communications and each of our Sectors. Among other things our Human Rights Policy:</w:t>
      </w:r>
    </w:p>
    <w:p>
      <w:pPr>
        <w:spacing w:after="0" w:line="82" w:lineRule="exact"/>
        <w:rPr>
          <w:sz w:val="20"/>
          <w:szCs w:val="20"/>
          <w:color w:val="auto"/>
        </w:rPr>
      </w:pPr>
    </w:p>
    <w:p>
      <w:pPr>
        <w:ind w:left="200" w:right="40" w:hanging="192"/>
        <w:spacing w:after="0" w:line="286"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Makes clear our commitment to people, including our respect for the rights of employees to work in a positive work environment that treats employees with respect and dignity.</w:t>
      </w:r>
    </w:p>
    <w:p>
      <w:pPr>
        <w:spacing w:after="0" w:line="20"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Addresses explicitly the Company’s supply chain, making clear both that we treat our suppliers with respect and dignity, and that we require our suppliers to follow our Standards of Business Conduct for Suppliers and Other Trading Partners</w:t>
      </w:r>
    </w:p>
    <w:p>
      <w:pPr>
        <w:spacing w:after="0" w:line="20" w:lineRule="exact"/>
        <w:rPr>
          <w:rFonts w:ascii="Arial" w:cs="Arial" w:eastAsia="Arial" w:hAnsi="Arial"/>
          <w:sz w:val="16"/>
          <w:szCs w:val="16"/>
          <w:b w:val="1"/>
          <w:bCs w:val="1"/>
          <w:color w:val="29378D"/>
        </w:rPr>
      </w:pPr>
    </w:p>
    <w:p>
      <w:pPr>
        <w:ind w:left="200" w:right="60" w:hanging="192"/>
        <w:spacing w:after="0" w:line="275"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Addresses various processes the Company follows to consider a wide range of potential risks — including risks to human rights — as it develops products and determines whether to undertake certain business opportunities. In recent years, for example, the Company has exited legacy programs related to cluster munitions and depleted uranium.</w:t>
      </w:r>
    </w:p>
    <w:p>
      <w:pPr>
        <w:spacing w:after="0" w:line="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Board of Directors oversees the Company’s commitment to human rights. The Policy Committee has specific responsibility to provide oversight of the Company’s human rights program, including reviewing and making recommendations for enhancements, as appropriate. The Policy Committee receives regular reports from our Vice President, Global Corporate Responsibility, and our Corporate Vice President and General Counsel (or her designee), who is chair of the Human Rights Working Group, on how we are implementing our Human Rights Policy and to discuss any areas of concern.</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In 2023, we published our 2022 Human Rights Report and have updated the report for 2023. This report provides a review of our human rights policies and practices and provides insights into our program for our shareholders and other stakeholders. Our latest Human Rights Report is available on the Company’s Investor Relations section on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NEW DIRECTOR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ORIENTATION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94" w:right="140" w:hanging="194"/>
        <w:spacing w:after="0" w:line="265" w:lineRule="auto"/>
        <w:tabs>
          <w:tab w:leader="none" w:pos="137" w:val="left"/>
        </w:tabs>
        <w:numPr>
          <w:ilvl w:val="0"/>
          <w:numId w:val="90"/>
        </w:numPr>
        <w:rPr>
          <w:rFonts w:ascii="Arial" w:cs="Arial" w:eastAsia="Arial" w:hAnsi="Arial"/>
          <w:sz w:val="16"/>
          <w:szCs w:val="16"/>
          <w:b w:val="1"/>
          <w:bCs w:val="1"/>
          <w:color w:val="29378D"/>
        </w:rPr>
      </w:pPr>
      <w:r>
        <w:rPr>
          <w:rFonts w:ascii="Arial" w:cs="Arial" w:eastAsia="Arial" w:hAnsi="Arial"/>
          <w:sz w:val="16"/>
          <w:szCs w:val="16"/>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23" w:lineRule="exact"/>
        <w:rPr>
          <w:rFonts w:ascii="Arial" w:cs="Arial" w:eastAsia="Arial" w:hAnsi="Arial"/>
          <w:sz w:val="16"/>
          <w:szCs w:val="16"/>
          <w:b w:val="1"/>
          <w:bCs w:val="1"/>
          <w:color w:val="29378D"/>
        </w:rPr>
      </w:pPr>
    </w:p>
    <w:p>
      <w:pPr>
        <w:ind w:left="194" w:right="400" w:hanging="194"/>
        <w:spacing w:after="0" w:line="271" w:lineRule="auto"/>
        <w:tabs>
          <w:tab w:leader="none" w:pos="137" w:val="left"/>
        </w:tabs>
        <w:numPr>
          <w:ilvl w:val="0"/>
          <w:numId w:val="90"/>
        </w:numPr>
        <w:rPr>
          <w:rFonts w:ascii="Arial" w:cs="Arial" w:eastAsia="Arial" w:hAnsi="Arial"/>
          <w:sz w:val="16"/>
          <w:szCs w:val="16"/>
          <w:b w:val="1"/>
          <w:bCs w:val="1"/>
          <w:color w:val="29378D"/>
        </w:rPr>
      </w:pPr>
      <w:r>
        <w:rPr>
          <w:rFonts w:ascii="Arial" w:cs="Arial" w:eastAsia="Arial" w:hAnsi="Arial"/>
          <w:sz w:val="16"/>
          <w:szCs w:val="16"/>
          <w:color w:val="auto"/>
        </w:rPr>
        <w:t>All directors receive regular in-person training regarding our Company policies and procedures, including the Standards of Business Conduct, and broad exposure to our operations and the teams. Members of senior management review with the Board the operating plan for each of our business sectors and the Company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81280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006" w:space="720"/>
            <w:col w:w="8494"/>
          </w:cols>
          <w:pgMar w:left="320" w:top="238" w:right="359" w:bottom="1440" w:gutter="0" w:footer="0" w:header="0"/>
          <w:type w:val="continuous"/>
        </w:sectPr>
      </w:pPr>
    </w:p>
    <w:p>
      <w:pPr>
        <w:ind w:left="20" w:right="146"/>
        <w:spacing w:after="0" w:line="280" w:lineRule="auto"/>
        <w:rPr>
          <w:sz w:val="20"/>
          <w:szCs w:val="20"/>
          <w:color w:val="auto"/>
        </w:rPr>
      </w:pPr>
      <w:r>
        <w:rPr>
          <w:rFonts w:ascii="Arial" w:cs="Arial" w:eastAsia="Arial" w:hAnsi="Arial"/>
          <w:sz w:val="16"/>
          <w:szCs w:val="16"/>
          <w:b w:val="1"/>
          <w:bCs w:val="1"/>
          <w:color w:val="29378D"/>
        </w:rPr>
        <w:t>CONTINUING DIRECTOR EDUCATION AND SITE VISITS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4" w:right="180" w:hanging="194"/>
        <w:spacing w:after="0" w:line="275" w:lineRule="auto"/>
        <w:tabs>
          <w:tab w:leader="none" w:pos="137" w:val="left"/>
        </w:tabs>
        <w:numPr>
          <w:ilvl w:val="0"/>
          <w:numId w:val="91"/>
        </w:numPr>
        <w:rPr>
          <w:rFonts w:ascii="Arial" w:cs="Arial" w:eastAsia="Arial" w:hAnsi="Arial"/>
          <w:sz w:val="16"/>
          <w:szCs w:val="16"/>
          <w:b w:val="1"/>
          <w:bCs w:val="1"/>
          <w:color w:val="29378D"/>
        </w:rPr>
      </w:pPr>
      <w:r>
        <w:rPr>
          <w:rFonts w:ascii="Arial" w:cs="Arial" w:eastAsia="Arial" w:hAnsi="Arial"/>
          <w:sz w:val="16"/>
          <w:szCs w:val="16"/>
          <w:color w:val="auto"/>
        </w:rPr>
        <w:t>Directors attend outside director and other continuing education programs to assist them in staying current on developments in corporate governance, our industry, the global environment and issues critical to the operation of public company boards.</w:t>
      </w:r>
    </w:p>
    <w:p>
      <w:pPr>
        <w:spacing w:after="0" w:line="29" w:lineRule="exact"/>
        <w:rPr>
          <w:rFonts w:ascii="Arial" w:cs="Arial" w:eastAsia="Arial" w:hAnsi="Arial"/>
          <w:sz w:val="16"/>
          <w:szCs w:val="16"/>
          <w:b w:val="1"/>
          <w:bCs w:val="1"/>
          <w:color w:val="29378D"/>
        </w:rPr>
      </w:pPr>
    </w:p>
    <w:p>
      <w:pPr>
        <w:ind w:left="194" w:right="240" w:hanging="194"/>
        <w:spacing w:after="0" w:line="265" w:lineRule="auto"/>
        <w:tabs>
          <w:tab w:leader="none" w:pos="151" w:val="left"/>
        </w:tabs>
        <w:numPr>
          <w:ilvl w:val="0"/>
          <w:numId w:val="91"/>
        </w:numPr>
        <w:rPr>
          <w:rFonts w:ascii="Arial" w:cs="Arial" w:eastAsia="Arial" w:hAnsi="Arial"/>
          <w:sz w:val="16"/>
          <w:szCs w:val="16"/>
          <w:color w:val="29378D"/>
        </w:rPr>
      </w:pPr>
      <w:r>
        <w:rPr>
          <w:rFonts w:ascii="Arial" w:cs="Arial" w:eastAsia="Arial" w:hAnsi="Arial"/>
          <w:sz w:val="16"/>
          <w:szCs w:val="16"/>
          <w:color w:val="auto"/>
        </w:rPr>
        <w:t>The Board also conducts periodic site visits to our facilities as part of its regularly scheduled Board meetings, and during “Sector Days,” when our directors visit our business operations to meet with local employees and management. These visits allow directors to interact with a broader group of our executives and employees and gain firsthand insights into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84455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6" w:space="720"/>
            <w:col w:w="8494"/>
          </w:cols>
          <w:pgMar w:left="320" w:top="238"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Memberships and External Relationships</w:t>
      </w:r>
    </w:p>
    <w:p>
      <w:pPr>
        <w:spacing w:after="0" w:line="148"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or agreeing to other new commitments that could interfere with their duties and responsibilities as a member of the Board, and the General Counsel advises the Chair of the Nominating and Corporate Governance Committee (or the Chair of the Board, if notice is from the Chair of the Nominating and Corporate Governance Committee). A director should not accept the new commitment until advised by the Chair of the Nominating and Corporate Governance Committee (or Chair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When a director’s principal occupation or business association changes substantially during his or her tenure as a director, the Board expects the director to tender his or her resignation for consideration by the Nominating and Corporate Governance Committee, which subsequently will recommend to the Board what action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8516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Director Overboarding</w:t>
      </w:r>
    </w:p>
    <w:p>
      <w:pPr>
        <w:spacing w:after="0" w:line="275" w:lineRule="exact"/>
        <w:rPr>
          <w:sz w:val="20"/>
          <w:szCs w:val="20"/>
          <w:color w:val="auto"/>
        </w:rPr>
      </w:pPr>
    </w:p>
    <w:p>
      <w:pPr>
        <w:ind w:left="100" w:right="160"/>
        <w:spacing w:after="0" w:line="275" w:lineRule="auto"/>
        <w:rPr>
          <w:sz w:val="20"/>
          <w:szCs w:val="20"/>
          <w:color w:val="auto"/>
        </w:rPr>
      </w:pPr>
      <w:r>
        <w:rPr>
          <w:rFonts w:ascii="Arial" w:cs="Arial" w:eastAsia="Arial" w:hAnsi="Arial"/>
          <w:sz w:val="16"/>
          <w:szCs w:val="16"/>
          <w:color w:val="auto"/>
        </w:rPr>
        <w:t>The Board regularly reviews the ability of our directors to devote the necessary time and resources to their service on the Board. At least annually, the Board considers the outside time commitments of all directors, including their service on other public company boards, as well as committee assignments and any leadership roles on those boards.</w:t>
      </w:r>
    </w:p>
    <w:p>
      <w:pPr>
        <w:spacing w:after="0" w:line="70" w:lineRule="exact"/>
        <w:rPr>
          <w:sz w:val="20"/>
          <w:szCs w:val="20"/>
          <w:color w:val="auto"/>
        </w:rPr>
      </w:pPr>
    </w:p>
    <w:p>
      <w:pPr>
        <w:ind w:left="100"/>
        <w:spacing w:after="0" w:line="258" w:lineRule="auto"/>
        <w:rPr>
          <w:sz w:val="20"/>
          <w:szCs w:val="20"/>
          <w:color w:val="auto"/>
        </w:rPr>
      </w:pPr>
      <w:r>
        <w:rPr>
          <w:rFonts w:ascii="Arial" w:cs="Arial" w:eastAsia="Arial" w:hAnsi="Arial"/>
          <w:sz w:val="16"/>
          <w:szCs w:val="16"/>
          <w:color w:val="auto"/>
        </w:rPr>
        <w:t>Our board seeks to ensure each director has the time and ability to engage fully to fulfill their responsibilities, provide effective oversight and advance the long-term interests of our shareholders. Independent directors may not serve on more than three other boards of publicly traded companies in addition to our Board, and a director who is a full-time employee of our Company may not serve on the board of more than one other public company, absent special approval. As discussed above, the Board and the Nominating and Corporate Governance Committee also have a robust process for assessing whether a director’s service on another board could create conflicts or otherwise potentially interfere with their responsibilities as a Northrop Grumman director, before the director accepts service on such other board.</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2023, the Board conducted its regular review of directors’ other commitments and determined each director was in compliance with applicable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494"/>
        <w:spacing w:after="0"/>
        <w:tabs>
          <w:tab w:leader="none" w:pos="520" w:val="left"/>
        </w:tabs>
        <w:numPr>
          <w:ilvl w:val="0"/>
          <w:numId w:val="9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Self-Assessment Process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Board conducts annually thorough self-assessment processes at each of the full Board level, within each committee, and at the individual director level.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These processes are intended to ensure and enhance the effective operation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BOARD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EVALUATION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self-assessment of the full Board is overseen by the Nominating and Corporate Governance Committee. As part of this assessment, the Lead Independent Director and Chair of the Nominating and Corporate Governance Committee facilitate a broad discussion of Board performance, held in executive session. Among other topics, the Board considers:</w:t>
      </w:r>
    </w:p>
    <w:p>
      <w:pPr>
        <w:spacing w:after="0" w:line="34" w:lineRule="exact"/>
        <w:rPr>
          <w:sz w:val="20"/>
          <w:szCs w:val="20"/>
          <w:color w:val="auto"/>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the Board’s effectiveness in evaluating and monitoring the Company’s business plan, long-term strategy and risks;</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strategic and critical issues are being addressed by the Board in a timely manner;</w:t>
      </w:r>
    </w:p>
    <w:p>
      <w:pPr>
        <w:spacing w:after="0" w:line="72" w:lineRule="exact"/>
        <w:rPr>
          <w:rFonts w:ascii="Arial" w:cs="Arial" w:eastAsia="Arial" w:hAnsi="Arial"/>
          <w:sz w:val="16"/>
          <w:szCs w:val="16"/>
          <w:b w:val="1"/>
          <w:bCs w:val="1"/>
          <w:color w:val="29378D"/>
        </w:rPr>
      </w:pPr>
    </w:p>
    <w:p>
      <w:pPr>
        <w:ind w:left="200" w:right="40" w:hanging="194"/>
        <w:spacing w:after="0" w:line="286"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Board’s expectations and concerns are openly communicated to and discussed with the Chief Executive Officer;</w:t>
      </w:r>
    </w:p>
    <w:p>
      <w:pPr>
        <w:spacing w:after="0" w:line="7"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there is adequate contact between the Board and members of senior management;</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directors collectively operate effectively as a Board;</w:t>
      </w:r>
    </w:p>
    <w:p>
      <w:pPr>
        <w:spacing w:after="0" w:line="72" w:lineRule="exact"/>
        <w:rPr>
          <w:rFonts w:ascii="Arial" w:cs="Arial" w:eastAsia="Arial" w:hAnsi="Arial"/>
          <w:sz w:val="16"/>
          <w:szCs w:val="16"/>
          <w:b w:val="1"/>
          <w:bCs w:val="1"/>
          <w:color w:val="29378D"/>
        </w:rPr>
      </w:pPr>
    </w:p>
    <w:p>
      <w:pPr>
        <w:ind w:left="200" w:right="260" w:hanging="194"/>
        <w:spacing w:after="0" w:line="286"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individual directors have the appropriate mix of attributes and skills to fulfill their duties as directors of the Company;</w:t>
      </w:r>
    </w:p>
    <w:p>
      <w:pPr>
        <w:spacing w:after="0" w:line="7" w:lineRule="exact"/>
        <w:rPr>
          <w:rFonts w:ascii="Arial" w:cs="Arial" w:eastAsia="Arial" w:hAnsi="Arial"/>
          <w:sz w:val="16"/>
          <w:szCs w:val="16"/>
          <w:b w:val="1"/>
          <w:bCs w:val="1"/>
          <w:color w:val="29378D"/>
        </w:rPr>
      </w:pPr>
    </w:p>
    <w:p>
      <w:pPr>
        <w:ind w:left="200" w:right="320" w:hanging="194"/>
        <w:spacing w:after="0" w:line="268"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there are adequate opportunities to raise questions and comments on issues, both inside and outside of Board meetings;</w:t>
      </w:r>
    </w:p>
    <w:p>
      <w:pPr>
        <w:spacing w:after="0" w:line="21"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 has focused adequately on succession planning; and</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 is adequately responsive to shareholder communication.</w:t>
      </w:r>
    </w:p>
    <w:p>
      <w:pPr>
        <w:spacing w:after="0" w:line="7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Following this review, the Board discusses the results and identifies opportunities for improvement, including any necessary steps to implement such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73660</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000" w:space="720"/>
            <w:col w:w="852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COMMITTEE</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Each of the Committees also conducts an annual self-assessment. During an executive session led by the Committee</w:t>
            </w:r>
          </w:p>
        </w:tc>
      </w:tr>
      <w:tr>
        <w:trPr>
          <w:trHeight w:val="190"/>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EVALUATION</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chair, each Committee considers, among other topics: whether the quality of participation and discussion at the</w:t>
            </w:r>
          </w:p>
        </w:tc>
      </w:tr>
      <w:tr>
        <w:trPr>
          <w:trHeight w:val="175"/>
        </w:trPr>
        <w:tc>
          <w:tcPr>
            <w:tcW w:w="1900" w:type="dxa"/>
            <w:vAlign w:val="bottom"/>
          </w:tcPr>
          <w:p>
            <w:pPr>
              <w:spacing w:after="0"/>
              <w:rPr>
                <w:sz w:val="15"/>
                <w:szCs w:val="15"/>
                <w:color w:val="auto"/>
              </w:rPr>
            </w:pPr>
          </w:p>
        </w:tc>
        <w:tc>
          <w:tcPr>
            <w:tcW w:w="9340" w:type="dxa"/>
            <w:vAlign w:val="bottom"/>
            <w:gridSpan w:val="2"/>
          </w:tcPr>
          <w:p>
            <w:pPr>
              <w:ind w:left="820"/>
              <w:spacing w:after="0" w:line="175" w:lineRule="exact"/>
              <w:rPr>
                <w:sz w:val="20"/>
                <w:szCs w:val="20"/>
                <w:color w:val="auto"/>
              </w:rPr>
            </w:pPr>
            <w:r>
              <w:rPr>
                <w:rFonts w:ascii="Arial" w:cs="Arial" w:eastAsia="Arial" w:hAnsi="Arial"/>
                <w:sz w:val="16"/>
                <w:szCs w:val="16"/>
                <w:color w:val="auto"/>
              </w:rPr>
              <w:t>Committee meetings is effective in facilitating the Committee’s obligations under its charter; whether the Committee</w:t>
            </w:r>
          </w:p>
        </w:tc>
      </w:tr>
      <w:tr>
        <w:trPr>
          <w:trHeight w:val="189"/>
        </w:trPr>
        <w:tc>
          <w:tcPr>
            <w:tcW w:w="1900" w:type="dxa"/>
            <w:vAlign w:val="bottom"/>
          </w:tcPr>
          <w:p>
            <w:pPr>
              <w:spacing w:after="0"/>
              <w:rPr>
                <w:sz w:val="16"/>
                <w:szCs w:val="16"/>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has sufficient opportunity to engage in strategic discussion; and whether the Committee is covering the right topics in</w:t>
            </w:r>
          </w:p>
        </w:tc>
      </w:tr>
      <w:tr>
        <w:trPr>
          <w:trHeight w:val="189"/>
        </w:trPr>
        <w:tc>
          <w:tcPr>
            <w:tcW w:w="1900" w:type="dxa"/>
            <w:vAlign w:val="bottom"/>
          </w:tcPr>
          <w:p>
            <w:pPr>
              <w:spacing w:after="0"/>
              <w:rPr>
                <w:sz w:val="16"/>
                <w:szCs w:val="16"/>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the right amount of detail. Following this discussion, the Committee develops and implements a list of action items, as</w:t>
            </w:r>
          </w:p>
        </w:tc>
      </w:tr>
      <w:tr>
        <w:trPr>
          <w:trHeight w:val="215"/>
        </w:trPr>
        <w:tc>
          <w:tcPr>
            <w:tcW w:w="1900" w:type="dxa"/>
            <w:vAlign w:val="bottom"/>
          </w:tcPr>
          <w:p>
            <w:pPr>
              <w:spacing w:after="0"/>
              <w:rPr>
                <w:sz w:val="18"/>
                <w:szCs w:val="18"/>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appropriate.</w:t>
            </w:r>
          </w:p>
        </w:tc>
      </w:tr>
      <w:tr>
        <w:trPr>
          <w:trHeight w:val="70"/>
        </w:trPr>
        <w:tc>
          <w:tcPr>
            <w:tcW w:w="1900" w:type="dxa"/>
            <w:vAlign w:val="bottom"/>
            <w:tcBorders>
              <w:bottom w:val="single" w:sz="8" w:color="BCBEC0"/>
            </w:tcBorders>
          </w:tcPr>
          <w:p>
            <w:pPr>
              <w:spacing w:after="0"/>
              <w:rPr>
                <w:sz w:val="6"/>
                <w:szCs w:val="6"/>
                <w:color w:val="auto"/>
              </w:rPr>
            </w:pPr>
          </w:p>
        </w:tc>
        <w:tc>
          <w:tcPr>
            <w:tcW w:w="9340" w:type="dxa"/>
            <w:vAlign w:val="bottom"/>
            <w:tcBorders>
              <w:bottom w:val="single" w:sz="8" w:color="BCBEC0"/>
            </w:tcBorders>
            <w:gridSpan w:val="2"/>
          </w:tcPr>
          <w:p>
            <w:pPr>
              <w:spacing w:after="0"/>
              <w:rPr>
                <w:sz w:val="6"/>
                <w:szCs w:val="6"/>
                <w:color w:val="auto"/>
              </w:rPr>
            </w:pPr>
          </w:p>
        </w:tc>
      </w:tr>
      <w:tr>
        <w:trPr>
          <w:trHeight w:val="222"/>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INDIVIDUAL</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Also as part of the annual self-assessment process, each non-employee director completes an individual director</w:t>
            </w:r>
          </w:p>
        </w:tc>
      </w:tr>
      <w:tr>
        <w:trPr>
          <w:trHeight w:val="190"/>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DIRECTOR</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evaluation for each of the other non-employee directors. These evaluations address various aspects of how each</w:t>
            </w:r>
          </w:p>
        </w:tc>
      </w:tr>
      <w:tr>
        <w:trPr>
          <w:trHeight w:val="189"/>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EVALUATION</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director contributes to the Board and serves our shareholders. The evaluation results are compiled and provided</w:t>
            </w:r>
          </w:p>
        </w:tc>
      </w:tr>
      <w:tr>
        <w:trPr>
          <w:trHeight w:val="175"/>
        </w:trPr>
        <w:tc>
          <w:tcPr>
            <w:tcW w:w="1900" w:type="dxa"/>
            <w:vAlign w:val="bottom"/>
          </w:tcPr>
          <w:p>
            <w:pPr>
              <w:spacing w:after="0"/>
              <w:rPr>
                <w:sz w:val="15"/>
                <w:szCs w:val="15"/>
                <w:color w:val="auto"/>
              </w:rPr>
            </w:pPr>
          </w:p>
        </w:tc>
        <w:tc>
          <w:tcPr>
            <w:tcW w:w="9340" w:type="dxa"/>
            <w:vAlign w:val="bottom"/>
            <w:gridSpan w:val="2"/>
          </w:tcPr>
          <w:p>
            <w:pPr>
              <w:ind w:left="820"/>
              <w:spacing w:after="0" w:line="175" w:lineRule="exact"/>
              <w:rPr>
                <w:sz w:val="20"/>
                <w:szCs w:val="20"/>
                <w:color w:val="auto"/>
              </w:rPr>
            </w:pPr>
            <w:r>
              <w:rPr>
                <w:rFonts w:ascii="Arial" w:cs="Arial" w:eastAsia="Arial" w:hAnsi="Arial"/>
                <w:sz w:val="16"/>
                <w:szCs w:val="16"/>
                <w:color w:val="auto"/>
              </w:rPr>
              <w:t>directly to the Chair, the Lead Independent Director and the Chair of the Nominating and Corporate Governance</w:t>
            </w:r>
          </w:p>
        </w:tc>
      </w:tr>
      <w:tr>
        <w:trPr>
          <w:trHeight w:val="215"/>
        </w:trPr>
        <w:tc>
          <w:tcPr>
            <w:tcW w:w="1900" w:type="dxa"/>
            <w:vAlign w:val="bottom"/>
          </w:tcPr>
          <w:p>
            <w:pPr>
              <w:spacing w:after="0"/>
              <w:rPr>
                <w:sz w:val="18"/>
                <w:szCs w:val="18"/>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Committee. These assessments include, among other topics, each non-employee director’s:</w:t>
            </w:r>
          </w:p>
        </w:tc>
      </w:tr>
      <w:tr>
        <w:trPr>
          <w:trHeight w:val="265"/>
        </w:trPr>
        <w:tc>
          <w:tcPr>
            <w:tcW w:w="1900" w:type="dxa"/>
            <w:vAlign w:val="bottom"/>
          </w:tcPr>
          <w:p>
            <w:pPr>
              <w:spacing w:after="0"/>
              <w:rPr>
                <w:sz w:val="23"/>
                <w:szCs w:val="23"/>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understanding of the Company’s overall business and risk profile and its significant financial opportunities and plans;</w:t>
            </w:r>
          </w:p>
        </w:tc>
      </w:tr>
      <w:tr>
        <w:trPr>
          <w:trHeight w:val="256"/>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engagement during meetings and other Board functions;</w:t>
            </w:r>
          </w:p>
        </w:tc>
      </w:tr>
      <w:tr>
        <w:trPr>
          <w:trHeight w:val="257"/>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analysis of benefits and risks of courses of action considered by the Board; and</w:t>
            </w:r>
          </w:p>
        </w:tc>
      </w:tr>
      <w:tr>
        <w:trPr>
          <w:trHeight w:val="256"/>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appropriate respect for the views of other Board members.</w:t>
            </w:r>
          </w:p>
        </w:tc>
      </w:tr>
    </w:tbl>
    <w:p>
      <w:pPr>
        <w:spacing w:after="0" w:line="34" w:lineRule="exact"/>
        <w:rPr>
          <w:sz w:val="20"/>
          <w:szCs w:val="20"/>
          <w:color w:val="auto"/>
        </w:rPr>
      </w:pPr>
    </w:p>
    <w:p>
      <w:pPr>
        <w:ind w:left="2720" w:right="120"/>
        <w:spacing w:after="0" w:line="257" w:lineRule="auto"/>
        <w:rPr>
          <w:sz w:val="20"/>
          <w:szCs w:val="20"/>
          <w:color w:val="auto"/>
        </w:rPr>
      </w:pPr>
      <w:r>
        <w:rPr>
          <w:rFonts w:ascii="Arial" w:cs="Arial" w:eastAsia="Arial" w:hAnsi="Arial"/>
          <w:sz w:val="16"/>
          <w:szCs w:val="16"/>
          <w:color w:val="auto"/>
        </w:rPr>
        <w:t>The Lead Independent Director or the Chair of the Nominating and Corporate Governance Committee meets with each non-employee director individually to discuss the results of his or her assessment, including comments provided by other non-employee directors, and opportunities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59" w:lineRule="exact"/>
        <w:rPr>
          <w:sz w:val="20"/>
          <w:szCs w:val="20"/>
          <w:color w:val="auto"/>
        </w:rPr>
      </w:pPr>
    </w:p>
    <w:p>
      <w:pPr>
        <w:ind w:left="20" w:right="380"/>
        <w:spacing w:after="0" w:line="314" w:lineRule="auto"/>
        <w:rPr>
          <w:sz w:val="20"/>
          <w:szCs w:val="20"/>
          <w:color w:val="auto"/>
        </w:rPr>
      </w:pPr>
      <w:r>
        <w:rPr>
          <w:rFonts w:ascii="Arial" w:cs="Arial" w:eastAsia="Arial" w:hAnsi="Arial"/>
          <w:sz w:val="16"/>
          <w:szCs w:val="16"/>
          <w:b w:val="1"/>
          <w:bCs w:val="1"/>
          <w:color w:val="29378D"/>
        </w:rPr>
        <w:t>SELF-ASSESSMENT FEEDBACK</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Lead Independent Director or the Chair of the Nominating and Corporate Governance Committee reports generally on the overall results of these discussions to the Board in executive session. These evaluations also assist the Nominating and Corporate Governance Committee with its recommendation for directors to be renominated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47625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5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Succession Planning</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Board believes that providing for strong and effective continuity of leadership is critical to the success of our Company. The Board commits significant resources to ongoing succession planning, with processes in place for the Board:</w:t>
      </w:r>
    </w:p>
    <w:p>
      <w:pPr>
        <w:spacing w:after="0" w:line="61" w:lineRule="exact"/>
        <w:rPr>
          <w:sz w:val="20"/>
          <w:szCs w:val="20"/>
          <w:color w:val="auto"/>
        </w:rPr>
      </w:pPr>
    </w:p>
    <w:p>
      <w:pPr>
        <w:ind w:left="140" w:hanging="132"/>
        <w:spacing w:after="0"/>
        <w:tabs>
          <w:tab w:leader="none" w:pos="140"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evaluate the Chief Executive Officer annually based on a specific set of performance objectives;</w:t>
      </w:r>
    </w:p>
    <w:p>
      <w:pPr>
        <w:spacing w:after="0" w:line="72" w:lineRule="exact"/>
        <w:rPr>
          <w:rFonts w:ascii="Arial" w:cs="Arial" w:eastAsia="Arial" w:hAnsi="Arial"/>
          <w:sz w:val="16"/>
          <w:szCs w:val="16"/>
          <w:b w:val="1"/>
          <w:bCs w:val="1"/>
          <w:color w:val="29378D"/>
        </w:rPr>
      </w:pPr>
    </w:p>
    <w:p>
      <w:pPr>
        <w:ind w:left="200" w:right="320" w:hanging="192"/>
        <w:spacing w:after="0" w:line="299" w:lineRule="auto"/>
        <w:tabs>
          <w:tab w:leader="none" w:pos="143"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work with the Chief Executive Officer to support and ensure the development of potential succession candidates for the Chief Executive Officer and other leadership positions;</w:t>
      </w:r>
    </w:p>
    <w:p>
      <w:pPr>
        <w:ind w:left="200" w:right="120" w:hanging="192"/>
        <w:spacing w:after="0" w:line="304" w:lineRule="auto"/>
        <w:tabs>
          <w:tab w:leader="none" w:pos="143"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discuss with the Chief Executive Officer annually an assessment of persons considered potential successors to various senior management positions; and</w:t>
      </w:r>
    </w:p>
    <w:p>
      <w:pPr>
        <w:spacing w:after="0" w:line="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robustly to consider, plan for and ensure successful transitions of leadership.</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Communications with the Board of Directors</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interested person may communicate with any of our directors, our Board as a group, our non-employee directors as a group or our Lead Independent Director through the Corporate Secretary by writing to the following address: Office of the Corporate Secretary, Northrop Grumman Corporation, 2980 Fairview Park Drive, Falls Church, Virginia 22042. The Corporate Secretary will forward 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has met with, and looks forward to the opportunity to meet with, interested shareholders to address concerns and to receive input.</w:t>
      </w:r>
    </w:p>
    <w:p>
      <w:pPr>
        <w:spacing w:after="0" w:line="11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Interested persons may also report any concerns relating to accounting matters, internal accounting controls or auditing matters to non-management directors (including anonymously) by writing to the Chair of the Audit and Risk Committee, Northrop Grumman Board of Directors c/o Corporate Ethics and Compliance Office, 2980 Fairview Park Drive, 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494"/>
        <w:spacing w:after="0"/>
        <w:tabs>
          <w:tab w:leader="none" w:pos="520" w:val="left"/>
        </w:tabs>
        <w:numPr>
          <w:ilvl w:val="0"/>
          <w:numId w:val="9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7" w:name="page48"/>
    <w:bookmarkEnd w:id="47"/>
    <w:p>
      <w:pPr>
        <w:spacing w:after="0"/>
        <w:rPr>
          <w:sz w:val="20"/>
          <w:szCs w:val="20"/>
          <w:color w:val="auto"/>
        </w:rPr>
      </w:pPr>
      <w:r>
        <w:rPr>
          <w:rFonts w:ascii="Arial" w:cs="Arial" w:eastAsia="Arial" w:hAnsi="Arial"/>
          <w:sz w:val="43"/>
          <w:szCs w:val="43"/>
          <w:b w:val="1"/>
          <w:bCs w:val="1"/>
          <w:color w:val="29378D"/>
        </w:rPr>
        <w:t>Compensation of Directors</w:t>
      </w:r>
    </w:p>
    <w:p>
      <w:pPr>
        <w:spacing w:after="0" w:line="200" w:lineRule="exact"/>
        <w:rPr>
          <w:sz w:val="20"/>
          <w:szCs w:val="20"/>
          <w:color w:val="auto"/>
        </w:rPr>
      </w:pPr>
    </w:p>
    <w:p>
      <w:pPr>
        <w:spacing w:after="0" w:line="26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May 2023, the Compensation and Human Capital Committee recommended to the Board, and the Board approved, the current non-employee director fee structure, effective May 17, 2023. The current fee structure is the same as was approved in May 2022. The table below lists the annual fees payable to our non-employee directors from January 1, 2023 to December 31, 2023.</w:t>
      </w:r>
    </w:p>
    <w:tbl>
      <w:tblPr>
        <w:tblLayout w:type="fixed"/>
        <w:tblInd w:w="1080" w:type="dxa"/>
        <w:tblCellMar>
          <w:top w:w="0" w:type="dxa"/>
          <w:left w:w="0" w:type="dxa"/>
          <w:bottom w:w="0" w:type="dxa"/>
          <w:right w:w="0" w:type="dxa"/>
        </w:tblCellMar>
      </w:tblPr>
      <w:tr>
        <w:trPr>
          <w:trHeight w:val="147"/>
        </w:trPr>
        <w:tc>
          <w:tcPr>
            <w:tcW w:w="5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376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Amount ($)</w:t>
            </w:r>
          </w:p>
        </w:tc>
        <w:tc>
          <w:tcPr>
            <w:tcW w:w="0" w:type="dxa"/>
            <w:vAlign w:val="bottom"/>
          </w:tcPr>
          <w:p>
            <w:pPr>
              <w:spacing w:after="0"/>
              <w:rPr>
                <w:sz w:val="1"/>
                <w:szCs w:val="1"/>
                <w:color w:val="auto"/>
              </w:rPr>
            </w:pPr>
          </w:p>
        </w:tc>
      </w:tr>
      <w:tr>
        <w:trPr>
          <w:trHeight w:val="172"/>
        </w:trPr>
        <w:tc>
          <w:tcPr>
            <w:tcW w:w="5320" w:type="dxa"/>
            <w:vAlign w:val="bottom"/>
            <w:vMerge w:val="continue"/>
          </w:tcPr>
          <w:p>
            <w:pPr>
              <w:spacing w:after="0"/>
              <w:rPr>
                <w:sz w:val="14"/>
                <w:szCs w:val="14"/>
                <w:color w:val="auto"/>
              </w:rPr>
            </w:pPr>
          </w:p>
        </w:tc>
        <w:tc>
          <w:tcPr>
            <w:tcW w:w="3760" w:type="dxa"/>
            <w:vAlign w:val="bottom"/>
          </w:tcPr>
          <w:p>
            <w:pPr>
              <w:jc w:val="right"/>
              <w:spacing w:after="0"/>
              <w:rPr>
                <w:sz w:val="20"/>
                <w:szCs w:val="20"/>
                <w:color w:val="auto"/>
              </w:rPr>
            </w:pPr>
            <w:r>
              <w:rPr>
                <w:rFonts w:ascii="Arial" w:cs="Arial" w:eastAsia="Arial" w:hAnsi="Arial"/>
                <w:sz w:val="13"/>
                <w:szCs w:val="13"/>
                <w:b w:val="1"/>
                <w:bCs w:val="1"/>
                <w:color w:val="auto"/>
              </w:rPr>
              <w:t>(1/1/23 - 12/31/23)</w:t>
            </w:r>
          </w:p>
        </w:tc>
        <w:tc>
          <w:tcPr>
            <w:tcW w:w="0" w:type="dxa"/>
            <w:vAlign w:val="bottom"/>
          </w:tcPr>
          <w:p>
            <w:pPr>
              <w:spacing w:after="0"/>
              <w:rPr>
                <w:sz w:val="1"/>
                <w:szCs w:val="1"/>
                <w:color w:val="auto"/>
              </w:rPr>
            </w:pPr>
          </w:p>
        </w:tc>
      </w:tr>
      <w:tr>
        <w:trPr>
          <w:trHeight w:val="22"/>
        </w:trPr>
        <w:tc>
          <w:tcPr>
            <w:tcW w:w="5320" w:type="dxa"/>
            <w:vAlign w:val="bottom"/>
            <w:tcBorders>
              <w:bottom w:val="single" w:sz="8" w:color="29378D"/>
            </w:tcBorders>
          </w:tcPr>
          <w:p>
            <w:pPr>
              <w:spacing w:after="0" w:line="20" w:lineRule="exact"/>
              <w:rPr>
                <w:sz w:val="1"/>
                <w:szCs w:val="1"/>
                <w:color w:val="auto"/>
              </w:rPr>
            </w:pPr>
          </w:p>
        </w:tc>
        <w:tc>
          <w:tcPr>
            <w:tcW w:w="376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Annual Cash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140,000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Lead Independent Director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Committee Chair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Audit and Risk Committee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color w:val="auto"/>
              </w:rPr>
              <w:t>Annual Equity Grant</w:t>
            </w:r>
            <w:r>
              <w:rPr>
                <w:rFonts w:ascii="Arial" w:cs="Arial" w:eastAsia="Arial" w:hAnsi="Arial"/>
                <w:sz w:val="21"/>
                <w:szCs w:val="21"/>
                <w:color w:val="auto"/>
                <w:vertAlign w:val="superscript"/>
              </w:rPr>
              <w:t>(1)</w:t>
            </w:r>
          </w:p>
        </w:tc>
        <w:tc>
          <w:tcPr>
            <w:tcW w:w="37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40" w:right="120" w:hanging="322"/>
        <w:spacing w:after="0" w:line="273" w:lineRule="auto"/>
        <w:tabs>
          <w:tab w:leader="none" w:pos="11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75"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b w:val="1"/>
          <w:bCs w:val="1"/>
          <w:color w:val="auto"/>
        </w:rPr>
        <w:t>Current Non-Employee Director Fees</w:t>
      </w:r>
      <w:r>
        <w:rPr>
          <w:sz w:val="20"/>
          <w:szCs w:val="20"/>
          <w:color w:val="auto"/>
        </w:rPr>
        <w:tab/>
      </w:r>
      <w:r>
        <w:rPr>
          <w:rFonts w:ascii="Arial" w:cs="Arial" w:eastAsia="Arial" w:hAnsi="Arial"/>
          <w:sz w:val="17"/>
          <w:szCs w:val="17"/>
          <w:b w:val="1"/>
          <w:bCs w:val="1"/>
          <w:color w:val="auto"/>
        </w:rPr>
        <w:t>Current Additional Annual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60325</wp:posOffset>
            </wp:positionV>
            <wp:extent cx="5400675" cy="1560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0067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Retainer fees are paid in arrears on a quarterly basis at the end of each quarter.</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encourage directors to have a direct and material investment in shares of our common stock, non-employee directors are awarded an annual equity grant of $175,000 in the form of deferred stock units (Automatic Stock Units).</w:t>
      </w:r>
    </w:p>
    <w:p>
      <w:pPr>
        <w:spacing w:after="0" w:line="6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Compensation and Human Capital Committee, with the assistance of its independent compensation consultant, is responsible for reviewing and recommending for Board approval the compensation of the non-employee directors. At the request of the Compensation and Human Capital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Director Program was amended and restated effective January 1, 2016 (the Amended Director Program). Non-employee directors other than Mr. Krishna, Ms. Ross and Ms. Winston received an annual equity grant of Automatic Stock Units on May 18, 2022 which vested on May 18, 2023. Mr. Krishna, Ms. Ross and Ms. Winston each received a pro-rated annual equity grant upon their elections to the Board in November 2022 and March 2023, respectively, which also vested on May 18, 2023. Non-employee directors received an annual equity grant of Automatic Stock Units on May 17, 2023 which will vest on May 17, 2024.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8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8256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Stock Ownership Requirements</w:t>
      </w:r>
    </w:p>
    <w:p>
      <w:pPr>
        <w:spacing w:after="0" w:line="127" w:lineRule="exact"/>
        <w:rPr>
          <w:sz w:val="20"/>
          <w:szCs w:val="20"/>
          <w:color w:val="auto"/>
        </w:rPr>
      </w:pPr>
    </w:p>
    <w:p>
      <w:pPr>
        <w:ind w:left="100" w:right="200"/>
        <w:spacing w:after="0" w:line="275" w:lineRule="auto"/>
        <w:rPr>
          <w:sz w:val="20"/>
          <w:szCs w:val="20"/>
          <w:color w:val="auto"/>
        </w:rPr>
      </w:pPr>
      <w:r>
        <w:rPr>
          <w:rFonts w:ascii="Arial" w:cs="Arial" w:eastAsia="Arial" w:hAnsi="Arial"/>
          <w:sz w:val="16"/>
          <w:szCs w:val="16"/>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Anti-Hedging and Pledging Policy</w:t>
      </w:r>
    </w:p>
    <w:p>
      <w:pPr>
        <w:spacing w:after="0" w:line="113" w:lineRule="exact"/>
        <w:rPr>
          <w:sz w:val="20"/>
          <w:szCs w:val="20"/>
          <w:color w:val="auto"/>
        </w:rPr>
      </w:pPr>
    </w:p>
    <w:p>
      <w:pPr>
        <w:ind w:left="100" w:right="80"/>
        <w:spacing w:after="0" w:line="261" w:lineRule="auto"/>
        <w:rPr>
          <w:sz w:val="20"/>
          <w:szCs w:val="20"/>
          <w:color w:val="auto"/>
        </w:rPr>
      </w:pPr>
      <w:r>
        <w:rPr>
          <w:rFonts w:ascii="Arial" w:cs="Arial" w:eastAsia="Arial" w:hAnsi="Arial"/>
          <w:sz w:val="16"/>
          <w:szCs w:val="16"/>
          <w:color w:val="auto"/>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None of the shares of Company common stock held by our directors are pledged or subject to any hedging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494"/>
        <w:spacing w:after="0"/>
        <w:tabs>
          <w:tab w:leader="none" w:pos="520" w:val="left"/>
        </w:tabs>
        <w:numPr>
          <w:ilvl w:val="0"/>
          <w:numId w:val="9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Director Compensation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gridSpan w:val="2"/>
          </w:tcPr>
          <w:p>
            <w:pPr>
              <w:spacing w:after="0"/>
              <w:rPr>
                <w:sz w:val="20"/>
                <w:szCs w:val="20"/>
                <w:color w:val="auto"/>
              </w:rPr>
            </w:pPr>
            <w:r>
              <w:rPr>
                <w:rFonts w:ascii="Arial" w:cs="Arial" w:eastAsia="Arial" w:hAnsi="Arial"/>
                <w:sz w:val="16"/>
                <w:szCs w:val="16"/>
                <w:color w:val="auto"/>
              </w:rPr>
              <w:t>The table below provides information on the compensation of our non-employee directors for the year ended</w:t>
            </w:r>
          </w:p>
        </w:tc>
        <w:tc>
          <w:tcPr>
            <w:tcW w:w="2460" w:type="dxa"/>
            <w:vAlign w:val="bottom"/>
            <w:gridSpan w:val="2"/>
          </w:tcPr>
          <w:p>
            <w:pPr>
              <w:jc w:val="right"/>
              <w:ind w:right="602"/>
              <w:spacing w:after="0"/>
              <w:rPr>
                <w:sz w:val="20"/>
                <w:szCs w:val="20"/>
                <w:color w:val="auto"/>
              </w:rPr>
            </w:pPr>
            <w:r>
              <w:rPr>
                <w:rFonts w:ascii="Arial" w:cs="Arial" w:eastAsia="Arial" w:hAnsi="Arial"/>
                <w:sz w:val="16"/>
                <w:szCs w:val="16"/>
                <w:color w:val="auto"/>
              </w:rPr>
              <w:t>December 31, 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140" w:type="dxa"/>
            <w:vAlign w:val="bottom"/>
          </w:tcPr>
          <w:p>
            <w:pPr>
              <w:spacing w:after="0"/>
              <w:rPr>
                <w:sz w:val="24"/>
                <w:szCs w:val="24"/>
                <w:color w:val="auto"/>
              </w:rPr>
            </w:pPr>
          </w:p>
        </w:tc>
        <w:tc>
          <w:tcPr>
            <w:tcW w:w="3760" w:type="dxa"/>
            <w:vAlign w:val="bottom"/>
          </w:tcPr>
          <w:p>
            <w:pPr>
              <w:jc w:val="right"/>
              <w:ind w:right="442"/>
              <w:spacing w:after="0"/>
              <w:rPr>
                <w:sz w:val="20"/>
                <w:szCs w:val="20"/>
                <w:color w:val="auto"/>
              </w:rPr>
            </w:pPr>
            <w:r>
              <w:rPr>
                <w:rFonts w:ascii="Arial" w:cs="Arial" w:eastAsia="Arial" w:hAnsi="Arial"/>
                <w:sz w:val="13"/>
                <w:szCs w:val="13"/>
                <w:b w:val="1"/>
                <w:bCs w:val="1"/>
                <w:color w:val="auto"/>
              </w:rPr>
              <w:t>Fees Earned or</w:t>
            </w:r>
          </w:p>
        </w:tc>
        <w:tc>
          <w:tcPr>
            <w:tcW w:w="1020" w:type="dxa"/>
            <w:vAlign w:val="bottom"/>
          </w:tcPr>
          <w:p>
            <w:pPr>
              <w:jc w:val="right"/>
              <w:ind w:right="162"/>
              <w:spacing w:after="0"/>
              <w:rPr>
                <w:sz w:val="20"/>
                <w:szCs w:val="20"/>
                <w:color w:val="auto"/>
              </w:rPr>
            </w:pPr>
            <w:r>
              <w:rPr>
                <w:rFonts w:ascii="Arial" w:cs="Arial" w:eastAsia="Arial" w:hAnsi="Arial"/>
                <w:sz w:val="13"/>
                <w:szCs w:val="13"/>
                <w:b w:val="1"/>
                <w:bCs w:val="1"/>
                <w:color w:val="auto"/>
              </w:rPr>
              <w:t>Stock</w:t>
            </w:r>
          </w:p>
        </w:tc>
        <w:tc>
          <w:tcPr>
            <w:tcW w:w="1440" w:type="dxa"/>
            <w:vAlign w:val="bottom"/>
          </w:tcPr>
          <w:p>
            <w:pPr>
              <w:jc w:val="right"/>
              <w:ind w:right="142"/>
              <w:spacing w:after="0"/>
              <w:rPr>
                <w:sz w:val="20"/>
                <w:szCs w:val="20"/>
                <w:color w:val="auto"/>
              </w:rPr>
            </w:pPr>
            <w:r>
              <w:rPr>
                <w:rFonts w:ascii="Arial" w:cs="Arial" w:eastAsia="Arial" w:hAnsi="Arial"/>
                <w:sz w:val="13"/>
                <w:szCs w:val="13"/>
                <w:b w:val="1"/>
                <w:bCs w:val="1"/>
                <w:color w:val="auto"/>
              </w:rPr>
              <w:t>All Other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3760" w:type="dxa"/>
            <w:vAlign w:val="bottom"/>
          </w:tcPr>
          <w:p>
            <w:pPr>
              <w:jc w:val="right"/>
              <w:ind w:right="442"/>
              <w:spacing w:after="0" w:line="148" w:lineRule="exact"/>
              <w:rPr>
                <w:sz w:val="20"/>
                <w:szCs w:val="20"/>
                <w:color w:val="auto"/>
              </w:rPr>
            </w:pPr>
            <w:r>
              <w:rPr>
                <w:rFonts w:ascii="Arial" w:cs="Arial" w:eastAsia="Arial" w:hAnsi="Arial"/>
                <w:sz w:val="13"/>
                <w:szCs w:val="13"/>
                <w:b w:val="1"/>
                <w:bCs w:val="1"/>
                <w:color w:val="auto"/>
              </w:rPr>
              <w:t>Paid in Cash</w:t>
            </w:r>
            <w:r>
              <w:rPr>
                <w:rFonts w:ascii="Arial" w:cs="Arial" w:eastAsia="Arial" w:hAnsi="Arial"/>
                <w:sz w:val="16"/>
                <w:szCs w:val="16"/>
                <w:b w:val="1"/>
                <w:bCs w:val="1"/>
                <w:color w:val="auto"/>
                <w:vertAlign w:val="superscript"/>
              </w:rPr>
              <w:t>(1)</w:t>
            </w:r>
          </w:p>
        </w:tc>
        <w:tc>
          <w:tcPr>
            <w:tcW w:w="1020" w:type="dxa"/>
            <w:vAlign w:val="bottom"/>
          </w:tcPr>
          <w:p>
            <w:pPr>
              <w:jc w:val="right"/>
              <w:ind w:right="162"/>
              <w:spacing w:after="0" w:line="148"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(2)</w:t>
            </w:r>
          </w:p>
        </w:tc>
        <w:tc>
          <w:tcPr>
            <w:tcW w:w="144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6"/>
                <w:szCs w:val="16"/>
                <w:b w:val="1"/>
                <w:bCs w:val="1"/>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29378D"/>
            </w:tcBorders>
            <w:vMerge w:val="continue"/>
          </w:tcPr>
          <w:p>
            <w:pPr>
              <w:spacing w:after="0"/>
              <w:rPr>
                <w:sz w:val="15"/>
                <w:szCs w:val="15"/>
                <w:color w:val="auto"/>
              </w:rPr>
            </w:pPr>
          </w:p>
        </w:tc>
        <w:tc>
          <w:tcPr>
            <w:tcW w:w="3760" w:type="dxa"/>
            <w:vAlign w:val="bottom"/>
            <w:tcBorders>
              <w:bottom w:val="single" w:sz="8" w:color="29378D"/>
            </w:tcBorders>
          </w:tcPr>
          <w:p>
            <w:pPr>
              <w:jc w:val="right"/>
              <w:ind w:right="442"/>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29378D"/>
            </w:tcBorders>
          </w:tcPr>
          <w:p>
            <w:pPr>
              <w:jc w:val="right"/>
              <w:ind w:right="162"/>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29378D"/>
            </w:tcBorders>
          </w:tcPr>
          <w:p>
            <w:pPr>
              <w:jc w:val="right"/>
              <w:ind w:right="142"/>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David P. Abney</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165,000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16</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340,016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Marianne C. Brown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180,000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14,412</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369,412</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Donald E. Felsinger</w:t>
            </w:r>
            <w:r>
              <w:rPr>
                <w:rFonts w:ascii="Arial" w:cs="Arial" w:eastAsia="Arial" w:hAnsi="Arial"/>
                <w:sz w:val="21"/>
                <w:szCs w:val="21"/>
                <w:b w:val="1"/>
                <w:bCs w:val="1"/>
                <w:color w:val="29378D"/>
                <w:vertAlign w:val="superscript"/>
              </w:rPr>
              <w:t>(4)</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53,200</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13,381</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66,581</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Ann M. Fudge</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11,136</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341,136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William H. Hernandez</w:t>
            </w:r>
            <w:r>
              <w:rPr>
                <w:rFonts w:ascii="Arial" w:cs="Arial" w:eastAsia="Arial" w:hAnsi="Arial"/>
                <w:sz w:val="21"/>
                <w:szCs w:val="21"/>
                <w:b w:val="1"/>
                <w:bCs w:val="1"/>
                <w:color w:val="29378D"/>
                <w:vertAlign w:val="superscript"/>
              </w:rPr>
              <w:t>(5)</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5,813</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5,813</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Madeleine A. Kleiner</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190,000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35,304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400,304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Karl J. Krapek</w:t>
            </w:r>
            <w:r>
              <w:rPr>
                <w:rFonts w:ascii="Arial" w:cs="Arial" w:eastAsia="Arial" w:hAnsi="Arial"/>
                <w:sz w:val="21"/>
                <w:szCs w:val="21"/>
                <w:b w:val="1"/>
                <w:bCs w:val="1"/>
                <w:color w:val="29378D"/>
                <w:vertAlign w:val="superscript"/>
              </w:rPr>
              <w:t>(6)</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53,200</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6,851</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60,051</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Arvind Krishna</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140,000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24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315,024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Graham N. Robinson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143,076</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135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318,211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Kimberly A. Ross</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123,216</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205,685</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10,011</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338,912</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Gary Roughead</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165,000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18,891</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358,891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Thomas M. Schoewe</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180,000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10,754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365,754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James S. Turley</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2,465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332,465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Mark A. Welsh III</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1,615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331,615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Mary A. Winston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111,292</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205,685</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316,986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00" w:hanging="252"/>
        <w:spacing w:after="0" w:line="283"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reflect the annual cash retainer paid to each director, including any applicable annual committee and committee chair retainers and any applicable Lead Independent Director or Chair retainer. As described above, a director may elect to defer all or a portion of his or her annual cash retainer into a deferred stock unit account or alternative investment options. Amounts deferred as Elective Stock Units or deferred into alternative investment options are reflected in this column.</w:t>
      </w:r>
    </w:p>
    <w:p>
      <w:pPr>
        <w:spacing w:after="0" w:line="24" w:lineRule="exact"/>
        <w:rPr>
          <w:rFonts w:ascii="Arial" w:cs="Arial" w:eastAsia="Arial" w:hAnsi="Arial"/>
          <w:sz w:val="14"/>
          <w:szCs w:val="14"/>
          <w:color w:val="auto"/>
        </w:rPr>
      </w:pPr>
    </w:p>
    <w:p>
      <w:pPr>
        <w:ind w:left="260" w:right="40" w:hanging="252"/>
        <w:spacing w:after="0" w:line="267"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represent the target value of Automatic Stock Units awarded to each of our non-employee directors in 2023 under the 2011 Plan pursuant to the Amended Director Program. The amount reported for each director reflects the aggregate fair value of the Automatic Stock Units on the grant date, as determined under Financial Accounting Standards Board Accounting Standards Codification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2023 is provided in the Deferred Stock Units table below.</w:t>
      </w:r>
    </w:p>
    <w:p>
      <w:pPr>
        <w:spacing w:after="0" w:line="35" w:lineRule="exact"/>
        <w:rPr>
          <w:rFonts w:ascii="Arial" w:cs="Arial" w:eastAsia="Arial" w:hAnsi="Arial"/>
          <w:sz w:val="14"/>
          <w:szCs w:val="14"/>
          <w:color w:val="auto"/>
        </w:rPr>
      </w:pPr>
    </w:p>
    <w:p>
      <w:pPr>
        <w:ind w:left="260" w:right="20" w:hanging="252"/>
        <w:spacing w:after="0" w:line="276"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Brown, $10,000; Ms. Fudge, $9,225; Ms. Kleiner, $10,000; Ms. Ross, $10,000 and Mr. Roughead, $10,000.</w:t>
      </w:r>
    </w:p>
    <w:p>
      <w:pPr>
        <w:spacing w:after="0" w:line="28" w:lineRule="exact"/>
        <w:rPr>
          <w:rFonts w:ascii="Arial" w:cs="Arial" w:eastAsia="Arial" w:hAnsi="Arial"/>
          <w:sz w:val="14"/>
          <w:szCs w:val="14"/>
          <w:color w:val="auto"/>
        </w:rPr>
      </w:pPr>
    </w:p>
    <w:p>
      <w:pPr>
        <w:ind w:left="260" w:right="100" w:hanging="252"/>
        <w:spacing w:after="0" w:line="305"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Felsinger reached the age of 75 prior to the 2023 Annual Meeting and, in accordance with our director retirement policy, did not stand for re-election at the 2023 Annual Meeting.</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Hernandez, who had served as a director since 2013, died in January 2023.</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Krapek, who had served as a director since 2008 did not stand for re-election at the 2023 Annual Meeting.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Deferred Stock Units</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2023,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4280" w:type="dxa"/>
            <w:vAlign w:val="bottom"/>
          </w:tcPr>
          <w:p>
            <w:pPr>
              <w:jc w:val="right"/>
              <w:ind w:right="121"/>
              <w:spacing w:after="0"/>
              <w:rPr>
                <w:sz w:val="20"/>
                <w:szCs w:val="20"/>
                <w:color w:val="auto"/>
              </w:rPr>
            </w:pPr>
            <w:r>
              <w:rPr>
                <w:rFonts w:ascii="Arial" w:cs="Arial" w:eastAsia="Arial" w:hAnsi="Arial"/>
                <w:sz w:val="13"/>
                <w:szCs w:val="13"/>
                <w:b w:val="1"/>
                <w:bCs w:val="1"/>
                <w:color w:val="auto"/>
              </w:rPr>
              <w:t>Automatic Stock</w:t>
            </w:r>
          </w:p>
        </w:tc>
        <w:tc>
          <w:tcPr>
            <w:tcW w:w="1280" w:type="dxa"/>
            <w:vAlign w:val="bottom"/>
          </w:tcPr>
          <w:p>
            <w:pPr>
              <w:jc w:val="right"/>
              <w:ind w:right="121"/>
              <w:spacing w:after="0"/>
              <w:rPr>
                <w:sz w:val="20"/>
                <w:szCs w:val="20"/>
                <w:color w:val="auto"/>
              </w:rPr>
            </w:pPr>
            <w:r>
              <w:rPr>
                <w:rFonts w:ascii="Arial" w:cs="Arial" w:eastAsia="Arial" w:hAnsi="Arial"/>
                <w:sz w:val="13"/>
                <w:szCs w:val="13"/>
                <w:b w:val="1"/>
                <w:bCs w:val="1"/>
                <w:color w:val="auto"/>
              </w:rPr>
              <w:t>Elective Stock</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900" w:type="dxa"/>
            <w:vAlign w:val="bottom"/>
            <w:vMerge w:val="continue"/>
          </w:tcPr>
          <w:p>
            <w:pPr>
              <w:spacing w:after="0"/>
              <w:rPr>
                <w:sz w:val="14"/>
                <w:szCs w:val="14"/>
                <w:color w:val="auto"/>
              </w:rPr>
            </w:pPr>
          </w:p>
        </w:tc>
        <w:tc>
          <w:tcPr>
            <w:tcW w:w="4280" w:type="dxa"/>
            <w:vAlign w:val="bottom"/>
          </w:tcPr>
          <w:p>
            <w:pPr>
              <w:jc w:val="right"/>
              <w:ind w:right="121"/>
              <w:spacing w:after="0"/>
              <w:rPr>
                <w:sz w:val="20"/>
                <w:szCs w:val="20"/>
                <w:color w:val="auto"/>
              </w:rPr>
            </w:pPr>
            <w:r>
              <w:rPr>
                <w:rFonts w:ascii="Arial" w:cs="Arial" w:eastAsia="Arial" w:hAnsi="Arial"/>
                <w:sz w:val="13"/>
                <w:szCs w:val="13"/>
                <w:b w:val="1"/>
                <w:bCs w:val="1"/>
                <w:color w:val="auto"/>
              </w:rPr>
              <w:t>Units</w:t>
            </w:r>
          </w:p>
        </w:tc>
        <w:tc>
          <w:tcPr>
            <w:tcW w:w="1280" w:type="dxa"/>
            <w:vAlign w:val="bottom"/>
          </w:tcPr>
          <w:p>
            <w:pPr>
              <w:jc w:val="right"/>
              <w:ind w:right="121"/>
              <w:spacing w:after="0"/>
              <w:rPr>
                <w:sz w:val="20"/>
                <w:szCs w:val="20"/>
                <w:color w:val="auto"/>
              </w:rPr>
            </w:pPr>
            <w:r>
              <w:rPr>
                <w:rFonts w:ascii="Arial" w:cs="Arial" w:eastAsia="Arial" w:hAnsi="Arial"/>
                <w:sz w:val="13"/>
                <w:szCs w:val="13"/>
                <w:b w:val="1"/>
                <w:bCs w:val="1"/>
                <w:color w:val="auto"/>
              </w:rPr>
              <w:t>Units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900" w:type="dxa"/>
            <w:vAlign w:val="bottom"/>
            <w:tcBorders>
              <w:bottom w:val="single" w:sz="8" w:color="29378D"/>
            </w:tcBorders>
          </w:tcPr>
          <w:p>
            <w:pPr>
              <w:spacing w:after="0" w:line="20" w:lineRule="exact"/>
              <w:rPr>
                <w:sz w:val="1"/>
                <w:szCs w:val="1"/>
                <w:color w:val="auto"/>
              </w:rPr>
            </w:pPr>
          </w:p>
        </w:tc>
        <w:tc>
          <w:tcPr>
            <w:tcW w:w="428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David P. Abney</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Marianne C. Brown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5,396</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3,749</w:t>
            </w:r>
          </w:p>
        </w:tc>
        <w:tc>
          <w:tcPr>
            <w:tcW w:w="780" w:type="dxa"/>
            <w:vAlign w:val="bottom"/>
          </w:tcPr>
          <w:p>
            <w:pPr>
              <w:jc w:val="right"/>
              <w:spacing w:after="0"/>
              <w:rPr>
                <w:sz w:val="20"/>
                <w:szCs w:val="20"/>
                <w:color w:val="auto"/>
              </w:rPr>
            </w:pPr>
            <w:r>
              <w:rPr>
                <w:rFonts w:ascii="Arial" w:cs="Arial" w:eastAsia="Arial" w:hAnsi="Arial"/>
                <w:sz w:val="16"/>
                <w:szCs w:val="16"/>
                <w:color w:val="auto"/>
              </w:rPr>
              <w:t>9,145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Donald E. Felsinger</w:t>
            </w:r>
            <w:r>
              <w:rPr>
                <w:rFonts w:ascii="Arial" w:cs="Arial" w:eastAsia="Arial" w:hAnsi="Arial"/>
                <w:sz w:val="21"/>
                <w:szCs w:val="21"/>
                <w:b w:val="1"/>
                <w:bCs w:val="1"/>
                <w:color w:val="29378D"/>
                <w:vertAlign w:val="superscript"/>
              </w:rPr>
              <w:t>(1)</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Ann M. Fudge</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3,244</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523</w:t>
            </w:r>
          </w:p>
        </w:tc>
        <w:tc>
          <w:tcPr>
            <w:tcW w:w="780" w:type="dxa"/>
            <w:vAlign w:val="bottom"/>
          </w:tcPr>
          <w:p>
            <w:pPr>
              <w:jc w:val="right"/>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William H. Hernandez</w:t>
            </w:r>
            <w:r>
              <w:rPr>
                <w:rFonts w:ascii="Arial" w:cs="Arial" w:eastAsia="Arial" w:hAnsi="Arial"/>
                <w:sz w:val="21"/>
                <w:szCs w:val="21"/>
                <w:b w:val="1"/>
                <w:bCs w:val="1"/>
                <w:color w:val="29378D"/>
                <w:vertAlign w:val="superscript"/>
              </w:rPr>
              <w:t>(2)</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Madeleine A. Kleiner</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19,813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19,813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Karl J. Krapek</w:t>
            </w:r>
            <w:r>
              <w:rPr>
                <w:rFonts w:ascii="Arial" w:cs="Arial" w:eastAsia="Arial" w:hAnsi="Arial"/>
                <w:sz w:val="21"/>
                <w:szCs w:val="21"/>
                <w:b w:val="1"/>
                <w:bCs w:val="1"/>
                <w:color w:val="29378D"/>
                <w:vertAlign w:val="superscript"/>
              </w:rPr>
              <w:t>(1)</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Arvind Krishna</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573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309</w:t>
            </w:r>
          </w:p>
        </w:tc>
        <w:tc>
          <w:tcPr>
            <w:tcW w:w="780" w:type="dxa"/>
            <w:vAlign w:val="bottom"/>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Graham N. Robinson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1,164</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189</w:t>
            </w:r>
          </w:p>
        </w:tc>
        <w:tc>
          <w:tcPr>
            <w:tcW w:w="78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Kimberly A. Ross</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466</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Gary Roughead</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10,677</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Thomas M. Schoewe</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11,995</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James S. Turley</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4,793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Mark A. Welsh III</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3,897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Mary A. Winston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600" w:hanging="252"/>
        <w:spacing w:after="0" w:line="285" w:lineRule="auto"/>
        <w:tabs>
          <w:tab w:leader="none" w:pos="258" w:val="left"/>
        </w:tabs>
        <w:numPr>
          <w:ilvl w:val="0"/>
          <w:numId w:val="99"/>
        </w:numPr>
        <w:rPr>
          <w:rFonts w:ascii="Arial" w:cs="Arial" w:eastAsia="Arial" w:hAnsi="Arial"/>
          <w:sz w:val="14"/>
          <w:szCs w:val="14"/>
          <w:color w:val="auto"/>
        </w:rPr>
      </w:pPr>
      <w:r>
        <w:rPr>
          <w:rFonts w:ascii="Arial" w:cs="Arial" w:eastAsia="Arial" w:hAnsi="Arial"/>
          <w:sz w:val="14"/>
          <w:szCs w:val="14"/>
          <w:color w:val="auto"/>
        </w:rPr>
        <w:t>Messrs. Felsinger and Krapek did not stand for re-election at the 2023 Annual Meeting. All stock units were paid out to them in the form of common stock after their retirement from the Board in May 2023.</w:t>
      </w:r>
    </w:p>
    <w:p>
      <w:pPr>
        <w:spacing w:after="0" w:line="22" w:lineRule="exact"/>
        <w:rPr>
          <w:rFonts w:ascii="Arial" w:cs="Arial" w:eastAsia="Arial" w:hAnsi="Arial"/>
          <w:sz w:val="14"/>
          <w:szCs w:val="14"/>
          <w:color w:val="auto"/>
        </w:rPr>
      </w:pPr>
    </w:p>
    <w:p>
      <w:pPr>
        <w:ind w:left="260" w:hanging="252"/>
        <w:spacing w:after="0"/>
        <w:tabs>
          <w:tab w:leader="none" w:pos="2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Hernandez died in January 2023. All stock units were paid out to his estate in the form of common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494"/>
        <w:spacing w:after="0"/>
        <w:tabs>
          <w:tab w:leader="none" w:pos="520"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1" w:name="page52"/>
    <w:bookmarkEnd w:id="51"/>
    <w:p>
      <w:pPr>
        <w:ind w:right="1600"/>
        <w:spacing w:after="0" w:line="297" w:lineRule="auto"/>
        <w:rPr>
          <w:sz w:val="20"/>
          <w:szCs w:val="20"/>
          <w:color w:val="auto"/>
        </w:rPr>
      </w:pPr>
      <w:r>
        <w:rPr>
          <w:rFonts w:ascii="Arial" w:cs="Arial" w:eastAsia="Arial" w:hAnsi="Arial"/>
          <w:sz w:val="43"/>
          <w:szCs w:val="43"/>
          <w:b w:val="1"/>
          <w:bCs w:val="1"/>
          <w:color w:val="29378D"/>
        </w:rPr>
        <w:t>Proposal 2: Advisory Vote on Compensation of Named Executive Officers</w:t>
      </w:r>
    </w:p>
    <w:p>
      <w:pPr>
        <w:spacing w:after="0" w:line="26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views on our 2023 executive compensation programs and policies for our NEOs. The vote does not address any specific item of compensation and is not binding on the Board; however, as an expression of our shareholders’ views, the Compensation and Human Capital Committee seriously considers the vote when making future executive compensation decisions. The Board has adopted a policy of providing for annual advisory votes on the compensation of our NEOs.</w:t>
      </w:r>
    </w:p>
    <w:p>
      <w:pPr>
        <w:spacing w:after="0" w:line="8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56" w:lineRule="exact"/>
        <w:rPr>
          <w:sz w:val="20"/>
          <w:szCs w:val="20"/>
          <w:color w:val="auto"/>
        </w:rPr>
      </w:pP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Double-trigger provisions for change in control situations, and no excise tax gross-ups for payments upon termination after a change in control;</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A recoupment policy applicable to cash and equity incentive compensation payments;</w:t>
      </w:r>
    </w:p>
    <w:p>
      <w:pPr>
        <w:spacing w:after="0" w:line="72" w:lineRule="exact"/>
        <w:rPr>
          <w:rFonts w:ascii="Arial" w:cs="Arial" w:eastAsia="Arial" w:hAnsi="Arial"/>
          <w:sz w:val="16"/>
          <w:szCs w:val="16"/>
          <w:b w:val="1"/>
          <w:bCs w:val="1"/>
          <w:color w:val="29378D"/>
        </w:rPr>
      </w:pPr>
    </w:p>
    <w:p>
      <w:pPr>
        <w:ind w:left="200" w:right="420" w:hanging="192"/>
        <w:spacing w:after="0" w:line="299" w:lineRule="auto"/>
        <w:tabs>
          <w:tab w:leader="none" w:pos="143"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Stock ownership guidelines of 7x base salary for the CEO and 3x base salary for other NEOs, and stock holding requirements of three years from the vesting date for equity awards; and</w:t>
      </w: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Prohibitions on hedging or pledging of Company stock.</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For a more extensive list of our best practices, refer to page 54 of this Proxy Statement. In addition, our Compensation Discussion and Analysis (CD&amp;A) provides a detailed discussion of our performance-based approach to executive compensation. We encourage you to read the CD&amp;A, the rest of this Proxy Statement and our 2023 Form 10-K, which describes our business and 2023 results in more detail.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w:t>
      </w:r>
    </w:p>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56"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149465" cy="419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419735"/>
                    </a:xfrm>
                    <a:prstGeom prst="rect">
                      <a:avLst/>
                    </a:prstGeom>
                    <a:noFill/>
                  </pic:spPr>
                </pic:pic>
              </a:graphicData>
            </a:graphic>
          </wp:anchor>
        </w:drawing>
      </w:r>
    </w:p>
    <w:p>
      <w:pPr>
        <w:spacing w:after="0" w:line="31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52" w:name="page53"/>
    <w:bookmarkEnd w:id="52"/>
    <w:p>
      <w:pPr>
        <w:spacing w:after="0"/>
        <w:rPr>
          <w:sz w:val="20"/>
          <w:szCs w:val="20"/>
          <w:color w:val="auto"/>
        </w:rPr>
      </w:pPr>
      <w:r>
        <w:rPr>
          <w:rFonts w:ascii="Arial" w:cs="Arial" w:eastAsia="Arial" w:hAnsi="Arial"/>
          <w:sz w:val="43"/>
          <w:szCs w:val="43"/>
          <w:b w:val="1"/>
          <w:bCs w:val="1"/>
          <w:color w:val="29378D"/>
        </w:rPr>
        <w:t>Executive Compensation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&amp; Analysis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auto"/>
        </w:rPr>
        <w:t>2023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565785" cy="5829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5785" cy="58293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109220</wp:posOffset>
            </wp:positionV>
            <wp:extent cx="565785" cy="5657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109220</wp:posOffset>
            </wp:positionV>
            <wp:extent cx="565785" cy="5657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200" w:type="dxa"/>
            <w:vAlign w:val="bottom"/>
          </w:tcPr>
          <w:p>
            <w:pPr>
              <w:spacing w:after="0"/>
              <w:rPr>
                <w:sz w:val="20"/>
                <w:szCs w:val="20"/>
                <w:color w:val="auto"/>
              </w:rPr>
            </w:pPr>
            <w:r>
              <w:rPr>
                <w:rFonts w:ascii="Arial" w:cs="Arial" w:eastAsia="Arial" w:hAnsi="Arial"/>
                <w:sz w:val="16"/>
                <w:szCs w:val="16"/>
                <w:b w:val="1"/>
                <w:bCs w:val="1"/>
                <w:color w:val="00249C"/>
              </w:rPr>
              <w:t>Kathy J. Warden</w:t>
            </w:r>
          </w:p>
        </w:tc>
        <w:tc>
          <w:tcPr>
            <w:tcW w:w="3600" w:type="dxa"/>
            <w:vAlign w:val="bottom"/>
          </w:tcPr>
          <w:p>
            <w:pPr>
              <w:ind w:left="620"/>
              <w:spacing w:after="0"/>
              <w:rPr>
                <w:sz w:val="20"/>
                <w:szCs w:val="20"/>
                <w:color w:val="auto"/>
              </w:rPr>
            </w:pPr>
            <w:r>
              <w:rPr>
                <w:rFonts w:ascii="Arial" w:cs="Arial" w:eastAsia="Arial" w:hAnsi="Arial"/>
                <w:sz w:val="16"/>
                <w:szCs w:val="16"/>
                <w:b w:val="1"/>
                <w:bCs w:val="1"/>
                <w:color w:val="00249C"/>
              </w:rPr>
              <w:t>David F. Keffer</w:t>
            </w:r>
          </w:p>
        </w:tc>
        <w:tc>
          <w:tcPr>
            <w:tcW w:w="2620" w:type="dxa"/>
            <w:vAlign w:val="bottom"/>
          </w:tcPr>
          <w:p>
            <w:pPr>
              <w:ind w:left="720"/>
              <w:spacing w:after="0"/>
              <w:rPr>
                <w:sz w:val="20"/>
                <w:szCs w:val="20"/>
                <w:color w:val="auto"/>
              </w:rPr>
            </w:pPr>
            <w:r>
              <w:rPr>
                <w:rFonts w:ascii="Arial" w:cs="Arial" w:eastAsia="Arial" w:hAnsi="Arial"/>
                <w:sz w:val="16"/>
                <w:szCs w:val="16"/>
                <w:b w:val="1"/>
                <w:bCs w:val="1"/>
                <w:color w:val="00249C"/>
              </w:rPr>
              <w:t>Mark A. Caylor</w:t>
            </w: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Chair, Chief Executive Officer and</w:t>
            </w:r>
          </w:p>
        </w:tc>
        <w:tc>
          <w:tcPr>
            <w:tcW w:w="3600" w:type="dxa"/>
            <w:vAlign w:val="bottom"/>
          </w:tcPr>
          <w:p>
            <w:pPr>
              <w:ind w:left="620"/>
              <w:spacing w:after="0"/>
              <w:rPr>
                <w:sz w:val="20"/>
                <w:szCs w:val="20"/>
                <w:color w:val="auto"/>
              </w:rPr>
            </w:pPr>
            <w:r>
              <w:rPr>
                <w:rFonts w:ascii="Arial" w:cs="Arial" w:eastAsia="Arial" w:hAnsi="Arial"/>
                <w:sz w:val="14"/>
                <w:szCs w:val="14"/>
                <w:color w:val="auto"/>
              </w:rPr>
              <w:t>Corporate Vice President and Chief</w:t>
            </w:r>
          </w:p>
        </w:tc>
        <w:tc>
          <w:tcPr>
            <w:tcW w:w="2620" w:type="dxa"/>
            <w:vAlign w:val="bottom"/>
          </w:tcPr>
          <w:p>
            <w:pPr>
              <w:ind w:left="720"/>
              <w:spacing w:after="0"/>
              <w:rPr>
                <w:sz w:val="20"/>
                <w:szCs w:val="20"/>
                <w:color w:val="auto"/>
              </w:rPr>
            </w:pPr>
            <w:r>
              <w:rPr>
                <w:rFonts w:ascii="Arial" w:cs="Arial" w:eastAsia="Arial" w:hAnsi="Arial"/>
                <w:sz w:val="14"/>
                <w:szCs w:val="14"/>
                <w:color w:val="auto"/>
              </w:rPr>
              <w:t>Corporate Vice President and</w:t>
            </w: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President</w:t>
            </w:r>
          </w:p>
        </w:tc>
        <w:tc>
          <w:tcPr>
            <w:tcW w:w="3600" w:type="dxa"/>
            <w:vAlign w:val="bottom"/>
          </w:tcPr>
          <w:p>
            <w:pPr>
              <w:ind w:left="620"/>
              <w:spacing w:after="0"/>
              <w:rPr>
                <w:sz w:val="20"/>
                <w:szCs w:val="20"/>
                <w:color w:val="auto"/>
              </w:rPr>
            </w:pPr>
            <w:r>
              <w:rPr>
                <w:rFonts w:ascii="Arial" w:cs="Arial" w:eastAsia="Arial" w:hAnsi="Arial"/>
                <w:sz w:val="14"/>
                <w:szCs w:val="14"/>
                <w:color w:val="auto"/>
              </w:rPr>
              <w:t>Financial Officer</w:t>
            </w:r>
          </w:p>
        </w:tc>
        <w:tc>
          <w:tcPr>
            <w:tcW w:w="2620" w:type="dxa"/>
            <w:vAlign w:val="bottom"/>
          </w:tcPr>
          <w:p>
            <w:pPr>
              <w:ind w:left="720"/>
              <w:spacing w:after="0"/>
              <w:rPr>
                <w:sz w:val="20"/>
                <w:szCs w:val="20"/>
                <w:color w:val="auto"/>
              </w:rPr>
            </w:pPr>
            <w:r>
              <w:rPr>
                <w:rFonts w:ascii="Arial" w:cs="Arial" w:eastAsia="Arial" w:hAnsi="Arial"/>
                <w:sz w:val="14"/>
                <w:szCs w:val="14"/>
                <w:color w:val="auto"/>
              </w:rPr>
              <w:t>President, Mission Systems</w:t>
            </w:r>
          </w:p>
        </w:tc>
      </w:tr>
      <w:tr>
        <w:trPr>
          <w:trHeight w:val="890"/>
        </w:trPr>
        <w:tc>
          <w:tcPr>
            <w:tcW w:w="3200" w:type="dxa"/>
            <w:vAlign w:val="bottom"/>
          </w:tcPr>
          <w:p>
            <w:pPr>
              <w:spacing w:after="0"/>
              <w:rPr>
                <w:sz w:val="20"/>
                <w:szCs w:val="20"/>
                <w:color w:val="auto"/>
              </w:rPr>
            </w:pPr>
            <w:r>
              <w:rPr>
                <w:rFonts w:ascii="Arial" w:cs="Arial" w:eastAsia="Arial" w:hAnsi="Arial"/>
                <w:sz w:val="16"/>
                <w:szCs w:val="16"/>
                <w:b w:val="1"/>
                <w:bCs w:val="1"/>
                <w:color w:val="00249C"/>
              </w:rPr>
              <w:t>Thomas H. Jones</w:t>
            </w:r>
          </w:p>
        </w:tc>
        <w:tc>
          <w:tcPr>
            <w:tcW w:w="3600" w:type="dxa"/>
            <w:vAlign w:val="bottom"/>
          </w:tcPr>
          <w:p>
            <w:pPr>
              <w:ind w:left="620"/>
              <w:spacing w:after="0"/>
              <w:rPr>
                <w:sz w:val="20"/>
                <w:szCs w:val="20"/>
                <w:color w:val="auto"/>
              </w:rPr>
            </w:pPr>
            <w:r>
              <w:rPr>
                <w:rFonts w:ascii="Arial" w:cs="Arial" w:eastAsia="Arial" w:hAnsi="Arial"/>
                <w:sz w:val="16"/>
                <w:szCs w:val="16"/>
                <w:b w:val="1"/>
                <w:bCs w:val="1"/>
                <w:color w:val="00249C"/>
              </w:rPr>
              <w:t>Roshan S. Roeder</w:t>
            </w:r>
          </w:p>
        </w:tc>
        <w:tc>
          <w:tcPr>
            <w:tcW w:w="2620" w:type="dxa"/>
            <w:vAlign w:val="bottom"/>
          </w:tcPr>
          <w:p>
            <w:pPr>
              <w:spacing w:after="0"/>
              <w:rPr>
                <w:sz w:val="24"/>
                <w:szCs w:val="24"/>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Corporate Vice President and President,</w:t>
            </w:r>
          </w:p>
        </w:tc>
        <w:tc>
          <w:tcPr>
            <w:tcW w:w="3600" w:type="dxa"/>
            <w:vAlign w:val="bottom"/>
          </w:tcPr>
          <w:p>
            <w:pPr>
              <w:ind w:left="620"/>
              <w:spacing w:after="0"/>
              <w:rPr>
                <w:sz w:val="20"/>
                <w:szCs w:val="20"/>
                <w:color w:val="auto"/>
              </w:rPr>
            </w:pPr>
            <w:r>
              <w:rPr>
                <w:rFonts w:ascii="Arial" w:cs="Arial" w:eastAsia="Arial" w:hAnsi="Arial"/>
                <w:sz w:val="14"/>
                <w:szCs w:val="14"/>
                <w:color w:val="auto"/>
              </w:rPr>
              <w:t>Corporate Vice President and</w:t>
            </w:r>
          </w:p>
        </w:tc>
        <w:tc>
          <w:tcPr>
            <w:tcW w:w="2620" w:type="dxa"/>
            <w:vAlign w:val="bottom"/>
          </w:tcPr>
          <w:p>
            <w:pPr>
              <w:spacing w:after="0"/>
              <w:rPr>
                <w:sz w:val="14"/>
                <w:szCs w:val="14"/>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Aeronautics Systems</w:t>
            </w:r>
          </w:p>
        </w:tc>
        <w:tc>
          <w:tcPr>
            <w:tcW w:w="3600" w:type="dxa"/>
            <w:vAlign w:val="bottom"/>
          </w:tcPr>
          <w:p>
            <w:pPr>
              <w:ind w:left="620"/>
              <w:spacing w:after="0"/>
              <w:rPr>
                <w:sz w:val="20"/>
                <w:szCs w:val="20"/>
                <w:color w:val="auto"/>
              </w:rPr>
            </w:pPr>
            <w:r>
              <w:rPr>
                <w:rFonts w:ascii="Arial" w:cs="Arial" w:eastAsia="Arial" w:hAnsi="Arial"/>
                <w:sz w:val="14"/>
                <w:szCs w:val="14"/>
                <w:color w:val="auto"/>
              </w:rPr>
              <w:t>President, Defense Systems</w:t>
            </w:r>
          </w:p>
        </w:tc>
        <w:tc>
          <w:tcPr>
            <w:tcW w:w="2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-620395</wp:posOffset>
            </wp:positionV>
            <wp:extent cx="565785" cy="5657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-620395</wp:posOffset>
            </wp:positionV>
            <wp:extent cx="565785" cy="5657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Philosophy and Objectives</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We provide attractive, flexible and market-based total compensation programs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5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Our goal is to lead our industry in sustainable performance and build on our strong, enduring values. For our performance-based plans, we select metrics that drive shareholder value and benchmark our performance against peers, the market and our long-range strategic plan (LRSP). Our executive compensation and benefit programs are guided by the following principles: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-131445</wp:posOffset>
            </wp:positionV>
            <wp:extent cx="360045" cy="3600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109" w:lineRule="exact"/>
        <w:rPr>
          <w:sz w:val="20"/>
          <w:szCs w:val="20"/>
          <w:color w:val="auto"/>
        </w:rPr>
      </w:pPr>
    </w:p>
    <w:p>
      <w:pPr>
        <w:ind w:left="1860" w:hanging="147"/>
        <w:spacing w:after="0"/>
        <w:tabs>
          <w:tab w:leader="none" w:pos="1860" w:val="left"/>
        </w:tabs>
        <w:numPr>
          <w:ilvl w:val="0"/>
          <w:numId w:val="102"/>
        </w:numPr>
        <w:rPr>
          <w:rFonts w:ascii="Arial" w:cs="Arial" w:eastAsia="Arial" w:hAnsi="Arial"/>
          <w:sz w:val="16"/>
          <w:szCs w:val="16"/>
          <w:b w:val="1"/>
          <w:bCs w:val="1"/>
          <w:color w:val="29378D"/>
        </w:rPr>
      </w:pPr>
      <w:r>
        <w:rPr>
          <w:rFonts w:ascii="Arial" w:cs="Arial" w:eastAsia="Arial" w:hAnsi="Arial"/>
          <w:sz w:val="16"/>
          <w:szCs w:val="16"/>
          <w:color w:val="auto"/>
        </w:rPr>
        <w:t>Our incentive plans are based on peer performance and benchmarks, the market and our LRSP.</w:t>
      </w:r>
    </w:p>
    <w:p>
      <w:pPr>
        <w:spacing w:after="0" w:line="72" w:lineRule="exact"/>
        <w:rPr>
          <w:rFonts w:ascii="Arial" w:cs="Arial" w:eastAsia="Arial" w:hAnsi="Arial"/>
          <w:sz w:val="16"/>
          <w:szCs w:val="16"/>
          <w:b w:val="1"/>
          <w:bCs w:val="1"/>
          <w:color w:val="29378D"/>
        </w:rPr>
      </w:pPr>
    </w:p>
    <w:p>
      <w:pPr>
        <w:ind w:left="1860" w:hanging="147"/>
        <w:spacing w:after="0"/>
        <w:tabs>
          <w:tab w:leader="none" w:pos="1860" w:val="left"/>
        </w:tabs>
        <w:numPr>
          <w:ilvl w:val="0"/>
          <w:numId w:val="102"/>
        </w:numPr>
        <w:rPr>
          <w:rFonts w:ascii="Arial" w:cs="Arial" w:eastAsia="Arial" w:hAnsi="Arial"/>
          <w:sz w:val="16"/>
          <w:szCs w:val="16"/>
          <w:b w:val="1"/>
          <w:bCs w:val="1"/>
          <w:color w:val="29378D"/>
        </w:rPr>
      </w:pPr>
      <w:r>
        <w:rPr>
          <w:rFonts w:ascii="Arial" w:cs="Arial" w:eastAsia="Arial" w:hAnsi="Arial"/>
          <w:sz w:val="16"/>
          <w:szCs w:val="16"/>
          <w:color w:val="auto"/>
        </w:rPr>
        <w:t>Above-target incentive payouts are awarded when we outperform our peers, market and LRSP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Leadership Recruitment, Retention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377190" cy="3771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109" w:lineRule="exact"/>
        <w:rPr>
          <w:sz w:val="20"/>
          <w:szCs w:val="20"/>
          <w:color w:val="auto"/>
        </w:rPr>
      </w:pPr>
    </w:p>
    <w:p>
      <w:pPr>
        <w:ind w:left="1860" w:hanging="147"/>
        <w:spacing w:after="0"/>
        <w:tabs>
          <w:tab w:leader="none" w:pos="1860" w:val="left"/>
        </w:tabs>
        <w:numPr>
          <w:ilvl w:val="0"/>
          <w:numId w:val="103"/>
        </w:numPr>
        <w:rPr>
          <w:rFonts w:ascii="Arial" w:cs="Arial" w:eastAsia="Arial" w:hAnsi="Arial"/>
          <w:sz w:val="16"/>
          <w:szCs w:val="16"/>
          <w:b w:val="1"/>
          <w:bCs w:val="1"/>
          <w:color w:val="00249C"/>
        </w:rPr>
      </w:pPr>
      <w:r>
        <w:rPr>
          <w:rFonts w:ascii="Arial" w:cs="Arial" w:eastAsia="Arial" w:hAnsi="Arial"/>
          <w:sz w:val="16"/>
          <w:szCs w:val="16"/>
          <w:color w:val="auto"/>
        </w:rPr>
        <w:t>Compensation is designed to be competitive with our peers and retain top talent.</w:t>
      </w:r>
    </w:p>
    <w:p>
      <w:pPr>
        <w:spacing w:after="0" w:line="72" w:lineRule="exact"/>
        <w:rPr>
          <w:rFonts w:ascii="Arial" w:cs="Arial" w:eastAsia="Arial" w:hAnsi="Arial"/>
          <w:sz w:val="16"/>
          <w:szCs w:val="16"/>
          <w:b w:val="1"/>
          <w:bCs w:val="1"/>
          <w:color w:val="00249C"/>
        </w:rPr>
      </w:pPr>
    </w:p>
    <w:p>
      <w:pPr>
        <w:ind w:left="1860" w:hanging="147"/>
        <w:spacing w:after="0"/>
        <w:tabs>
          <w:tab w:leader="none" w:pos="1860" w:val="left"/>
        </w:tabs>
        <w:numPr>
          <w:ilvl w:val="0"/>
          <w:numId w:val="103"/>
        </w:numPr>
        <w:rPr>
          <w:rFonts w:ascii="Arial" w:cs="Arial" w:eastAsia="Arial" w:hAnsi="Arial"/>
          <w:sz w:val="16"/>
          <w:szCs w:val="16"/>
          <w:b w:val="1"/>
          <w:bCs w:val="1"/>
          <w:color w:val="00249C"/>
        </w:rPr>
      </w:pPr>
      <w:r>
        <w:rPr>
          <w:rFonts w:ascii="Arial" w:cs="Arial" w:eastAsia="Arial" w:hAnsi="Arial"/>
          <w:sz w:val="16"/>
          <w:szCs w:val="16"/>
          <w:color w:val="auto"/>
        </w:rPr>
        <w:t>Programs are structured to attract, motivate and reward NEOs for delivering operational and strategic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Sustainable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394335" cy="394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09" w:lineRule="exact"/>
        <w:rPr>
          <w:sz w:val="20"/>
          <w:szCs w:val="20"/>
          <w:color w:val="auto"/>
        </w:rPr>
      </w:pPr>
    </w:p>
    <w:p>
      <w:pPr>
        <w:ind w:left="1900" w:hanging="187"/>
        <w:spacing w:after="0" w:line="275" w:lineRule="auto"/>
        <w:tabs>
          <w:tab w:leader="none" w:pos="1843" w:val="left"/>
        </w:tabs>
        <w:numPr>
          <w:ilvl w:val="0"/>
          <w:numId w:val="104"/>
        </w:numPr>
        <w:rPr>
          <w:rFonts w:ascii="Arial" w:cs="Arial" w:eastAsia="Arial" w:hAnsi="Arial"/>
          <w:sz w:val="16"/>
          <w:szCs w:val="16"/>
          <w:b w:val="1"/>
          <w:bCs w:val="1"/>
          <w:color w:val="29378D"/>
        </w:rPr>
      </w:pPr>
      <w:r>
        <w:rPr>
          <w:rFonts w:ascii="Arial" w:cs="Arial" w:eastAsia="Arial" w:hAnsi="Arial"/>
          <w:sz w:val="16"/>
          <w:szCs w:val="16"/>
          <w:color w:val="auto"/>
        </w:rPr>
        <w:t>Our Annual Incentive Plan includes both financial and non-financial metrics to ensure we are building a strong foundation for long-term sustainable performance and shareholder value creation, and we are consistent with our commitment to environmental, social and governance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98"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Alignment with Shareholder Interests</w:t>
      </w:r>
    </w:p>
    <w:p>
      <w:pPr>
        <w:spacing w:after="0" w:line="129" w:lineRule="exact"/>
        <w:rPr>
          <w:sz w:val="20"/>
          <w:szCs w:val="20"/>
          <w:color w:val="auto"/>
        </w:rPr>
      </w:pPr>
    </w:p>
    <w:p>
      <w:pPr>
        <w:ind w:left="1860" w:hanging="147"/>
        <w:spacing w:after="0"/>
        <w:tabs>
          <w:tab w:leader="none" w:pos="1860"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Our compensation structure places an appropriate amount of compensation at risk based on annual and long-term results.</w:t>
      </w:r>
    </w:p>
    <w:p>
      <w:pPr>
        <w:spacing w:after="0" w:line="72" w:lineRule="exact"/>
        <w:rPr>
          <w:rFonts w:ascii="Arial" w:cs="Arial" w:eastAsia="Arial" w:hAnsi="Arial"/>
          <w:sz w:val="16"/>
          <w:szCs w:val="16"/>
          <w:b w:val="1"/>
          <w:bCs w:val="1"/>
          <w:color w:val="29378D"/>
        </w:rPr>
      </w:pPr>
    </w:p>
    <w:p>
      <w:pPr>
        <w:ind w:left="1900" w:right="60" w:hanging="187"/>
        <w:spacing w:after="0" w:line="275"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At-risk compensation is based on financial and non-financial performance measures and relative Total Shareholder Return (rTSR). Payouts under the rTSR portion of the plan are capped at target if the Company’s TSR is negative over the three-year performance period.</w:t>
      </w:r>
    </w:p>
    <w:p>
      <w:pPr>
        <w:spacing w:after="0" w:line="29" w:lineRule="exact"/>
        <w:rPr>
          <w:rFonts w:ascii="Arial" w:cs="Arial" w:eastAsia="Arial" w:hAnsi="Arial"/>
          <w:sz w:val="16"/>
          <w:szCs w:val="16"/>
          <w:b w:val="1"/>
          <w:bCs w:val="1"/>
          <w:color w:val="29378D"/>
        </w:rPr>
      </w:pPr>
    </w:p>
    <w:p>
      <w:pPr>
        <w:ind w:left="1900" w:right="340" w:hanging="187"/>
        <w:spacing w:after="0" w:line="286"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A significant portion of compensation is delivered in equity, the vesting and value of which provides alignment with shareholder returns.</w:t>
      </w:r>
    </w:p>
    <w:p>
      <w:pPr>
        <w:spacing w:after="0" w:line="20" w:lineRule="exact"/>
        <w:rPr>
          <w:rFonts w:ascii="Arial" w:cs="Arial" w:eastAsia="Arial" w:hAnsi="Arial"/>
          <w:sz w:val="16"/>
          <w:szCs w:val="16"/>
          <w:b w:val="1"/>
          <w:bCs w:val="1"/>
          <w:color w:val="29378D"/>
        </w:rPr>
      </w:pPr>
    </w:p>
    <w:p>
      <w:pPr>
        <w:ind w:left="1900" w:right="120" w:hanging="187"/>
        <w:spacing w:after="0" w:line="286"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Stock ownership guidelines, holding requirements for vested equity awards and our recoupment policy further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-920115</wp:posOffset>
            </wp:positionV>
            <wp:extent cx="394335" cy="394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96"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Benchmarking</w:t>
      </w:r>
    </w:p>
    <w:p>
      <w:pPr>
        <w:spacing w:after="0" w:line="142" w:lineRule="exact"/>
        <w:rPr>
          <w:sz w:val="20"/>
          <w:szCs w:val="20"/>
          <w:color w:val="auto"/>
        </w:rPr>
      </w:pPr>
    </w:p>
    <w:p>
      <w:pPr>
        <w:ind w:left="1900" w:right="340" w:hanging="187"/>
        <w:spacing w:after="0" w:line="299"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Our compensation programs’ provisions and financial objectives are evaluated on an annual basis and modified in accordance with industry and business conditions (e.g., divestitures, unforeseen impacts, etc.).</w:t>
      </w:r>
    </w:p>
    <w:p>
      <w:pPr>
        <w:ind w:left="1860" w:hanging="147"/>
        <w:spacing w:after="0"/>
        <w:tabs>
          <w:tab w:leader="none" w:pos="1860" w:val="left"/>
        </w:tabs>
        <w:numPr>
          <w:ilvl w:val="0"/>
          <w:numId w:val="107"/>
        </w:numPr>
        <w:rPr>
          <w:rFonts w:ascii="Arial" w:cs="Arial" w:eastAsia="Arial" w:hAnsi="Arial"/>
          <w:sz w:val="16"/>
          <w:szCs w:val="16"/>
          <w:color w:val="00249C"/>
        </w:rPr>
      </w:pPr>
      <w:r>
        <w:rPr>
          <w:rFonts w:ascii="Arial" w:cs="Arial" w:eastAsia="Arial" w:hAnsi="Arial"/>
          <w:sz w:val="16"/>
          <w:szCs w:val="16"/>
          <w:color w:val="auto"/>
        </w:rPr>
        <w:t>Benchmarks are set using a hybrid approach of peer, market and LRSP data.</w:t>
      </w:r>
    </w:p>
    <w:p>
      <w:pPr>
        <w:spacing w:after="0" w:line="86" w:lineRule="exact"/>
        <w:rPr>
          <w:rFonts w:ascii="Arial" w:cs="Arial" w:eastAsia="Arial" w:hAnsi="Arial"/>
          <w:sz w:val="16"/>
          <w:szCs w:val="16"/>
          <w:color w:val="00249C"/>
        </w:rPr>
      </w:pPr>
    </w:p>
    <w:p>
      <w:pPr>
        <w:ind w:left="1900" w:right="340" w:hanging="187"/>
        <w:spacing w:after="0" w:line="286"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We seek to outperform our peers (a group of top global defense companies identified as the Performance Peer Group on page 56).</w:t>
      </w:r>
    </w:p>
    <w:p>
      <w:pPr>
        <w:spacing w:after="0" w:line="20" w:lineRule="exact"/>
        <w:rPr>
          <w:rFonts w:ascii="Arial" w:cs="Arial" w:eastAsia="Arial" w:hAnsi="Arial"/>
          <w:sz w:val="16"/>
          <w:szCs w:val="16"/>
          <w:b w:val="1"/>
          <w:bCs w:val="1"/>
          <w:color w:val="29378D"/>
        </w:rPr>
      </w:pPr>
    </w:p>
    <w:p>
      <w:pPr>
        <w:ind w:left="1900" w:right="360" w:hanging="187"/>
        <w:spacing w:after="0" w:line="304"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We use a Target Industry Peer Group (TIPG) (identified on page 56) for broader market executive compensation analyses that includes comparisons to companies that reflect the labor market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-878205</wp:posOffset>
            </wp:positionV>
            <wp:extent cx="377190" cy="3771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56"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In the Compensation Discussion and Analysis (CD&amp;A), we provide an overview of our executive compensation programs and the underlying philosophy used to develop the programs. We describe the material components of our executive compensation programs for our 2023 Named Executive Officers (NEOs) and explain how and why our Board’s Compensation and Human Capital Committee determined certain compensation policies and decisions.</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refer to certain non-GAAP financial measures, which are identified with asterisks. For more information, including definitions, reconciliations to the most directly comparable GAAP measure and why these measures may be useful to investors, see “Appendix A - Use of Non-GAAP Financial Measures.” The 2023 NEO compensation is in the Summary Compensation Table on page 71 and other compensation tables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2023 Compensation Elements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executive compensation philosophy provides our NEOs with attractive, flexible and market-based total compensation tied to annual and long-term performance and aligned with the interests of our shareholders and our business objectives. The key elements of our compensation programs for our NEOs are summarized below.</w:t>
      </w:r>
    </w:p>
    <w:p>
      <w:pPr>
        <w:sectPr>
          <w:pgSz w:w="11900" w:h="16838" w:orient="portrait"/>
          <w:cols w:equalWidth="0" w:num="1">
            <w:col w:w="11140"/>
          </w:cols>
          <w:pgMar w:left="320" w:top="238" w:right="439" w:bottom="1440" w:gutter="0" w:footer="0" w:header="0"/>
        </w:sectPr>
      </w:pP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2120" w:type="dxa"/>
            <w:vAlign w:val="bottom"/>
          </w:tcPr>
          <w:p>
            <w:pPr>
              <w:spacing w:after="0"/>
              <w:rPr>
                <w:sz w:val="20"/>
                <w:szCs w:val="20"/>
                <w:color w:val="auto"/>
              </w:rPr>
            </w:pPr>
            <w:r>
              <w:rPr>
                <w:rFonts w:ascii="Arial" w:cs="Arial" w:eastAsia="Arial" w:hAnsi="Arial"/>
                <w:sz w:val="13"/>
                <w:szCs w:val="13"/>
                <w:b w:val="1"/>
                <w:bCs w:val="1"/>
                <w:color w:val="auto"/>
              </w:rPr>
              <w:t>Compensation Element</w:t>
            </w:r>
          </w:p>
        </w:tc>
        <w:tc>
          <w:tcPr>
            <w:tcW w:w="1480" w:type="dxa"/>
            <w:vAlign w:val="bottom"/>
            <w:vMerge w:val="restart"/>
          </w:tcPr>
          <w:p>
            <w:pPr>
              <w:jc w:val="center"/>
              <w:ind w:left="177"/>
              <w:spacing w:after="0"/>
              <w:rPr>
                <w:sz w:val="20"/>
                <w:szCs w:val="20"/>
                <w:color w:val="auto"/>
              </w:rPr>
            </w:pPr>
            <w:r>
              <w:rPr>
                <w:rFonts w:ascii="Arial" w:cs="Arial" w:eastAsia="Arial" w:hAnsi="Arial"/>
                <w:sz w:val="13"/>
                <w:szCs w:val="13"/>
                <w:b w:val="1"/>
                <w:bCs w:val="1"/>
                <w:color w:val="auto"/>
                <w:w w:val="99"/>
              </w:rPr>
              <w:t>CEO</w:t>
            </w: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auto"/>
                <w:w w:val="94"/>
              </w:rPr>
              <w:t>Other NEOs</w:t>
            </w:r>
          </w:p>
        </w:tc>
        <w:tc>
          <w:tcPr>
            <w:tcW w:w="1180" w:type="dxa"/>
            <w:vAlign w:val="bottom"/>
            <w:vMerge w:val="restart"/>
          </w:tcPr>
          <w:p>
            <w:pPr>
              <w:ind w:left="680"/>
              <w:spacing w:after="0"/>
              <w:rPr>
                <w:sz w:val="20"/>
                <w:szCs w:val="20"/>
                <w:color w:val="auto"/>
              </w:rPr>
            </w:pPr>
            <w:r>
              <w:rPr>
                <w:rFonts w:ascii="Arial" w:cs="Arial" w:eastAsia="Arial" w:hAnsi="Arial"/>
                <w:sz w:val="13"/>
                <w:szCs w:val="13"/>
                <w:b w:val="1"/>
                <w:bCs w:val="1"/>
                <w:color w:val="auto"/>
                <w:w w:val="92"/>
              </w:rPr>
              <w:t>Purpose</w:t>
            </w:r>
          </w:p>
        </w:tc>
        <w:tc>
          <w:tcPr>
            <w:tcW w:w="0" w:type="dxa"/>
            <w:vAlign w:val="bottom"/>
          </w:tcPr>
          <w:p>
            <w:pPr>
              <w:spacing w:after="0"/>
              <w:rPr>
                <w:sz w:val="1"/>
                <w:szCs w:val="1"/>
                <w:color w:val="auto"/>
              </w:rPr>
            </w:pPr>
          </w:p>
        </w:tc>
      </w:tr>
      <w:tr>
        <w:trPr>
          <w:trHeight w:val="172"/>
        </w:trPr>
        <w:tc>
          <w:tcPr>
            <w:tcW w:w="2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(Average)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20" w:type="dxa"/>
            <w:vAlign w:val="bottom"/>
          </w:tcPr>
          <w:p>
            <w:pPr>
              <w:ind w:left="120"/>
              <w:spacing w:after="0"/>
              <w:rPr>
                <w:sz w:val="20"/>
                <w:szCs w:val="20"/>
                <w:color w:val="auto"/>
              </w:rPr>
            </w:pPr>
            <w:r>
              <w:rPr>
                <w:rFonts w:ascii="Arial" w:cs="Arial" w:eastAsia="Arial" w:hAnsi="Arial"/>
                <w:sz w:val="13"/>
                <w:szCs w:val="13"/>
                <w:b w:val="1"/>
                <w:bCs w:val="1"/>
                <w:color w:val="FFFFFF"/>
              </w:rPr>
              <w:t>Fixed</w:t>
            </w:r>
          </w:p>
        </w:tc>
        <w:tc>
          <w:tcPr>
            <w:tcW w:w="1480" w:type="dxa"/>
            <w:vAlign w:val="bottom"/>
          </w:tcPr>
          <w:p>
            <w:pPr>
              <w:jc w:val="right"/>
              <w:ind w:right="477"/>
              <w:spacing w:after="0"/>
              <w:rPr>
                <w:sz w:val="20"/>
                <w:szCs w:val="20"/>
                <w:color w:val="auto"/>
              </w:rPr>
            </w:pPr>
            <w:r>
              <w:rPr>
                <w:rFonts w:ascii="Arial" w:cs="Arial" w:eastAsia="Arial" w:hAnsi="Arial"/>
                <w:sz w:val="13"/>
                <w:szCs w:val="13"/>
                <w:b w:val="1"/>
                <w:bCs w:val="1"/>
                <w:color w:val="FFFFFF"/>
              </w:rPr>
              <w:t>8%</w:t>
            </w: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FFFFFF"/>
                <w:w w:val="99"/>
              </w:rPr>
              <w:t>17%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97675" cy="5829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97675" cy="582930"/>
                    </a:xfrm>
                    <a:prstGeom prst="rect">
                      <a:avLst/>
                    </a:prstGeom>
                    <a:noFill/>
                  </pic:spPr>
                </pic:pic>
              </a:graphicData>
            </a:graphic>
          </wp:anchor>
        </w:drawing>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800" w:type="dxa"/>
            <w:vAlign w:val="bottom"/>
          </w:tcPr>
          <w:p>
            <w:pPr>
              <w:spacing w:after="0"/>
              <w:rPr>
                <w:sz w:val="20"/>
                <w:szCs w:val="20"/>
                <w:color w:val="auto"/>
              </w:rPr>
            </w:pPr>
            <w:r>
              <w:rPr>
                <w:rFonts w:ascii="Arial" w:cs="Arial" w:eastAsia="Arial" w:hAnsi="Arial"/>
                <w:sz w:val="16"/>
                <w:szCs w:val="16"/>
                <w:color w:val="auto"/>
              </w:rPr>
              <w:t>Base Salary</w:t>
            </w:r>
          </w:p>
        </w:tc>
        <w:tc>
          <w:tcPr>
            <w:tcW w:w="1800" w:type="dxa"/>
            <w:vAlign w:val="bottom"/>
          </w:tcPr>
          <w:p>
            <w:pPr>
              <w:spacing w:after="0"/>
              <w:rPr>
                <w:sz w:val="17"/>
                <w:szCs w:val="17"/>
                <w:color w:val="auto"/>
              </w:rPr>
            </w:pPr>
          </w:p>
        </w:tc>
        <w:tc>
          <w:tcPr>
            <w:tcW w:w="3420" w:type="dxa"/>
            <w:vAlign w:val="bottom"/>
          </w:tcPr>
          <w:p>
            <w:pPr>
              <w:ind w:left="1480"/>
              <w:spacing w:after="0"/>
              <w:rPr>
                <w:sz w:val="20"/>
                <w:szCs w:val="20"/>
                <w:color w:val="auto"/>
              </w:rPr>
            </w:pPr>
            <w:r>
              <w:rPr>
                <w:rFonts w:ascii="Arial" w:cs="Arial" w:eastAsia="Arial" w:hAnsi="Arial"/>
                <w:sz w:val="16"/>
                <w:szCs w:val="16"/>
                <w:color w:val="auto"/>
              </w:rPr>
              <w:t>Compensate equitably and</w:t>
            </w:r>
          </w:p>
        </w:tc>
      </w:tr>
      <w:tr>
        <w:trPr>
          <w:trHeight w:val="215"/>
        </w:trPr>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20" w:type="dxa"/>
            <w:vAlign w:val="bottom"/>
          </w:tcPr>
          <w:p>
            <w:pPr>
              <w:ind w:left="1480"/>
              <w:spacing w:after="0"/>
              <w:rPr>
                <w:sz w:val="20"/>
                <w:szCs w:val="20"/>
                <w:color w:val="auto"/>
              </w:rPr>
            </w:pPr>
            <w:r>
              <w:rPr>
                <w:rFonts w:ascii="Arial" w:cs="Arial" w:eastAsia="Arial" w:hAnsi="Arial"/>
                <w:sz w:val="16"/>
                <w:szCs w:val="16"/>
                <w:color w:val="auto"/>
              </w:rPr>
              <w:t>competitively</w:t>
            </w:r>
          </w:p>
        </w:tc>
      </w:tr>
      <w:tr>
        <w:trPr>
          <w:trHeight w:val="561"/>
        </w:trPr>
        <w:tc>
          <w:tcPr>
            <w:tcW w:w="1800" w:type="dxa"/>
            <w:vAlign w:val="bottom"/>
          </w:tcPr>
          <w:p>
            <w:pPr>
              <w:spacing w:after="0"/>
              <w:rPr>
                <w:sz w:val="20"/>
                <w:szCs w:val="20"/>
                <w:color w:val="auto"/>
              </w:rPr>
            </w:pPr>
            <w:r>
              <w:rPr>
                <w:rFonts w:ascii="Arial" w:cs="Arial" w:eastAsia="Arial" w:hAnsi="Arial"/>
                <w:sz w:val="13"/>
                <w:szCs w:val="13"/>
                <w:b w:val="1"/>
                <w:bCs w:val="1"/>
                <w:color w:val="FFFFFF"/>
              </w:rPr>
              <w:t>Variable</w:t>
            </w:r>
          </w:p>
        </w:tc>
        <w:tc>
          <w:tcPr>
            <w:tcW w:w="1800" w:type="dxa"/>
            <w:vAlign w:val="bottom"/>
          </w:tcPr>
          <w:p>
            <w:pPr>
              <w:jc w:val="right"/>
              <w:ind w:right="557"/>
              <w:spacing w:after="0"/>
              <w:rPr>
                <w:sz w:val="20"/>
                <w:szCs w:val="20"/>
                <w:color w:val="auto"/>
              </w:rPr>
            </w:pPr>
            <w:r>
              <w:rPr>
                <w:rFonts w:ascii="Arial" w:cs="Arial" w:eastAsia="Arial" w:hAnsi="Arial"/>
                <w:sz w:val="13"/>
                <w:szCs w:val="13"/>
                <w:b w:val="1"/>
                <w:bCs w:val="1"/>
                <w:color w:val="FFFFFF"/>
              </w:rPr>
              <w:t>92%</w:t>
            </w:r>
          </w:p>
        </w:tc>
        <w:tc>
          <w:tcPr>
            <w:tcW w:w="3420" w:type="dxa"/>
            <w:vAlign w:val="bottom"/>
          </w:tcPr>
          <w:p>
            <w:pPr>
              <w:jc w:val="right"/>
              <w:ind w:right="2485"/>
              <w:spacing w:after="0"/>
              <w:rPr>
                <w:sz w:val="20"/>
                <w:szCs w:val="20"/>
                <w:color w:val="auto"/>
              </w:rPr>
            </w:pPr>
            <w:r>
              <w:rPr>
                <w:rFonts w:ascii="Arial" w:cs="Arial" w:eastAsia="Arial" w:hAnsi="Arial"/>
                <w:sz w:val="13"/>
                <w:szCs w:val="13"/>
                <w:b w:val="1"/>
                <w:bCs w:val="1"/>
                <w:color w:val="FFFFFF"/>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97675"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976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441"/>
        <w:spacing w:after="0"/>
        <w:rPr>
          <w:sz w:val="20"/>
          <w:szCs w:val="20"/>
          <w:color w:val="auto"/>
        </w:rPr>
      </w:pPr>
      <w:r>
        <w:rPr>
          <w:rFonts w:ascii="Arial" w:cs="Arial" w:eastAsia="Arial" w:hAnsi="Arial"/>
          <w:sz w:val="13"/>
          <w:szCs w:val="13"/>
          <w:b w:val="1"/>
          <w:bCs w:val="1"/>
          <w:color w:val="auto"/>
        </w:rPr>
        <w:t>Key Characteristics</w:t>
      </w:r>
    </w:p>
    <w:p>
      <w:pPr>
        <w:spacing w:after="0" w:line="340" w:lineRule="exact"/>
        <w:rPr>
          <w:sz w:val="20"/>
          <w:szCs w:val="20"/>
          <w:color w:val="auto"/>
        </w:rPr>
      </w:pPr>
    </w:p>
    <w:p>
      <w:pPr>
        <w:jc w:val="both"/>
        <w:ind w:left="199" w:right="640" w:hanging="199"/>
        <w:spacing w:after="0" w:line="266" w:lineRule="auto"/>
        <w:tabs>
          <w:tab w:leader="none" w:pos="142" w:val="left"/>
        </w:tabs>
        <w:numPr>
          <w:ilvl w:val="0"/>
          <w:numId w:val="108"/>
        </w:numPr>
        <w:rPr>
          <w:rFonts w:ascii="Arial" w:cs="Arial" w:eastAsia="Arial" w:hAnsi="Arial"/>
          <w:sz w:val="16"/>
          <w:szCs w:val="16"/>
          <w:b w:val="1"/>
          <w:bCs w:val="1"/>
          <w:color w:val="29378D"/>
        </w:rPr>
      </w:pPr>
      <w:r>
        <w:rPr>
          <w:rFonts w:ascii="Arial" w:cs="Arial" w:eastAsia="Arial" w:hAnsi="Arial"/>
          <w:sz w:val="16"/>
          <w:szCs w:val="16"/>
          <w:color w:val="auto"/>
        </w:rPr>
        <w:t>Determined by level of responsibility, competitive market pay assessment and individual performance</w:t>
      </w:r>
    </w:p>
    <w:p>
      <w:pPr>
        <w:spacing w:after="0" w:line="333" w:lineRule="exact"/>
        <w:rPr>
          <w:sz w:val="20"/>
          <w:szCs w:val="20"/>
          <w:color w:val="auto"/>
        </w:rPr>
      </w:pPr>
    </w:p>
    <w:p>
      <w:pPr>
        <w:sectPr>
          <w:pgSz w:w="11900" w:h="16838" w:orient="portrait"/>
          <w:cols w:equalWidth="0" w:num="2">
            <w:col w:w="7160" w:space="561"/>
            <w:col w:w="3419"/>
          </w:cols>
          <w:pgMar w:left="320" w:top="238" w:right="4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Annual Incentive Plan (AIP)</w:t>
            </w:r>
          </w:p>
        </w:tc>
        <w:tc>
          <w:tcPr>
            <w:tcW w:w="4100" w:type="dxa"/>
            <w:vAlign w:val="bottom"/>
            <w:gridSpan w:val="2"/>
          </w:tcPr>
          <w:p>
            <w:pPr>
              <w:ind w:left="1500"/>
              <w:spacing w:after="0"/>
              <w:rPr>
                <w:sz w:val="20"/>
                <w:szCs w:val="20"/>
                <w:color w:val="auto"/>
              </w:rPr>
            </w:pPr>
            <w:r>
              <w:rPr>
                <w:rFonts w:ascii="Arial" w:cs="Arial" w:eastAsia="Arial" w:hAnsi="Arial"/>
                <w:sz w:val="16"/>
                <w:szCs w:val="16"/>
                <w:color w:val="auto"/>
              </w:rPr>
              <w:t xml:space="preserve">Motivate and reward achievement </w:t>
            </w: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Financial Metrics</w:t>
            </w:r>
          </w:p>
        </w:tc>
        <w:tc>
          <w:tcPr>
            <w:tcW w:w="0" w:type="dxa"/>
            <w:vAlign w:val="bottom"/>
          </w:tcPr>
          <w:p>
            <w:pPr>
              <w:spacing w:after="0"/>
              <w:rPr>
                <w:sz w:val="1"/>
                <w:szCs w:val="1"/>
                <w:color w:val="auto"/>
              </w:rPr>
            </w:pPr>
          </w:p>
        </w:tc>
      </w:tr>
      <w:tr>
        <w:trPr>
          <w:trHeight w:val="120"/>
        </w:trPr>
        <w:tc>
          <w:tcPr>
            <w:tcW w:w="3720" w:type="dxa"/>
            <w:vAlign w:val="bottom"/>
            <w:vMerge w:val="continue"/>
          </w:tcPr>
          <w:p>
            <w:pPr>
              <w:spacing w:after="0"/>
              <w:rPr>
                <w:sz w:val="10"/>
                <w:szCs w:val="10"/>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of annual business objectives</w:t>
            </w:r>
          </w:p>
        </w:tc>
        <w:tc>
          <w:tcPr>
            <w:tcW w:w="14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vMerge w:val="restart"/>
          </w:tcPr>
          <w:p>
            <w:pPr>
              <w:ind w:left="40"/>
              <w:spacing w:after="0"/>
              <w:rPr>
                <w:sz w:val="20"/>
                <w:szCs w:val="20"/>
                <w:color w:val="auto"/>
              </w:rPr>
            </w:pPr>
            <w:r>
              <w:rPr>
                <w:rFonts w:ascii="Arial" w:cs="Arial" w:eastAsia="Arial" w:hAnsi="Arial"/>
                <w:sz w:val="16"/>
                <w:szCs w:val="16"/>
                <w:color w:val="auto"/>
              </w:rPr>
              <w:t>35% Adjusted Cash Flow from</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37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35% Adjusted Segment Operating</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Income* Growth</w:t>
            </w: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20% Pension-Adjusted Operating</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Margin (OM) Rate*</w:t>
            </w:r>
          </w:p>
        </w:tc>
        <w:tc>
          <w:tcPr>
            <w:tcW w:w="0" w:type="dxa"/>
            <w:vAlign w:val="bottom"/>
          </w:tcPr>
          <w:p>
            <w:pPr>
              <w:spacing w:after="0"/>
              <w:rPr>
                <w:sz w:val="1"/>
                <w:szCs w:val="1"/>
                <w:color w:val="auto"/>
              </w:rPr>
            </w:pPr>
          </w:p>
        </w:tc>
      </w:tr>
      <w:tr>
        <w:trPr>
          <w:trHeight w:val="268"/>
        </w:trPr>
        <w:tc>
          <w:tcPr>
            <w:tcW w:w="3720" w:type="dxa"/>
            <w:vAlign w:val="bottom"/>
            <w:tcBorders>
              <w:bottom w:val="single" w:sz="8" w:color="BCBEC0"/>
            </w:tcBorders>
          </w:tcPr>
          <w:p>
            <w:pPr>
              <w:spacing w:after="0"/>
              <w:rPr>
                <w:sz w:val="23"/>
                <w:szCs w:val="23"/>
                <w:color w:val="auto"/>
              </w:rPr>
            </w:pPr>
          </w:p>
        </w:tc>
        <w:tc>
          <w:tcPr>
            <w:tcW w:w="3960" w:type="dxa"/>
            <w:vAlign w:val="bottom"/>
            <w:tcBorders>
              <w:bottom w:val="single" w:sz="8" w:color="BCBEC0"/>
            </w:tcBorders>
          </w:tcPr>
          <w:p>
            <w:pPr>
              <w:spacing w:after="0"/>
              <w:rPr>
                <w:sz w:val="23"/>
                <w:szCs w:val="23"/>
                <w:color w:val="auto"/>
              </w:rPr>
            </w:pPr>
          </w:p>
        </w:tc>
        <w:tc>
          <w:tcPr>
            <w:tcW w:w="140" w:type="dxa"/>
            <w:vAlign w:val="bottom"/>
            <w:tcBorders>
              <w:bottom w:val="single" w:sz="8" w:color="BCBEC0"/>
            </w:tcBorders>
          </w:tcPr>
          <w:p>
            <w:pPr>
              <w:spacing w:after="0"/>
              <w:rPr>
                <w:sz w:val="23"/>
                <w:szCs w:val="23"/>
                <w:color w:val="auto"/>
              </w:rPr>
            </w:pPr>
          </w:p>
        </w:tc>
        <w:tc>
          <w:tcPr>
            <w:tcW w:w="200" w:type="dxa"/>
            <w:vAlign w:val="bottom"/>
            <w:tcBorders>
              <w:bottom w:val="single" w:sz="8" w:color="BCBEC0"/>
            </w:tcBorders>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Borders>
              <w:bottom w:val="single" w:sz="8" w:color="BCBEC0"/>
            </w:tcBorders>
          </w:tcPr>
          <w:p>
            <w:pPr>
              <w:ind w:left="40"/>
              <w:spacing w:after="0"/>
              <w:rPr>
                <w:sz w:val="20"/>
                <w:szCs w:val="20"/>
                <w:color w:val="auto"/>
              </w:rPr>
            </w:pPr>
            <w:r>
              <w:rPr>
                <w:rFonts w:ascii="Arial" w:cs="Arial" w:eastAsia="Arial" w:hAnsi="Arial"/>
                <w:sz w:val="16"/>
                <w:szCs w:val="16"/>
                <w:color w:val="auto"/>
              </w:rPr>
              <w:t>10% Non-financial Metrics</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Long-Term Incentive Plan</w:t>
            </w: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Tie our executive officers’</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30% of annual LTIP grant</w:t>
            </w:r>
          </w:p>
        </w:tc>
        <w:tc>
          <w:tcPr>
            <w:tcW w:w="0" w:type="dxa"/>
            <w:vAlign w:val="bottom"/>
          </w:tcPr>
          <w:p>
            <w:pPr>
              <w:spacing w:after="0"/>
              <w:rPr>
                <w:sz w:val="1"/>
                <w:szCs w:val="1"/>
                <w:color w:val="auto"/>
              </w:rPr>
            </w:pPr>
          </w:p>
        </w:tc>
      </w:tr>
      <w:tr>
        <w:trPr>
          <w:trHeight w:val="108"/>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(LTIP) Restricted Stock</w:t>
            </w:r>
          </w:p>
        </w:tc>
        <w:tc>
          <w:tcPr>
            <w:tcW w:w="3960" w:type="dxa"/>
            <w:vAlign w:val="bottom"/>
            <w:vMerge w:val="continue"/>
          </w:tcPr>
          <w:p>
            <w:pPr>
              <w:spacing w:after="0"/>
              <w:rPr>
                <w:sz w:val="9"/>
                <w:szCs w:val="9"/>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vMerge w:val="restart"/>
          </w:tcPr>
          <w:p>
            <w:pPr>
              <w:ind w:left="40"/>
              <w:spacing w:after="0"/>
              <w:rPr>
                <w:sz w:val="20"/>
                <w:szCs w:val="20"/>
                <w:color w:val="auto"/>
              </w:rPr>
            </w:pPr>
            <w:r>
              <w:rPr>
                <w:rFonts w:ascii="Arial" w:cs="Arial" w:eastAsia="Arial" w:hAnsi="Arial"/>
                <w:sz w:val="16"/>
                <w:szCs w:val="16"/>
                <w:color w:val="auto"/>
              </w:rPr>
              <w:t>Three-year cliff vesting</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priorities to shareholders’ and</w:t>
            </w:r>
          </w:p>
        </w:tc>
        <w:tc>
          <w:tcPr>
            <w:tcW w:w="140" w:type="dxa"/>
            <w:vAlign w:val="bottom"/>
            <w:vMerge w:val="continue"/>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Rights (RSRs)</w:t>
            </w:r>
          </w:p>
        </w:tc>
        <w:tc>
          <w:tcPr>
            <w:tcW w:w="39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20" w:type="dxa"/>
            <w:vAlign w:val="bottom"/>
            <w:vMerge w:val="continue"/>
          </w:tcPr>
          <w:p>
            <w:pPr>
              <w:spacing w:after="0"/>
              <w:rPr>
                <w:sz w:val="9"/>
                <w:szCs w:val="9"/>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retain executive talent</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20" w:type="dxa"/>
            <w:vAlign w:val="bottom"/>
            <w:tcBorders>
              <w:bottom w:val="single" w:sz="8" w:color="BCBEC0"/>
            </w:tcBorders>
          </w:tcPr>
          <w:p>
            <w:pPr>
              <w:spacing w:after="0"/>
              <w:rPr>
                <w:sz w:val="10"/>
                <w:szCs w:val="10"/>
                <w:color w:val="auto"/>
              </w:rPr>
            </w:pPr>
          </w:p>
        </w:tc>
        <w:tc>
          <w:tcPr>
            <w:tcW w:w="39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2900" w:type="dxa"/>
            <w:vAlign w:val="bottom"/>
            <w:tcBorders>
              <w:bottom w:val="single" w:sz="8" w:color="BCBEC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140"/>
              <w:spacing w:after="0"/>
              <w:rPr>
                <w:sz w:val="20"/>
                <w:szCs w:val="20"/>
                <w:color w:val="auto"/>
              </w:rPr>
            </w:pPr>
            <w:r>
              <w:rPr>
                <w:rFonts w:ascii="Arial" w:cs="Arial" w:eastAsia="Arial" w:hAnsi="Arial"/>
                <w:sz w:val="16"/>
                <w:szCs w:val="16"/>
                <w:color w:val="auto"/>
              </w:rPr>
              <w:t>LTIP Restricted Performance</w:t>
            </w:r>
          </w:p>
        </w:tc>
        <w:tc>
          <w:tcPr>
            <w:tcW w:w="3960" w:type="dxa"/>
            <w:vAlign w:val="bottom"/>
          </w:tcPr>
          <w:p>
            <w:pPr>
              <w:ind w:left="1500"/>
              <w:spacing w:after="0"/>
              <w:rPr>
                <w:sz w:val="20"/>
                <w:szCs w:val="20"/>
                <w:color w:val="auto"/>
              </w:rPr>
            </w:pPr>
            <w:r>
              <w:rPr>
                <w:rFonts w:ascii="Arial" w:cs="Arial" w:eastAsia="Arial" w:hAnsi="Arial"/>
                <w:sz w:val="16"/>
                <w:szCs w:val="16"/>
                <w:color w:val="auto"/>
              </w:rPr>
              <w:t>Link the interests of our executive</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70% of annual LTIP grant</w:t>
            </w: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6"/>
                <w:szCs w:val="16"/>
                <w:color w:val="auto"/>
              </w:rPr>
              <w:t>Stock Rights (RPSRs)</w:t>
            </w:r>
          </w:p>
        </w:tc>
        <w:tc>
          <w:tcPr>
            <w:tcW w:w="3960" w:type="dxa"/>
            <w:vAlign w:val="bottom"/>
          </w:tcPr>
          <w:p>
            <w:pPr>
              <w:ind w:left="1500"/>
              <w:spacing w:after="0"/>
              <w:rPr>
                <w:sz w:val="20"/>
                <w:szCs w:val="20"/>
                <w:color w:val="auto"/>
              </w:rPr>
            </w:pPr>
            <w:r>
              <w:rPr>
                <w:rFonts w:ascii="Arial" w:cs="Arial" w:eastAsia="Arial" w:hAnsi="Arial"/>
                <w:sz w:val="16"/>
                <w:szCs w:val="16"/>
                <w:color w:val="auto"/>
              </w:rPr>
              <w:t>officers to shareholders, motivate</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Three-year performance period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960" w:type="dxa"/>
            <w:vAlign w:val="bottom"/>
          </w:tcPr>
          <w:p>
            <w:pPr>
              <w:ind w:left="1500"/>
              <w:spacing w:after="0" w:line="148" w:lineRule="exact"/>
              <w:rPr>
                <w:sz w:val="20"/>
                <w:szCs w:val="20"/>
                <w:color w:val="auto"/>
              </w:rPr>
            </w:pPr>
            <w:r>
              <w:rPr>
                <w:rFonts w:ascii="Arial" w:cs="Arial" w:eastAsia="Arial" w:hAnsi="Arial"/>
                <w:sz w:val="16"/>
                <w:szCs w:val="16"/>
                <w:color w:val="auto"/>
              </w:rPr>
              <w:t>and reward achievement of long-</w:t>
            </w:r>
          </w:p>
        </w:tc>
        <w:tc>
          <w:tcPr>
            <w:tcW w:w="140" w:type="dxa"/>
            <w:vAlign w:val="bottom"/>
            <w:vMerge w:val="restart"/>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vMerge w:val="restart"/>
          </w:tcPr>
          <w:p>
            <w:pPr>
              <w:ind w:left="40"/>
              <w:spacing w:after="0"/>
              <w:rPr>
                <w:sz w:val="20"/>
                <w:szCs w:val="20"/>
                <w:color w:val="auto"/>
              </w:rPr>
            </w:pPr>
            <w:r>
              <w:rPr>
                <w:rFonts w:ascii="Arial" w:cs="Arial" w:eastAsia="Arial" w:hAnsi="Arial"/>
                <w:sz w:val="16"/>
                <w:szCs w:val="16"/>
                <w:color w:val="auto"/>
              </w:rPr>
              <w:t>Equally weighted metrics of relative</w:t>
            </w:r>
          </w:p>
        </w:tc>
        <w:tc>
          <w:tcPr>
            <w:tcW w:w="0" w:type="dxa"/>
            <w:vAlign w:val="bottom"/>
          </w:tcPr>
          <w:p>
            <w:pPr>
              <w:spacing w:after="0"/>
              <w:rPr>
                <w:sz w:val="1"/>
                <w:szCs w:val="1"/>
                <w:color w:val="auto"/>
              </w:rPr>
            </w:pPr>
          </w:p>
        </w:tc>
      </w:tr>
      <w:tr>
        <w:trPr>
          <w:trHeight w:val="164"/>
        </w:trPr>
        <w:tc>
          <w:tcPr>
            <w:tcW w:w="3720" w:type="dxa"/>
            <w:vAlign w:val="bottom"/>
          </w:tcPr>
          <w:p>
            <w:pPr>
              <w:spacing w:after="0"/>
              <w:rPr>
                <w:sz w:val="14"/>
                <w:szCs w:val="14"/>
                <w:color w:val="auto"/>
              </w:rPr>
            </w:pPr>
          </w:p>
        </w:tc>
        <w:tc>
          <w:tcPr>
            <w:tcW w:w="3960" w:type="dxa"/>
            <w:vAlign w:val="bottom"/>
          </w:tcPr>
          <w:p>
            <w:pPr>
              <w:ind w:left="1500"/>
              <w:spacing w:after="0" w:line="165" w:lineRule="exact"/>
              <w:rPr>
                <w:sz w:val="20"/>
                <w:szCs w:val="20"/>
                <w:color w:val="auto"/>
              </w:rPr>
            </w:pPr>
            <w:r>
              <w:rPr>
                <w:rFonts w:ascii="Arial" w:cs="Arial" w:eastAsia="Arial" w:hAnsi="Arial"/>
                <w:sz w:val="16"/>
                <w:szCs w:val="16"/>
                <w:color w:val="auto"/>
              </w:rPr>
              <w:t>term strategic goals and retain</w:t>
            </w:r>
          </w:p>
        </w:tc>
        <w:tc>
          <w:tcPr>
            <w:tcW w:w="140" w:type="dxa"/>
            <w:vAlign w:val="bottom"/>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-1894840</wp:posOffset>
            </wp:positionV>
            <wp:extent cx="454025" cy="4546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-1894840</wp:posOffset>
            </wp:positionV>
            <wp:extent cx="454025" cy="4546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-1020445</wp:posOffset>
            </wp:positionV>
            <wp:extent cx="454025" cy="4540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4025" cy="45402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-1020445</wp:posOffset>
            </wp:positionV>
            <wp:extent cx="454025" cy="4540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4025" cy="45402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-248920</wp:posOffset>
            </wp:positionV>
            <wp:extent cx="454025" cy="4629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4025" cy="4629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-248920</wp:posOffset>
            </wp:positionV>
            <wp:extent cx="454025" cy="4540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ind w:left="5220"/>
              <w:spacing w:after="0"/>
              <w:rPr>
                <w:sz w:val="20"/>
                <w:szCs w:val="20"/>
                <w:color w:val="auto"/>
              </w:rPr>
            </w:pPr>
            <w:r>
              <w:rPr>
                <w:rFonts w:ascii="Arial" w:cs="Arial" w:eastAsia="Arial" w:hAnsi="Arial"/>
                <w:sz w:val="16"/>
                <w:szCs w:val="16"/>
                <w:color w:val="auto"/>
              </w:rPr>
              <w:t>executive talent</w:t>
            </w:r>
          </w:p>
        </w:tc>
        <w:tc>
          <w:tcPr>
            <w:tcW w:w="3580" w:type="dxa"/>
            <w:vAlign w:val="bottom"/>
          </w:tcPr>
          <w:p>
            <w:pPr>
              <w:ind w:left="780"/>
              <w:spacing w:after="0" w:line="173" w:lineRule="exact"/>
              <w:rPr>
                <w:sz w:val="20"/>
                <w:szCs w:val="20"/>
                <w:color w:val="auto"/>
              </w:rPr>
            </w:pPr>
            <w:r>
              <w:rPr>
                <w:rFonts w:ascii="Arial" w:cs="Arial" w:eastAsia="Arial" w:hAnsi="Arial"/>
                <w:sz w:val="16"/>
                <w:szCs w:val="16"/>
                <w:color w:val="auto"/>
              </w:rPr>
              <w:t>TSR, Adjusted Cumulative Free Cash</w:t>
            </w:r>
          </w:p>
        </w:tc>
        <w:tc>
          <w:tcPr>
            <w:tcW w:w="0" w:type="dxa"/>
            <w:vAlign w:val="bottom"/>
          </w:tcPr>
          <w:p>
            <w:pPr>
              <w:spacing w:after="0"/>
              <w:rPr>
                <w:sz w:val="1"/>
                <w:szCs w:val="1"/>
                <w:color w:val="auto"/>
              </w:rPr>
            </w:pPr>
          </w:p>
        </w:tc>
      </w:tr>
      <w:tr>
        <w:trPr>
          <w:trHeight w:val="80"/>
        </w:trPr>
        <w:tc>
          <w:tcPr>
            <w:tcW w:w="7140" w:type="dxa"/>
            <w:vAlign w:val="bottom"/>
            <w:vMerge w:val="continue"/>
          </w:tcPr>
          <w:p>
            <w:pPr>
              <w:spacing w:after="0"/>
              <w:rPr>
                <w:sz w:val="6"/>
                <w:szCs w:val="6"/>
                <w:color w:val="auto"/>
              </w:rPr>
            </w:pPr>
          </w:p>
        </w:tc>
        <w:tc>
          <w:tcPr>
            <w:tcW w:w="3580" w:type="dxa"/>
            <w:vAlign w:val="bottom"/>
            <w:vMerge w:val="restart"/>
          </w:tcPr>
          <w:p>
            <w:pPr>
              <w:ind w:left="780"/>
              <w:spacing w:after="0"/>
              <w:rPr>
                <w:sz w:val="20"/>
                <w:szCs w:val="20"/>
                <w:color w:val="auto"/>
              </w:rPr>
            </w:pPr>
            <w:r>
              <w:rPr>
                <w:rFonts w:ascii="Arial" w:cs="Arial" w:eastAsia="Arial" w:hAnsi="Arial"/>
                <w:sz w:val="16"/>
                <w:szCs w:val="16"/>
                <w:color w:val="auto"/>
              </w:rPr>
              <w:t>Flow* (Adjusted Cumulative FCF*)</w:t>
            </w:r>
          </w:p>
        </w:tc>
        <w:tc>
          <w:tcPr>
            <w:tcW w:w="0" w:type="dxa"/>
            <w:vAlign w:val="bottom"/>
          </w:tcPr>
          <w:p>
            <w:pPr>
              <w:spacing w:after="0"/>
              <w:rPr>
                <w:sz w:val="1"/>
                <w:szCs w:val="1"/>
                <w:color w:val="auto"/>
              </w:rPr>
            </w:pPr>
          </w:p>
        </w:tc>
      </w:tr>
      <w:tr>
        <w:trPr>
          <w:trHeight w:val="123"/>
        </w:trPr>
        <w:tc>
          <w:tcPr>
            <w:tcW w:w="714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3580" w:type="dxa"/>
            <w:vAlign w:val="bottom"/>
          </w:tcPr>
          <w:p>
            <w:pPr>
              <w:ind w:left="780"/>
              <w:spacing w:after="0"/>
              <w:rPr>
                <w:sz w:val="20"/>
                <w:szCs w:val="20"/>
                <w:color w:val="auto"/>
              </w:rPr>
            </w:pPr>
            <w:r>
              <w:rPr>
                <w:rFonts w:ascii="Arial" w:cs="Arial" w:eastAsia="Arial" w:hAnsi="Arial"/>
                <w:sz w:val="16"/>
                <w:szCs w:val="16"/>
                <w:color w:val="auto"/>
              </w:rPr>
              <w:t>and Return on Invested Capital*</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BCBEC0"/>
            </w:tcBorders>
          </w:tcPr>
          <w:p>
            <w:pPr>
              <w:spacing w:after="0"/>
              <w:rPr>
                <w:sz w:val="19"/>
                <w:szCs w:val="19"/>
                <w:color w:val="auto"/>
              </w:rPr>
            </w:pPr>
          </w:p>
        </w:tc>
        <w:tc>
          <w:tcPr>
            <w:tcW w:w="3580" w:type="dxa"/>
            <w:vAlign w:val="bottom"/>
            <w:tcBorders>
              <w:bottom w:val="single" w:sz="8" w:color="BCBEC0"/>
            </w:tcBorders>
          </w:tcPr>
          <w:p>
            <w:pPr>
              <w:ind w:left="780"/>
              <w:spacing w:after="0"/>
              <w:rPr>
                <w:sz w:val="20"/>
                <w:szCs w:val="20"/>
                <w:color w:val="auto"/>
              </w:rPr>
            </w:pPr>
            <w:r>
              <w:rPr>
                <w:rFonts w:ascii="Arial" w:cs="Arial" w:eastAsia="Arial" w:hAnsi="Arial"/>
                <w:sz w:val="16"/>
                <w:szCs w:val="16"/>
                <w:color w:val="auto"/>
              </w:rPr>
              <w:t>(ROIC)</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10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8" w:right="439" w:bottom="144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2023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3488690" cy="3683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88690" cy="368300"/>
                    </a:xfrm>
                    <a:prstGeom prst="rect">
                      <a:avLst/>
                    </a:prstGeom>
                    <a:noFill/>
                  </pic:spPr>
                </pic:pic>
              </a:graphicData>
            </a:graphic>
          </wp:anchor>
        </w:drawing>
      </w:r>
    </w:p>
    <w:p>
      <w:pPr>
        <w:spacing w:after="0" w:line="319"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 xml:space="preserve">Strong demand drove backlog of </w:t>
      </w:r>
      <w:r>
        <w:rPr>
          <w:rFonts w:ascii="Arial" w:cs="Arial" w:eastAsia="Arial" w:hAnsi="Arial"/>
          <w:sz w:val="16"/>
          <w:szCs w:val="16"/>
          <w:b w:val="1"/>
          <w:bCs w:val="1"/>
          <w:color w:val="auto"/>
        </w:rPr>
        <w:t>$84.2B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3488690" cy="3600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88690" cy="3600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 xml:space="preserve">Operating Cash Flow of </w:t>
      </w:r>
      <w:r>
        <w:rPr>
          <w:rFonts w:ascii="Arial" w:cs="Arial" w:eastAsia="Arial" w:hAnsi="Arial"/>
          <w:sz w:val="16"/>
          <w:szCs w:val="16"/>
          <w:b w:val="1"/>
          <w:bCs w:val="1"/>
          <w:color w:val="auto"/>
        </w:rPr>
        <w:t>$3.9B</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 xml:space="preserve">Adjusted Free Cash Flow* of </w:t>
      </w:r>
      <w:r>
        <w:rPr>
          <w:rFonts w:ascii="Arial" w:cs="Arial" w:eastAsia="Arial" w:hAnsi="Arial"/>
          <w:sz w:val="16"/>
          <w:szCs w:val="16"/>
          <w:b w:val="1"/>
          <w:bCs w:val="1"/>
          <w:color w:val="auto"/>
        </w:rPr>
        <w:t>$2.1B</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0"/>
          <w:szCs w:val="20"/>
          <w:color w:val="29378D"/>
        </w:rPr>
        <w:t>Adjusted Free Cash Flow*</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2708910" cy="15087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0891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880745</wp:posOffset>
            </wp:positionV>
            <wp:extent cx="3505835" cy="3683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5058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 xml:space="preserve">Sales grew 7% to </w:t>
      </w:r>
      <w:r>
        <w:rPr>
          <w:rFonts w:ascii="Arial" w:cs="Arial" w:eastAsia="Arial" w:hAnsi="Arial"/>
          <w:sz w:val="16"/>
          <w:szCs w:val="16"/>
          <w:b w:val="1"/>
          <w:bCs w:val="1"/>
          <w:color w:val="auto"/>
        </w:rPr>
        <w:t>$39.3B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312420</wp:posOffset>
            </wp:positionV>
            <wp:extent cx="3505835" cy="3600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05835" cy="3600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Delivered strong return to Shareholders of over </w:t>
      </w:r>
      <w:r>
        <w:rPr>
          <w:rFonts w:ascii="Arial" w:cs="Arial" w:eastAsia="Arial" w:hAnsi="Arial"/>
          <w:sz w:val="16"/>
          <w:szCs w:val="16"/>
          <w:b w:val="1"/>
          <w:bCs w:val="1"/>
          <w:color w:val="auto"/>
        </w:rPr>
        <w:t>$2.6B</w:t>
      </w:r>
      <w:r>
        <w:rPr>
          <w:rFonts w:ascii="Arial" w:cs="Arial" w:eastAsia="Arial" w:hAnsi="Arial"/>
          <w:sz w:val="16"/>
          <w:szCs w:val="16"/>
          <w:color w:val="auto"/>
        </w:rPr>
        <w:t xml:space="preserve"> in dividends &amp;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repurchases</w:t>
      </w:r>
    </w:p>
    <w:p>
      <w:pPr>
        <w:spacing w:after="0" w:line="346" w:lineRule="exact"/>
        <w:rPr>
          <w:sz w:val="20"/>
          <w:szCs w:val="20"/>
          <w:color w:val="auto"/>
        </w:rPr>
      </w:pPr>
    </w:p>
    <w:p>
      <w:pPr>
        <w:jc w:val="center"/>
        <w:ind w:right="1620"/>
        <w:spacing w:after="0"/>
        <w:rPr>
          <w:sz w:val="20"/>
          <w:szCs w:val="20"/>
          <w:color w:val="auto"/>
        </w:rPr>
      </w:pPr>
      <w:r>
        <w:rPr>
          <w:rFonts w:ascii="Arial" w:cs="Arial" w:eastAsia="Arial" w:hAnsi="Arial"/>
          <w:sz w:val="19"/>
          <w:szCs w:val="19"/>
          <w:color w:val="29378D"/>
        </w:rPr>
        <w:t>3-Year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278130</wp:posOffset>
            </wp:positionV>
            <wp:extent cx="2708910" cy="15087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08910" cy="150876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5040" w:space="720"/>
            <w:col w:w="548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Consideration of Say-On-Pay Vote</w:t>
      </w:r>
    </w:p>
    <w:p>
      <w:pPr>
        <w:spacing w:after="0" w:line="177" w:lineRule="exact"/>
        <w:rPr>
          <w:sz w:val="20"/>
          <w:szCs w:val="20"/>
          <w:color w:val="auto"/>
        </w:rPr>
      </w:pPr>
    </w:p>
    <w:p>
      <w:pPr>
        <w:ind w:left="20" w:right="3320"/>
        <w:spacing w:after="0" w:line="244" w:lineRule="auto"/>
        <w:rPr>
          <w:sz w:val="20"/>
          <w:szCs w:val="20"/>
          <w:color w:val="auto"/>
        </w:rPr>
      </w:pPr>
      <w:r>
        <w:rPr>
          <w:rFonts w:ascii="Arial" w:cs="Arial" w:eastAsia="Arial" w:hAnsi="Arial"/>
          <w:sz w:val="16"/>
          <w:szCs w:val="16"/>
          <w:color w:val="auto"/>
        </w:rPr>
        <w:t>The Company annually asks shareholders to approve, on an advisory basis, the compensation paid to our NEOs. We regularly engage with our shareholders to address their questions regarding executive compensation and emphasize our philosophy and competitive pay practices. The Compensation and Human Capital Committee annually reviews and discusses the results of the say-on-pay vote. In 2023, our executive compensation programs continued to receive strong support from shareholders with 97% approval at our 2023 Annual Meeting of Shareholders. Based on its review and feedback from shareholder engagement, the Compensation and Human Capital Committee determined that our programs are effective and aligned with shareholder interests, and no substantive changes were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-940435</wp:posOffset>
            </wp:positionV>
            <wp:extent cx="1062990" cy="882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62990" cy="882650"/>
                    </a:xfrm>
                    <a:prstGeom prst="rect">
                      <a:avLst/>
                    </a:prstGeom>
                    <a:noFill/>
                  </pic:spPr>
                </pic:pic>
              </a:graphicData>
            </a:graphic>
          </wp:anchor>
        </w:drawing>
      </w:r>
    </w:p>
    <w:p>
      <w:pPr>
        <w:jc w:val="center"/>
        <w:ind w:left="8000"/>
        <w:spacing w:after="0"/>
        <w:rPr>
          <w:sz w:val="20"/>
          <w:szCs w:val="20"/>
          <w:color w:val="auto"/>
        </w:rPr>
      </w:pPr>
      <w:r>
        <w:rPr>
          <w:rFonts w:ascii="Arial" w:cs="Arial" w:eastAsia="Arial" w:hAnsi="Arial"/>
          <w:sz w:val="13"/>
          <w:szCs w:val="13"/>
          <w:color w:val="auto"/>
        </w:rPr>
        <w:t>% of votes in favor of</w:t>
      </w:r>
    </w:p>
    <w:p>
      <w:pPr>
        <w:jc w:val="center"/>
        <w:ind w:left="8000"/>
        <w:spacing w:after="0"/>
        <w:rPr>
          <w:sz w:val="20"/>
          <w:szCs w:val="20"/>
          <w:color w:val="auto"/>
        </w:rPr>
      </w:pPr>
      <w:r>
        <w:rPr>
          <w:rFonts w:ascii="Arial" w:cs="Arial" w:eastAsia="Arial" w:hAnsi="Arial"/>
          <w:sz w:val="13"/>
          <w:szCs w:val="13"/>
          <w:color w:val="auto"/>
        </w:rPr>
        <w:t>Say-on-Pay Proposal in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Our Compensation Best Practices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programs incorporate best practices across all industries, including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40" w:type="dxa"/>
            <w:vAlign w:val="bottom"/>
            <w:tcBorders>
              <w:bottom w:val="single" w:sz="8" w:color="C6C5DF"/>
            </w:tcBorders>
            <w:shd w:val="clear" w:color="auto" w:fill="C6C5DF"/>
          </w:tcPr>
          <w:p>
            <w:pPr>
              <w:spacing w:after="0"/>
              <w:rPr>
                <w:sz w:val="24"/>
                <w:szCs w:val="24"/>
                <w:color w:val="auto"/>
              </w:rPr>
            </w:pPr>
          </w:p>
        </w:tc>
        <w:tc>
          <w:tcPr>
            <w:tcW w:w="160" w:type="dxa"/>
            <w:vAlign w:val="bottom"/>
            <w:tcBorders>
              <w:bottom w:val="single" w:sz="8" w:color="C6C5DF"/>
            </w:tcBorders>
            <w:shd w:val="clear" w:color="auto" w:fill="C6C5DF"/>
          </w:tcPr>
          <w:p>
            <w:pPr>
              <w:spacing w:after="0"/>
              <w:rPr>
                <w:sz w:val="24"/>
                <w:szCs w:val="24"/>
                <w:color w:val="auto"/>
              </w:rPr>
            </w:pPr>
          </w:p>
        </w:tc>
        <w:tc>
          <w:tcPr>
            <w:tcW w:w="2820" w:type="dxa"/>
            <w:vAlign w:val="bottom"/>
            <w:tcBorders>
              <w:bottom w:val="single" w:sz="8" w:color="C6C5DF"/>
            </w:tcBorders>
            <w:gridSpan w:val="2"/>
            <w:shd w:val="clear" w:color="auto" w:fill="C6C5DF"/>
          </w:tcPr>
          <w:p>
            <w:pPr>
              <w:ind w:left="860"/>
              <w:spacing w:after="0"/>
              <w:rPr>
                <w:sz w:val="20"/>
                <w:szCs w:val="20"/>
                <w:color w:val="auto"/>
              </w:rPr>
            </w:pPr>
            <w:r>
              <w:rPr>
                <w:rFonts w:ascii="Arial" w:cs="Arial" w:eastAsia="Arial" w:hAnsi="Arial"/>
                <w:sz w:val="16"/>
                <w:szCs w:val="16"/>
                <w:b w:val="1"/>
                <w:bCs w:val="1"/>
                <w:color w:val="283790"/>
              </w:rPr>
              <w:t>What We Do</w:t>
            </w:r>
          </w:p>
        </w:tc>
        <w:tc>
          <w:tcPr>
            <w:tcW w:w="2640" w:type="dxa"/>
            <w:vAlign w:val="bottom"/>
            <w:tcBorders>
              <w:bottom w:val="single" w:sz="8" w:color="C6C5DF"/>
            </w:tcBorders>
            <w:shd w:val="clear" w:color="auto" w:fill="C6C5DF"/>
          </w:tcPr>
          <w:p>
            <w:pPr>
              <w:spacing w:after="0"/>
              <w:rPr>
                <w:sz w:val="24"/>
                <w:szCs w:val="24"/>
                <w:color w:val="auto"/>
              </w:rPr>
            </w:pPr>
          </w:p>
        </w:tc>
        <w:tc>
          <w:tcPr>
            <w:tcW w:w="180" w:type="dxa"/>
            <w:vAlign w:val="bottom"/>
            <w:tcBorders>
              <w:right w:val="single" w:sz="8" w:color="242424"/>
            </w:tcBorders>
          </w:tcPr>
          <w:p>
            <w:pPr>
              <w:spacing w:after="0"/>
              <w:rPr>
                <w:sz w:val="24"/>
                <w:szCs w:val="24"/>
                <w:color w:val="auto"/>
              </w:rPr>
            </w:pPr>
          </w:p>
        </w:tc>
        <w:tc>
          <w:tcPr>
            <w:tcW w:w="140" w:type="dxa"/>
            <w:vAlign w:val="bottom"/>
            <w:tcBorders>
              <w:right w:val="single" w:sz="8" w:color="C6C5DF"/>
            </w:tcBorders>
          </w:tcPr>
          <w:p>
            <w:pPr>
              <w:spacing w:after="0"/>
              <w:rPr>
                <w:sz w:val="24"/>
                <w:szCs w:val="24"/>
                <w:color w:val="auto"/>
              </w:rPr>
            </w:pPr>
          </w:p>
        </w:tc>
        <w:tc>
          <w:tcPr>
            <w:tcW w:w="2660" w:type="dxa"/>
            <w:vAlign w:val="bottom"/>
            <w:tcBorders>
              <w:bottom w:val="single" w:sz="8" w:color="C6C5DF"/>
            </w:tcBorders>
            <w:shd w:val="clear" w:color="auto" w:fill="C6C5DF"/>
          </w:tcPr>
          <w:p>
            <w:pPr>
              <w:ind w:left="640"/>
              <w:spacing w:after="0"/>
              <w:rPr>
                <w:sz w:val="20"/>
                <w:szCs w:val="20"/>
                <w:color w:val="auto"/>
              </w:rPr>
            </w:pPr>
            <w:r>
              <w:rPr>
                <w:rFonts w:ascii="Arial" w:cs="Arial" w:eastAsia="Arial" w:hAnsi="Arial"/>
                <w:sz w:val="16"/>
                <w:szCs w:val="16"/>
                <w:b w:val="1"/>
                <w:bCs w:val="1"/>
                <w:color w:val="283790"/>
              </w:rPr>
              <w:t>What We Don’t Do</w:t>
            </w:r>
          </w:p>
        </w:tc>
        <w:tc>
          <w:tcPr>
            <w:tcW w:w="20" w:type="dxa"/>
            <w:vAlign w:val="bottom"/>
            <w:tcBorders>
              <w:bottom w:val="single" w:sz="8" w:color="C6C5DF"/>
            </w:tcBorders>
            <w:shd w:val="clear" w:color="auto" w:fill="C6C5DF"/>
          </w:tcPr>
          <w:p>
            <w:pPr>
              <w:spacing w:after="0"/>
              <w:rPr>
                <w:sz w:val="24"/>
                <w:szCs w:val="24"/>
                <w:color w:val="auto"/>
              </w:rPr>
            </w:pPr>
          </w:p>
        </w:tc>
      </w:tr>
      <w:tr>
        <w:trPr>
          <w:trHeight w:val="215"/>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Pay for Performance</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Annual Peer Group Review</w:t>
            </w:r>
          </w:p>
        </w:tc>
        <w:tc>
          <w:tcPr>
            <w:tcW w:w="2640" w:type="dxa"/>
            <w:vAlign w:val="bottom"/>
          </w:tcPr>
          <w:p>
            <w:pPr>
              <w:spacing w:after="0"/>
              <w:rPr>
                <w:sz w:val="20"/>
                <w:szCs w:val="20"/>
                <w:color w:val="auto"/>
              </w:rPr>
            </w:pPr>
            <w:r>
              <w:rPr>
                <w:rFonts w:ascii="Arial" w:cs="Arial" w:eastAsia="Arial" w:hAnsi="Arial"/>
                <w:sz w:val="16"/>
                <w:szCs w:val="16"/>
                <w:color w:val="auto"/>
              </w:rPr>
              <w:t xml:space="preserve">Long-Term Incentives </w:t>
            </w:r>
            <w:r>
              <w:rPr>
                <w:rFonts w:ascii="Arial" w:cs="Arial" w:eastAsia="Arial" w:hAnsi="Arial"/>
                <w:sz w:val="16"/>
                <w:szCs w:val="16"/>
                <w:b w:val="1"/>
                <w:bCs w:val="1"/>
                <w:color w:val="29378D"/>
              </w:rPr>
              <w:t>Focused on</w:t>
            </w:r>
          </w:p>
        </w:tc>
        <w:tc>
          <w:tcPr>
            <w:tcW w:w="180" w:type="dxa"/>
            <w:vAlign w:val="bottom"/>
            <w:tcBorders>
              <w:right w:val="single" w:sz="8" w:color="242424"/>
            </w:tcBorders>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w:t>
            </w:r>
            <w:r>
              <w:rPr>
                <w:rFonts w:ascii="Arial" w:cs="Arial" w:eastAsia="Arial" w:hAnsi="Arial"/>
                <w:sz w:val="16"/>
                <w:szCs w:val="16"/>
                <w:color w:val="000000"/>
              </w:rPr>
              <w:t>Individual</w:t>
            </w:r>
            <w:r>
              <w:rPr>
                <w:rFonts w:ascii="Arial" w:cs="Arial" w:eastAsia="Arial" w:hAnsi="Arial"/>
                <w:sz w:val="16"/>
                <w:szCs w:val="16"/>
                <w:b w:val="1"/>
                <w:bCs w:val="1"/>
                <w:color w:val="283790"/>
              </w:rPr>
              <w:t xml:space="preserve"> Change in Control</w:t>
            </w:r>
          </w:p>
        </w:tc>
        <w:tc>
          <w:tcPr>
            <w:tcW w:w="20" w:type="dxa"/>
            <w:vAlign w:val="bottom"/>
          </w:tcPr>
          <w:p>
            <w:pPr>
              <w:spacing w:after="0"/>
              <w:rPr>
                <w:sz w:val="18"/>
                <w:szCs w:val="18"/>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29378D"/>
              </w:rPr>
              <w:t>Performance</w:t>
            </w:r>
          </w:p>
        </w:tc>
        <w:tc>
          <w:tcPr>
            <w:tcW w:w="180" w:type="dxa"/>
            <w:vAlign w:val="bottom"/>
            <w:tcBorders>
              <w:right w:val="single" w:sz="8" w:color="242424"/>
            </w:tcBorders>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20" w:type="dxa"/>
            <w:vAlign w:val="bottom"/>
          </w:tcPr>
          <w:p>
            <w:pPr>
              <w:spacing w:after="0"/>
              <w:rPr>
                <w:sz w:val="19"/>
                <w:szCs w:val="19"/>
                <w:color w:val="auto"/>
              </w:rPr>
            </w:pPr>
          </w:p>
        </w:tc>
      </w:tr>
      <w:tr>
        <w:trPr>
          <w:trHeight w:val="102"/>
        </w:trPr>
        <w:tc>
          <w:tcPr>
            <w:tcW w:w="2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Borders>
              <w:right w:val="single" w:sz="8" w:color="242424"/>
            </w:tcBorders>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9378D"/>
              </w:rPr>
              <w:t>Compensation Elements</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Above-Target Annual Incentive</w:t>
            </w:r>
          </w:p>
        </w:tc>
        <w:tc>
          <w:tcPr>
            <w:tcW w:w="2640" w:type="dxa"/>
            <w:vAlign w:val="bottom"/>
          </w:tcPr>
          <w:p>
            <w:pPr>
              <w:spacing w:after="0"/>
              <w:rPr>
                <w:sz w:val="20"/>
                <w:szCs w:val="20"/>
                <w:color w:val="auto"/>
              </w:rPr>
            </w:pPr>
            <w:r>
              <w:rPr>
                <w:rFonts w:ascii="Arial" w:cs="Arial" w:eastAsia="Arial" w:hAnsi="Arial"/>
                <w:sz w:val="16"/>
                <w:szCs w:val="16"/>
                <w:b w:val="1"/>
                <w:bCs w:val="1"/>
                <w:color w:val="29378D"/>
              </w:rPr>
              <w:t xml:space="preserve">Independent Consultant </w:t>
            </w:r>
            <w:r>
              <w:rPr>
                <w:rFonts w:ascii="Arial" w:cs="Arial" w:eastAsia="Arial" w:hAnsi="Arial"/>
                <w:sz w:val="16"/>
                <w:szCs w:val="16"/>
                <w:color w:val="000000"/>
              </w:rPr>
              <w:t>Reports</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Employment Contracts </w:t>
            </w:r>
            <w:r>
              <w:rPr>
                <w:rFonts w:ascii="Arial" w:cs="Arial" w:eastAsia="Arial" w:hAnsi="Arial"/>
                <w:sz w:val="16"/>
                <w:szCs w:val="16"/>
                <w:color w:val="000000"/>
              </w:rPr>
              <w:t>for</w:t>
            </w:r>
          </w:p>
        </w:tc>
        <w:tc>
          <w:tcPr>
            <w:tcW w:w="20" w:type="dxa"/>
            <w:vAlign w:val="bottom"/>
          </w:tcPr>
          <w:p>
            <w:pPr>
              <w:spacing w:after="0"/>
              <w:rPr>
                <w:sz w:val="24"/>
                <w:szCs w:val="24"/>
                <w:color w:val="auto"/>
              </w:rPr>
            </w:pPr>
          </w:p>
        </w:tc>
      </w:tr>
      <w:tr>
        <w:trPr>
          <w:trHeight w:val="189"/>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Benchmarked </w:t>
            </w:r>
            <w:r>
              <w:rPr>
                <w:rFonts w:ascii="Arial" w:cs="Arial" w:eastAsia="Arial" w:hAnsi="Arial"/>
                <w:sz w:val="16"/>
                <w:szCs w:val="16"/>
                <w:color w:val="000000"/>
              </w:rPr>
              <w:t>at Market Median</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Payouts </w:t>
            </w:r>
            <w:r>
              <w:rPr>
                <w:rFonts w:ascii="Arial" w:cs="Arial" w:eastAsia="Arial" w:hAnsi="Arial"/>
                <w:sz w:val="16"/>
                <w:szCs w:val="16"/>
                <w:color w:val="000000"/>
              </w:rPr>
              <w:t>When We</w:t>
            </w:r>
            <w:r>
              <w:rPr>
                <w:rFonts w:ascii="Arial" w:cs="Arial" w:eastAsia="Arial" w:hAnsi="Arial"/>
                <w:sz w:val="16"/>
                <w:szCs w:val="16"/>
                <w:b w:val="1"/>
                <w:bCs w:val="1"/>
                <w:color w:val="29378D"/>
              </w:rPr>
              <w:t xml:space="preserve"> </w:t>
            </w:r>
            <w:r>
              <w:rPr>
                <w:rFonts w:ascii="Arial" w:cs="Arial" w:eastAsia="Arial" w:hAnsi="Arial"/>
                <w:sz w:val="16"/>
                <w:szCs w:val="16"/>
                <w:b w:val="1"/>
                <w:bCs w:val="1"/>
                <w:color w:val="00249C"/>
              </w:rPr>
              <w:t>Outperform</w:t>
            </w:r>
          </w:p>
        </w:tc>
        <w:tc>
          <w:tcPr>
            <w:tcW w:w="2640" w:type="dxa"/>
            <w:vAlign w:val="bottom"/>
          </w:tcPr>
          <w:p>
            <w:pPr>
              <w:spacing w:after="0"/>
              <w:rPr>
                <w:sz w:val="20"/>
                <w:szCs w:val="20"/>
                <w:color w:val="auto"/>
              </w:rPr>
            </w:pPr>
            <w:r>
              <w:rPr>
                <w:rFonts w:ascii="Arial" w:cs="Arial" w:eastAsia="Arial" w:hAnsi="Arial"/>
                <w:sz w:val="16"/>
                <w:szCs w:val="16"/>
                <w:color w:val="auto"/>
              </w:rPr>
              <w:t>Directly to Compensation and</w:t>
            </w:r>
          </w:p>
        </w:tc>
        <w:tc>
          <w:tcPr>
            <w:tcW w:w="180" w:type="dxa"/>
            <w:vAlign w:val="bottom"/>
            <w:tcBorders>
              <w:right w:val="single" w:sz="8" w:color="242424"/>
            </w:tcBorders>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Chief Executive Officer (CEO) or</w:t>
            </w:r>
          </w:p>
        </w:tc>
        <w:tc>
          <w:tcPr>
            <w:tcW w:w="20" w:type="dxa"/>
            <w:vAlign w:val="bottom"/>
          </w:tcPr>
          <w:p>
            <w:pPr>
              <w:spacing w:after="0"/>
              <w:rPr>
                <w:sz w:val="16"/>
                <w:szCs w:val="16"/>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00249C"/>
              </w:rPr>
              <w:t>Our Peer Benchmarks</w:t>
            </w:r>
          </w:p>
        </w:tc>
        <w:tc>
          <w:tcPr>
            <w:tcW w:w="2640" w:type="dxa"/>
            <w:vAlign w:val="bottom"/>
          </w:tcPr>
          <w:p>
            <w:pPr>
              <w:spacing w:after="0"/>
              <w:rPr>
                <w:sz w:val="20"/>
                <w:szCs w:val="20"/>
                <w:color w:val="auto"/>
              </w:rPr>
            </w:pPr>
            <w:r>
              <w:rPr>
                <w:rFonts w:ascii="Arial" w:cs="Arial" w:eastAsia="Arial" w:hAnsi="Arial"/>
                <w:sz w:val="16"/>
                <w:szCs w:val="16"/>
                <w:color w:val="auto"/>
              </w:rPr>
              <w:t>Human Capital Committee</w:t>
            </w:r>
          </w:p>
        </w:tc>
        <w:tc>
          <w:tcPr>
            <w:tcW w:w="180" w:type="dxa"/>
            <w:vAlign w:val="bottom"/>
            <w:tcBorders>
              <w:right w:val="single" w:sz="8" w:color="242424"/>
            </w:tcBorders>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Other NEOs</w:t>
            </w:r>
          </w:p>
        </w:tc>
        <w:tc>
          <w:tcPr>
            <w:tcW w:w="20" w:type="dxa"/>
            <w:vAlign w:val="bottom"/>
          </w:tcPr>
          <w:p>
            <w:pPr>
              <w:spacing w:after="0"/>
              <w:rPr>
                <w:sz w:val="19"/>
                <w:szCs w:val="19"/>
                <w:color w:val="auto"/>
              </w:rPr>
            </w:pPr>
          </w:p>
        </w:tc>
      </w:tr>
      <w:tr>
        <w:trPr>
          <w:trHeight w:val="102"/>
        </w:trPr>
        <w:tc>
          <w:tcPr>
            <w:tcW w:w="2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Borders>
              <w:right w:val="single" w:sz="8" w:color="242424"/>
            </w:tcBorders>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 xml:space="preserve">Recoupment Policy on Cash </w:t>
            </w:r>
            <w:r>
              <w:rPr>
                <w:rFonts w:ascii="Arial" w:cs="Arial" w:eastAsia="Arial" w:hAnsi="Arial"/>
                <w:sz w:val="16"/>
                <w:szCs w:val="16"/>
                <w:color w:val="000000"/>
              </w:rPr>
              <w:t>and</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Dividends Paid Upon Vesting of</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 xml:space="preserve">Stock Ownership Guidelines </w:t>
            </w:r>
            <w:r>
              <w:rPr>
                <w:rFonts w:ascii="Arial" w:cs="Arial" w:eastAsia="Arial" w:hAnsi="Arial"/>
                <w:sz w:val="16"/>
                <w:szCs w:val="16"/>
                <w:color w:val="000000"/>
              </w:rPr>
              <w:t>and</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Excise Tax Gross-ups </w:t>
            </w:r>
            <w:r>
              <w:rPr>
                <w:rFonts w:ascii="Arial" w:cs="Arial" w:eastAsia="Arial" w:hAnsi="Arial"/>
                <w:sz w:val="16"/>
                <w:szCs w:val="16"/>
                <w:color w:val="000000"/>
              </w:rPr>
              <w:t>for</w:t>
            </w:r>
          </w:p>
        </w:tc>
        <w:tc>
          <w:tcPr>
            <w:tcW w:w="20" w:type="dxa"/>
            <w:vAlign w:val="bottom"/>
          </w:tcPr>
          <w:p>
            <w:pPr>
              <w:spacing w:after="0"/>
              <w:rPr>
                <w:sz w:val="24"/>
                <w:szCs w:val="24"/>
                <w:color w:val="auto"/>
              </w:rPr>
            </w:pPr>
          </w:p>
        </w:tc>
      </w:tr>
      <w:tr>
        <w:trPr>
          <w:trHeight w:val="189"/>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Equity Incentive Compensation</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Equity Awards</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Stock Holding Requirements</w:t>
            </w:r>
          </w:p>
        </w:tc>
        <w:tc>
          <w:tcPr>
            <w:tcW w:w="180" w:type="dxa"/>
            <w:vAlign w:val="bottom"/>
            <w:tcBorders>
              <w:right w:val="single" w:sz="8" w:color="242424"/>
            </w:tcBorders>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Payments Received Upon</w:t>
            </w:r>
          </w:p>
        </w:tc>
        <w:tc>
          <w:tcPr>
            <w:tcW w:w="20" w:type="dxa"/>
            <w:vAlign w:val="bottom"/>
          </w:tcPr>
          <w:p>
            <w:pPr>
              <w:spacing w:after="0"/>
              <w:rPr>
                <w:sz w:val="16"/>
                <w:szCs w:val="16"/>
                <w:color w:val="auto"/>
              </w:rPr>
            </w:pPr>
          </w:p>
        </w:tc>
      </w:tr>
      <w:tr>
        <w:trPr>
          <w:trHeight w:val="203"/>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Payments</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Borders>
              <w:right w:val="single" w:sz="8" w:color="242424"/>
            </w:tcBorders>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Termination After a Change in</w:t>
            </w:r>
          </w:p>
        </w:tc>
        <w:tc>
          <w:tcPr>
            <w:tcW w:w="20" w:type="dxa"/>
            <w:vAlign w:val="bottom"/>
          </w:tcPr>
          <w:p>
            <w:pPr>
              <w:spacing w:after="0"/>
              <w:rPr>
                <w:sz w:val="17"/>
                <w:szCs w:val="17"/>
                <w:color w:val="auto"/>
              </w:rPr>
            </w:pPr>
          </w:p>
        </w:tc>
      </w:tr>
      <w:tr>
        <w:trPr>
          <w:trHeight w:val="215"/>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Borders>
              <w:right w:val="single" w:sz="8" w:color="242424"/>
            </w:tcBorders>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Control</w:t>
            </w:r>
          </w:p>
        </w:tc>
        <w:tc>
          <w:tcPr>
            <w:tcW w:w="20" w:type="dxa"/>
            <w:vAlign w:val="bottom"/>
          </w:tcPr>
          <w:p>
            <w:pPr>
              <w:spacing w:after="0"/>
              <w:rPr>
                <w:sz w:val="18"/>
                <w:szCs w:val="18"/>
                <w:color w:val="auto"/>
              </w:rPr>
            </w:pPr>
          </w:p>
        </w:tc>
      </w:tr>
      <w:tr>
        <w:trPr>
          <w:trHeight w:val="110"/>
        </w:trPr>
        <w:tc>
          <w:tcPr>
            <w:tcW w:w="2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80" w:type="dxa"/>
            <w:vAlign w:val="bottom"/>
            <w:tcBorders>
              <w:right w:val="single" w:sz="8" w:color="242424"/>
            </w:tcBorders>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LTIP Double Trigger Provisions</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Regular Risk Assessments</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 xml:space="preserve">Cap on Annual Bonuses </w:t>
            </w:r>
            <w:r>
              <w:rPr>
                <w:rFonts w:ascii="Arial" w:cs="Arial" w:eastAsia="Arial" w:hAnsi="Arial"/>
                <w:sz w:val="16"/>
                <w:szCs w:val="16"/>
                <w:color w:val="000000"/>
              </w:rPr>
              <w:t>and</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Hedging or Pledging </w:t>
            </w:r>
            <w:r>
              <w:rPr>
                <w:rFonts w:ascii="Arial" w:cs="Arial" w:eastAsia="Arial" w:hAnsi="Arial"/>
                <w:sz w:val="16"/>
                <w:szCs w:val="16"/>
                <w:color w:val="000000"/>
              </w:rPr>
              <w:t>of</w:t>
            </w:r>
          </w:p>
        </w:tc>
        <w:tc>
          <w:tcPr>
            <w:tcW w:w="20" w:type="dxa"/>
            <w:vAlign w:val="bottom"/>
          </w:tcPr>
          <w:p>
            <w:pPr>
              <w:spacing w:after="0"/>
              <w:rPr>
                <w:sz w:val="24"/>
                <w:szCs w:val="24"/>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for Change in Control</w:t>
            </w: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Performed</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RPSR Payouts</w:t>
            </w:r>
          </w:p>
        </w:tc>
        <w:tc>
          <w:tcPr>
            <w:tcW w:w="180" w:type="dxa"/>
            <w:vAlign w:val="bottom"/>
            <w:tcBorders>
              <w:right w:val="single" w:sz="8" w:color="242424"/>
            </w:tcBorders>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Company Stock</w:t>
            </w:r>
          </w:p>
        </w:tc>
        <w:tc>
          <w:tcPr>
            <w:tcW w:w="2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How We Make Executive Compensation Decisions</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Compensation and Human Capital Committee leads a rigorous and continuous process evaluating our thoughtfully designed programs throughout the year to ensure that we maintain executive compensation programs that align with the interests of our shareholders.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 w:type="dxa"/>
            <w:vAlign w:val="bottom"/>
            <w:tcBorders>
              <w:bottom w:val="single" w:sz="8" w:color="DFDEEE"/>
            </w:tcBorders>
            <w:shd w:val="clear" w:color="auto" w:fill="DFDEEE"/>
          </w:tcPr>
          <w:p>
            <w:pPr>
              <w:spacing w:after="0"/>
              <w:rPr>
                <w:sz w:val="12"/>
                <w:szCs w:val="12"/>
                <w:color w:val="auto"/>
              </w:rPr>
            </w:pPr>
          </w:p>
        </w:tc>
        <w:tc>
          <w:tcPr>
            <w:tcW w:w="5040" w:type="dxa"/>
            <w:vAlign w:val="bottom"/>
            <w:tcBorders>
              <w:bottom w:val="single" w:sz="8" w:color="DFDEEE"/>
            </w:tcBorders>
            <w:vMerge w:val="restart"/>
            <w:shd w:val="clear" w:color="auto" w:fill="DFDEEE"/>
          </w:tcPr>
          <w:p>
            <w:pPr>
              <w:ind w:left="2080"/>
              <w:spacing w:after="0"/>
              <w:rPr>
                <w:sz w:val="20"/>
                <w:szCs w:val="20"/>
                <w:color w:val="auto"/>
              </w:rPr>
            </w:pPr>
            <w:r>
              <w:rPr>
                <w:rFonts w:ascii="Arial" w:cs="Arial" w:eastAsia="Arial" w:hAnsi="Arial"/>
                <w:sz w:val="16"/>
                <w:szCs w:val="16"/>
                <w:b w:val="1"/>
                <w:bCs w:val="1"/>
                <w:color w:val="auto"/>
              </w:rPr>
              <w:t>Assess</w:t>
            </w: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C6C5DF"/>
            </w:tcBorders>
            <w:shd w:val="clear" w:color="auto" w:fill="C6C5DF"/>
          </w:tcPr>
          <w:p>
            <w:pPr>
              <w:spacing w:after="0"/>
              <w:rPr>
                <w:sz w:val="12"/>
                <w:szCs w:val="12"/>
                <w:color w:val="auto"/>
              </w:rPr>
            </w:pPr>
          </w:p>
        </w:tc>
        <w:tc>
          <w:tcPr>
            <w:tcW w:w="5040" w:type="dxa"/>
            <w:vAlign w:val="bottom"/>
            <w:tcBorders>
              <w:bottom w:val="single" w:sz="8" w:color="C6C5DF"/>
            </w:tcBorders>
            <w:vMerge w:val="restart"/>
            <w:shd w:val="clear" w:color="auto" w:fill="C6C5DF"/>
          </w:tcPr>
          <w:p>
            <w:pPr>
              <w:ind w:left="2000"/>
              <w:spacing w:after="0"/>
              <w:rPr>
                <w:sz w:val="20"/>
                <w:szCs w:val="20"/>
                <w:color w:val="auto"/>
              </w:rPr>
            </w:pPr>
            <w:r>
              <w:rPr>
                <w:rFonts w:ascii="Arial" w:cs="Arial" w:eastAsia="Arial" w:hAnsi="Arial"/>
                <w:sz w:val="16"/>
                <w:szCs w:val="16"/>
                <w:b w:val="1"/>
                <w:bCs w:val="1"/>
                <w:color w:val="auto"/>
              </w:rPr>
              <w:t>Establish</w:t>
            </w:r>
          </w:p>
        </w:tc>
        <w:tc>
          <w:tcPr>
            <w:tcW w:w="0" w:type="dxa"/>
            <w:vAlign w:val="bottom"/>
          </w:tcPr>
          <w:p>
            <w:pPr>
              <w:spacing w:after="0"/>
              <w:rPr>
                <w:sz w:val="1"/>
                <w:szCs w:val="1"/>
                <w:color w:val="auto"/>
              </w:rPr>
            </w:pPr>
          </w:p>
        </w:tc>
      </w:tr>
      <w:tr>
        <w:trPr>
          <w:trHeight w:val="108"/>
        </w:trPr>
        <w:tc>
          <w:tcPr>
            <w:tcW w:w="320" w:type="dxa"/>
            <w:vAlign w:val="bottom"/>
            <w:tcBorders>
              <w:bottom w:val="single" w:sz="8" w:color="DFDEEE"/>
            </w:tcBorders>
            <w:shd w:val="clear" w:color="auto" w:fill="DFDEEE"/>
          </w:tcPr>
          <w:p>
            <w:pPr>
              <w:spacing w:after="0"/>
              <w:rPr>
                <w:sz w:val="9"/>
                <w:szCs w:val="9"/>
                <w:color w:val="auto"/>
              </w:rPr>
            </w:pPr>
          </w:p>
        </w:tc>
        <w:tc>
          <w:tcPr>
            <w:tcW w:w="5040" w:type="dxa"/>
            <w:vAlign w:val="bottom"/>
            <w:tcBorders>
              <w:bottom w:val="single" w:sz="8" w:color="DFDEEE"/>
            </w:tcBorders>
            <w:vMerge w:val="continue"/>
            <w:shd w:val="clear" w:color="auto" w:fill="DFDEE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bottom w:val="single" w:sz="8" w:color="C6C5DF"/>
            </w:tcBorders>
            <w:shd w:val="clear" w:color="auto" w:fill="C6C5DF"/>
          </w:tcPr>
          <w:p>
            <w:pPr>
              <w:spacing w:after="0"/>
              <w:rPr>
                <w:sz w:val="9"/>
                <w:szCs w:val="9"/>
                <w:color w:val="auto"/>
              </w:rPr>
            </w:pPr>
          </w:p>
        </w:tc>
        <w:tc>
          <w:tcPr>
            <w:tcW w:w="5040" w:type="dxa"/>
            <w:vAlign w:val="bottom"/>
            <w:tcBorders>
              <w:bottom w:val="single" w:sz="8" w:color="C6C5DF"/>
            </w:tcBorders>
            <w:vMerge w:val="continue"/>
            <w:shd w:val="clear" w:color="auto" w:fill="C6C5DF"/>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Feedback from annual say-on-pay vote from shareholder outreach</w:t>
            </w:r>
          </w:p>
        </w:tc>
        <w:tc>
          <w:tcPr>
            <w:tcW w:w="52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Performance metrics for AIP and RPSRs</w:t>
            </w:r>
          </w:p>
        </w:tc>
        <w:tc>
          <w:tcPr>
            <w:tcW w:w="0" w:type="dxa"/>
            <w:vAlign w:val="bottom"/>
          </w:tcPr>
          <w:p>
            <w:pPr>
              <w:spacing w:after="0"/>
              <w:rPr>
                <w:sz w:val="1"/>
                <w:szCs w:val="1"/>
                <w:color w:val="auto"/>
              </w:rPr>
            </w:pPr>
          </w:p>
        </w:tc>
      </w:tr>
      <w:tr>
        <w:trPr>
          <w:trHeight w:val="270"/>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Market data with Independent Compensation Consultant</w:t>
            </w:r>
          </w:p>
        </w:tc>
        <w:tc>
          <w:tcPr>
            <w:tcW w:w="520" w:type="dxa"/>
            <w:vAlign w:val="bottom"/>
          </w:tcPr>
          <w:p>
            <w:pPr>
              <w:spacing w:after="0"/>
              <w:rPr>
                <w:sz w:val="23"/>
                <w:szCs w:val="23"/>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Relevant compensation and performance peer groups</w:t>
            </w:r>
          </w:p>
        </w:tc>
        <w:tc>
          <w:tcPr>
            <w:tcW w:w="0" w:type="dxa"/>
            <w:vAlign w:val="bottom"/>
          </w:tcPr>
          <w:p>
            <w:pPr>
              <w:spacing w:after="0"/>
              <w:rPr>
                <w:sz w:val="1"/>
                <w:szCs w:val="1"/>
                <w:color w:val="auto"/>
              </w:rPr>
            </w:pPr>
          </w:p>
        </w:tc>
      </w:tr>
      <w:tr>
        <w:trPr>
          <w:trHeight w:val="236"/>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Alignment of our financial and non-financial performance metrics</w:t>
            </w:r>
          </w:p>
        </w:tc>
        <w:tc>
          <w:tcPr>
            <w:tcW w:w="52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Annual salary, target AIP and target LTIP awards</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with our overall strategy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40575" cy="16630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0575" cy="1663065"/>
                    </a:xfrm>
                    <a:prstGeom prst="rect">
                      <a:avLst/>
                    </a:prstGeom>
                    <a:noFill/>
                  </pic:spPr>
                </pic:pic>
              </a:graphicData>
            </a:graphic>
          </wp:anchor>
        </w:drawing>
      </w:r>
    </w:p>
    <w:p>
      <w:pPr>
        <w:spacing w:after="0" w:line="35" w:lineRule="exact"/>
        <w:rPr>
          <w:sz w:val="20"/>
          <w:szCs w:val="20"/>
          <w:color w:val="auto"/>
        </w:rPr>
      </w:pPr>
    </w:p>
    <w:p>
      <w:pPr>
        <w:ind w:left="360" w:hanging="140"/>
        <w:spacing w:after="0"/>
        <w:tabs>
          <w:tab w:leader="none" w:pos="360" w:val="left"/>
        </w:tabs>
        <w:numPr>
          <w:ilvl w:val="0"/>
          <w:numId w:val="110"/>
        </w:numPr>
        <w:rPr>
          <w:rFonts w:ascii="Arial" w:cs="Arial" w:eastAsia="Arial" w:hAnsi="Arial"/>
          <w:sz w:val="16"/>
          <w:szCs w:val="16"/>
          <w:b w:val="1"/>
          <w:bCs w:val="1"/>
          <w:color w:val="29378D"/>
        </w:rPr>
      </w:pPr>
      <w:r>
        <w:rPr>
          <w:rFonts w:ascii="Arial" w:cs="Arial" w:eastAsia="Arial" w:hAnsi="Arial"/>
          <w:sz w:val="16"/>
          <w:szCs w:val="16"/>
          <w:color w:val="auto"/>
        </w:rPr>
        <w:t>Annual independent risk review of compensation structure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29378D"/>
        </w:rPr>
        <w:t>Rigorous Committee Oversight</w:t>
      </w:r>
    </w:p>
    <w:p>
      <w:pPr>
        <w:sectPr>
          <w:pgSz w:w="11900" w:h="16838" w:orient="portrait"/>
          <w:cols w:equalWidth="0" w:num="1">
            <w:col w:w="11260"/>
          </w:cols>
          <w:pgMar w:left="320" w:top="238" w:right="319" w:bottom="1440" w:gutter="0" w:footer="0" w:header="0"/>
        </w:sectPr>
      </w:pPr>
    </w:p>
    <w:p>
      <w:pPr>
        <w:spacing w:after="0" w:line="304"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FFFFFF"/>
        </w:rPr>
        <w:t>Approve</w:t>
      </w:r>
    </w:p>
    <w:p>
      <w:pPr>
        <w:spacing w:after="0" w:line="275" w:lineRule="exact"/>
        <w:rPr>
          <w:sz w:val="20"/>
          <w:szCs w:val="20"/>
          <w:color w:val="auto"/>
        </w:rPr>
      </w:pPr>
    </w:p>
    <w:p>
      <w:pPr>
        <w:ind w:left="360" w:hanging="140"/>
        <w:spacing w:after="0"/>
        <w:tabs>
          <w:tab w:leader="none" w:pos="360" w:val="left"/>
        </w:tabs>
        <w:numPr>
          <w:ilvl w:val="0"/>
          <w:numId w:val="111"/>
        </w:numPr>
        <w:rPr>
          <w:rFonts w:ascii="Arial" w:cs="Arial" w:eastAsia="Arial" w:hAnsi="Arial"/>
          <w:sz w:val="16"/>
          <w:szCs w:val="16"/>
          <w:b w:val="1"/>
          <w:bCs w:val="1"/>
          <w:color w:val="29378D"/>
        </w:rPr>
      </w:pPr>
      <w:r>
        <w:rPr>
          <w:rFonts w:ascii="Arial" w:cs="Arial" w:eastAsia="Arial" w:hAnsi="Arial"/>
          <w:sz w:val="16"/>
          <w:szCs w:val="16"/>
          <w:color w:val="auto"/>
        </w:rPr>
        <w:t>AIP and RPSR performance metric results</w:t>
      </w:r>
    </w:p>
    <w:p>
      <w:pPr>
        <w:spacing w:after="0" w:line="86" w:lineRule="exact"/>
        <w:rPr>
          <w:rFonts w:ascii="Arial" w:cs="Arial" w:eastAsia="Arial" w:hAnsi="Arial"/>
          <w:sz w:val="16"/>
          <w:szCs w:val="16"/>
          <w:b w:val="1"/>
          <w:bCs w:val="1"/>
          <w:color w:val="29378D"/>
        </w:rPr>
      </w:pPr>
    </w:p>
    <w:p>
      <w:pPr>
        <w:ind w:left="420" w:right="153" w:hanging="200"/>
        <w:spacing w:after="0" w:line="286" w:lineRule="auto"/>
        <w:tabs>
          <w:tab w:leader="none" w:pos="363" w:val="left"/>
        </w:tabs>
        <w:numPr>
          <w:ilvl w:val="0"/>
          <w:numId w:val="111"/>
        </w:numPr>
        <w:rPr>
          <w:rFonts w:ascii="Arial" w:cs="Arial" w:eastAsia="Arial" w:hAnsi="Arial"/>
          <w:sz w:val="16"/>
          <w:szCs w:val="16"/>
          <w:b w:val="1"/>
          <w:bCs w:val="1"/>
          <w:color w:val="29378D"/>
        </w:rPr>
      </w:pPr>
      <w:r>
        <w:rPr>
          <w:rFonts w:ascii="Arial" w:cs="Arial" w:eastAsia="Arial" w:hAnsi="Arial"/>
          <w:sz w:val="16"/>
          <w:szCs w:val="16"/>
          <w:color w:val="auto"/>
        </w:rPr>
        <w:t>Final total compensation for NEOs (recommend CEO compensation to independent board members for approval)</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167"/>
        <w:spacing w:after="0"/>
        <w:rPr>
          <w:sz w:val="20"/>
          <w:szCs w:val="20"/>
          <w:color w:val="auto"/>
        </w:rPr>
      </w:pPr>
      <w:r>
        <w:rPr>
          <w:rFonts w:ascii="Arial" w:cs="Arial" w:eastAsia="Arial" w:hAnsi="Arial"/>
          <w:sz w:val="16"/>
          <w:szCs w:val="16"/>
          <w:b w:val="1"/>
          <w:bCs w:val="1"/>
          <w:color w:val="FFFFFF"/>
        </w:rPr>
        <w:t>Monitor</w:t>
      </w:r>
    </w:p>
    <w:p>
      <w:pPr>
        <w:spacing w:after="0" w:line="275" w:lineRule="exact"/>
        <w:rPr>
          <w:sz w:val="20"/>
          <w:szCs w:val="20"/>
          <w:color w:val="auto"/>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Progress against AIP and RPSR performance metrics</w:t>
      </w:r>
    </w:p>
    <w:p>
      <w:pPr>
        <w:spacing w:after="0" w:line="86" w:lineRule="exact"/>
        <w:rPr>
          <w:rFonts w:ascii="Arial" w:cs="Arial" w:eastAsia="Arial" w:hAnsi="Arial"/>
          <w:sz w:val="16"/>
          <w:szCs w:val="16"/>
          <w:b w:val="1"/>
          <w:bCs w:val="1"/>
          <w:color w:val="29378D"/>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NEO performance</w:t>
      </w:r>
    </w:p>
    <w:p>
      <w:pPr>
        <w:spacing w:after="0" w:line="86" w:lineRule="exact"/>
        <w:rPr>
          <w:rFonts w:ascii="Arial" w:cs="Arial" w:eastAsia="Arial" w:hAnsi="Arial"/>
          <w:sz w:val="16"/>
          <w:szCs w:val="16"/>
          <w:b w:val="1"/>
          <w:bCs w:val="1"/>
          <w:color w:val="29378D"/>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Company policies and practices with respect to human capital risks</w:t>
      </w:r>
    </w:p>
    <w:p>
      <w:pPr>
        <w:spacing w:after="0" w:line="200" w:lineRule="exact"/>
        <w:rPr>
          <w:sz w:val="20"/>
          <w:szCs w:val="20"/>
          <w:color w:val="auto"/>
        </w:rPr>
      </w:pPr>
    </w:p>
    <w:p>
      <w:pPr>
        <w:sectPr>
          <w:pgSz w:w="11900" w:h="16838" w:orient="portrait"/>
          <w:cols w:equalWidth="0" w:num="2">
            <w:col w:w="5373" w:space="720"/>
            <w:col w:w="5167"/>
          </w:cols>
          <w:pgMar w:left="320" w:top="2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hanging="494"/>
        <w:spacing w:after="0"/>
        <w:tabs>
          <w:tab w:leader="none" w:pos="520" w:val="left"/>
        </w:tabs>
        <w:numPr>
          <w:ilvl w:val="0"/>
          <w:numId w:val="11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29378D"/>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69519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695198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8" w:lineRule="exact"/>
        <w:rPr>
          <w:sz w:val="20"/>
          <w:szCs w:val="20"/>
          <w:color w:val="auto"/>
        </w:rPr>
      </w:pPr>
    </w:p>
    <w:p>
      <w:pPr>
        <w:ind w:left="20"/>
        <w:spacing w:after="0" w:line="267" w:lineRule="auto"/>
        <w:rPr>
          <w:sz w:val="20"/>
          <w:szCs w:val="20"/>
          <w:color w:val="auto"/>
        </w:rPr>
      </w:pPr>
      <w:r>
        <w:rPr>
          <w:rFonts w:ascii="Arial" w:cs="Arial" w:eastAsia="Arial" w:hAnsi="Arial"/>
          <w:sz w:val="14"/>
          <w:szCs w:val="14"/>
          <w:b w:val="1"/>
          <w:bCs w:val="1"/>
          <w:color w:val="0A2299"/>
        </w:rPr>
        <w:t>COMPENSATION AND HUMAN CAPITAL COMMITTEE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02" w:right="38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Oversees our compensation policies, incentive and equity compensation plans and approves payments or grants under these plans and the compensation for the elected officers, other than the CEO.</w:t>
      </w:r>
    </w:p>
    <w:p>
      <w:pPr>
        <w:ind w:left="202" w:right="72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Recommends the base, bonus, and equity compensation for the CEO to the independent directors of the Board for approval.</w:t>
      </w: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market data and other input from its Independent Compensation Consultant.</w:t>
      </w:r>
    </w:p>
    <w:p>
      <w:pPr>
        <w:spacing w:after="0" w:line="86" w:lineRule="exact"/>
        <w:rPr>
          <w:rFonts w:ascii="Arial" w:cs="Arial" w:eastAsia="Arial" w:hAnsi="Arial"/>
          <w:sz w:val="16"/>
          <w:szCs w:val="16"/>
          <w:b w:val="1"/>
          <w:bCs w:val="1"/>
          <w:color w:val="29378D"/>
        </w:rPr>
      </w:pPr>
    </w:p>
    <w:p>
      <w:pPr>
        <w:ind w:left="202" w:right="64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and approves incentive goals and objectives (CEO goals and objectives are reviewed and approved by the independent directors).</w:t>
      </w: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Evaluates and approves executive benefit and perquisite programs.</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Evaluates the competitiveness of each elected officer’s total compensation package.</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Oversees and reviews the results of the Company’s diversity, equity and inclusion programs.</w:t>
      </w:r>
    </w:p>
    <w:p>
      <w:pPr>
        <w:spacing w:after="0" w:line="72" w:lineRule="exact"/>
        <w:rPr>
          <w:rFonts w:ascii="Arial" w:cs="Arial" w:eastAsia="Arial" w:hAnsi="Arial"/>
          <w:sz w:val="16"/>
          <w:szCs w:val="16"/>
          <w:b w:val="1"/>
          <w:bCs w:val="1"/>
          <w:color w:val="00249C"/>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Oversees the Company’s management of its human capital risk.</w:t>
      </w:r>
    </w:p>
    <w:p>
      <w:pPr>
        <w:spacing w:after="0" w:line="86" w:lineRule="exact"/>
        <w:rPr>
          <w:rFonts w:ascii="Arial" w:cs="Arial" w:eastAsia="Arial" w:hAnsi="Arial"/>
          <w:sz w:val="16"/>
          <w:szCs w:val="16"/>
          <w:b w:val="1"/>
          <w:bCs w:val="1"/>
          <w:color w:val="00249C"/>
        </w:rPr>
      </w:pP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Conducts an annual evaluation of the Independent Compensation Consultant.</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Reviews the performance of elected officers.</w:t>
      </w:r>
    </w:p>
    <w:p>
      <w:pPr>
        <w:spacing w:after="0" w:line="86" w:lineRule="exact"/>
        <w:rPr>
          <w:rFonts w:ascii="Arial" w:cs="Arial" w:eastAsia="Arial" w:hAnsi="Arial"/>
          <w:sz w:val="16"/>
          <w:szCs w:val="16"/>
          <w:b w:val="1"/>
          <w:bCs w:val="1"/>
          <w:color w:val="00249C"/>
        </w:rPr>
      </w:pPr>
    </w:p>
    <w:p>
      <w:pPr>
        <w:ind w:left="202" w:right="160" w:hanging="202"/>
        <w:spacing w:after="0" w:line="286"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and discusses with management the CD&amp;A and provides a Compensation and Human Capital Committee Report for inclusion in the proxy statement.</w:t>
      </w:r>
    </w:p>
    <w:p>
      <w:pPr>
        <w:spacing w:after="0" w:line="200" w:lineRule="exact"/>
        <w:rPr>
          <w:sz w:val="20"/>
          <w:szCs w:val="20"/>
          <w:color w:val="auto"/>
        </w:rPr>
      </w:pPr>
    </w:p>
    <w:p>
      <w:pPr>
        <w:sectPr>
          <w:pgSz w:w="11900" w:h="16838" w:orient="portrait"/>
          <w:cols w:equalWidth="0" w:num="2">
            <w:col w:w="1560" w:space="618"/>
            <w:col w:w="9062"/>
          </w:cols>
          <w:pgMar w:left="320" w:top="238" w:right="339" w:bottom="1440" w:gutter="0" w:footer="0" w:header="0"/>
          <w:type w:val="continuous"/>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Arial" w:cs="Arial" w:eastAsia="Arial" w:hAnsi="Arial"/>
                <w:sz w:val="14"/>
                <w:szCs w:val="14"/>
                <w:b w:val="1"/>
                <w:bCs w:val="1"/>
                <w:color w:val="29378D"/>
              </w:rPr>
              <w:t>INDEPENDENT</w:t>
            </w:r>
          </w:p>
        </w:tc>
        <w:tc>
          <w:tcPr>
            <w:tcW w:w="9360" w:type="dxa"/>
            <w:vAlign w:val="bottom"/>
            <w:vMerge w:val="restart"/>
          </w:tcPr>
          <w:p>
            <w:pPr>
              <w:ind w:left="560"/>
              <w:spacing w:after="0"/>
              <w:rPr>
                <w:sz w:val="20"/>
                <w:szCs w:val="20"/>
                <w:color w:val="auto"/>
              </w:rPr>
            </w:pPr>
            <w:r>
              <w:rPr>
                <w:rFonts w:ascii="Arial" w:cs="Arial" w:eastAsia="Arial" w:hAnsi="Arial"/>
                <w:sz w:val="16"/>
                <w:szCs w:val="16"/>
                <w:b w:val="1"/>
                <w:bCs w:val="1"/>
                <w:color w:val="29378D"/>
              </w:rPr>
              <w:t xml:space="preserve">• </w:t>
            </w:r>
            <w:r>
              <w:rPr>
                <w:rFonts w:ascii="Arial" w:cs="Arial" w:eastAsia="Arial" w:hAnsi="Arial"/>
                <w:sz w:val="16"/>
                <w:szCs w:val="16"/>
                <w:color w:val="000000"/>
              </w:rPr>
              <w:t>Evaluate the performance and determine the compensation of the CEO (upon recommendation of the Compensation and</w:t>
            </w:r>
          </w:p>
        </w:tc>
        <w:tc>
          <w:tcPr>
            <w:tcW w:w="0" w:type="dxa"/>
            <w:vAlign w:val="bottom"/>
          </w:tcPr>
          <w:p>
            <w:pPr>
              <w:spacing w:after="0"/>
              <w:rPr>
                <w:sz w:val="1"/>
                <w:szCs w:val="1"/>
                <w:color w:val="auto"/>
              </w:rPr>
            </w:pPr>
          </w:p>
        </w:tc>
      </w:tr>
      <w:tr>
        <w:trPr>
          <w:trHeight w:val="103"/>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29378D"/>
              </w:rPr>
              <w:t>DIRECTORS</w:t>
            </w: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600" w:type="dxa"/>
            <w:vAlign w:val="bottom"/>
            <w:vMerge w:val="continue"/>
          </w:tcPr>
          <w:p>
            <w:pPr>
              <w:spacing w:after="0"/>
              <w:rPr>
                <w:sz w:val="8"/>
                <w:szCs w:val="8"/>
                <w:color w:val="auto"/>
              </w:rPr>
            </w:pPr>
          </w:p>
        </w:tc>
        <w:tc>
          <w:tcPr>
            <w:tcW w:w="9360" w:type="dxa"/>
            <w:vAlign w:val="bottom"/>
            <w:vMerge w:val="restart"/>
          </w:tcPr>
          <w:p>
            <w:pPr>
              <w:ind w:left="760"/>
              <w:spacing w:after="0"/>
              <w:rPr>
                <w:sz w:val="20"/>
                <w:szCs w:val="20"/>
                <w:color w:val="auto"/>
              </w:rPr>
            </w:pPr>
            <w:r>
              <w:rPr>
                <w:rFonts w:ascii="Arial" w:cs="Arial" w:eastAsia="Arial" w:hAnsi="Arial"/>
                <w:sz w:val="16"/>
                <w:szCs w:val="16"/>
                <w:color w:val="auto"/>
              </w:rPr>
              <w:t>Human Capital Committee).</w:t>
            </w: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spacing w:after="0" w:line="117" w:lineRule="exact"/>
        <w:rPr>
          <w:sz w:val="20"/>
          <w:szCs w:val="20"/>
          <w:color w:val="auto"/>
        </w:rPr>
      </w:pPr>
    </w:p>
    <w:p>
      <w:pPr>
        <w:ind w:left="20" w:right="440"/>
        <w:spacing w:after="0" w:line="255" w:lineRule="auto"/>
        <w:rPr>
          <w:sz w:val="20"/>
          <w:szCs w:val="20"/>
          <w:color w:val="auto"/>
        </w:rPr>
      </w:pPr>
      <w:r>
        <w:rPr>
          <w:rFonts w:ascii="Arial" w:cs="Arial" w:eastAsia="Arial" w:hAnsi="Arial"/>
          <w:sz w:val="14"/>
          <w:szCs w:val="14"/>
          <w:b w:val="1"/>
          <w:bCs w:val="1"/>
          <w:color w:val="29378D"/>
        </w:rPr>
        <w:t>INDEPENDENT COMPENSATION CONSULTANT</w:t>
      </w:r>
    </w:p>
    <w:p>
      <w:pPr>
        <w:ind w:left="20"/>
        <w:spacing w:after="0"/>
        <w:rPr>
          <w:sz w:val="20"/>
          <w:szCs w:val="20"/>
          <w:color w:val="auto"/>
        </w:rPr>
      </w:pPr>
      <w:r>
        <w:rPr>
          <w:rFonts w:ascii="Arial" w:cs="Arial" w:eastAsia="Arial" w:hAnsi="Arial"/>
          <w:sz w:val="14"/>
          <w:szCs w:val="14"/>
          <w:i w:val="1"/>
          <w:iCs w:val="1"/>
          <w:color w:val="auto"/>
        </w:rPr>
        <w:t>(Frederic W. Cook &amp; Co.)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42" w:hanging="142"/>
        <w:spacing w:after="0"/>
        <w:tabs>
          <w:tab w:leader="none" w:pos="142"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Reports directly to the Compensation and Human Capital Committee</w:t>
      </w:r>
      <w:r>
        <w:rPr>
          <w:rFonts w:ascii="Arial" w:cs="Arial" w:eastAsia="Arial" w:hAnsi="Arial"/>
          <w:sz w:val="16"/>
          <w:szCs w:val="16"/>
          <w:color w:val="29378D"/>
        </w:rPr>
        <w:t>.</w:t>
      </w:r>
    </w:p>
    <w:p>
      <w:pPr>
        <w:spacing w:after="0" w:line="86" w:lineRule="exact"/>
        <w:rPr>
          <w:rFonts w:ascii="Arial" w:cs="Arial" w:eastAsia="Arial" w:hAnsi="Arial"/>
          <w:sz w:val="16"/>
          <w:szCs w:val="16"/>
          <w:b w:val="1"/>
          <w:bCs w:val="1"/>
          <w:color w:val="29378D"/>
        </w:rPr>
      </w:pPr>
    </w:p>
    <w:p>
      <w:pPr>
        <w:ind w:left="202" w:right="680" w:hanging="202"/>
        <w:spacing w:after="0" w:line="286"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Regularly participates in meetings of the Compensation and Human Capital Committee and communicates with the Compensation and Human Capital Committee Chair between meetings as needed.</w:t>
      </w:r>
    </w:p>
    <w:p>
      <w:pPr>
        <w:spacing w:after="0" w:line="20"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Participates in executive session with the Compensation and Human Capital Committee.</w:t>
      </w:r>
    </w:p>
    <w:p>
      <w:pPr>
        <w:spacing w:after="0" w:line="86" w:lineRule="exact"/>
        <w:rPr>
          <w:rFonts w:ascii="Arial" w:cs="Arial" w:eastAsia="Arial" w:hAnsi="Arial"/>
          <w:sz w:val="16"/>
          <w:szCs w:val="16"/>
          <w:b w:val="1"/>
          <w:bCs w:val="1"/>
          <w:color w:val="29378D"/>
        </w:rPr>
      </w:pPr>
    </w:p>
    <w:p>
      <w:pPr>
        <w:ind w:left="202" w:right="220" w:hanging="202"/>
        <w:spacing w:after="0" w:line="275"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Provides proactive advice to the Compensation and Human Capital Committee on best practices for Board governance of executive compensation, compensation-related risk management and areas for program design to most appropriately support the Company’s business strategy and organizational values.</w:t>
      </w:r>
    </w:p>
    <w:p>
      <w:pPr>
        <w:spacing w:after="0" w:line="15" w:lineRule="exact"/>
        <w:rPr>
          <w:rFonts w:ascii="Arial" w:cs="Arial" w:eastAsia="Arial" w:hAnsi="Arial"/>
          <w:sz w:val="16"/>
          <w:szCs w:val="16"/>
          <w:b w:val="1"/>
          <w:bCs w:val="1"/>
          <w:color w:val="29378D"/>
        </w:rPr>
      </w:pPr>
    </w:p>
    <w:p>
      <w:pPr>
        <w:ind w:left="202" w:right="100" w:hanging="202"/>
        <w:spacing w:after="0" w:line="299"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Provides a review of market data and advises the Compensation and Human Capital Committee on the levels and structure of our executive compensation policies and procedures, including compensation matters for NEOs.</w:t>
      </w:r>
    </w:p>
    <w:p>
      <w:pPr>
        <w:ind w:left="202" w:right="120" w:hanging="202"/>
        <w:spacing w:after="0" w:line="299"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Reviews and advises the Compensation and Human Capital Committee on our total compensation philosophy, peer groups and target competitive positioning.</w:t>
      </w:r>
    </w:p>
    <w:p>
      <w:pPr>
        <w:ind w:left="202" w:right="300" w:hanging="202"/>
        <w:spacing w:after="0" w:line="304"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Identifies market trends and practices and advises the Compensation and Human Capital Committee on program design implications.</w:t>
      </w:r>
    </w:p>
    <w:p>
      <w:pPr>
        <w:spacing w:after="0" w:line="6" w:lineRule="exact"/>
        <w:rPr>
          <w:sz w:val="20"/>
          <w:szCs w:val="20"/>
          <w:color w:val="auto"/>
        </w:rPr>
      </w:pPr>
    </w:p>
    <w:p>
      <w:pPr>
        <w:sectPr>
          <w:pgSz w:w="11900" w:h="16838" w:orient="portrait"/>
          <w:cols w:equalWidth="0" w:num="2">
            <w:col w:w="1640" w:space="538"/>
            <w:col w:w="9062"/>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rPr>
                <w:sz w:val="20"/>
                <w:szCs w:val="20"/>
                <w:color w:val="auto"/>
              </w:rPr>
            </w:pPr>
            <w:r>
              <w:rPr>
                <w:rFonts w:ascii="Arial" w:cs="Arial" w:eastAsia="Arial" w:hAnsi="Arial"/>
                <w:sz w:val="16"/>
                <w:szCs w:val="16"/>
                <w:color w:val="auto"/>
              </w:rPr>
              <w:t>Serves as a resource to the Compensation and Human Capital Committee Chair on setting agenda items for Compensation</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and Human Capital Committee meetings and researches special projects.</w:t>
            </w:r>
          </w:p>
        </w:tc>
        <w:tc>
          <w:tcPr>
            <w:tcW w:w="0" w:type="dxa"/>
            <w:vAlign w:val="bottom"/>
          </w:tcPr>
          <w:p>
            <w:pPr>
              <w:spacing w:after="0"/>
              <w:rPr>
                <w:sz w:val="1"/>
                <w:szCs w:val="1"/>
                <w:color w:val="auto"/>
              </w:rPr>
            </w:pPr>
          </w:p>
        </w:tc>
      </w:tr>
      <w:tr>
        <w:trPr>
          <w:trHeight w:val="244"/>
        </w:trPr>
        <w:tc>
          <w:tcPr>
            <w:tcW w:w="202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rPr>
                <w:sz w:val="20"/>
                <w:szCs w:val="20"/>
                <w:color w:val="auto"/>
              </w:rPr>
            </w:pPr>
            <w:r>
              <w:rPr>
                <w:rFonts w:ascii="Arial" w:cs="Arial" w:eastAsia="Arial" w:hAnsi="Arial"/>
                <w:sz w:val="16"/>
                <w:szCs w:val="16"/>
                <w:color w:val="auto"/>
              </w:rPr>
              <w:t>Receives compensation only for engagement with the Compensation and Human Capital Committee and does not receive</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any fees or income from the Company.</w:t>
            </w:r>
          </w:p>
        </w:tc>
        <w:tc>
          <w:tcPr>
            <w:tcW w:w="0" w:type="dxa"/>
            <w:vAlign w:val="bottom"/>
          </w:tcPr>
          <w:p>
            <w:pPr>
              <w:spacing w:after="0"/>
              <w:rPr>
                <w:sz w:val="1"/>
                <w:szCs w:val="1"/>
                <w:color w:val="auto"/>
              </w:rPr>
            </w:pPr>
          </w:p>
        </w:tc>
      </w:tr>
      <w:tr>
        <w:trPr>
          <w:trHeight w:val="205"/>
        </w:trPr>
        <w:tc>
          <w:tcPr>
            <w:tcW w:w="2020" w:type="dxa"/>
            <w:vAlign w:val="bottom"/>
            <w:tcBorders>
              <w:bottom w:val="single" w:sz="8" w:color="BCBEC0"/>
            </w:tcBorders>
          </w:tcPr>
          <w:p>
            <w:pPr>
              <w:spacing w:after="0"/>
              <w:rPr>
                <w:sz w:val="17"/>
                <w:szCs w:val="17"/>
                <w:color w:val="auto"/>
              </w:rPr>
            </w:pPr>
          </w:p>
        </w:tc>
        <w:tc>
          <w:tcPr>
            <w:tcW w:w="260" w:type="dxa"/>
            <w:vAlign w:val="bottom"/>
            <w:tcBorders>
              <w:bottom w:val="single" w:sz="8" w:color="BCBEC0"/>
            </w:tcBorders>
          </w:tcPr>
          <w:p>
            <w:pPr>
              <w:spacing w:after="0"/>
              <w:rPr>
                <w:sz w:val="17"/>
                <w:szCs w:val="17"/>
                <w:color w:val="auto"/>
              </w:rPr>
            </w:pPr>
          </w:p>
        </w:tc>
        <w:tc>
          <w:tcPr>
            <w:tcW w:w="896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20" w:type="dxa"/>
            <w:vAlign w:val="bottom"/>
          </w:tcPr>
          <w:p>
            <w:pPr>
              <w:ind w:left="20"/>
              <w:spacing w:after="0"/>
              <w:rPr>
                <w:sz w:val="20"/>
                <w:szCs w:val="20"/>
                <w:color w:val="auto"/>
              </w:rPr>
            </w:pPr>
            <w:r>
              <w:rPr>
                <w:rFonts w:ascii="Arial" w:cs="Arial" w:eastAsia="Arial" w:hAnsi="Arial"/>
                <w:sz w:val="14"/>
                <w:szCs w:val="14"/>
                <w:b w:val="1"/>
                <w:bCs w:val="1"/>
                <w:color w:val="29378D"/>
              </w:rPr>
              <w:t>MANAGEMENT</w:t>
            </w:r>
          </w:p>
        </w:tc>
        <w:tc>
          <w:tcPr>
            <w:tcW w:w="260" w:type="dxa"/>
            <w:vAlign w:val="bottom"/>
            <w:vMerge w:val="restart"/>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vMerge w:val="restart"/>
          </w:tcPr>
          <w:p>
            <w:pPr>
              <w:ind w:left="40"/>
              <w:spacing w:after="0"/>
              <w:rPr>
                <w:sz w:val="20"/>
                <w:szCs w:val="20"/>
                <w:color w:val="auto"/>
              </w:rPr>
            </w:pPr>
            <w:r>
              <w:rPr>
                <w:rFonts w:ascii="Arial" w:cs="Arial" w:eastAsia="Arial" w:hAnsi="Arial"/>
                <w:sz w:val="16"/>
                <w:szCs w:val="16"/>
                <w:color w:val="auto"/>
              </w:rPr>
              <w:t>Makes compensation-related recommendations for elected officers, other than the CEO, to the Compensation and Human</w:t>
            </w:r>
          </w:p>
        </w:tc>
        <w:tc>
          <w:tcPr>
            <w:tcW w:w="0" w:type="dxa"/>
            <w:vAlign w:val="bottom"/>
          </w:tcPr>
          <w:p>
            <w:pPr>
              <w:spacing w:after="0"/>
              <w:rPr>
                <w:sz w:val="1"/>
                <w:szCs w:val="1"/>
                <w:color w:val="auto"/>
              </w:rPr>
            </w:pPr>
          </w:p>
        </w:tc>
      </w:tr>
      <w:tr>
        <w:trPr>
          <w:trHeight w:val="101"/>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(CEO with assistance from</w:t>
            </w:r>
          </w:p>
        </w:tc>
        <w:tc>
          <w:tcPr>
            <w:tcW w:w="2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960" w:type="dxa"/>
            <w:vAlign w:val="bottom"/>
            <w:vMerge w:val="restart"/>
          </w:tcPr>
          <w:p>
            <w:pPr>
              <w:ind w:left="100"/>
              <w:spacing w:after="0"/>
              <w:rPr>
                <w:sz w:val="20"/>
                <w:szCs w:val="20"/>
                <w:color w:val="auto"/>
              </w:rPr>
            </w:pPr>
            <w:r>
              <w:rPr>
                <w:rFonts w:ascii="Arial" w:cs="Arial" w:eastAsia="Arial" w:hAnsi="Arial"/>
                <w:sz w:val="16"/>
                <w:szCs w:val="16"/>
                <w:color w:val="auto"/>
              </w:rPr>
              <w:t>Capital Committee for its review and approval.</w:t>
            </w:r>
          </w:p>
        </w:tc>
        <w:tc>
          <w:tcPr>
            <w:tcW w:w="0" w:type="dxa"/>
            <w:vAlign w:val="bottom"/>
          </w:tcPr>
          <w:p>
            <w:pPr>
              <w:spacing w:after="0"/>
              <w:rPr>
                <w:sz w:val="1"/>
                <w:szCs w:val="1"/>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the Corporate Vice President</w:t>
            </w:r>
          </w:p>
        </w:tc>
        <w:tc>
          <w:tcPr>
            <w:tcW w:w="260" w:type="dxa"/>
            <w:vAlign w:val="bottom"/>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and Chief Human Resources</w:t>
            </w:r>
          </w:p>
        </w:tc>
        <w:tc>
          <w:tcPr>
            <w:tcW w:w="260" w:type="dxa"/>
            <w:vAlign w:val="bottom"/>
          </w:tcPr>
          <w:p>
            <w:pPr>
              <w:ind w:left="160"/>
              <w:spacing w:after="0" w:line="183" w:lineRule="exact"/>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line="183" w:lineRule="exact"/>
              <w:rPr>
                <w:sz w:val="20"/>
                <w:szCs w:val="20"/>
                <w:color w:val="auto"/>
              </w:rPr>
            </w:pPr>
            <w:r>
              <w:rPr>
                <w:rFonts w:ascii="Arial" w:cs="Arial" w:eastAsia="Arial" w:hAnsi="Arial"/>
                <w:sz w:val="16"/>
                <w:szCs w:val="16"/>
                <w:color w:val="auto"/>
              </w:rPr>
              <w:t>Assesses each executive’s performance, skills and industry knowledge, market compensation benchmarks, and succession</w:t>
            </w:r>
          </w:p>
        </w:tc>
        <w:tc>
          <w:tcPr>
            <w:tcW w:w="0" w:type="dxa"/>
            <w:vAlign w:val="bottom"/>
          </w:tcPr>
          <w:p>
            <w:pPr>
              <w:spacing w:after="0"/>
              <w:rPr>
                <w:sz w:val="1"/>
                <w:szCs w:val="1"/>
                <w:color w:val="auto"/>
              </w:rPr>
            </w:pPr>
          </w:p>
        </w:tc>
      </w:tr>
      <w:tr>
        <w:trPr>
          <w:trHeight w:val="141"/>
        </w:trPr>
        <w:tc>
          <w:tcPr>
            <w:tcW w:w="202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Officer and other Company</w:t>
            </w:r>
          </w:p>
        </w:tc>
        <w:tc>
          <w:tcPr>
            <w:tcW w:w="260" w:type="dxa"/>
            <w:vAlign w:val="bottom"/>
          </w:tcPr>
          <w:p>
            <w:pPr>
              <w:spacing w:after="0"/>
              <w:rPr>
                <w:sz w:val="12"/>
                <w:szCs w:val="12"/>
                <w:color w:val="auto"/>
              </w:rPr>
            </w:pPr>
          </w:p>
        </w:tc>
        <w:tc>
          <w:tcPr>
            <w:tcW w:w="8960" w:type="dxa"/>
            <w:vAlign w:val="bottom"/>
            <w:vMerge w:val="restart"/>
          </w:tcPr>
          <w:p>
            <w:pPr>
              <w:ind w:left="100"/>
              <w:spacing w:after="0"/>
              <w:rPr>
                <w:sz w:val="20"/>
                <w:szCs w:val="20"/>
                <w:color w:val="auto"/>
              </w:rPr>
            </w:pPr>
            <w:r>
              <w:rPr>
                <w:rFonts w:ascii="Arial" w:cs="Arial" w:eastAsia="Arial" w:hAnsi="Arial"/>
                <w:sz w:val="16"/>
                <w:szCs w:val="16"/>
                <w:color w:val="auto"/>
              </w:rPr>
              <w:t>and retention considerations.</w:t>
            </w:r>
          </w:p>
        </w:tc>
        <w:tc>
          <w:tcPr>
            <w:tcW w:w="0" w:type="dxa"/>
            <w:vAlign w:val="bottom"/>
          </w:tcPr>
          <w:p>
            <w:pPr>
              <w:spacing w:after="0"/>
              <w:rPr>
                <w:sz w:val="1"/>
                <w:szCs w:val="1"/>
                <w:color w:val="auto"/>
              </w:rPr>
            </w:pPr>
          </w:p>
        </w:tc>
      </w:tr>
      <w:tr>
        <w:trPr>
          <w:trHeight w:val="113"/>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employees)</w:t>
            </w:r>
          </w:p>
        </w:tc>
        <w:tc>
          <w:tcPr>
            <w:tcW w:w="260" w:type="dxa"/>
            <w:vAlign w:val="bottom"/>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260" w:type="dxa"/>
            <w:vAlign w:val="bottom"/>
            <w:vMerge w:val="restart"/>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vMerge w:val="restart"/>
          </w:tcPr>
          <w:p>
            <w:pPr>
              <w:ind w:left="40"/>
              <w:spacing w:after="0"/>
              <w:rPr>
                <w:sz w:val="20"/>
                <w:szCs w:val="20"/>
                <w:color w:val="auto"/>
              </w:rPr>
            </w:pPr>
            <w:r>
              <w:rPr>
                <w:rFonts w:ascii="Arial" w:cs="Arial" w:eastAsia="Arial" w:hAnsi="Arial"/>
                <w:sz w:val="16"/>
                <w:szCs w:val="16"/>
                <w:color w:val="auto"/>
              </w:rPr>
              <w:t>Provides recommendations to the Compensation and Human Capital Committee regarding executive incentive and benefit</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plan designs and strategies, other than with respect to the CEO. These recommendations include financial and non-</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financial operational goals and criteria for our annual and long-term incentive plans.</w:t>
            </w:r>
          </w:p>
        </w:tc>
        <w:tc>
          <w:tcPr>
            <w:tcW w:w="0" w:type="dxa"/>
            <w:vAlign w:val="bottom"/>
          </w:tcPr>
          <w:p>
            <w:pPr>
              <w:spacing w:after="0"/>
              <w:rPr>
                <w:sz w:val="1"/>
                <w:szCs w:val="1"/>
                <w:color w:val="auto"/>
              </w:rPr>
            </w:pPr>
          </w:p>
        </w:tc>
      </w:tr>
      <w:tr>
        <w:trPr>
          <w:trHeight w:val="96"/>
        </w:trPr>
        <w:tc>
          <w:tcPr>
            <w:tcW w:w="2020" w:type="dxa"/>
            <w:vAlign w:val="bottom"/>
            <w:tcBorders>
              <w:bottom w:val="single" w:sz="8" w:color="BCBEC0"/>
            </w:tcBorders>
          </w:tcPr>
          <w:p>
            <w:pPr>
              <w:spacing w:after="0"/>
              <w:rPr>
                <w:sz w:val="8"/>
                <w:szCs w:val="8"/>
                <w:color w:val="auto"/>
              </w:rPr>
            </w:pPr>
          </w:p>
        </w:tc>
        <w:tc>
          <w:tcPr>
            <w:tcW w:w="260" w:type="dxa"/>
            <w:vAlign w:val="bottom"/>
            <w:tcBorders>
              <w:bottom w:val="single" w:sz="8" w:color="BCBEC0"/>
            </w:tcBorders>
          </w:tcPr>
          <w:p>
            <w:pPr>
              <w:spacing w:after="0"/>
              <w:rPr>
                <w:sz w:val="8"/>
                <w:szCs w:val="8"/>
                <w:color w:val="auto"/>
              </w:rPr>
            </w:pPr>
          </w:p>
        </w:tc>
        <w:tc>
          <w:tcPr>
            <w:tcW w:w="896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9280"/>
        <w:spacing w:after="0"/>
        <w:tabs>
          <w:tab w:leader="none" w:pos="1104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Use of Competitive Data</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Compensation and Human Capital Committee uses three separate peer groups to set our performance targets and evaluate performance, measure TSR and benchmark executive compensation practices, respectively. The three peer groups are outlined below.</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PERFORMANCE PEER GROUP: SET PERFORMANCE TARGETS AND EVALUATE PERFORMANCE</w:t>
      </w:r>
    </w:p>
    <w:p>
      <w:pPr>
        <w:spacing w:after="0" w:line="11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Compensation and Human Capital Committee uses the Performance Peer Group and LRSP data for the purpose of setting performance targets and evaluating performance of our AIP and LTIP. The LRSP is our five-year strategic operating and financial plan. The Performance Peer Group encompasses the largest global defense companies by government revenues within the aerospace and defense market space. In 2023, the Compensation and Human Capital Committee used the peer group data from The Boeing Company, General Dynamics Corporation, L3Harris Technologies, Inc., Lockheed Martin Corporation and RTX Corporation for the purpose of setting performance targets.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TSR PEER GROUP: 2021-2023 LONG-TERM INCENTIVE AWARDS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Earned awards from the 2021-2023 performance cycle were contingent on our ranking compared to the S&amp;P Industrials and the following TSR peer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29378D"/>
          </w:tcPr>
          <w:p>
            <w:pPr>
              <w:spacing w:after="0"/>
              <w:rPr>
                <w:sz w:val="17"/>
                <w:szCs w:val="17"/>
                <w:color w:val="auto"/>
              </w:rPr>
            </w:pPr>
          </w:p>
        </w:tc>
        <w:tc>
          <w:tcPr>
            <w:tcW w:w="3860" w:type="dxa"/>
            <w:vAlign w:val="bottom"/>
            <w:shd w:val="clear" w:color="auto" w:fill="29378D"/>
          </w:tcPr>
          <w:p>
            <w:pPr>
              <w:ind w:left="1840"/>
              <w:spacing w:after="0"/>
              <w:rPr>
                <w:sz w:val="20"/>
                <w:szCs w:val="20"/>
                <w:color w:val="auto"/>
              </w:rPr>
            </w:pPr>
            <w:r>
              <w:rPr>
                <w:rFonts w:ascii="Arial" w:cs="Arial" w:eastAsia="Arial" w:hAnsi="Arial"/>
                <w:sz w:val="13"/>
                <w:szCs w:val="13"/>
                <w:b w:val="1"/>
                <w:bCs w:val="1"/>
                <w:color w:val="FFFFFF"/>
              </w:rPr>
              <w:t>2021 TSR PEER GROUP</w:t>
            </w:r>
          </w:p>
        </w:tc>
        <w:tc>
          <w:tcPr>
            <w:tcW w:w="4300" w:type="dxa"/>
            <w:vAlign w:val="bottom"/>
            <w:shd w:val="clear" w:color="auto" w:fill="29378D"/>
          </w:tcPr>
          <w:p>
            <w:pPr>
              <w:spacing w:after="0"/>
              <w:rPr>
                <w:sz w:val="17"/>
                <w:szCs w:val="17"/>
                <w:color w:val="auto"/>
              </w:rPr>
            </w:pPr>
          </w:p>
        </w:tc>
      </w:tr>
      <w:tr>
        <w:trPr>
          <w:trHeight w:val="296"/>
        </w:trPr>
        <w:tc>
          <w:tcPr>
            <w:tcW w:w="3080" w:type="dxa"/>
            <w:vAlign w:val="bottom"/>
          </w:tcPr>
          <w:p>
            <w:pPr>
              <w:ind w:left="20"/>
              <w:spacing w:after="0"/>
              <w:rPr>
                <w:sz w:val="20"/>
                <w:szCs w:val="20"/>
                <w:color w:val="auto"/>
              </w:rPr>
            </w:pPr>
            <w:r>
              <w:rPr>
                <w:rFonts w:ascii="Arial" w:cs="Arial" w:eastAsia="Arial" w:hAnsi="Arial"/>
                <w:sz w:val="16"/>
                <w:szCs w:val="16"/>
                <w:color w:val="auto"/>
              </w:rPr>
              <w:t>BAE Systems</w:t>
            </w:r>
          </w:p>
        </w:tc>
        <w:tc>
          <w:tcPr>
            <w:tcW w:w="3860" w:type="dxa"/>
            <w:vAlign w:val="bottom"/>
          </w:tcPr>
          <w:p>
            <w:pPr>
              <w:ind w:left="680"/>
              <w:spacing w:after="0"/>
              <w:rPr>
                <w:sz w:val="20"/>
                <w:szCs w:val="20"/>
                <w:color w:val="auto"/>
              </w:rPr>
            </w:pPr>
            <w:r>
              <w:rPr>
                <w:rFonts w:ascii="Arial" w:cs="Arial" w:eastAsia="Arial" w:hAnsi="Arial"/>
                <w:sz w:val="16"/>
                <w:szCs w:val="16"/>
                <w:color w:val="auto"/>
              </w:rPr>
              <w:t>L3Harris Technologies, Inc.</w:t>
            </w:r>
          </w:p>
        </w:tc>
        <w:tc>
          <w:tcPr>
            <w:tcW w:w="4300" w:type="dxa"/>
            <w:vAlign w:val="bottom"/>
          </w:tcPr>
          <w:p>
            <w:pPr>
              <w:ind w:left="560"/>
              <w:spacing w:after="0"/>
              <w:rPr>
                <w:sz w:val="20"/>
                <w:szCs w:val="20"/>
                <w:color w:val="auto"/>
              </w:rPr>
            </w:pPr>
            <w:r>
              <w:rPr>
                <w:rFonts w:ascii="Arial" w:cs="Arial" w:eastAsia="Arial" w:hAnsi="Arial"/>
                <w:sz w:val="16"/>
                <w:szCs w:val="16"/>
                <w:color w:val="auto"/>
              </w:rPr>
              <w:t>RTX Corporation</w:t>
            </w:r>
            <w:r>
              <w:rPr>
                <w:rFonts w:ascii="Arial" w:cs="Arial" w:eastAsia="Arial" w:hAnsi="Arial"/>
                <w:sz w:val="21"/>
                <w:szCs w:val="21"/>
                <w:color w:val="auto"/>
                <w:vertAlign w:val="superscript"/>
              </w:rPr>
              <w:t>(1)</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3860" w:type="dxa"/>
            <w:vAlign w:val="bottom"/>
          </w:tcPr>
          <w:p>
            <w:pPr>
              <w:ind w:left="680"/>
              <w:spacing w:after="0"/>
              <w:rPr>
                <w:sz w:val="20"/>
                <w:szCs w:val="20"/>
                <w:color w:val="auto"/>
              </w:rPr>
            </w:pPr>
            <w:r>
              <w:rPr>
                <w:rFonts w:ascii="Arial" w:cs="Arial" w:eastAsia="Arial" w:hAnsi="Arial"/>
                <w:sz w:val="16"/>
                <w:szCs w:val="16"/>
                <w:color w:val="auto"/>
              </w:rPr>
              <w:t>Leidos Holdings, Inc.</w:t>
            </w:r>
          </w:p>
        </w:tc>
        <w:tc>
          <w:tcPr>
            <w:tcW w:w="4300" w:type="dxa"/>
            <w:vAlign w:val="bottom"/>
          </w:tcPr>
          <w:p>
            <w:pPr>
              <w:ind w:left="560"/>
              <w:spacing w:after="0"/>
              <w:rPr>
                <w:sz w:val="20"/>
                <w:szCs w:val="20"/>
                <w:color w:val="auto"/>
              </w:rPr>
            </w:pPr>
            <w:r>
              <w:rPr>
                <w:rFonts w:ascii="Arial" w:cs="Arial" w:eastAsia="Arial" w:hAnsi="Arial"/>
                <w:sz w:val="16"/>
                <w:szCs w:val="16"/>
                <w:color w:val="auto"/>
              </w:rPr>
              <w:t>Thales Group</w:t>
            </w:r>
          </w:p>
        </w:tc>
      </w:tr>
      <w:tr>
        <w:trPr>
          <w:trHeight w:val="243"/>
        </w:trPr>
        <w:tc>
          <w:tcPr>
            <w:tcW w:w="308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3860" w:type="dxa"/>
            <w:vAlign w:val="bottom"/>
          </w:tcPr>
          <w:p>
            <w:pPr>
              <w:ind w:left="680"/>
              <w:spacing w:after="0"/>
              <w:rPr>
                <w:sz w:val="20"/>
                <w:szCs w:val="20"/>
                <w:color w:val="auto"/>
              </w:rPr>
            </w:pPr>
            <w:r>
              <w:rPr>
                <w:rFonts w:ascii="Arial" w:cs="Arial" w:eastAsia="Arial" w:hAnsi="Arial"/>
                <w:sz w:val="16"/>
                <w:szCs w:val="16"/>
                <w:color w:val="auto"/>
              </w:rPr>
              <w:t>Leonardo</w:t>
            </w:r>
          </w:p>
        </w:tc>
        <w:tc>
          <w:tcPr>
            <w:tcW w:w="430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6"/>
                <w:szCs w:val="16"/>
                <w:color w:val="auto"/>
              </w:rPr>
              <w:t>Huntington Ingalls Industries, Inc.</w:t>
            </w:r>
          </w:p>
        </w:tc>
        <w:tc>
          <w:tcPr>
            <w:tcW w:w="3860" w:type="dxa"/>
            <w:vAlign w:val="bottom"/>
          </w:tcPr>
          <w:p>
            <w:pPr>
              <w:ind w:left="680"/>
              <w:spacing w:after="0"/>
              <w:rPr>
                <w:sz w:val="20"/>
                <w:szCs w:val="20"/>
                <w:color w:val="auto"/>
              </w:rPr>
            </w:pPr>
            <w:r>
              <w:rPr>
                <w:rFonts w:ascii="Arial" w:cs="Arial" w:eastAsia="Arial" w:hAnsi="Arial"/>
                <w:sz w:val="16"/>
                <w:szCs w:val="16"/>
                <w:color w:val="auto"/>
              </w:rPr>
              <w:t>Lockheed Martin Corporation</w:t>
            </w:r>
          </w:p>
        </w:tc>
        <w:tc>
          <w:tcPr>
            <w:tcW w:w="4300" w:type="dxa"/>
            <w:vAlign w:val="bottom"/>
          </w:tcPr>
          <w:p>
            <w:pPr>
              <w:spacing w:after="0"/>
              <w:rPr>
                <w:sz w:val="21"/>
                <w:szCs w:val="21"/>
                <w:color w:val="auto"/>
              </w:rPr>
            </w:pPr>
          </w:p>
        </w:tc>
      </w:tr>
      <w:tr>
        <w:trPr>
          <w:trHeight w:val="83"/>
        </w:trPr>
        <w:tc>
          <w:tcPr>
            <w:tcW w:w="3080" w:type="dxa"/>
            <w:vAlign w:val="bottom"/>
            <w:tcBorders>
              <w:bottom w:val="single" w:sz="8" w:color="BCBEC0"/>
            </w:tcBorders>
          </w:tcPr>
          <w:p>
            <w:pPr>
              <w:spacing w:after="0"/>
              <w:rPr>
                <w:sz w:val="7"/>
                <w:szCs w:val="7"/>
                <w:color w:val="auto"/>
              </w:rPr>
            </w:pPr>
          </w:p>
        </w:tc>
        <w:tc>
          <w:tcPr>
            <w:tcW w:w="3860" w:type="dxa"/>
            <w:vAlign w:val="bottom"/>
            <w:tcBorders>
              <w:bottom w:val="single" w:sz="8" w:color="BCBEC0"/>
            </w:tcBorders>
          </w:tcPr>
          <w:p>
            <w:pPr>
              <w:spacing w:after="0"/>
              <w:rPr>
                <w:sz w:val="7"/>
                <w:szCs w:val="7"/>
                <w:color w:val="auto"/>
              </w:rPr>
            </w:pPr>
          </w:p>
        </w:tc>
        <w:tc>
          <w:tcPr>
            <w:tcW w:w="4300" w:type="dxa"/>
            <w:vAlign w:val="bottom"/>
            <w:tcBorders>
              <w:bottom w:val="single" w:sz="8" w:color="BCBEC0"/>
            </w:tcBorders>
          </w:tcPr>
          <w:p>
            <w:pPr>
              <w:spacing w:after="0"/>
              <w:rPr>
                <w:sz w:val="7"/>
                <w:szCs w:val="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Raytheon Technologies Corporation was renamed to RTX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TARGET INDUSTRY PEER GROUP: BENCHMARK EXECUTIVE COMPENSATION PRACTICES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 Compensation and Human Capital Committee benchmarks our executive compensation levels and practices against the TIPG of 22 companies, including a subset containing six direct peers. Prior to the beginning of the year, the Compensation and Human Capital Committee sets the TIPG used to benchmark compensation for the following year. To identify peer companies for compensation benchmarking purposes, the Independent Compensation Consultant employs an objective criteria-based methodology where:</w:t>
      </w:r>
    </w:p>
    <w:p>
      <w:pPr>
        <w:spacing w:after="0" w:line="60" w:lineRule="exact"/>
        <w:rPr>
          <w:sz w:val="20"/>
          <w:szCs w:val="20"/>
          <w:color w:val="auto"/>
        </w:rPr>
      </w:pPr>
    </w:p>
    <w:p>
      <w:pPr>
        <w:ind w:left="140" w:hanging="132"/>
        <w:spacing w:after="0"/>
        <w:tabs>
          <w:tab w:leader="none" w:pos="140" w:val="left"/>
        </w:tabs>
        <w:numPr>
          <w:ilvl w:val="0"/>
          <w:numId w:val="116"/>
        </w:numPr>
        <w:rPr>
          <w:rFonts w:ascii="Arial" w:cs="Arial" w:eastAsia="Arial" w:hAnsi="Arial"/>
          <w:sz w:val="16"/>
          <w:szCs w:val="16"/>
          <w:b w:val="1"/>
          <w:bCs w:val="1"/>
          <w:color w:val="29378D"/>
        </w:rPr>
      </w:pPr>
      <w:r>
        <w:rPr>
          <w:rFonts w:ascii="Arial" w:cs="Arial" w:eastAsia="Arial" w:hAnsi="Arial"/>
          <w:sz w:val="16"/>
          <w:szCs w:val="16"/>
          <w:color w:val="auto"/>
        </w:rPr>
        <w:t>the peer company was identified as part of a subset of direct peers with strong alignment to the aerospace and defense industry;</w:t>
      </w:r>
    </w:p>
    <w:p>
      <w:pPr>
        <w:spacing w:after="0" w:line="86" w:lineRule="exact"/>
        <w:rPr>
          <w:rFonts w:ascii="Arial" w:cs="Arial" w:eastAsia="Arial" w:hAnsi="Arial"/>
          <w:sz w:val="16"/>
          <w:szCs w:val="16"/>
          <w:b w:val="1"/>
          <w:bCs w:val="1"/>
          <w:color w:val="29378D"/>
        </w:rPr>
      </w:pPr>
    </w:p>
    <w:p>
      <w:pPr>
        <w:ind w:left="200" w:right="120" w:hanging="192"/>
        <w:spacing w:after="0" w:line="286" w:lineRule="auto"/>
        <w:tabs>
          <w:tab w:leader="none" w:pos="157" w:val="left"/>
        </w:tabs>
        <w:numPr>
          <w:ilvl w:val="0"/>
          <w:numId w:val="116"/>
        </w:numPr>
        <w:rPr>
          <w:rFonts w:ascii="Arial" w:cs="Arial" w:eastAsia="Arial" w:hAnsi="Arial"/>
          <w:sz w:val="16"/>
          <w:szCs w:val="16"/>
          <w:color w:val="29378D"/>
        </w:rPr>
      </w:pPr>
      <w:r>
        <w:rPr>
          <w:rFonts w:ascii="Arial" w:cs="Arial" w:eastAsia="Arial" w:hAnsi="Arial"/>
          <w:sz w:val="16"/>
          <w:szCs w:val="16"/>
          <w:color w:val="auto"/>
        </w:rPr>
        <w:t>the peer company was identified as a Global Industry Classification Standard company, with a prioritization of technology, manufacturing and engineering companies;</w:t>
      </w:r>
    </w:p>
    <w:p>
      <w:pPr>
        <w:spacing w:after="0" w:line="20" w:lineRule="exact"/>
        <w:rPr>
          <w:rFonts w:ascii="Arial" w:cs="Arial" w:eastAsia="Arial" w:hAnsi="Arial"/>
          <w:sz w:val="16"/>
          <w:szCs w:val="16"/>
          <w:color w:val="29378D"/>
        </w:rPr>
      </w:pPr>
    </w:p>
    <w:p>
      <w:pPr>
        <w:ind w:left="140" w:hanging="132"/>
        <w:spacing w:after="0"/>
        <w:tabs>
          <w:tab w:leader="none" w:pos="140" w:val="left"/>
        </w:tabs>
        <w:numPr>
          <w:ilvl w:val="0"/>
          <w:numId w:val="116"/>
        </w:numPr>
        <w:rPr>
          <w:rFonts w:ascii="Arial" w:cs="Arial" w:eastAsia="Arial" w:hAnsi="Arial"/>
          <w:sz w:val="16"/>
          <w:szCs w:val="16"/>
          <w:b w:val="1"/>
          <w:bCs w:val="1"/>
          <w:color w:val="29378D"/>
        </w:rPr>
      </w:pPr>
      <w:r>
        <w:rPr>
          <w:rFonts w:ascii="Arial" w:cs="Arial" w:eastAsia="Arial" w:hAnsi="Arial"/>
          <w:sz w:val="16"/>
          <w:szCs w:val="16"/>
          <w:color w:val="auto"/>
        </w:rPr>
        <w:t>revenues, total employees and market capitalization of the peer company were broadly similar to those of the Company; and</w:t>
      </w:r>
    </w:p>
    <w:p>
      <w:pPr>
        <w:spacing w:after="0" w:line="72"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16"/>
        </w:numPr>
        <w:rPr>
          <w:rFonts w:ascii="Arial" w:cs="Arial" w:eastAsia="Arial" w:hAnsi="Arial"/>
          <w:sz w:val="16"/>
          <w:szCs w:val="16"/>
          <w:color w:val="29378D"/>
        </w:rPr>
      </w:pPr>
      <w:r>
        <w:rPr>
          <w:rFonts w:ascii="Arial" w:cs="Arial" w:eastAsia="Arial" w:hAnsi="Arial"/>
          <w:sz w:val="16"/>
          <w:szCs w:val="16"/>
          <w:color w:val="auto"/>
        </w:rPr>
        <w:t>the peer company participated in an annual third party compensation study.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494"/>
        <w:spacing w:after="0"/>
        <w:tabs>
          <w:tab w:leader="none" w:pos="520" w:val="left"/>
        </w:tabs>
        <w:numPr>
          <w:ilvl w:val="0"/>
          <w:numId w:val="11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 Compensation and Human Capital Committee reviews the TIPG annually with the Independent Compensation Consultant. The companies that comprise the 2022 TIPG used for 2023 compensation decisions are listed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shd w:val="clear" w:color="auto" w:fill="29378D"/>
          </w:tcPr>
          <w:p>
            <w:pPr>
              <w:spacing w:after="0"/>
              <w:rPr>
                <w:sz w:val="17"/>
                <w:szCs w:val="17"/>
                <w:color w:val="auto"/>
              </w:rPr>
            </w:pPr>
          </w:p>
        </w:tc>
        <w:tc>
          <w:tcPr>
            <w:tcW w:w="6680" w:type="dxa"/>
            <w:vAlign w:val="bottom"/>
            <w:shd w:val="clear" w:color="auto" w:fill="29378D"/>
          </w:tcPr>
          <w:p>
            <w:pPr>
              <w:ind w:left="640"/>
              <w:spacing w:after="0"/>
              <w:rPr>
                <w:sz w:val="20"/>
                <w:szCs w:val="20"/>
                <w:color w:val="auto"/>
              </w:rPr>
            </w:pPr>
            <w:r>
              <w:rPr>
                <w:rFonts w:ascii="Arial" w:cs="Arial" w:eastAsia="Arial" w:hAnsi="Arial"/>
                <w:sz w:val="13"/>
                <w:szCs w:val="13"/>
                <w:b w:val="1"/>
                <w:bCs w:val="1"/>
                <w:color w:val="FFFFFF"/>
              </w:rPr>
              <w:t>2022 TARGET INDUSTRY PEER GROUP</w:t>
            </w:r>
          </w:p>
        </w:tc>
      </w:tr>
      <w:tr>
        <w:trPr>
          <w:trHeight w:val="296"/>
        </w:trPr>
        <w:tc>
          <w:tcPr>
            <w:tcW w:w="3040" w:type="dxa"/>
            <w:vAlign w:val="bottom"/>
          </w:tcPr>
          <w:p>
            <w:pPr>
              <w:ind w:left="20"/>
              <w:spacing w:after="0"/>
              <w:rPr>
                <w:sz w:val="20"/>
                <w:szCs w:val="20"/>
                <w:color w:val="auto"/>
              </w:rPr>
            </w:pPr>
            <w:r>
              <w:rPr>
                <w:rFonts w:ascii="Arial" w:cs="Arial" w:eastAsia="Arial" w:hAnsi="Arial"/>
                <w:sz w:val="16"/>
                <w:szCs w:val="16"/>
                <w:color w:val="auto"/>
              </w:rPr>
              <w:t>3M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Honeywell International, Inc.</w:t>
            </w:r>
            <w:r>
              <w:rPr>
                <w:rFonts w:ascii="Arial" w:cs="Arial" w:eastAsia="Arial" w:hAnsi="Arial"/>
                <w:sz w:val="21"/>
                <w:szCs w:val="21"/>
                <w:color w:val="auto"/>
                <w:vertAlign w:val="superscript"/>
              </w:rPr>
              <w:t>(1)</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The Boeing Company</w:t>
            </w:r>
            <w:r>
              <w:rPr>
                <w:rFonts w:ascii="Arial" w:cs="Arial" w:eastAsia="Arial" w:hAnsi="Arial"/>
                <w:sz w:val="21"/>
                <w:szCs w:val="21"/>
                <w:color w:val="auto"/>
                <w:vertAlign w:val="superscript"/>
              </w:rPr>
              <w:t>(1)</w:t>
            </w:r>
          </w:p>
        </w:tc>
        <w:tc>
          <w:tcPr>
            <w:tcW w:w="6680" w:type="dxa"/>
            <w:vAlign w:val="bottom"/>
          </w:tcPr>
          <w:p>
            <w:pPr>
              <w:ind w:left="1840"/>
              <w:spacing w:after="0"/>
              <w:rPr>
                <w:sz w:val="20"/>
                <w:szCs w:val="20"/>
                <w:color w:val="auto"/>
              </w:rPr>
            </w:pPr>
            <w:r>
              <w:rPr>
                <w:rFonts w:ascii="Arial" w:cs="Arial" w:eastAsia="Arial" w:hAnsi="Arial"/>
                <w:sz w:val="16"/>
                <w:szCs w:val="16"/>
                <w:color w:val="auto"/>
              </w:rPr>
              <w:t>Johnson Controls International plc</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Caterpillar, Inc.</w:t>
            </w:r>
          </w:p>
        </w:tc>
        <w:tc>
          <w:tcPr>
            <w:tcW w:w="6680" w:type="dxa"/>
            <w:vAlign w:val="bottom"/>
          </w:tcPr>
          <w:p>
            <w:pPr>
              <w:ind w:left="1840"/>
              <w:spacing w:after="0"/>
              <w:rPr>
                <w:sz w:val="20"/>
                <w:szCs w:val="20"/>
                <w:color w:val="auto"/>
              </w:rPr>
            </w:pPr>
            <w:r>
              <w:rPr>
                <w:rFonts w:ascii="Arial" w:cs="Arial" w:eastAsia="Arial" w:hAnsi="Arial"/>
                <w:sz w:val="16"/>
                <w:szCs w:val="16"/>
                <w:color w:val="auto"/>
              </w:rPr>
              <w:t>L3Harris Technologies, Inc.</w:t>
            </w:r>
            <w:r>
              <w:rPr>
                <w:rFonts w:ascii="Arial" w:cs="Arial" w:eastAsia="Arial" w:hAnsi="Arial"/>
                <w:sz w:val="21"/>
                <w:szCs w:val="21"/>
                <w:color w:val="auto"/>
                <w:vertAlign w:val="superscript"/>
              </w:rPr>
              <w:t>(1)</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Deere &amp;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Lockheed Martin Corporation</w:t>
            </w:r>
            <w:r>
              <w:rPr>
                <w:rFonts w:ascii="Arial" w:cs="Arial" w:eastAsia="Arial" w:hAnsi="Arial"/>
                <w:sz w:val="21"/>
                <w:szCs w:val="21"/>
                <w:color w:val="auto"/>
                <w:vertAlign w:val="superscript"/>
              </w:rPr>
              <w:t>(1)</w:t>
            </w: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Eaton Corporation plc</w:t>
            </w:r>
          </w:p>
        </w:tc>
        <w:tc>
          <w:tcPr>
            <w:tcW w:w="6680" w:type="dxa"/>
            <w:vAlign w:val="bottom"/>
          </w:tcPr>
          <w:p>
            <w:pPr>
              <w:ind w:left="1840"/>
              <w:spacing w:after="0"/>
              <w:rPr>
                <w:sz w:val="20"/>
                <w:szCs w:val="20"/>
                <w:color w:val="auto"/>
              </w:rPr>
            </w:pPr>
            <w:r>
              <w:rPr>
                <w:rFonts w:ascii="Arial" w:cs="Arial" w:eastAsia="Arial" w:hAnsi="Arial"/>
                <w:sz w:val="16"/>
                <w:szCs w:val="16"/>
                <w:color w:val="auto"/>
              </w:rPr>
              <w:t>Parker-Hannifin Corporation</w:t>
            </w:r>
          </w:p>
        </w:tc>
      </w:tr>
      <w:tr>
        <w:trPr>
          <w:trHeight w:val="314"/>
        </w:trPr>
        <w:tc>
          <w:tcPr>
            <w:tcW w:w="3040" w:type="dxa"/>
            <w:vAlign w:val="bottom"/>
          </w:tcPr>
          <w:p>
            <w:pPr>
              <w:ind w:left="20"/>
              <w:spacing w:after="0"/>
              <w:rPr>
                <w:sz w:val="20"/>
                <w:szCs w:val="20"/>
                <w:color w:val="auto"/>
              </w:rPr>
            </w:pPr>
            <w:r>
              <w:rPr>
                <w:rFonts w:ascii="Arial" w:cs="Arial" w:eastAsia="Arial" w:hAnsi="Arial"/>
                <w:sz w:val="16"/>
                <w:szCs w:val="16"/>
                <w:color w:val="auto"/>
              </w:rPr>
              <w:t>Emerson Electric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RTX Corporation</w:t>
            </w:r>
            <w:r>
              <w:rPr>
                <w:rFonts w:ascii="Arial" w:cs="Arial" w:eastAsia="Arial" w:hAnsi="Arial"/>
                <w:sz w:val="21"/>
                <w:szCs w:val="21"/>
                <w:color w:val="auto"/>
                <w:vertAlign w:val="superscript"/>
              </w:rPr>
              <w:t>(1)(2)</w:t>
            </w:r>
          </w:p>
        </w:tc>
      </w:tr>
      <w:tr>
        <w:trPr>
          <w:trHeight w:val="365"/>
        </w:trPr>
        <w:tc>
          <w:tcPr>
            <w:tcW w:w="3040" w:type="dxa"/>
            <w:vAlign w:val="bottom"/>
          </w:tcPr>
          <w:p>
            <w:pPr>
              <w:ind w:left="20"/>
              <w:spacing w:after="0"/>
              <w:rPr>
                <w:sz w:val="20"/>
                <w:szCs w:val="20"/>
                <w:color w:val="auto"/>
              </w:rPr>
            </w:pPr>
            <w:r>
              <w:rPr>
                <w:rFonts w:ascii="Arial" w:cs="Arial" w:eastAsia="Arial" w:hAnsi="Arial"/>
                <w:sz w:val="16"/>
                <w:szCs w:val="16"/>
                <w:color w:val="auto"/>
              </w:rPr>
              <w:t>General Dynamics Corporation</w:t>
            </w:r>
            <w:r>
              <w:rPr>
                <w:rFonts w:ascii="Arial" w:cs="Arial" w:eastAsia="Arial" w:hAnsi="Arial"/>
                <w:sz w:val="21"/>
                <w:szCs w:val="21"/>
                <w:color w:val="auto"/>
                <w:vertAlign w:val="superscript"/>
              </w:rPr>
              <w:t>(1)</w:t>
            </w:r>
          </w:p>
        </w:tc>
        <w:tc>
          <w:tcPr>
            <w:tcW w:w="6680" w:type="dxa"/>
            <w:vAlign w:val="bottom"/>
          </w:tcPr>
          <w:p>
            <w:pPr>
              <w:ind w:left="1840"/>
              <w:spacing w:after="0"/>
              <w:rPr>
                <w:sz w:val="20"/>
                <w:szCs w:val="20"/>
                <w:color w:val="auto"/>
              </w:rPr>
            </w:pPr>
            <w:r>
              <w:rPr>
                <w:rFonts w:ascii="Arial" w:cs="Arial" w:eastAsia="Arial" w:hAnsi="Arial"/>
                <w:sz w:val="16"/>
                <w:szCs w:val="16"/>
                <w:color w:val="auto"/>
              </w:rPr>
              <w:t>Textron,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722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3"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Included in the subset of six direct peers also used for compensation benchmarking.</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Raytheon Technologies Corporation was renamed to RTX Corporation.</w:t>
      </w:r>
    </w:p>
    <w:p>
      <w:pPr>
        <w:spacing w:after="0" w:line="30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2023 we increased the TIPG from 14 to 22 companies to broaden the comparative labor market and create a more robust peer group, with added companies meeting five or more key financial metrics such as revenue, market cap and enterprise value. One company, Textron, Inc., was removed as a peer and nine were added, including: Abbott Laboratories, Applied Materials, Inc., Cisco Systems, Inc., Cummins Inc., Illinois Tool Works Inc., Lam Research Corporation, Medtronic plc, PACCAR Inc and QUALCOMM Incorporated.</w:t>
      </w:r>
    </w:p>
    <w:p>
      <w:pPr>
        <w:spacing w:after="0" w:line="6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It is the Company’s pay philosophy to provide the CEO a compensation package that includes competitive elements of base salary and target variable pay relative to the TIPG and the direct six peers noted in the table above.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Another element of the Company’s pay philosophy is to tie a significant portion of the CEO’s pay to performance. As a result, the CEO’s actual compensation may differ from the market median based on the Company’s actual performance.</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determining the base salary and target variable pay elements for the other NEOs, the Compensation and Human Capital Committee establishes the TIPG median as the benchmark. The Compensation and Human Capital Committee also considers several factors in determining their compensation, including executive compensation levels and practices of the TIPG,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Key Components of Our Executive Compensation Programs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Base Salary</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and Human Capital Committee believes that competitive base salaries are necessary to attract and retain our NEOs. Base salaries are evaluated each year and determined by level of responsibility, competitive market pay assessment and individual performance. The table below reflects each NEO's annual base salary as an elected officer, effective as of December 31 for the respective year.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4"/>
                <w:szCs w:val="14"/>
                <w:color w:val="auto"/>
              </w:rPr>
            </w:pPr>
          </w:p>
        </w:tc>
        <w:tc>
          <w:tcPr>
            <w:tcW w:w="1440" w:type="dxa"/>
            <w:vAlign w:val="bottom"/>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Increase to</w:t>
            </w:r>
          </w:p>
        </w:tc>
      </w:tr>
      <w:tr>
        <w:trPr>
          <w:trHeight w:val="185"/>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3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Base Salary</w:t>
            </w:r>
          </w:p>
        </w:tc>
        <w:tc>
          <w:tcPr>
            <w:tcW w:w="380" w:type="dxa"/>
            <w:vAlign w:val="bottom"/>
          </w:tcPr>
          <w:p>
            <w:pPr>
              <w:spacing w:after="0"/>
              <w:rPr>
                <w:sz w:val="16"/>
                <w:szCs w:val="16"/>
                <w:color w:val="auto"/>
              </w:rPr>
            </w:pPr>
          </w:p>
        </w:tc>
        <w:tc>
          <w:tcPr>
            <w:tcW w:w="1440" w:type="dxa"/>
            <w:vAlign w:val="bottom"/>
          </w:tcPr>
          <w:p>
            <w:pPr>
              <w:jc w:val="right"/>
              <w:ind w:right="304"/>
              <w:spacing w:after="0"/>
              <w:rPr>
                <w:sz w:val="20"/>
                <w:szCs w:val="20"/>
                <w:color w:val="auto"/>
              </w:rPr>
            </w:pPr>
            <w:r>
              <w:rPr>
                <w:rFonts w:ascii="Arial" w:cs="Arial" w:eastAsia="Arial" w:hAnsi="Arial"/>
                <w:sz w:val="13"/>
                <w:szCs w:val="13"/>
                <w:b w:val="1"/>
                <w:bCs w:val="1"/>
                <w:color w:val="auto"/>
              </w:rPr>
              <w:t>Base Salary</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Base Salary</w:t>
            </w:r>
          </w:p>
        </w:tc>
      </w:tr>
      <w:tr>
        <w:trPr>
          <w:trHeight w:val="22"/>
        </w:trPr>
        <w:tc>
          <w:tcPr>
            <w:tcW w:w="4180" w:type="dxa"/>
            <w:vAlign w:val="bottom"/>
            <w:tcBorders>
              <w:bottom w:val="single" w:sz="8" w:color="29378D"/>
            </w:tcBorders>
          </w:tcPr>
          <w:p>
            <w:pPr>
              <w:spacing w:after="0" w:line="20" w:lineRule="exact"/>
              <w:rPr>
                <w:sz w:val="1"/>
                <w:szCs w:val="1"/>
                <w:color w:val="auto"/>
              </w:rPr>
            </w:pPr>
          </w:p>
        </w:tc>
        <w:tc>
          <w:tcPr>
            <w:tcW w:w="3100" w:type="dxa"/>
            <w:vAlign w:val="bottom"/>
            <w:tcBorders>
              <w:bottom w:val="single" w:sz="8" w:color="29378D"/>
            </w:tcBorders>
          </w:tcPr>
          <w:p>
            <w:pPr>
              <w:spacing w:after="0" w:line="20" w:lineRule="exact"/>
              <w:rPr>
                <w:sz w:val="1"/>
                <w:szCs w:val="1"/>
                <w:color w:val="auto"/>
              </w:rPr>
            </w:pPr>
          </w:p>
        </w:tc>
        <w:tc>
          <w:tcPr>
            <w:tcW w:w="10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1440" w:type="dxa"/>
            <w:vAlign w:val="bottom"/>
            <w:tcBorders>
              <w:bottom w:val="single" w:sz="8" w:color="29378D"/>
            </w:tcBorders>
          </w:tcPr>
          <w:p>
            <w:pPr>
              <w:spacing w:after="0" w:line="20" w:lineRule="exact"/>
              <w:rPr>
                <w:sz w:val="1"/>
                <w:szCs w:val="1"/>
                <w:color w:val="auto"/>
              </w:rPr>
            </w:pPr>
          </w:p>
        </w:tc>
        <w:tc>
          <w:tcPr>
            <w:tcW w:w="1100" w:type="dxa"/>
            <w:vAlign w:val="bottom"/>
            <w:tcBorders>
              <w:bottom w:val="single" w:sz="8" w:color="29378D"/>
            </w:tcBorders>
          </w:tcPr>
          <w:p>
            <w:pPr>
              <w:spacing w:after="0" w:line="20" w:lineRule="exact"/>
              <w:rPr>
                <w:sz w:val="1"/>
                <w:szCs w:val="1"/>
                <w:color w:val="auto"/>
              </w:rPr>
            </w:pPr>
          </w:p>
        </w:tc>
      </w:tr>
      <w:tr>
        <w:trPr>
          <w:trHeight w:val="242"/>
        </w:trPr>
        <w:tc>
          <w:tcPr>
            <w:tcW w:w="4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3100" w:type="dxa"/>
            <w:vAlign w:val="bottom"/>
            <w:tcBorders>
              <w:bottom w:val="single" w:sz="8" w:color="E1E0EF"/>
            </w:tcBorders>
            <w:shd w:val="clear" w:color="auto" w:fill="E1E0E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E0EF"/>
            </w:tcBorders>
            <w:shd w:val="clear" w:color="auto" w:fill="E1E0EF"/>
          </w:tcPr>
          <w:p>
            <w:pPr>
              <w:jc w:val="right"/>
              <w:ind w:right="4"/>
              <w:spacing w:after="0"/>
              <w:rPr>
                <w:sz w:val="20"/>
                <w:szCs w:val="20"/>
                <w:color w:val="auto"/>
              </w:rPr>
            </w:pPr>
            <w:r>
              <w:rPr>
                <w:rFonts w:ascii="Arial" w:cs="Arial" w:eastAsia="Arial" w:hAnsi="Arial"/>
                <w:sz w:val="16"/>
                <w:szCs w:val="16"/>
                <w:color w:val="auto"/>
              </w:rPr>
              <w:t>1,750,000</w:t>
            </w:r>
          </w:p>
        </w:tc>
        <w:tc>
          <w:tcPr>
            <w:tcW w:w="380" w:type="dxa"/>
            <w:vAlign w:val="bottom"/>
            <w:tcBorders>
              <w:bottom w:val="single" w:sz="8" w:color="E1E0EF"/>
            </w:tcBorders>
            <w:shd w:val="clear" w:color="auto" w:fill="E1E0EF"/>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1E0EF"/>
            </w:tcBorders>
            <w:shd w:val="clear" w:color="auto" w:fill="E1E0EF"/>
          </w:tcPr>
          <w:p>
            <w:pPr>
              <w:jc w:val="right"/>
              <w:ind w:right="364"/>
              <w:spacing w:after="0"/>
              <w:rPr>
                <w:sz w:val="20"/>
                <w:szCs w:val="20"/>
                <w:color w:val="auto"/>
              </w:rPr>
            </w:pPr>
            <w:r>
              <w:rPr>
                <w:rFonts w:ascii="Arial" w:cs="Arial" w:eastAsia="Arial" w:hAnsi="Arial"/>
                <w:sz w:val="16"/>
                <w:szCs w:val="16"/>
                <w:color w:val="auto"/>
              </w:rPr>
              <w:t>1,650,000</w:t>
            </w:r>
          </w:p>
        </w:tc>
        <w:tc>
          <w:tcPr>
            <w:tcW w:w="110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4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3100" w:type="dxa"/>
            <w:vAlign w:val="bottom"/>
            <w:tcBorders>
              <w:top w:val="single" w:sz="8" w:color="BCBEC0"/>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855,000</w:t>
            </w:r>
          </w:p>
        </w:tc>
        <w:tc>
          <w:tcPr>
            <w:tcW w:w="380" w:type="dxa"/>
            <w:vAlign w:val="bottom"/>
            <w:tcBorders>
              <w:top w:val="single" w:sz="8" w:color="BCBEC0"/>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BCBEC0"/>
            </w:tcBorders>
          </w:tcPr>
          <w:p>
            <w:pPr>
              <w:jc w:val="right"/>
              <w:ind w:right="344"/>
              <w:spacing w:after="0"/>
              <w:rPr>
                <w:sz w:val="20"/>
                <w:szCs w:val="20"/>
                <w:color w:val="auto"/>
              </w:rPr>
            </w:pPr>
            <w:r>
              <w:rPr>
                <w:rFonts w:ascii="Arial" w:cs="Arial" w:eastAsia="Arial" w:hAnsi="Arial"/>
                <w:sz w:val="16"/>
                <w:szCs w:val="16"/>
                <w:color w:val="auto"/>
              </w:rPr>
              <w:t>824,000</w:t>
            </w:r>
          </w:p>
        </w:tc>
        <w:tc>
          <w:tcPr>
            <w:tcW w:w="110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4180" w:type="dxa"/>
            <w:vAlign w:val="bottom"/>
            <w:tcBorders>
              <w:bottom w:val="single" w:sz="8" w:color="BCBEC0"/>
            </w:tcBorders>
          </w:tcPr>
          <w:p>
            <w:pPr>
              <w:spacing w:after="0" w:line="20" w:lineRule="exact"/>
              <w:rPr>
                <w:sz w:val="1"/>
                <w:szCs w:val="1"/>
                <w:color w:val="auto"/>
              </w:rPr>
            </w:pPr>
          </w:p>
        </w:tc>
        <w:tc>
          <w:tcPr>
            <w:tcW w:w="310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38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r>
      <w:tr>
        <w:trPr>
          <w:trHeight w:val="242"/>
        </w:trPr>
        <w:tc>
          <w:tcPr>
            <w:tcW w:w="4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3100" w:type="dxa"/>
            <w:vAlign w:val="bottom"/>
            <w:tcBorders>
              <w:bottom w:val="single" w:sz="8" w:color="E1E0EF"/>
            </w:tcBorders>
            <w:shd w:val="clear" w:color="auto" w:fill="E1E0E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E0EF"/>
            </w:tcBorders>
            <w:shd w:val="clear" w:color="auto" w:fill="E1E0EF"/>
          </w:tcPr>
          <w:p>
            <w:pPr>
              <w:jc w:val="right"/>
              <w:ind w:right="4"/>
              <w:spacing w:after="0"/>
              <w:rPr>
                <w:sz w:val="20"/>
                <w:szCs w:val="20"/>
                <w:color w:val="auto"/>
              </w:rPr>
            </w:pPr>
            <w:r>
              <w:rPr>
                <w:rFonts w:ascii="Arial" w:cs="Arial" w:eastAsia="Arial" w:hAnsi="Arial"/>
                <w:sz w:val="16"/>
                <w:szCs w:val="16"/>
                <w:color w:val="auto"/>
              </w:rPr>
              <w:t>855,000</w:t>
            </w:r>
          </w:p>
        </w:tc>
        <w:tc>
          <w:tcPr>
            <w:tcW w:w="380" w:type="dxa"/>
            <w:vAlign w:val="bottom"/>
            <w:tcBorders>
              <w:bottom w:val="single" w:sz="8" w:color="E1E0EF"/>
            </w:tcBorders>
            <w:shd w:val="clear" w:color="auto" w:fill="E1E0EF"/>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1E0EF"/>
            </w:tcBorders>
            <w:shd w:val="clear" w:color="auto" w:fill="E1E0EF"/>
          </w:tcPr>
          <w:p>
            <w:pPr>
              <w:jc w:val="right"/>
              <w:ind w:right="344"/>
              <w:spacing w:after="0"/>
              <w:rPr>
                <w:sz w:val="20"/>
                <w:szCs w:val="20"/>
                <w:color w:val="auto"/>
              </w:rPr>
            </w:pPr>
            <w:r>
              <w:rPr>
                <w:rFonts w:ascii="Arial" w:cs="Arial" w:eastAsia="Arial" w:hAnsi="Arial"/>
                <w:sz w:val="16"/>
                <w:szCs w:val="16"/>
                <w:color w:val="auto"/>
              </w:rPr>
              <w:t>855,000</w:t>
            </w:r>
          </w:p>
        </w:tc>
        <w:tc>
          <w:tcPr>
            <w:tcW w:w="110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4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3100" w:type="dxa"/>
            <w:vAlign w:val="bottom"/>
            <w:tcBorders>
              <w:top w:val="single" w:sz="8" w:color="BCBEC0"/>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790,000</w:t>
            </w:r>
          </w:p>
        </w:tc>
        <w:tc>
          <w:tcPr>
            <w:tcW w:w="380" w:type="dxa"/>
            <w:vAlign w:val="bottom"/>
            <w:tcBorders>
              <w:top w:val="single" w:sz="8" w:color="BCBEC0"/>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BCBEC0"/>
            </w:tcBorders>
          </w:tcPr>
          <w:p>
            <w:pPr>
              <w:jc w:val="right"/>
              <w:ind w:right="344"/>
              <w:spacing w:after="0"/>
              <w:rPr>
                <w:sz w:val="20"/>
                <w:szCs w:val="20"/>
                <w:color w:val="auto"/>
              </w:rPr>
            </w:pPr>
            <w:r>
              <w:rPr>
                <w:rFonts w:ascii="Arial" w:cs="Arial" w:eastAsia="Arial" w:hAnsi="Arial"/>
                <w:sz w:val="16"/>
                <w:szCs w:val="16"/>
                <w:color w:val="auto"/>
              </w:rPr>
              <w:t>765,000</w:t>
            </w:r>
          </w:p>
        </w:tc>
        <w:tc>
          <w:tcPr>
            <w:tcW w:w="110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4180" w:type="dxa"/>
            <w:vAlign w:val="bottom"/>
            <w:tcBorders>
              <w:bottom w:val="single" w:sz="8" w:color="BCBEC0"/>
            </w:tcBorders>
          </w:tcPr>
          <w:p>
            <w:pPr>
              <w:spacing w:after="0" w:line="20" w:lineRule="exact"/>
              <w:rPr>
                <w:sz w:val="1"/>
                <w:szCs w:val="1"/>
                <w:color w:val="auto"/>
              </w:rPr>
            </w:pPr>
          </w:p>
        </w:tc>
        <w:tc>
          <w:tcPr>
            <w:tcW w:w="310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38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r>
      <w:tr>
        <w:trPr>
          <w:trHeight w:val="217"/>
        </w:trPr>
        <w:tc>
          <w:tcPr>
            <w:tcW w:w="41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3100" w:type="dxa"/>
            <w:vAlign w:val="bottom"/>
            <w:tcBorders>
              <w:bottom w:val="single" w:sz="8" w:color="DFDEEE"/>
            </w:tcBorders>
            <w:shd w:val="clear" w:color="auto" w:fill="DFDEEE"/>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750,000</w:t>
            </w:r>
          </w:p>
        </w:tc>
        <w:tc>
          <w:tcPr>
            <w:tcW w:w="380" w:type="dxa"/>
            <w:vAlign w:val="bottom"/>
            <w:tcBorders>
              <w:bottom w:val="single" w:sz="8" w:color="DFDEEE"/>
            </w:tcBorders>
            <w:shd w:val="clear" w:color="auto" w:fill="DFDEEE"/>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DFDEEE"/>
            </w:tcBorders>
            <w:shd w:val="clear" w:color="auto" w:fill="DFDEEE"/>
          </w:tcPr>
          <w:p>
            <w:pPr>
              <w:jc w:val="right"/>
              <w:ind w:right="344"/>
              <w:spacing w:after="0"/>
              <w:rPr>
                <w:sz w:val="20"/>
                <w:szCs w:val="20"/>
                <w:color w:val="auto"/>
              </w:rPr>
            </w:pPr>
            <w:r>
              <w:rPr>
                <w:rFonts w:ascii="Arial" w:cs="Arial" w:eastAsia="Arial" w:hAnsi="Arial"/>
                <w:sz w:val="16"/>
                <w:szCs w:val="16"/>
                <w:color w:val="auto"/>
              </w:rPr>
              <w:t>750,000</w:t>
            </w:r>
          </w:p>
        </w:tc>
        <w:tc>
          <w:tcPr>
            <w:tcW w:w="11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0 %</w:t>
            </w:r>
          </w:p>
        </w:tc>
      </w:tr>
      <w:tr>
        <w:trPr>
          <w:trHeight w:val="20"/>
        </w:trPr>
        <w:tc>
          <w:tcPr>
            <w:tcW w:w="4180" w:type="dxa"/>
            <w:vAlign w:val="bottom"/>
            <w:shd w:val="clear" w:color="auto" w:fill="BCBEC0"/>
          </w:tcPr>
          <w:p>
            <w:pPr>
              <w:spacing w:after="0" w:line="20" w:lineRule="exact"/>
              <w:rPr>
                <w:sz w:val="1"/>
                <w:szCs w:val="1"/>
                <w:color w:val="auto"/>
              </w:rPr>
            </w:pPr>
          </w:p>
        </w:tc>
        <w:tc>
          <w:tcPr>
            <w:tcW w:w="3100" w:type="dxa"/>
            <w:vAlign w:val="bottom"/>
            <w:shd w:val="clear" w:color="auto" w:fill="BCBEC0"/>
          </w:tcPr>
          <w:p>
            <w:pPr>
              <w:spacing w:after="0" w:line="20" w:lineRule="exact"/>
              <w:rPr>
                <w:sz w:val="1"/>
                <w:szCs w:val="1"/>
                <w:color w:val="auto"/>
              </w:rPr>
            </w:pPr>
          </w:p>
        </w:tc>
        <w:tc>
          <w:tcPr>
            <w:tcW w:w="1040" w:type="dxa"/>
            <w:vAlign w:val="bottom"/>
            <w:shd w:val="clear" w:color="auto" w:fill="BCBEC0"/>
          </w:tcPr>
          <w:p>
            <w:pPr>
              <w:spacing w:after="0" w:line="20" w:lineRule="exact"/>
              <w:rPr>
                <w:sz w:val="1"/>
                <w:szCs w:val="1"/>
                <w:color w:val="auto"/>
              </w:rPr>
            </w:pPr>
          </w:p>
        </w:tc>
        <w:tc>
          <w:tcPr>
            <w:tcW w:w="380" w:type="dxa"/>
            <w:vAlign w:val="bottom"/>
            <w:shd w:val="clear" w:color="auto" w:fill="BCBEC0"/>
          </w:tcPr>
          <w:p>
            <w:pPr>
              <w:spacing w:after="0" w:line="20" w:lineRule="exact"/>
              <w:rPr>
                <w:sz w:val="1"/>
                <w:szCs w:val="1"/>
                <w:color w:val="auto"/>
              </w:rPr>
            </w:pPr>
          </w:p>
        </w:tc>
        <w:tc>
          <w:tcPr>
            <w:tcW w:w="1440" w:type="dxa"/>
            <w:vAlign w:val="bottom"/>
            <w:shd w:val="clear" w:color="auto" w:fill="BCBEC0"/>
          </w:tcPr>
          <w:p>
            <w:pPr>
              <w:spacing w:after="0" w:line="20" w:lineRule="exact"/>
              <w:rPr>
                <w:sz w:val="1"/>
                <w:szCs w:val="1"/>
                <w:color w:val="auto"/>
              </w:rPr>
            </w:pPr>
          </w:p>
        </w:tc>
        <w:tc>
          <w:tcPr>
            <w:tcW w:w="1100" w:type="dxa"/>
            <w:vAlign w:val="bottom"/>
            <w:shd w:val="clear" w:color="auto" w:fill="BCBEC0"/>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Annual Incentive Compensation</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NEOs are eligible to receive annual cash bonuses under our 2006 Annual Incentive Plan and Incentive Compensation Plan, as amended and restated effective January 1, 2022 (AIP). We use a balance of financial and non-financial performance metrics aligned with our long-term strategy.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TARGET AWARD LEVELS FOR 2023 AIP</w:t>
      </w:r>
    </w:p>
    <w:p>
      <w:pPr>
        <w:spacing w:after="0" w:line="11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Compensation and Human Capital Committee approves the annual incentive compensation target payout percentage for each NEO, other than the CEO. For the CEO, such percentage is approved by the independent directors of the Board.</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target incentive award (target bonus) represents a percentage of each NEO’s base salary. Following the completion of the fiscal year, the target bonus is used by the Compensation and Human Capital Committee, together with its assessment of Company performance against established performance criteria, to determine the final bonus award amount.</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2023 target bonus for the CEO is 185% of base salary. The 2023 target bonus for the CFO is 105% of base salary and is 100% of base salary for each of the other NEOs.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880" w:type="dxa"/>
            <w:vAlign w:val="bottom"/>
          </w:tcPr>
          <w:p>
            <w:pPr>
              <w:jc w:val="right"/>
              <w:spacing w:after="0"/>
              <w:rPr>
                <w:sz w:val="20"/>
                <w:szCs w:val="20"/>
                <w:color w:val="auto"/>
              </w:rPr>
            </w:pPr>
            <w:r>
              <w:rPr>
                <w:rFonts w:ascii="Arial" w:cs="Arial" w:eastAsia="Arial" w:hAnsi="Arial"/>
                <w:sz w:val="13"/>
                <w:szCs w:val="13"/>
                <w:b w:val="1"/>
                <w:bCs w:val="1"/>
                <w:color w:val="auto"/>
              </w:rPr>
              <w:t>Target Bonus (% of Base Salary)</w:t>
            </w:r>
          </w:p>
        </w:tc>
      </w:tr>
      <w:tr>
        <w:trPr>
          <w:trHeight w:val="22"/>
        </w:trPr>
        <w:tc>
          <w:tcPr>
            <w:tcW w:w="5360" w:type="dxa"/>
            <w:vAlign w:val="bottom"/>
            <w:tcBorders>
              <w:bottom w:val="single" w:sz="8" w:color="29378D"/>
            </w:tcBorders>
          </w:tcPr>
          <w:p>
            <w:pPr>
              <w:spacing w:after="0" w:line="20" w:lineRule="exact"/>
              <w:rPr>
                <w:sz w:val="1"/>
                <w:szCs w:val="1"/>
                <w:color w:val="auto"/>
              </w:rPr>
            </w:pPr>
          </w:p>
        </w:tc>
        <w:tc>
          <w:tcPr>
            <w:tcW w:w="5880" w:type="dxa"/>
            <w:vAlign w:val="bottom"/>
            <w:tcBorders>
              <w:bottom w:val="single" w:sz="8" w:color="29378D"/>
            </w:tcBorders>
          </w:tcPr>
          <w:p>
            <w:pPr>
              <w:spacing w:after="0" w:line="20" w:lineRule="exact"/>
              <w:rPr>
                <w:sz w:val="1"/>
                <w:szCs w:val="1"/>
                <w:color w:val="auto"/>
              </w:rPr>
            </w:pPr>
          </w:p>
        </w:tc>
      </w:tr>
      <w:tr>
        <w:trPr>
          <w:trHeight w:val="241"/>
        </w:trPr>
        <w:tc>
          <w:tcPr>
            <w:tcW w:w="536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58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185 %</w:t>
            </w:r>
          </w:p>
        </w:tc>
      </w:tr>
      <w:tr>
        <w:trPr>
          <w:trHeight w:val="216"/>
        </w:trPr>
        <w:tc>
          <w:tcPr>
            <w:tcW w:w="536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58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105 %</w:t>
            </w:r>
          </w:p>
        </w:tc>
      </w:tr>
      <w:tr>
        <w:trPr>
          <w:trHeight w:val="20"/>
        </w:trPr>
        <w:tc>
          <w:tcPr>
            <w:tcW w:w="5360" w:type="dxa"/>
            <w:vAlign w:val="bottom"/>
            <w:tcBorders>
              <w:bottom w:val="single" w:sz="8" w:color="BCBEC0"/>
            </w:tcBorders>
          </w:tcPr>
          <w:p>
            <w:pPr>
              <w:spacing w:after="0" w:line="20" w:lineRule="exact"/>
              <w:rPr>
                <w:sz w:val="1"/>
                <w:szCs w:val="1"/>
                <w:color w:val="auto"/>
              </w:rPr>
            </w:pPr>
          </w:p>
        </w:tc>
        <w:tc>
          <w:tcPr>
            <w:tcW w:w="5880" w:type="dxa"/>
            <w:vAlign w:val="bottom"/>
            <w:tcBorders>
              <w:bottom w:val="single" w:sz="8" w:color="BCBEC0"/>
            </w:tcBorders>
          </w:tcPr>
          <w:p>
            <w:pPr>
              <w:spacing w:after="0" w:line="20" w:lineRule="exact"/>
              <w:rPr>
                <w:sz w:val="1"/>
                <w:szCs w:val="1"/>
                <w:color w:val="auto"/>
              </w:rPr>
            </w:pPr>
          </w:p>
        </w:tc>
      </w:tr>
      <w:tr>
        <w:trPr>
          <w:trHeight w:val="241"/>
        </w:trPr>
        <w:tc>
          <w:tcPr>
            <w:tcW w:w="536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58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536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58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360" w:type="dxa"/>
            <w:vAlign w:val="bottom"/>
            <w:tcBorders>
              <w:bottom w:val="single" w:sz="8" w:color="BCBEC0"/>
            </w:tcBorders>
          </w:tcPr>
          <w:p>
            <w:pPr>
              <w:spacing w:after="0" w:line="20" w:lineRule="exact"/>
              <w:rPr>
                <w:sz w:val="1"/>
                <w:szCs w:val="1"/>
                <w:color w:val="auto"/>
              </w:rPr>
            </w:pPr>
          </w:p>
        </w:tc>
        <w:tc>
          <w:tcPr>
            <w:tcW w:w="5880" w:type="dxa"/>
            <w:vAlign w:val="bottom"/>
            <w:tcBorders>
              <w:bottom w:val="single" w:sz="8" w:color="BCBEC0"/>
            </w:tcBorders>
          </w:tcPr>
          <w:p>
            <w:pPr>
              <w:spacing w:after="0" w:line="20" w:lineRule="exact"/>
              <w:rPr>
                <w:sz w:val="1"/>
                <w:szCs w:val="1"/>
                <w:color w:val="auto"/>
              </w:rPr>
            </w:pPr>
          </w:p>
        </w:tc>
      </w:tr>
      <w:tr>
        <w:trPr>
          <w:trHeight w:val="217"/>
        </w:trPr>
        <w:tc>
          <w:tcPr>
            <w:tcW w:w="53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58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360" w:type="dxa"/>
            <w:vAlign w:val="bottom"/>
            <w:shd w:val="clear" w:color="auto" w:fill="BCBEC0"/>
          </w:tcPr>
          <w:p>
            <w:pPr>
              <w:spacing w:after="0" w:line="20" w:lineRule="exact"/>
              <w:rPr>
                <w:sz w:val="1"/>
                <w:szCs w:val="1"/>
                <w:color w:val="auto"/>
              </w:rPr>
            </w:pPr>
          </w:p>
        </w:tc>
        <w:tc>
          <w:tcPr>
            <w:tcW w:w="5880" w:type="dxa"/>
            <w:vAlign w:val="bottom"/>
            <w:shd w:val="clear" w:color="auto" w:fill="BCBEC0"/>
          </w:tcPr>
          <w:p>
            <w:pPr>
              <w:spacing w:after="0" w:line="20" w:lineRule="exact"/>
              <w:rPr>
                <w:sz w:val="1"/>
                <w:szCs w:val="1"/>
                <w:color w:val="auto"/>
              </w:rPr>
            </w:pPr>
          </w:p>
        </w:tc>
      </w:tr>
    </w:tbl>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Final bonus awards for each NEO were determined by multiplying the Northrop Grumman Company Performance Factor (CPF) by the target bonus. The CPF can range from 0% to 200%.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hanging="494"/>
        <w:spacing w:after="0"/>
        <w:tabs>
          <w:tab w:leader="none" w:pos="520" w:val="left"/>
        </w:tabs>
        <w:numPr>
          <w:ilvl w:val="0"/>
          <w:numId w:val="11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ANNUAL INCENTIVE FORMULA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100965</wp:posOffset>
            </wp:positionV>
            <wp:extent cx="2005965" cy="3429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005965" cy="342900"/>
                    </a:xfrm>
                    <a:prstGeom prst="rect">
                      <a:avLst/>
                    </a:prstGeom>
                    <a:noFill/>
                  </pic:spPr>
                </pic:pic>
              </a:graphicData>
            </a:graphic>
          </wp:anchor>
        </w:drawing>
      </w:r>
    </w:p>
    <w:p>
      <w:pPr>
        <w:spacing w:after="0" w:line="31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263525</wp:posOffset>
            </wp:positionV>
            <wp:extent cx="2005965" cy="3429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005965" cy="3429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TARGET 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263525</wp:posOffset>
            </wp:positionV>
            <wp:extent cx="2134235" cy="3429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34235" cy="34290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-215900</wp:posOffset>
            </wp:positionV>
            <wp:extent cx="2134235" cy="3429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342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COMPANY PERFORMANCE FACTOR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786765</wp:posOffset>
            </wp:positionV>
            <wp:extent cx="2408555" cy="3429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08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9378D"/>
        </w:rPr>
        <w:t>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263525</wp:posOffset>
            </wp:positionV>
            <wp:extent cx="2408555" cy="3429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08555" cy="3429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FINAL BONUS AWARD</w:t>
      </w:r>
    </w:p>
    <w:p>
      <w:pPr>
        <w:spacing w:after="0" w:line="324" w:lineRule="exact"/>
        <w:rPr>
          <w:sz w:val="20"/>
          <w:szCs w:val="20"/>
          <w:color w:val="auto"/>
        </w:rPr>
      </w:pPr>
    </w:p>
    <w:p>
      <w:pPr>
        <w:sectPr>
          <w:pgSz w:w="11900" w:h="16838" w:orient="portrait"/>
          <w:cols w:equalWidth="0" w:num="5">
            <w:col w:w="2940" w:space="380"/>
            <w:col w:w="140" w:space="500"/>
            <w:col w:w="2680" w:space="520"/>
            <w:col w:w="720" w:space="720"/>
            <w:col w:w="2640"/>
          </w:cols>
          <w:pgMar w:left="320" w:top="238" w:right="339" w:bottom="1440" w:gutter="0" w:footer="0" w:header="0"/>
        </w:sectPr>
      </w:pPr>
    </w:p>
    <w:p>
      <w:pPr>
        <w:spacing w:after="0" w:line="50" w:lineRule="exact"/>
        <w:rPr>
          <w:sz w:val="20"/>
          <w:szCs w:val="20"/>
          <w:color w:val="auto"/>
        </w:rPr>
      </w:pPr>
    </w:p>
    <w:p>
      <w:pPr>
        <w:jc w:val="both"/>
        <w:ind w:left="260" w:right="180" w:hanging="252"/>
        <w:spacing w:after="0" w:line="286" w:lineRule="auto"/>
        <w:tabs>
          <w:tab w:leader="none" w:pos="21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The CPF, which is capped at 200%, is comprised of two components, the Company Metrics Score (financial and non-financial), which can range from </w:t>
      </w:r>
      <w:r>
        <w:rPr>
          <w:rFonts w:ascii="Arial" w:cs="Arial" w:eastAsia="Arial" w:hAnsi="Arial"/>
          <w:sz w:val="16"/>
          <w:szCs w:val="16"/>
          <w:color w:val="auto"/>
        </w:rPr>
        <w:t>0% to 200%,</w:t>
      </w:r>
      <w:r>
        <w:rPr>
          <w:rFonts w:ascii="Arial" w:cs="Arial" w:eastAsia="Arial" w:hAnsi="Arial"/>
          <w:sz w:val="14"/>
          <w:szCs w:val="14"/>
          <w:color w:val="auto"/>
        </w:rPr>
        <w:t xml:space="preserve"> and a Strategic and Operational Assessment, which can range from 80% to 120%. The Strategic and Operational Assessment allows for broader application of business results not formally reflected in the core financial or non-financial metrics.</w:t>
      </w:r>
    </w:p>
    <w:p>
      <w:pPr>
        <w:spacing w:after="0" w:line="4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Annual performance evaluations are conducted by the CEO for each NEO, other than the CEO, and reviewed with the Compensation and Human Capital Committee. The Compensation and Human Capital Committee considers this performance information as well as the comparison to market data.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AIP METRICS</w:t>
      </w:r>
    </w:p>
    <w:p>
      <w:pPr>
        <w:spacing w:after="0" w:line="11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For the 2023 AIP, we used a mix of financial and non-financial metrics to measure our performance, consistent with 2022. Our AIP metrics reflect our commitment to investing for and achieving long-term profitable growth, maintaining alignment with shareholders’ interests, and incentivizing top performance against our industry peers.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29378D"/>
        </w:rPr>
        <w:t>Financial Metrics (90% Weight)</w:t>
      </w:r>
    </w:p>
    <w:p>
      <w:pPr>
        <w:spacing w:after="0" w:line="11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For 2023, the Compensation and Human Capital Committee determined the financial metrics would be Adjusted Cash Flow from Operations*and Adjusted Segment Operating Income* Growth, each weighted at 35% and Pension-Adjusted OM Rate* weighted at 20%. The financial metrics are defined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Financial Metrics</w:t>
            </w:r>
          </w:p>
        </w:tc>
        <w:tc>
          <w:tcPr>
            <w:tcW w:w="4080" w:type="dxa"/>
            <w:vAlign w:val="bottom"/>
          </w:tcPr>
          <w:p>
            <w:pPr>
              <w:ind w:left="1580"/>
              <w:spacing w:after="0"/>
              <w:rPr>
                <w:sz w:val="20"/>
                <w:szCs w:val="20"/>
                <w:color w:val="auto"/>
              </w:rPr>
            </w:pPr>
            <w:r>
              <w:rPr>
                <w:rFonts w:ascii="Arial" w:cs="Arial" w:eastAsia="Arial" w:hAnsi="Arial"/>
                <w:sz w:val="13"/>
                <w:szCs w:val="13"/>
                <w:b w:val="1"/>
                <w:bCs w:val="1"/>
                <w:color w:val="auto"/>
              </w:rPr>
              <w:t>How Calculated</w:t>
            </w:r>
          </w:p>
        </w:tc>
        <w:tc>
          <w:tcPr>
            <w:tcW w:w="4540" w:type="dxa"/>
            <w:vAlign w:val="bottom"/>
          </w:tcPr>
          <w:p>
            <w:pPr>
              <w:ind w:left="1980"/>
              <w:spacing w:after="0"/>
              <w:rPr>
                <w:sz w:val="20"/>
                <w:szCs w:val="20"/>
                <w:color w:val="auto"/>
              </w:rPr>
            </w:pPr>
            <w:r>
              <w:rPr>
                <w:rFonts w:ascii="Arial" w:cs="Arial" w:eastAsia="Arial" w:hAnsi="Arial"/>
                <w:sz w:val="13"/>
                <w:szCs w:val="13"/>
                <w:b w:val="1"/>
                <w:bCs w:val="1"/>
                <w:color w:val="auto"/>
              </w:rPr>
              <w:t>Rationale</w:t>
            </w:r>
          </w:p>
        </w:tc>
      </w:tr>
      <w:tr>
        <w:trPr>
          <w:trHeight w:val="72"/>
        </w:trPr>
        <w:tc>
          <w:tcPr>
            <w:tcW w:w="2620" w:type="dxa"/>
            <w:vAlign w:val="bottom"/>
            <w:tcBorders>
              <w:bottom w:val="single" w:sz="8" w:color="BCBEC0"/>
            </w:tcBorders>
          </w:tcPr>
          <w:p>
            <w:pPr>
              <w:spacing w:after="0"/>
              <w:rPr>
                <w:sz w:val="6"/>
                <w:szCs w:val="6"/>
                <w:color w:val="auto"/>
              </w:rPr>
            </w:pPr>
          </w:p>
        </w:tc>
        <w:tc>
          <w:tcPr>
            <w:tcW w:w="4080" w:type="dxa"/>
            <w:vAlign w:val="bottom"/>
            <w:tcBorders>
              <w:bottom w:val="single" w:sz="8" w:color="BCBEC0"/>
            </w:tcBorders>
          </w:tcPr>
          <w:p>
            <w:pPr>
              <w:spacing w:after="0"/>
              <w:rPr>
                <w:sz w:val="6"/>
                <w:szCs w:val="6"/>
                <w:color w:val="auto"/>
              </w:rPr>
            </w:pPr>
          </w:p>
        </w:tc>
        <w:tc>
          <w:tcPr>
            <w:tcW w:w="4540" w:type="dxa"/>
            <w:vAlign w:val="bottom"/>
            <w:tcBorders>
              <w:bottom w:val="single" w:sz="8" w:color="BCBEC0"/>
            </w:tcBorders>
          </w:tcPr>
          <w:p>
            <w:pPr>
              <w:spacing w:after="0"/>
              <w:rPr>
                <w:sz w:val="6"/>
                <w:szCs w:val="6"/>
                <w:color w:val="auto"/>
              </w:rPr>
            </w:pPr>
          </w:p>
        </w:tc>
      </w:tr>
      <w:tr>
        <w:trPr>
          <w:trHeight w:val="227"/>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ADJUSTED CASH FLOW FROM</w:t>
            </w:r>
          </w:p>
        </w:tc>
        <w:tc>
          <w:tcPr>
            <w:tcW w:w="40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 including</w:t>
            </w:r>
          </w:p>
        </w:tc>
        <w:tc>
          <w:tcPr>
            <w:tcW w:w="4540" w:type="dxa"/>
            <w:vAlign w:val="bottom"/>
          </w:tcPr>
          <w:p>
            <w:pPr>
              <w:ind w:left="200"/>
              <w:spacing w:after="0"/>
              <w:rPr>
                <w:sz w:val="20"/>
                <w:szCs w:val="20"/>
                <w:color w:val="auto"/>
              </w:rPr>
            </w:pPr>
            <w:r>
              <w:rPr>
                <w:rFonts w:ascii="Arial" w:cs="Arial" w:eastAsia="Arial" w:hAnsi="Arial"/>
                <w:sz w:val="16"/>
                <w:szCs w:val="16"/>
                <w:color w:val="auto"/>
              </w:rPr>
              <w:t>Emphasizes the importance of generating cash for strategy</w:t>
            </w:r>
          </w:p>
        </w:tc>
      </w:tr>
      <w:tr>
        <w:trPr>
          <w:trHeight w:val="211"/>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OPERATIONS* (35%)</w:t>
            </w:r>
          </w:p>
        </w:tc>
        <w:tc>
          <w:tcPr>
            <w:tcW w:w="4080" w:type="dxa"/>
            <w:vAlign w:val="bottom"/>
          </w:tcPr>
          <w:p>
            <w:pPr>
              <w:ind w:left="180"/>
              <w:spacing w:after="0"/>
              <w:rPr>
                <w:sz w:val="20"/>
                <w:szCs w:val="20"/>
                <w:color w:val="auto"/>
              </w:rPr>
            </w:pPr>
            <w:r>
              <w:rPr>
                <w:rFonts w:ascii="Arial" w:cs="Arial" w:eastAsia="Arial" w:hAnsi="Arial"/>
                <w:sz w:val="16"/>
                <w:szCs w:val="16"/>
                <w:color w:val="auto"/>
              </w:rPr>
              <w:t>adjustments as approved by the Compensation and</w:t>
            </w:r>
          </w:p>
        </w:tc>
        <w:tc>
          <w:tcPr>
            <w:tcW w:w="4540" w:type="dxa"/>
            <w:vAlign w:val="bottom"/>
          </w:tcPr>
          <w:p>
            <w:pPr>
              <w:ind w:left="200"/>
              <w:spacing w:after="0"/>
              <w:rPr>
                <w:sz w:val="20"/>
                <w:szCs w:val="20"/>
                <w:color w:val="auto"/>
              </w:rPr>
            </w:pPr>
            <w:r>
              <w:rPr>
                <w:rFonts w:ascii="Arial" w:cs="Arial" w:eastAsia="Arial" w:hAnsi="Arial"/>
                <w:sz w:val="16"/>
                <w:szCs w:val="16"/>
                <w:color w:val="auto"/>
              </w:rPr>
              <w:t>execution. The metric enables management to make capital</w:t>
            </w:r>
          </w:p>
        </w:tc>
      </w:tr>
      <w:tr>
        <w:trPr>
          <w:trHeight w:val="189"/>
        </w:trPr>
        <w:tc>
          <w:tcPr>
            <w:tcW w:w="2620" w:type="dxa"/>
            <w:vAlign w:val="bottom"/>
          </w:tcPr>
          <w:p>
            <w:pPr>
              <w:spacing w:after="0"/>
              <w:rPr>
                <w:sz w:val="16"/>
                <w:szCs w:val="16"/>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Human Capital Committee.</w:t>
            </w:r>
          </w:p>
        </w:tc>
        <w:tc>
          <w:tcPr>
            <w:tcW w:w="4540" w:type="dxa"/>
            <w:vAlign w:val="bottom"/>
          </w:tcPr>
          <w:p>
            <w:pPr>
              <w:ind w:left="200"/>
              <w:spacing w:after="0"/>
              <w:rPr>
                <w:sz w:val="20"/>
                <w:szCs w:val="20"/>
                <w:color w:val="auto"/>
              </w:rPr>
            </w:pPr>
            <w:r>
              <w:rPr>
                <w:rFonts w:ascii="Arial" w:cs="Arial" w:eastAsia="Arial" w:hAnsi="Arial"/>
                <w:sz w:val="16"/>
                <w:szCs w:val="16"/>
                <w:color w:val="auto"/>
              </w:rPr>
              <w:t>investment decisions that support long-term profitable</w:t>
            </w:r>
          </w:p>
        </w:tc>
      </w:tr>
      <w:tr>
        <w:trPr>
          <w:trHeight w:val="215"/>
        </w:trPr>
        <w:tc>
          <w:tcPr>
            <w:tcW w:w="26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6"/>
                <w:szCs w:val="16"/>
                <w:color w:val="auto"/>
              </w:rPr>
              <w:t>growth.</w:t>
            </w:r>
          </w:p>
        </w:tc>
      </w:tr>
      <w:tr>
        <w:trPr>
          <w:trHeight w:val="83"/>
        </w:trPr>
        <w:tc>
          <w:tcPr>
            <w:tcW w:w="2620" w:type="dxa"/>
            <w:vAlign w:val="bottom"/>
            <w:tcBorders>
              <w:bottom w:val="single" w:sz="8" w:color="BCBEC0"/>
            </w:tcBorders>
          </w:tcPr>
          <w:p>
            <w:pPr>
              <w:spacing w:after="0"/>
              <w:rPr>
                <w:sz w:val="7"/>
                <w:szCs w:val="7"/>
                <w:color w:val="auto"/>
              </w:rPr>
            </w:pPr>
          </w:p>
        </w:tc>
        <w:tc>
          <w:tcPr>
            <w:tcW w:w="4080" w:type="dxa"/>
            <w:vAlign w:val="bottom"/>
            <w:tcBorders>
              <w:bottom w:val="single" w:sz="8" w:color="BCBEC0"/>
            </w:tcBorders>
          </w:tcPr>
          <w:p>
            <w:pPr>
              <w:spacing w:after="0"/>
              <w:rPr>
                <w:sz w:val="7"/>
                <w:szCs w:val="7"/>
                <w:color w:val="auto"/>
              </w:rPr>
            </w:pPr>
          </w:p>
        </w:tc>
        <w:tc>
          <w:tcPr>
            <w:tcW w:w="4540" w:type="dxa"/>
            <w:vAlign w:val="bottom"/>
            <w:tcBorders>
              <w:bottom w:val="single" w:sz="8" w:color="BCBEC0"/>
            </w:tcBorders>
          </w:tcPr>
          <w:p>
            <w:pPr>
              <w:spacing w:after="0"/>
              <w:rPr>
                <w:sz w:val="7"/>
                <w:szCs w:val="7"/>
                <w:color w:val="auto"/>
              </w:rPr>
            </w:pPr>
          </w:p>
        </w:tc>
      </w:tr>
      <w:tr>
        <w:trPr>
          <w:trHeight w:val="227"/>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ADJUSTED SEGMENT OPERATING</w:t>
            </w:r>
          </w:p>
        </w:tc>
        <w:tc>
          <w:tcPr>
            <w:tcW w:w="4080" w:type="dxa"/>
            <w:vAlign w:val="bottom"/>
          </w:tcPr>
          <w:p>
            <w:pPr>
              <w:ind w:left="180"/>
              <w:spacing w:after="0"/>
              <w:rPr>
                <w:sz w:val="20"/>
                <w:szCs w:val="20"/>
                <w:color w:val="auto"/>
              </w:rPr>
            </w:pPr>
            <w:r>
              <w:rPr>
                <w:rFonts w:ascii="Arial" w:cs="Arial" w:eastAsia="Arial" w:hAnsi="Arial"/>
                <w:sz w:val="16"/>
                <w:szCs w:val="16"/>
                <w:color w:val="auto"/>
              </w:rPr>
              <w:t>Segment Operating Income* volume, including</w:t>
            </w:r>
          </w:p>
        </w:tc>
        <w:tc>
          <w:tcPr>
            <w:tcW w:w="4540" w:type="dxa"/>
            <w:vAlign w:val="bottom"/>
          </w:tcPr>
          <w:p>
            <w:pPr>
              <w:ind w:left="200"/>
              <w:spacing w:after="0"/>
              <w:rPr>
                <w:sz w:val="20"/>
                <w:szCs w:val="20"/>
                <w:color w:val="auto"/>
              </w:rPr>
            </w:pPr>
            <w:r>
              <w:rPr>
                <w:rFonts w:ascii="Arial" w:cs="Arial" w:eastAsia="Arial" w:hAnsi="Arial"/>
                <w:sz w:val="16"/>
                <w:szCs w:val="16"/>
                <w:color w:val="auto"/>
              </w:rPr>
              <w:t>Incentivizes management to focus on profitable growth and</w:t>
            </w:r>
          </w:p>
        </w:tc>
      </w:tr>
      <w:tr>
        <w:trPr>
          <w:trHeight w:val="211"/>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INCOME* GROWTH (35%)</w:t>
            </w:r>
          </w:p>
        </w:tc>
        <w:tc>
          <w:tcPr>
            <w:tcW w:w="4080" w:type="dxa"/>
            <w:vAlign w:val="bottom"/>
          </w:tcPr>
          <w:p>
            <w:pPr>
              <w:ind w:left="180"/>
              <w:spacing w:after="0"/>
              <w:rPr>
                <w:sz w:val="20"/>
                <w:szCs w:val="20"/>
                <w:color w:val="auto"/>
              </w:rPr>
            </w:pPr>
            <w:r>
              <w:rPr>
                <w:rFonts w:ascii="Arial" w:cs="Arial" w:eastAsia="Arial" w:hAnsi="Arial"/>
                <w:sz w:val="16"/>
                <w:szCs w:val="16"/>
                <w:color w:val="auto"/>
              </w:rPr>
              <w:t>adjustments approved by the Compensation and</w:t>
            </w:r>
          </w:p>
        </w:tc>
        <w:tc>
          <w:tcPr>
            <w:tcW w:w="4540" w:type="dxa"/>
            <w:vAlign w:val="bottom"/>
          </w:tcPr>
          <w:p>
            <w:pPr>
              <w:ind w:left="200"/>
              <w:spacing w:after="0"/>
              <w:rPr>
                <w:sz w:val="20"/>
                <w:szCs w:val="20"/>
                <w:color w:val="auto"/>
              </w:rPr>
            </w:pPr>
            <w:r>
              <w:rPr>
                <w:rFonts w:ascii="Arial" w:cs="Arial" w:eastAsia="Arial" w:hAnsi="Arial"/>
                <w:sz w:val="16"/>
                <w:szCs w:val="16"/>
                <w:color w:val="auto"/>
              </w:rPr>
              <w:t>enables management to evaluate the financial performance</w:t>
            </w:r>
          </w:p>
        </w:tc>
      </w:tr>
      <w:tr>
        <w:trPr>
          <w:trHeight w:val="215"/>
        </w:trPr>
        <w:tc>
          <w:tcPr>
            <w:tcW w:w="26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Human Capital Committee.</w:t>
            </w:r>
          </w:p>
        </w:tc>
        <w:tc>
          <w:tcPr>
            <w:tcW w:w="4540" w:type="dxa"/>
            <w:vAlign w:val="bottom"/>
          </w:tcPr>
          <w:p>
            <w:pPr>
              <w:ind w:left="200"/>
              <w:spacing w:after="0"/>
              <w:rPr>
                <w:sz w:val="20"/>
                <w:szCs w:val="20"/>
                <w:color w:val="auto"/>
              </w:rPr>
            </w:pPr>
            <w:r>
              <w:rPr>
                <w:rFonts w:ascii="Arial" w:cs="Arial" w:eastAsia="Arial" w:hAnsi="Arial"/>
                <w:sz w:val="16"/>
                <w:szCs w:val="16"/>
                <w:color w:val="auto"/>
              </w:rPr>
              <w:t>and operational trends of our sectors.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41" w:lineRule="exact"/>
        <w:rPr>
          <w:sz w:val="20"/>
          <w:szCs w:val="20"/>
          <w:color w:val="auto"/>
        </w:rPr>
      </w:pPr>
    </w:p>
    <w:p>
      <w:pPr>
        <w:ind w:left="20"/>
        <w:spacing w:after="0" w:line="294" w:lineRule="auto"/>
        <w:rPr>
          <w:sz w:val="20"/>
          <w:szCs w:val="20"/>
          <w:color w:val="auto"/>
        </w:rPr>
      </w:pPr>
      <w:r>
        <w:rPr>
          <w:rFonts w:ascii="Arial" w:cs="Arial" w:eastAsia="Arial" w:hAnsi="Arial"/>
          <w:sz w:val="14"/>
          <w:szCs w:val="14"/>
          <w:b w:val="1"/>
          <w:bCs w:val="1"/>
          <w:color w:val="29378D"/>
        </w:rPr>
        <w:t>PENSION-ADJUSTED OM RATE* (20%)</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Operating income before FAS/CAS operating adjustment and excluding unallocated state tax impacts reflected within unallocated corporate income (expense) and other approved adjustments, divided by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32385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Establishes high program performance expectations for the Company and incentivizes sound core operational business strategies.</w:t>
      </w:r>
    </w:p>
    <w:p>
      <w:pPr>
        <w:spacing w:after="0" w:line="583" w:lineRule="exact"/>
        <w:rPr>
          <w:sz w:val="20"/>
          <w:szCs w:val="20"/>
          <w:color w:val="auto"/>
        </w:rPr>
      </w:pPr>
    </w:p>
    <w:p>
      <w:pPr>
        <w:sectPr>
          <w:pgSz w:w="11900" w:h="16838" w:orient="portrait"/>
          <w:cols w:equalWidth="0" w:num="3">
            <w:col w:w="2240" w:space="560"/>
            <w:col w:w="3900" w:space="200"/>
            <w:col w:w="4340"/>
          </w:cols>
          <w:pgMar w:left="320" w:top="23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29378D"/>
        </w:rPr>
        <w:t>Non-Financial Metrics (10% 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addition to the financial goals, various non-financial goals are used to align our objectives with our stakeholders.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2023, we selected the following non-financial metrics:</w:t>
      </w:r>
    </w:p>
    <w:p>
      <w:pPr>
        <w:spacing w:after="0" w:line="16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3"/>
          <w:szCs w:val="13"/>
          <w:b w:val="1"/>
          <w:bCs w:val="1"/>
          <w:color w:val="auto"/>
        </w:rPr>
        <w:t>Non-Financial Metric</w:t>
      </w:r>
      <w:r>
        <w:rPr>
          <w:sz w:val="20"/>
          <w:szCs w:val="20"/>
          <w:color w:val="auto"/>
        </w:rPr>
        <w:tab/>
      </w:r>
      <w:r>
        <w:rPr>
          <w:rFonts w:ascii="Arial" w:cs="Arial" w:eastAsia="Arial" w:hAnsi="Arial"/>
          <w:sz w:val="12"/>
          <w:szCs w:val="12"/>
          <w:b w:val="1"/>
          <w:bCs w:val="1"/>
          <w:color w:val="auto"/>
        </w:rPr>
        <w:t>How Measured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3462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293" w:lineRule="exact"/>
        <w:rPr>
          <w:sz w:val="20"/>
          <w:szCs w:val="20"/>
          <w:color w:val="auto"/>
        </w:rPr>
      </w:pPr>
    </w:p>
    <w:p>
      <w:pPr>
        <w:ind w:left="3960" w:right="460"/>
        <w:spacing w:after="0" w:line="304" w:lineRule="auto"/>
        <w:rPr>
          <w:sz w:val="20"/>
          <w:szCs w:val="20"/>
          <w:color w:val="auto"/>
        </w:rPr>
      </w:pPr>
      <w:r>
        <w:rPr>
          <w:rFonts w:ascii="Arial" w:cs="Arial" w:eastAsia="Arial" w:hAnsi="Arial"/>
          <w:sz w:val="16"/>
          <w:szCs w:val="16"/>
          <w:color w:val="auto"/>
        </w:rPr>
        <w:t>Representation of females and people of color in all management level positions with respect to internal and external benchmarks.</w:t>
      </w:r>
    </w:p>
    <w:p>
      <w:pPr>
        <w:spacing w:after="0" w:line="25"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9378D"/>
        </w:rPr>
        <w:t>People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Perform at or above the Qualtrics Global Norm, with a focus on inclusion and engagement. Results</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are derived from the annual employee survey with a ”percent favorable response” measurement</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EMPLOYEE</w:t>
            </w:r>
          </w:p>
        </w:tc>
        <w:tc>
          <w:tcPr>
            <w:tcW w:w="7640" w:type="dxa"/>
            <w:vAlign w:val="bottom"/>
          </w:tcPr>
          <w:p>
            <w:pPr>
              <w:ind w:left="360"/>
              <w:spacing w:after="0"/>
              <w:rPr>
                <w:sz w:val="20"/>
                <w:szCs w:val="20"/>
                <w:color w:val="auto"/>
              </w:rPr>
            </w:pPr>
            <w:r>
              <w:rPr>
                <w:rFonts w:ascii="Arial" w:cs="Arial" w:eastAsia="Arial" w:hAnsi="Arial"/>
                <w:sz w:val="16"/>
                <w:szCs w:val="16"/>
                <w:color w:val="auto"/>
              </w:rPr>
              <w:t>scale.</w:t>
            </w:r>
          </w:p>
        </w:tc>
        <w:tc>
          <w:tcPr>
            <w:tcW w:w="0" w:type="dxa"/>
            <w:vAlign w:val="bottom"/>
          </w:tcPr>
          <w:p>
            <w:pPr>
              <w:spacing w:after="0"/>
              <w:rPr>
                <w:sz w:val="1"/>
                <w:szCs w:val="1"/>
                <w:color w:val="auto"/>
              </w:rPr>
            </w:pPr>
          </w:p>
        </w:tc>
      </w:tr>
      <w:tr>
        <w:trPr>
          <w:trHeight w:val="74"/>
        </w:trPr>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EXPERIENCE</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Annual progress towards achieving net zero greenhouse gas emissions in the Company's operations</w:t>
            </w:r>
          </w:p>
        </w:tc>
        <w:tc>
          <w:tcPr>
            <w:tcW w:w="0" w:type="dxa"/>
            <w:vAlign w:val="bottom"/>
          </w:tcPr>
          <w:p>
            <w:pPr>
              <w:spacing w:after="0"/>
              <w:rPr>
                <w:sz w:val="1"/>
                <w:szCs w:val="1"/>
                <w:color w:val="auto"/>
              </w:rPr>
            </w:pPr>
          </w:p>
        </w:tc>
      </w:tr>
      <w:tr>
        <w:trPr>
          <w:trHeight w:val="472"/>
        </w:trPr>
        <w:tc>
          <w:tcPr>
            <w:tcW w:w="1880" w:type="dxa"/>
            <w:vAlign w:val="bottom"/>
            <w:vMerge w:val="restart"/>
            <w:shd w:val="clear" w:color="auto" w:fill="E6E7E8"/>
          </w:tcPr>
          <w:p>
            <w:pPr>
              <w:ind w:left="20"/>
              <w:spacing w:after="0"/>
              <w:rPr>
                <w:sz w:val="20"/>
                <w:szCs w:val="20"/>
                <w:color w:val="auto"/>
              </w:rPr>
            </w:pPr>
            <w:r>
              <w:rPr>
                <w:rFonts w:ascii="Arial" w:cs="Arial" w:eastAsia="Arial" w:hAnsi="Arial"/>
                <w:sz w:val="20"/>
                <w:szCs w:val="20"/>
                <w:b w:val="1"/>
                <w:bCs w:val="1"/>
                <w:color w:val="29378D"/>
              </w:rPr>
              <w:t>Environment</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80" w:type="dxa"/>
            <w:vAlign w:val="bottom"/>
            <w:vMerge w:val="continue"/>
            <w:shd w:val="clear" w:color="auto" w:fill="E6E7E8"/>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ENVIRONMENTAL</w:t>
            </w: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by 2035.</w:t>
            </w:r>
          </w:p>
        </w:tc>
        <w:tc>
          <w:tcPr>
            <w:tcW w:w="0" w:type="dxa"/>
            <w:vAlign w:val="bottom"/>
          </w:tcPr>
          <w:p>
            <w:pPr>
              <w:spacing w:after="0"/>
              <w:rPr>
                <w:sz w:val="1"/>
                <w:szCs w:val="1"/>
                <w:color w:val="auto"/>
              </w:rPr>
            </w:pPr>
          </w:p>
        </w:tc>
      </w:tr>
      <w:tr>
        <w:trPr>
          <w:trHeight w:val="72"/>
        </w:trPr>
        <w:tc>
          <w:tcPr>
            <w:tcW w:w="1880" w:type="dxa"/>
            <w:vAlign w:val="bottom"/>
            <w:shd w:val="clear" w:color="auto" w:fill="E6E7E8"/>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80" w:type="dxa"/>
            <w:vAlign w:val="bottom"/>
            <w:shd w:val="clear" w:color="auto" w:fill="E6E7E8"/>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7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E6E7E8"/>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SUSTAINABILITY</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Program-specific objectives, including defect rates, process quality, supplier quality, planning quality</w:t>
            </w:r>
          </w:p>
        </w:tc>
        <w:tc>
          <w:tcPr>
            <w:tcW w:w="0" w:type="dxa"/>
            <w:vAlign w:val="bottom"/>
          </w:tcPr>
          <w:p>
            <w:pPr>
              <w:spacing w:after="0"/>
              <w:rPr>
                <w:sz w:val="1"/>
                <w:szCs w:val="1"/>
                <w:color w:val="auto"/>
              </w:rPr>
            </w:pPr>
          </w:p>
        </w:tc>
      </w:tr>
      <w:tr>
        <w:trPr>
          <w:trHeight w:val="485"/>
        </w:trPr>
        <w:tc>
          <w:tcPr>
            <w:tcW w:w="1880" w:type="dxa"/>
            <w:vAlign w:val="bottom"/>
            <w:shd w:val="clear" w:color="auto" w:fill="E6E7E8"/>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80" w:type="dxa"/>
            <w:vAlign w:val="bottom"/>
            <w:shd w:val="clear" w:color="auto" w:fill="E6E7E8"/>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or other appropriate criteria for program type and phase.</w:t>
            </w:r>
          </w:p>
        </w:tc>
        <w:tc>
          <w:tcPr>
            <w:tcW w:w="0" w:type="dxa"/>
            <w:vAlign w:val="bottom"/>
          </w:tcPr>
          <w:p>
            <w:pPr>
              <w:spacing w:after="0"/>
              <w:rPr>
                <w:sz w:val="1"/>
                <w:szCs w:val="1"/>
                <w:color w:val="auto"/>
              </w:rPr>
            </w:pPr>
          </w:p>
        </w:tc>
      </w:tr>
      <w:tr>
        <w:trPr>
          <w:trHeight w:val="285"/>
        </w:trPr>
        <w:tc>
          <w:tcPr>
            <w:tcW w:w="1880" w:type="dxa"/>
            <w:vAlign w:val="bottom"/>
            <w:tcBorders>
              <w:bottom w:val="single" w:sz="8" w:color="E6E7E8"/>
            </w:tcBorders>
            <w:vMerge w:val="restart"/>
            <w:shd w:val="clear" w:color="auto" w:fill="E6E7E8"/>
          </w:tcPr>
          <w:p>
            <w:pPr>
              <w:ind w:left="20"/>
              <w:spacing w:after="0"/>
              <w:rPr>
                <w:sz w:val="20"/>
                <w:szCs w:val="20"/>
                <w:color w:val="auto"/>
              </w:rPr>
            </w:pPr>
            <w:r>
              <w:rPr>
                <w:rFonts w:ascii="Arial" w:cs="Arial" w:eastAsia="Arial" w:hAnsi="Arial"/>
                <w:sz w:val="20"/>
                <w:szCs w:val="20"/>
                <w:b w:val="1"/>
                <w:bCs w:val="1"/>
                <w:color w:val="29378D"/>
              </w:rPr>
              <w:t>Customer</w:t>
            </w:r>
          </w:p>
        </w:tc>
        <w:tc>
          <w:tcPr>
            <w:tcW w:w="100" w:type="dxa"/>
            <w:vAlign w:val="bottom"/>
          </w:tcPr>
          <w:p>
            <w:pPr>
              <w:spacing w:after="0"/>
              <w:rPr>
                <w:sz w:val="24"/>
                <w:szCs w:val="24"/>
                <w:color w:val="auto"/>
              </w:rPr>
            </w:pPr>
          </w:p>
        </w:tc>
        <w:tc>
          <w:tcPr>
            <w:tcW w:w="16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QUALITY</w:t>
            </w:r>
          </w:p>
        </w:tc>
        <w:tc>
          <w:tcPr>
            <w:tcW w:w="764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880" w:type="dxa"/>
            <w:vAlign w:val="bottom"/>
            <w:vMerge w:val="continue"/>
            <w:shd w:val="clear" w:color="auto" w:fill="E6E7E8"/>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Customer feedback, including customer-generated performance scores, award fees and verbal and</w:t>
            </w:r>
          </w:p>
        </w:tc>
        <w:tc>
          <w:tcPr>
            <w:tcW w:w="0" w:type="dxa"/>
            <w:vAlign w:val="bottom"/>
          </w:tcPr>
          <w:p>
            <w:pPr>
              <w:spacing w:after="0"/>
              <w:rPr>
                <w:sz w:val="1"/>
                <w:szCs w:val="1"/>
                <w:color w:val="auto"/>
              </w:rPr>
            </w:pPr>
          </w:p>
        </w:tc>
      </w:tr>
      <w:tr>
        <w:trPr>
          <w:trHeight w:val="357"/>
        </w:trPr>
        <w:tc>
          <w:tcPr>
            <w:tcW w:w="1880" w:type="dxa"/>
            <w:vAlign w:val="bottom"/>
            <w:shd w:val="clear" w:color="auto" w:fill="E6E7E8"/>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80" w:type="dxa"/>
            <w:vAlign w:val="bottom"/>
            <w:shd w:val="clear" w:color="auto" w:fill="E6E7E8"/>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CUSTOMER</w:t>
            </w:r>
          </w:p>
        </w:tc>
        <w:tc>
          <w:tcPr>
            <w:tcW w:w="7640" w:type="dxa"/>
            <w:vAlign w:val="bottom"/>
          </w:tcPr>
          <w:p>
            <w:pPr>
              <w:ind w:left="360"/>
              <w:spacing w:after="0"/>
              <w:rPr>
                <w:sz w:val="20"/>
                <w:szCs w:val="20"/>
                <w:color w:val="auto"/>
              </w:rPr>
            </w:pPr>
            <w:r>
              <w:rPr>
                <w:rFonts w:ascii="Arial" w:cs="Arial" w:eastAsia="Arial" w:hAnsi="Arial"/>
                <w:sz w:val="16"/>
                <w:szCs w:val="16"/>
                <w:color w:val="auto"/>
              </w:rPr>
              <w:t>written feedback.</w:t>
            </w:r>
          </w:p>
        </w:tc>
        <w:tc>
          <w:tcPr>
            <w:tcW w:w="0" w:type="dxa"/>
            <w:vAlign w:val="bottom"/>
          </w:tcPr>
          <w:p>
            <w:pPr>
              <w:spacing w:after="0"/>
              <w:rPr>
                <w:sz w:val="1"/>
                <w:szCs w:val="1"/>
                <w:color w:val="auto"/>
              </w:rPr>
            </w:pPr>
          </w:p>
        </w:tc>
      </w:tr>
      <w:tr>
        <w:trPr>
          <w:trHeight w:val="60"/>
        </w:trPr>
        <w:tc>
          <w:tcPr>
            <w:tcW w:w="1880" w:type="dxa"/>
            <w:vAlign w:val="bottom"/>
            <w:shd w:val="clear" w:color="auto" w:fill="E6E7E8"/>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7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880" w:type="dxa"/>
            <w:vAlign w:val="bottom"/>
            <w:tcBorders>
              <w:bottom w:val="single" w:sz="8" w:color="E6E7E8"/>
            </w:tcBorders>
            <w:shd w:val="clear" w:color="auto" w:fill="E6E7E8"/>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SATISFACTION</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-2082800</wp:posOffset>
            </wp:positionV>
            <wp:extent cx="291465" cy="291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-1268095</wp:posOffset>
            </wp:positionV>
            <wp:extent cx="291465" cy="291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-685165</wp:posOffset>
            </wp:positionV>
            <wp:extent cx="265430" cy="2571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9378D"/>
        </w:rPr>
        <w:t>Payout Levels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AIP provides for payout levels from 0% to 200% of target. The minimum, target and maximum performance levels are derived based on an analysis of the historical and forecasted performance of our Performance Peer Group, and LRSP data for the Adjusted Cash Flow from Operations*, Adjusted Segment Operating Income* Growth, and Pension-Adjusted OM Rate* metrics. The non-financial metrics’ performance levels are determined by specific goals approved by the Compensation and Human Capital Committee. Specific values are identified for each metric at selected points in the range between minimum and maximum and other values are determined by linear interpolation between these points. No payout is made if performance is below the minimum. Above-target payouts can be earned only if the Company’s performance exceeds the performance threshold noted in the table on the following page. The maximum payout of 200% is achieved if the Company’s performance is above the approximate top quartile performance target. This structure aligns above-target payouts with superior performance and provides reduced awards for below-target performance.</w:t>
      </w:r>
    </w:p>
    <w:p>
      <w:pPr>
        <w:spacing w:after="0" w:line="200" w:lineRule="exact"/>
        <w:rPr>
          <w:sz w:val="20"/>
          <w:szCs w:val="20"/>
          <w:color w:val="auto"/>
        </w:rPr>
      </w:pPr>
    </w:p>
    <w:p>
      <w:pPr>
        <w:spacing w:after="0" w:line="363" w:lineRule="exact"/>
        <w:rPr>
          <w:sz w:val="20"/>
          <w:szCs w:val="20"/>
          <w:color w:val="auto"/>
        </w:rPr>
      </w:pPr>
    </w:p>
    <w:p>
      <w:pPr>
        <w:ind w:left="520" w:hanging="494"/>
        <w:spacing w:after="0"/>
        <w:tabs>
          <w:tab w:leader="none" w:pos="520" w:val="left"/>
        </w:tabs>
        <w:numPr>
          <w:ilvl w:val="0"/>
          <w:numId w:val="12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29378D"/>
        </w:rPr>
        <w:t>2023 AIP PERFORMANCE RESULTS</w:t>
      </w:r>
    </w:p>
    <w:p>
      <w:pPr>
        <w:spacing w:after="0" w:line="115"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In determining the CPF, both financial and non-financial performance against goals are assessed. The overall 2023 CPF, based on the financial and non-financial metrics, was determined to be 157%.</w:t>
      </w:r>
    </w:p>
    <w:p>
      <w:pPr>
        <w:spacing w:after="0" w:line="3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approved by the Compensation and Human Capital Committee, 2023 Company performance calculations were adjusted, as applicable, to exclude the impact of net operating FAS/CAS, deferred state tax expense (benefit), federal and state taxes related to the sale of minority investments, the loss on the sale of a small international subsidiary, CAS pension recoveries, and other adjustments to account for business conditions and certain costs unanticipated at the time the goals were established. Additionally, the Committee approved an adjustment to neutralize the impact of a charge associated with the low-rate initial production phase of the B-21 program. The Committee believed that this adjustment was appropriate as the charge was largely associated with fixed pricing established nearly 10 years ago for options on the low rate initial production phase of the program, and therefore, inclusion of the charge would not be reflective of the Company's strong financial performance in 2023. All adjustments were made by the Committee using its discretion, as provided in our plan, to measure annual incentive performance while maintaining flexibility to provide equitable adjustments that address the impact of material non-operational and unforeseen events. Details are outlined in Appendix A - Use of Non-GAAP Financial Measures.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financial and non-financial performance results are noted below.</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FINAL 2023 COMPANY AIP RESULTS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92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Weight</w:t>
            </w:r>
          </w:p>
        </w:tc>
        <w:tc>
          <w:tcPr>
            <w:tcW w:w="1820" w:type="dxa"/>
            <w:vAlign w:val="bottom"/>
          </w:tcPr>
          <w:p>
            <w:pPr>
              <w:spacing w:after="0"/>
              <w:rPr>
                <w:sz w:val="14"/>
                <w:szCs w:val="14"/>
                <w:color w:val="auto"/>
              </w:rPr>
            </w:pPr>
          </w:p>
        </w:tc>
        <w:tc>
          <w:tcPr>
            <w:tcW w:w="3220" w:type="dxa"/>
            <w:vAlign w:val="bottom"/>
            <w:gridSpan w:val="2"/>
          </w:tcPr>
          <w:p>
            <w:pPr>
              <w:ind w:left="1080"/>
              <w:spacing w:after="0"/>
              <w:rPr>
                <w:sz w:val="20"/>
                <w:szCs w:val="20"/>
                <w:color w:val="auto"/>
              </w:rPr>
            </w:pPr>
            <w:r>
              <w:rPr>
                <w:rFonts w:ascii="Arial" w:cs="Arial" w:eastAsia="Arial" w:hAnsi="Arial"/>
                <w:sz w:val="13"/>
                <w:szCs w:val="13"/>
                <w:b w:val="1"/>
                <w:bCs w:val="1"/>
                <w:color w:val="auto"/>
              </w:rPr>
              <w:t>Weighted Payout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29378D"/>
            </w:tcBorders>
          </w:tcPr>
          <w:p>
            <w:pPr>
              <w:spacing w:after="0" w:line="20" w:lineRule="exact"/>
              <w:rPr>
                <w:sz w:val="1"/>
                <w:szCs w:val="1"/>
                <w:color w:val="auto"/>
              </w:rPr>
            </w:pPr>
          </w:p>
        </w:tc>
        <w:tc>
          <w:tcPr>
            <w:tcW w:w="1920" w:type="dxa"/>
            <w:vAlign w:val="bottom"/>
            <w:tcBorders>
              <w:bottom w:val="single" w:sz="8" w:color="29378D"/>
            </w:tcBorders>
          </w:tcPr>
          <w:p>
            <w:pPr>
              <w:spacing w:after="0" w:line="20" w:lineRule="exact"/>
              <w:rPr>
                <w:sz w:val="1"/>
                <w:szCs w:val="1"/>
                <w:color w:val="auto"/>
              </w:rPr>
            </w:pPr>
          </w:p>
        </w:tc>
        <w:tc>
          <w:tcPr>
            <w:tcW w:w="1820" w:type="dxa"/>
            <w:vAlign w:val="bottom"/>
            <w:tcBorders>
              <w:bottom w:val="single" w:sz="8" w:color="29378D"/>
            </w:tcBorders>
          </w:tcPr>
          <w:p>
            <w:pPr>
              <w:spacing w:after="0" w:line="20" w:lineRule="exact"/>
              <w:rPr>
                <w:sz w:val="1"/>
                <w:szCs w:val="1"/>
                <w:color w:val="auto"/>
              </w:rPr>
            </w:pPr>
          </w:p>
        </w:tc>
        <w:tc>
          <w:tcPr>
            <w:tcW w:w="1360" w:type="dxa"/>
            <w:vAlign w:val="bottom"/>
            <w:tcBorders>
              <w:bottom w:val="single" w:sz="8" w:color="29378D"/>
            </w:tcBorders>
          </w:tcPr>
          <w:p>
            <w:pPr>
              <w:spacing w:after="0" w:line="20" w:lineRule="exact"/>
              <w:rPr>
                <w:sz w:val="1"/>
                <w:szCs w:val="1"/>
                <w:color w:val="auto"/>
              </w:rPr>
            </w:pPr>
          </w:p>
        </w:tc>
        <w:tc>
          <w:tcPr>
            <w:tcW w:w="186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4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Financial Metrics</w:t>
            </w:r>
          </w:p>
        </w:tc>
        <w:tc>
          <w:tcPr>
            <w:tcW w:w="1920" w:type="dxa"/>
            <w:vAlign w:val="bottom"/>
          </w:tcPr>
          <w:p>
            <w:pPr>
              <w:jc w:val="center"/>
              <w:ind w:left="1164"/>
              <w:spacing w:after="0"/>
              <w:rPr>
                <w:sz w:val="20"/>
                <w:szCs w:val="20"/>
                <w:color w:val="auto"/>
              </w:rPr>
            </w:pPr>
            <w:r>
              <w:rPr>
                <w:rFonts w:ascii="Arial" w:cs="Arial" w:eastAsia="Arial" w:hAnsi="Arial"/>
                <w:sz w:val="16"/>
                <w:szCs w:val="16"/>
                <w:color w:val="auto"/>
                <w:w w:val="99"/>
              </w:rPr>
              <w:t>90%</w:t>
            </w: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22"/>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Non-Financial Metrics</w:t>
            </w:r>
          </w:p>
        </w:tc>
        <w:tc>
          <w:tcPr>
            <w:tcW w:w="1920" w:type="dxa"/>
            <w:vAlign w:val="bottom"/>
          </w:tcPr>
          <w:p>
            <w:pPr>
              <w:jc w:val="center"/>
              <w:ind w:left="1164"/>
              <w:spacing w:after="0"/>
              <w:rPr>
                <w:sz w:val="20"/>
                <w:szCs w:val="20"/>
                <w:color w:val="auto"/>
              </w:rPr>
            </w:pPr>
            <w:r>
              <w:rPr>
                <w:rFonts w:ascii="Arial" w:cs="Arial" w:eastAsia="Arial" w:hAnsi="Arial"/>
                <w:sz w:val="16"/>
                <w:szCs w:val="16"/>
                <w:color w:val="auto"/>
                <w:w w:val="99"/>
              </w:rPr>
              <w:t>10%</w:t>
            </w: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42"/>
              <w:spacing w:after="0"/>
              <w:rPr>
                <w:sz w:val="20"/>
                <w:szCs w:val="20"/>
                <w:color w:val="auto"/>
              </w:rPr>
            </w:pPr>
            <w:r>
              <w:rPr>
                <w:rFonts w:ascii="Arial" w:cs="Arial" w:eastAsia="Arial" w:hAnsi="Arial"/>
                <w:sz w:val="16"/>
                <w:szCs w:val="16"/>
                <w:color w:val="auto"/>
                <w:w w:val="99"/>
              </w:rPr>
              <w:t>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Company Payout</w:t>
            </w: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22"/>
              <w:spacing w:after="0"/>
              <w:rPr>
                <w:sz w:val="20"/>
                <w:szCs w:val="20"/>
                <w:color w:val="auto"/>
              </w:rPr>
            </w:pPr>
            <w:r>
              <w:rPr>
                <w:rFonts w:ascii="Arial" w:cs="Arial" w:eastAsia="Arial" w:hAnsi="Arial"/>
                <w:sz w:val="16"/>
                <w:szCs w:val="16"/>
                <w:b w:val="1"/>
                <w:bCs w:val="1"/>
                <w:color w:val="auto"/>
              </w:rPr>
              <w:t>157%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BCBEC0"/>
            </w:tcBorders>
          </w:tcPr>
          <w:p>
            <w:pPr>
              <w:spacing w:after="0" w:line="20" w:lineRule="exact"/>
              <w:rPr>
                <w:sz w:val="1"/>
                <w:szCs w:val="1"/>
                <w:color w:val="auto"/>
              </w:rPr>
            </w:pPr>
          </w:p>
        </w:tc>
        <w:tc>
          <w:tcPr>
            <w:tcW w:w="1920" w:type="dxa"/>
            <w:vAlign w:val="bottom"/>
            <w:tcBorders>
              <w:bottom w:val="single" w:sz="8" w:color="BCBEC0"/>
            </w:tcBorders>
          </w:tcPr>
          <w:p>
            <w:pPr>
              <w:spacing w:after="0" w:line="20" w:lineRule="exact"/>
              <w:rPr>
                <w:sz w:val="1"/>
                <w:szCs w:val="1"/>
                <w:color w:val="auto"/>
              </w:rPr>
            </w:pPr>
          </w:p>
        </w:tc>
        <w:tc>
          <w:tcPr>
            <w:tcW w:w="1820" w:type="dxa"/>
            <w:vAlign w:val="bottom"/>
            <w:tcBorders>
              <w:bottom w:val="single" w:sz="8" w:color="BCBEC0"/>
            </w:tcBorders>
          </w:tcPr>
          <w:p>
            <w:pPr>
              <w:spacing w:after="0" w:line="20" w:lineRule="exact"/>
              <w:rPr>
                <w:sz w:val="1"/>
                <w:szCs w:val="1"/>
                <w:color w:val="auto"/>
              </w:rPr>
            </w:pPr>
          </w:p>
        </w:tc>
        <w:tc>
          <w:tcPr>
            <w:tcW w:w="1360" w:type="dxa"/>
            <w:vAlign w:val="bottom"/>
            <w:tcBorders>
              <w:bottom w:val="single" w:sz="8" w:color="BCBEC0"/>
            </w:tcBorders>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c>
          <w:tcPr>
            <w:tcW w:w="200" w:type="dxa"/>
            <w:vAlign w:val="bottom"/>
            <w:tcBorders>
              <w:bottom w:val="single" w:sz="8" w:color="BCBEC0"/>
            </w:tcBorders>
          </w:tcPr>
          <w:p>
            <w:pPr>
              <w:spacing w:after="0" w:line="20" w:lineRule="exact"/>
              <w:rPr>
                <w:sz w:val="1"/>
                <w:szCs w:val="1"/>
                <w:color w:val="auto"/>
              </w:rPr>
            </w:pPr>
          </w:p>
        </w:tc>
        <w:tc>
          <w:tcPr>
            <w:tcW w:w="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0"/>
        </w:trPr>
        <w:tc>
          <w:tcPr>
            <w:tcW w:w="4040" w:type="dxa"/>
            <w:vAlign w:val="bottom"/>
          </w:tcPr>
          <w:p>
            <w:pPr>
              <w:spacing w:after="0"/>
              <w:rPr>
                <w:sz w:val="20"/>
                <w:szCs w:val="20"/>
                <w:color w:val="auto"/>
              </w:rPr>
            </w:pPr>
            <w:r>
              <w:rPr>
                <w:rFonts w:ascii="Arial" w:cs="Arial" w:eastAsia="Arial" w:hAnsi="Arial"/>
                <w:sz w:val="14"/>
                <w:szCs w:val="14"/>
                <w:b w:val="1"/>
                <w:bCs w:val="1"/>
                <w:color w:val="29378D"/>
              </w:rPr>
              <w:t>FINANCIAL METRICS</w:t>
            </w: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tcPr>
          <w:p>
            <w:pPr>
              <w:spacing w:after="0"/>
              <w:rPr>
                <w:sz w:val="24"/>
                <w:szCs w:val="24"/>
                <w:color w:val="auto"/>
              </w:rPr>
            </w:pPr>
          </w:p>
        </w:tc>
        <w:tc>
          <w:tcPr>
            <w:tcW w:w="1920" w:type="dxa"/>
            <w:vAlign w:val="bottom"/>
            <w:vMerge w:val="restart"/>
          </w:tcPr>
          <w:p>
            <w:pPr>
              <w:jc w:val="center"/>
              <w:ind w:left="44"/>
              <w:spacing w:after="0"/>
              <w:rPr>
                <w:sz w:val="20"/>
                <w:szCs w:val="20"/>
                <w:color w:val="auto"/>
              </w:rPr>
            </w:pPr>
            <w:r>
              <w:rPr>
                <w:rFonts w:ascii="Arial" w:cs="Arial" w:eastAsia="Arial" w:hAnsi="Arial"/>
                <w:sz w:val="13"/>
                <w:szCs w:val="13"/>
                <w:b w:val="1"/>
                <w:bCs w:val="1"/>
                <w:color w:val="auto"/>
                <w:w w:val="95"/>
              </w:rPr>
              <w:t>Weighting</w:t>
            </w:r>
          </w:p>
        </w:tc>
        <w:tc>
          <w:tcPr>
            <w:tcW w:w="1820" w:type="dxa"/>
            <w:vAlign w:val="bottom"/>
          </w:tcPr>
          <w:p>
            <w:pPr>
              <w:jc w:val="center"/>
              <w:ind w:right="26"/>
              <w:spacing w:after="0"/>
              <w:rPr>
                <w:sz w:val="20"/>
                <w:szCs w:val="20"/>
                <w:color w:val="auto"/>
              </w:rPr>
            </w:pPr>
            <w:r>
              <w:rPr>
                <w:rFonts w:ascii="Arial" w:cs="Arial" w:eastAsia="Arial" w:hAnsi="Arial"/>
                <w:sz w:val="13"/>
                <w:szCs w:val="13"/>
                <w:b w:val="1"/>
                <w:bCs w:val="1"/>
                <w:color w:val="auto"/>
                <w:w w:val="96"/>
              </w:rPr>
              <w:t>Performance to Achieve</w:t>
            </w:r>
          </w:p>
        </w:tc>
        <w:tc>
          <w:tcPr>
            <w:tcW w:w="136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8"/>
              </w:rPr>
              <w:t>2023 Performance</w:t>
            </w:r>
          </w:p>
        </w:tc>
        <w:tc>
          <w:tcPr>
            <w:tcW w:w="1860" w:type="dxa"/>
            <w:vAlign w:val="bottom"/>
            <w:vMerge w:val="restart"/>
          </w:tcPr>
          <w:p>
            <w:pPr>
              <w:ind w:left="560"/>
              <w:spacing w:after="0"/>
              <w:rPr>
                <w:sz w:val="20"/>
                <w:szCs w:val="20"/>
                <w:color w:val="auto"/>
              </w:rPr>
            </w:pPr>
            <w:r>
              <w:rPr>
                <w:rFonts w:ascii="Arial" w:cs="Arial" w:eastAsia="Arial" w:hAnsi="Arial"/>
                <w:sz w:val="13"/>
                <w:szCs w:val="13"/>
                <w:b w:val="1"/>
                <w:bCs w:val="1"/>
                <w:color w:val="auto"/>
                <w:w w:val="99"/>
              </w:rPr>
              <w:t>2023 Financial Score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Metric/Goal</w:t>
            </w:r>
          </w:p>
        </w:tc>
        <w:tc>
          <w:tcPr>
            <w:tcW w:w="1920" w:type="dxa"/>
            <w:vAlign w:val="bottom"/>
            <w:vMerge w:val="continue"/>
          </w:tcPr>
          <w:p>
            <w:pPr>
              <w:spacing w:after="0"/>
              <w:rPr>
                <w:sz w:val="7"/>
                <w:szCs w:val="7"/>
                <w:color w:val="auto"/>
              </w:rPr>
            </w:pPr>
          </w:p>
        </w:tc>
        <w:tc>
          <w:tcPr>
            <w:tcW w:w="1820" w:type="dxa"/>
            <w:vAlign w:val="bottom"/>
            <w:vMerge w:val="restart"/>
          </w:tcPr>
          <w:p>
            <w:pPr>
              <w:jc w:val="center"/>
              <w:ind w:right="46"/>
              <w:spacing w:after="0"/>
              <w:rPr>
                <w:sz w:val="20"/>
                <w:szCs w:val="20"/>
                <w:color w:val="auto"/>
              </w:rPr>
            </w:pPr>
            <w:r>
              <w:rPr>
                <w:rFonts w:ascii="Arial" w:cs="Arial" w:eastAsia="Arial" w:hAnsi="Arial"/>
                <w:sz w:val="13"/>
                <w:szCs w:val="13"/>
                <w:b w:val="1"/>
                <w:bCs w:val="1"/>
                <w:color w:val="auto"/>
                <w:w w:val="94"/>
              </w:rPr>
              <w:t>Target Payout</w:t>
            </w:r>
          </w:p>
        </w:tc>
        <w:tc>
          <w:tcPr>
            <w:tcW w:w="136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29378D"/>
            </w:tcBorders>
          </w:tcPr>
          <w:p>
            <w:pPr>
              <w:spacing w:after="0" w:line="20" w:lineRule="exact"/>
              <w:rPr>
                <w:sz w:val="1"/>
                <w:szCs w:val="1"/>
                <w:color w:val="auto"/>
              </w:rPr>
            </w:pPr>
          </w:p>
        </w:tc>
        <w:tc>
          <w:tcPr>
            <w:tcW w:w="1920" w:type="dxa"/>
            <w:vAlign w:val="bottom"/>
            <w:tcBorders>
              <w:bottom w:val="single" w:sz="8" w:color="29378D"/>
            </w:tcBorders>
          </w:tcPr>
          <w:p>
            <w:pPr>
              <w:spacing w:after="0" w:line="20" w:lineRule="exact"/>
              <w:rPr>
                <w:sz w:val="1"/>
                <w:szCs w:val="1"/>
                <w:color w:val="auto"/>
              </w:rPr>
            </w:pPr>
          </w:p>
        </w:tc>
        <w:tc>
          <w:tcPr>
            <w:tcW w:w="1820" w:type="dxa"/>
            <w:vAlign w:val="bottom"/>
            <w:tcBorders>
              <w:bottom w:val="single" w:sz="8" w:color="29378D"/>
            </w:tcBorders>
          </w:tcPr>
          <w:p>
            <w:pPr>
              <w:spacing w:after="0" w:line="20" w:lineRule="exact"/>
              <w:rPr>
                <w:sz w:val="1"/>
                <w:szCs w:val="1"/>
                <w:color w:val="auto"/>
              </w:rPr>
            </w:pPr>
          </w:p>
        </w:tc>
        <w:tc>
          <w:tcPr>
            <w:tcW w:w="1360" w:type="dxa"/>
            <w:vAlign w:val="bottom"/>
            <w:tcBorders>
              <w:bottom w:val="single" w:sz="8" w:color="29378D"/>
            </w:tcBorders>
          </w:tcPr>
          <w:p>
            <w:pPr>
              <w:spacing w:after="0" w:line="20" w:lineRule="exact"/>
              <w:rPr>
                <w:sz w:val="1"/>
                <w:szCs w:val="1"/>
                <w:color w:val="auto"/>
              </w:rPr>
            </w:pPr>
          </w:p>
        </w:tc>
        <w:tc>
          <w:tcPr>
            <w:tcW w:w="186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Adjusted Cash Flow from Operations*</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35%</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$3.2B</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$3.6B</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68%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Adjusted Segment Operating Income* Growth</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35%</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$4.1B</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$4.3B</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57%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Pension-Adjusted OM Rate*</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20%</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10.6%</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10.4%</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17%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b w:val="1"/>
                <w:bCs w:val="1"/>
                <w:color w:val="00249C"/>
              </w:rPr>
              <w:t>Financial Metric Results</w:t>
            </w: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left="422"/>
              <w:spacing w:after="0"/>
              <w:rPr>
                <w:sz w:val="20"/>
                <w:szCs w:val="20"/>
                <w:color w:val="auto"/>
              </w:rPr>
            </w:pPr>
            <w:r>
              <w:rPr>
                <w:rFonts w:ascii="Arial" w:cs="Arial" w:eastAsia="Arial" w:hAnsi="Arial"/>
                <w:sz w:val="16"/>
                <w:szCs w:val="16"/>
                <w:b w:val="1"/>
                <w:bCs w:val="1"/>
                <w:color w:val="00249C"/>
                <w:w w:val="97"/>
              </w:rPr>
              <w:t>142%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Borders>
              <w:bottom w:val="single" w:sz="8" w:color="BCBEC0"/>
            </w:tcBorders>
            <w:gridSpan w:val="4"/>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c>
          <w:tcPr>
            <w:tcW w:w="200" w:type="dxa"/>
            <w:vAlign w:val="bottom"/>
            <w:tcBorders>
              <w:bottom w:val="single" w:sz="8" w:color="BCBEC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9140" w:type="dxa"/>
            <w:vAlign w:val="bottom"/>
            <w:gridSpan w:val="4"/>
          </w:tcPr>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4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4"/>
                <w:szCs w:val="14"/>
                <w:color w:val="auto"/>
              </w:rPr>
              <w:t>2024 Proxy Statement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319"/>
        </w:trPr>
        <w:tc>
          <w:tcPr>
            <w:tcW w:w="40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NON-FINANCIAL METRICS</w:t>
      </w:r>
    </w:p>
    <w:p>
      <w:pPr>
        <w:spacing w:after="0" w:line="11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Company demonstrated strong performance in 2023 overall against the non-financial goals and the Compensation and Human Capital Committee approved a non-financial score of 148%, for a weighted payout of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125095</wp:posOffset>
            </wp:positionV>
            <wp:extent cx="291465" cy="291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Exceeded our employee diversity goals in 2023, and continue to make significant progress towards our long-term goals.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212090</wp:posOffset>
            </wp:positionV>
            <wp:extent cx="308610" cy="3086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EMPLOYEE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291465" cy="291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line="294" w:lineRule="auto"/>
        <w:rPr>
          <w:sz w:val="20"/>
          <w:szCs w:val="20"/>
          <w:color w:val="auto"/>
        </w:rPr>
      </w:pPr>
      <w:r>
        <w:rPr>
          <w:rFonts w:ascii="Arial" w:cs="Arial" w:eastAsia="Arial" w:hAnsi="Arial"/>
          <w:sz w:val="14"/>
          <w:szCs w:val="14"/>
          <w:b w:val="1"/>
          <w:bCs w:val="1"/>
          <w:color w:val="29378D"/>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291465" cy="291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229235</wp:posOffset>
            </wp:positionV>
            <wp:extent cx="265430" cy="257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right="200"/>
        <w:spacing w:after="0" w:line="294" w:lineRule="auto"/>
        <w:rPr>
          <w:sz w:val="20"/>
          <w:szCs w:val="20"/>
          <w:color w:val="auto"/>
        </w:rPr>
      </w:pPr>
      <w:r>
        <w:rPr>
          <w:rFonts w:ascii="Arial" w:cs="Arial" w:eastAsia="Arial" w:hAnsi="Arial"/>
          <w:sz w:val="14"/>
          <w:szCs w:val="14"/>
          <w:b w:val="1"/>
          <w:bCs w:val="1"/>
          <w:color w:val="29378D"/>
        </w:rPr>
        <w:t>CUSTOMER SATISFACTION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Exceeded the 2023 target goals against the Qualtrics Global Norm. We achieved highly favorable and above benchmark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389255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Exceeded the annual target toward reducing greenhouse gas emissions, driving further progress towards our multi-year environmental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236220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Exceeded the quality target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346710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Achieved the customer satisfaction target for the year.</w:t>
      </w:r>
    </w:p>
    <w:p>
      <w:pPr>
        <w:spacing w:after="0" w:line="579" w:lineRule="exact"/>
        <w:rPr>
          <w:sz w:val="20"/>
          <w:szCs w:val="20"/>
          <w:color w:val="auto"/>
        </w:rPr>
      </w:pPr>
    </w:p>
    <w:p>
      <w:pPr>
        <w:sectPr>
          <w:pgSz w:w="11900" w:h="16838" w:orient="portrait"/>
          <w:cols w:equalWidth="0" w:num="2">
            <w:col w:w="1280" w:space="700"/>
            <w:col w:w="926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24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00249C"/>
              </w:rPr>
              <w:t>Non-Financial Metric</w:t>
            </w:r>
          </w:p>
        </w:tc>
        <w:tc>
          <w:tcPr>
            <w:tcW w:w="5000" w:type="dxa"/>
            <w:vAlign w:val="bottom"/>
            <w:tcBorders>
              <w:top w:val="single" w:sz="8" w:color="BCBEC0"/>
            </w:tcBorders>
            <w:vMerge w:val="restart"/>
          </w:tcPr>
          <w:p>
            <w:pPr>
              <w:jc w:val="right"/>
              <w:spacing w:after="0"/>
              <w:rPr>
                <w:sz w:val="20"/>
                <w:szCs w:val="20"/>
                <w:color w:val="auto"/>
              </w:rPr>
            </w:pPr>
            <w:r>
              <w:rPr>
                <w:rFonts w:ascii="Arial" w:cs="Arial" w:eastAsia="Arial" w:hAnsi="Arial"/>
                <w:sz w:val="16"/>
                <w:szCs w:val="16"/>
                <w:b w:val="1"/>
                <w:bCs w:val="1"/>
                <w:color w:val="00249C"/>
              </w:rPr>
              <w:t>15 %</w:t>
            </w:r>
          </w:p>
        </w:tc>
        <w:tc>
          <w:tcPr>
            <w:tcW w:w="0" w:type="dxa"/>
            <w:vAlign w:val="bottom"/>
          </w:tcPr>
          <w:p>
            <w:pPr>
              <w:spacing w:after="0"/>
              <w:rPr>
                <w:sz w:val="1"/>
                <w:szCs w:val="1"/>
                <w:color w:val="auto"/>
              </w:rPr>
            </w:pPr>
          </w:p>
        </w:tc>
      </w:tr>
      <w:tr>
        <w:trPr>
          <w:trHeight w:val="142"/>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00249C"/>
              </w:rPr>
              <w:t>Results</w:t>
            </w:r>
          </w:p>
        </w:tc>
        <w:tc>
          <w:tcPr>
            <w:tcW w:w="5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240" w:type="dxa"/>
            <w:vAlign w:val="bottom"/>
            <w:vMerge w:val="continue"/>
          </w:tcPr>
          <w:p>
            <w:pPr>
              <w:spacing w:after="0"/>
              <w:rPr>
                <w:sz w:val="7"/>
                <w:szCs w:val="7"/>
                <w:color w:val="auto"/>
              </w:rPr>
            </w:pPr>
          </w:p>
        </w:tc>
        <w:tc>
          <w:tcPr>
            <w:tcW w:w="5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6240" w:type="dxa"/>
            <w:vAlign w:val="bottom"/>
            <w:tcBorders>
              <w:bottom w:val="single" w:sz="8" w:color="BCBEC0"/>
            </w:tcBorders>
          </w:tcPr>
          <w:p>
            <w:pPr>
              <w:spacing w:after="0"/>
              <w:rPr>
                <w:sz w:val="3"/>
                <w:szCs w:val="3"/>
                <w:color w:val="auto"/>
              </w:rPr>
            </w:pPr>
          </w:p>
        </w:tc>
        <w:tc>
          <w:tcPr>
            <w:tcW w:w="50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494"/>
        <w:spacing w:after="0"/>
        <w:tabs>
          <w:tab w:leader="none" w:pos="520" w:val="left"/>
        </w:tabs>
        <w:numPr>
          <w:ilvl w:val="0"/>
          <w:numId w:val="12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6D6E71"/>
        </w:rPr>
        <w:t>Compensation and Human Capital Committee Discretion</w:t>
      </w:r>
    </w:p>
    <w:p>
      <w:pPr>
        <w:spacing w:after="0" w:line="11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Compensation and Human Capital Committee approves bonus amounts for all NEOs except the CEO, whose annual bonus is recommended by the Compensation and Human Capital Committee to the independent members of the Board for approval. The Compensation and Human Capital Committee has discretion to make adjustments to the annual bonus payouts for NEOs, other than the CEO, if it determines such adjustment is warranted due to unforeseen or unusual events. In 2023, the Compensation and Human Capital Committee made no additional adjustments to the recommended CPF or individual AIP participants’ awards.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NEO AIP PAYOUTS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both the financial and non-financial performance, the 2023 Company Performance Factor (CPF) was determined to be 157%.</w:t>
      </w:r>
    </w:p>
    <w:p>
      <w:pPr>
        <w:spacing w:after="0" w:line="11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February 2024, the Compensation and Human Capital Committee recommended, and the independent members of the Board approved, a 2023 annual incentive award of $5,082,875 for our CEO, Ms. Warden. Based on the CPF, Ms. Warden recommended, and the Compensation and Human Capital Committee approved, the other NEOs’ annual incentive awards.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Name</w:t>
            </w:r>
          </w:p>
        </w:tc>
        <w:tc>
          <w:tcPr>
            <w:tcW w:w="3420" w:type="dxa"/>
            <w:vAlign w:val="bottom"/>
            <w:tcBorders>
              <w:bottom w:val="single" w:sz="8" w:color="29378D"/>
            </w:tcBorders>
          </w:tcPr>
          <w:p>
            <w:pPr>
              <w:jc w:val="right"/>
              <w:ind w:right="262"/>
              <w:spacing w:after="0"/>
              <w:rPr>
                <w:sz w:val="20"/>
                <w:szCs w:val="20"/>
                <w:color w:val="auto"/>
              </w:rPr>
            </w:pPr>
            <w:r>
              <w:rPr>
                <w:rFonts w:ascii="Arial" w:cs="Arial" w:eastAsia="Arial" w:hAnsi="Arial"/>
                <w:sz w:val="13"/>
                <w:szCs w:val="13"/>
                <w:b w:val="1"/>
                <w:bCs w:val="1"/>
                <w:color w:val="auto"/>
              </w:rPr>
              <w:t>AIP Target % of Salary</w:t>
            </w:r>
          </w:p>
        </w:tc>
        <w:tc>
          <w:tcPr>
            <w:tcW w:w="15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AIP Payout Range %</w:t>
            </w:r>
          </w:p>
        </w:tc>
        <w:tc>
          <w:tcPr>
            <w:tcW w:w="1900" w:type="dxa"/>
            <w:vAlign w:val="bottom"/>
            <w:tcBorders>
              <w:bottom w:val="single" w:sz="8" w:color="29378D"/>
            </w:tcBorders>
          </w:tcPr>
          <w:p>
            <w:pPr>
              <w:jc w:val="right"/>
              <w:ind w:right="262"/>
              <w:spacing w:after="0"/>
              <w:rPr>
                <w:sz w:val="20"/>
                <w:szCs w:val="20"/>
                <w:color w:val="auto"/>
              </w:rPr>
            </w:pPr>
            <w:r>
              <w:rPr>
                <w:rFonts w:ascii="Arial" w:cs="Arial" w:eastAsia="Arial" w:hAnsi="Arial"/>
                <w:sz w:val="13"/>
                <w:szCs w:val="13"/>
                <w:b w:val="1"/>
                <w:bCs w:val="1"/>
                <w:color w:val="auto"/>
              </w:rPr>
              <w:t>Performance Payout</w:t>
            </w:r>
          </w:p>
        </w:tc>
        <w:tc>
          <w:tcPr>
            <w:tcW w:w="11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Actual Payout</w:t>
            </w:r>
            <w:r>
              <w:rPr>
                <w:rFonts w:ascii="Arial" w:cs="Arial" w:eastAsia="Arial" w:hAnsi="Arial"/>
                <w:sz w:val="16"/>
                <w:szCs w:val="16"/>
                <w:b w:val="1"/>
                <w:bCs w:val="1"/>
                <w:color w:val="auto"/>
                <w:vertAlign w:val="superscript"/>
              </w:rPr>
              <w:t>(1)</w:t>
            </w:r>
          </w:p>
        </w:tc>
      </w:tr>
      <w:tr>
        <w:trPr>
          <w:trHeight w:val="230"/>
        </w:trPr>
        <w:tc>
          <w:tcPr>
            <w:tcW w:w="31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3420" w:type="dxa"/>
            <w:vAlign w:val="bottom"/>
            <w:tcBorders>
              <w:bottom w:val="single" w:sz="8" w:color="BCBEC0"/>
            </w:tcBorders>
            <w:shd w:val="clear" w:color="auto" w:fill="E1E0EF"/>
          </w:tcPr>
          <w:p>
            <w:pPr>
              <w:jc w:val="right"/>
              <w:ind w:right="262"/>
              <w:spacing w:after="0"/>
              <w:rPr>
                <w:sz w:val="20"/>
                <w:szCs w:val="20"/>
                <w:color w:val="auto"/>
              </w:rPr>
            </w:pPr>
            <w:r>
              <w:rPr>
                <w:rFonts w:ascii="Arial" w:cs="Arial" w:eastAsia="Arial" w:hAnsi="Arial"/>
                <w:sz w:val="16"/>
                <w:szCs w:val="16"/>
                <w:color w:val="auto"/>
              </w:rPr>
              <w:t>185 %</w:t>
            </w:r>
          </w:p>
        </w:tc>
        <w:tc>
          <w:tcPr>
            <w:tcW w:w="158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BCBEC0"/>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BCBEC0"/>
            </w:tcBorders>
            <w:shd w:val="clear" w:color="auto" w:fill="DFDEEE"/>
          </w:tcPr>
          <w:p>
            <w:pPr>
              <w:jc w:val="right"/>
              <w:ind w:right="2"/>
              <w:spacing w:after="0"/>
              <w:rPr>
                <w:sz w:val="20"/>
                <w:szCs w:val="20"/>
                <w:color w:val="auto"/>
              </w:rPr>
            </w:pPr>
            <w:r>
              <w:rPr>
                <w:rFonts w:ascii="Arial" w:cs="Arial" w:eastAsia="Arial" w:hAnsi="Arial"/>
                <w:sz w:val="16"/>
                <w:szCs w:val="16"/>
                <w:color w:val="auto"/>
              </w:rPr>
              <w:t>5,082,875</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29378D"/>
              </w:rPr>
              <w:t>David F. Keffer</w:t>
            </w:r>
          </w:p>
        </w:tc>
        <w:tc>
          <w:tcPr>
            <w:tcW w:w="3420" w:type="dxa"/>
            <w:vAlign w:val="bottom"/>
          </w:tcPr>
          <w:p>
            <w:pPr>
              <w:jc w:val="right"/>
              <w:ind w:right="262"/>
              <w:spacing w:after="0"/>
              <w:rPr>
                <w:sz w:val="20"/>
                <w:szCs w:val="20"/>
                <w:color w:val="auto"/>
              </w:rPr>
            </w:pPr>
            <w:r>
              <w:rPr>
                <w:rFonts w:ascii="Arial" w:cs="Arial" w:eastAsia="Arial" w:hAnsi="Arial"/>
                <w:sz w:val="16"/>
                <w:szCs w:val="16"/>
                <w:color w:val="auto"/>
              </w:rPr>
              <w:t>105 %</w:t>
            </w:r>
          </w:p>
        </w:tc>
        <w:tc>
          <w:tcPr>
            <w:tcW w:w="1580" w:type="dxa"/>
            <w:vAlign w:val="bottom"/>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1,409,468</w:t>
            </w:r>
          </w:p>
        </w:tc>
      </w:tr>
      <w:tr>
        <w:trPr>
          <w:trHeight w:val="20"/>
        </w:trPr>
        <w:tc>
          <w:tcPr>
            <w:tcW w:w="3180" w:type="dxa"/>
            <w:vAlign w:val="bottom"/>
            <w:tcBorders>
              <w:bottom w:val="single" w:sz="8" w:color="BCBEC0"/>
            </w:tcBorders>
          </w:tcPr>
          <w:p>
            <w:pPr>
              <w:spacing w:after="0" w:line="20" w:lineRule="exact"/>
              <w:rPr>
                <w:sz w:val="1"/>
                <w:szCs w:val="1"/>
                <w:color w:val="auto"/>
              </w:rPr>
            </w:pPr>
          </w:p>
        </w:tc>
        <w:tc>
          <w:tcPr>
            <w:tcW w:w="34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190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r>
      <w:tr>
        <w:trPr>
          <w:trHeight w:val="242"/>
        </w:trPr>
        <w:tc>
          <w:tcPr>
            <w:tcW w:w="3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3420" w:type="dxa"/>
            <w:vAlign w:val="bottom"/>
            <w:tcBorders>
              <w:bottom w:val="single" w:sz="8" w:color="E1E0EF"/>
            </w:tcBorders>
            <w:shd w:val="clear" w:color="auto" w:fill="E1E0EF"/>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DFDEEE"/>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DFDEEE"/>
            </w:tcBorders>
            <w:shd w:val="clear" w:color="auto" w:fill="DFDEEE"/>
          </w:tcPr>
          <w:p>
            <w:pPr>
              <w:jc w:val="right"/>
              <w:ind w:right="2"/>
              <w:spacing w:after="0"/>
              <w:rPr>
                <w:sz w:val="20"/>
                <w:szCs w:val="20"/>
                <w:color w:val="auto"/>
              </w:rPr>
            </w:pPr>
            <w:r>
              <w:rPr>
                <w:rFonts w:ascii="Arial" w:cs="Arial" w:eastAsia="Arial" w:hAnsi="Arial"/>
                <w:sz w:val="16"/>
                <w:szCs w:val="16"/>
                <w:color w:val="auto"/>
              </w:rPr>
              <w:t>1,342,358</w:t>
            </w:r>
          </w:p>
        </w:tc>
      </w:tr>
      <w:tr>
        <w:trPr>
          <w:trHeight w:val="216"/>
        </w:trPr>
        <w:tc>
          <w:tcPr>
            <w:tcW w:w="3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3420" w:type="dxa"/>
            <w:vAlign w:val="bottom"/>
            <w:tcBorders>
              <w:top w:val="single" w:sz="8" w:color="BCBEC0"/>
            </w:tcBorders>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top w:val="single" w:sz="8" w:color="BCBEC0"/>
            </w:tcBorders>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top w:val="single" w:sz="8" w:color="BCBEC0"/>
            </w:tcBorders>
          </w:tcPr>
          <w:p>
            <w:pPr>
              <w:jc w:val="right"/>
              <w:ind w:right="2"/>
              <w:spacing w:after="0"/>
              <w:rPr>
                <w:sz w:val="20"/>
                <w:szCs w:val="20"/>
                <w:color w:val="auto"/>
              </w:rPr>
            </w:pPr>
            <w:r>
              <w:rPr>
                <w:rFonts w:ascii="Arial" w:cs="Arial" w:eastAsia="Arial" w:hAnsi="Arial"/>
                <w:sz w:val="16"/>
                <w:szCs w:val="16"/>
                <w:color w:val="auto"/>
              </w:rPr>
              <w:t>1,240,300</w:t>
            </w:r>
          </w:p>
        </w:tc>
      </w:tr>
      <w:tr>
        <w:trPr>
          <w:trHeight w:val="20"/>
        </w:trPr>
        <w:tc>
          <w:tcPr>
            <w:tcW w:w="3180" w:type="dxa"/>
            <w:vAlign w:val="bottom"/>
            <w:tcBorders>
              <w:bottom w:val="single" w:sz="8" w:color="BCBEC0"/>
            </w:tcBorders>
          </w:tcPr>
          <w:p>
            <w:pPr>
              <w:spacing w:after="0" w:line="20" w:lineRule="exact"/>
              <w:rPr>
                <w:sz w:val="1"/>
                <w:szCs w:val="1"/>
                <w:color w:val="auto"/>
              </w:rPr>
            </w:pPr>
          </w:p>
        </w:tc>
        <w:tc>
          <w:tcPr>
            <w:tcW w:w="34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190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r>
      <w:tr>
        <w:trPr>
          <w:trHeight w:val="217"/>
        </w:trPr>
        <w:tc>
          <w:tcPr>
            <w:tcW w:w="31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3420" w:type="dxa"/>
            <w:vAlign w:val="bottom"/>
            <w:tcBorders>
              <w:bottom w:val="single" w:sz="8" w:color="DFDEEE"/>
            </w:tcBorders>
            <w:shd w:val="clear" w:color="auto" w:fill="DFDEEE"/>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DFDEEE"/>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DFDEEE"/>
            </w:tcBorders>
            <w:shd w:val="clear" w:color="auto" w:fill="DFDEEE"/>
          </w:tcPr>
          <w:p>
            <w:pPr>
              <w:jc w:val="right"/>
              <w:ind w:right="2"/>
              <w:spacing w:after="0"/>
              <w:rPr>
                <w:sz w:val="20"/>
                <w:szCs w:val="20"/>
                <w:color w:val="auto"/>
              </w:rPr>
            </w:pPr>
            <w:r>
              <w:rPr>
                <w:rFonts w:ascii="Arial" w:cs="Arial" w:eastAsia="Arial" w:hAnsi="Arial"/>
                <w:sz w:val="16"/>
                <w:szCs w:val="16"/>
                <w:color w:val="auto"/>
              </w:rPr>
              <w:t>1,177,500</w:t>
            </w:r>
          </w:p>
        </w:tc>
      </w:tr>
      <w:tr>
        <w:trPr>
          <w:trHeight w:val="20"/>
        </w:trPr>
        <w:tc>
          <w:tcPr>
            <w:tcW w:w="3180" w:type="dxa"/>
            <w:vAlign w:val="bottom"/>
            <w:shd w:val="clear" w:color="auto" w:fill="BCBEC0"/>
          </w:tcPr>
          <w:p>
            <w:pPr>
              <w:spacing w:after="0" w:line="20" w:lineRule="exact"/>
              <w:rPr>
                <w:sz w:val="1"/>
                <w:szCs w:val="1"/>
                <w:color w:val="auto"/>
              </w:rPr>
            </w:pPr>
          </w:p>
        </w:tc>
        <w:tc>
          <w:tcPr>
            <w:tcW w:w="3420" w:type="dxa"/>
            <w:vAlign w:val="bottom"/>
            <w:shd w:val="clear" w:color="auto" w:fill="BCBEC0"/>
          </w:tcPr>
          <w:p>
            <w:pPr>
              <w:spacing w:after="0" w:line="20" w:lineRule="exact"/>
              <w:rPr>
                <w:sz w:val="1"/>
                <w:szCs w:val="1"/>
                <w:color w:val="auto"/>
              </w:rPr>
            </w:pPr>
          </w:p>
        </w:tc>
        <w:tc>
          <w:tcPr>
            <w:tcW w:w="1580" w:type="dxa"/>
            <w:vAlign w:val="bottom"/>
            <w:shd w:val="clear" w:color="auto" w:fill="BCBEC0"/>
          </w:tcPr>
          <w:p>
            <w:pPr>
              <w:spacing w:after="0" w:line="20" w:lineRule="exact"/>
              <w:rPr>
                <w:sz w:val="1"/>
                <w:szCs w:val="1"/>
                <w:color w:val="auto"/>
              </w:rPr>
            </w:pPr>
          </w:p>
        </w:tc>
        <w:tc>
          <w:tcPr>
            <w:tcW w:w="1900" w:type="dxa"/>
            <w:vAlign w:val="bottom"/>
            <w:shd w:val="clear" w:color="auto" w:fill="BCBEC0"/>
          </w:tcPr>
          <w:p>
            <w:pPr>
              <w:spacing w:after="0" w:line="20" w:lineRule="exact"/>
              <w:rPr>
                <w:sz w:val="1"/>
                <w:szCs w:val="1"/>
                <w:color w:val="auto"/>
              </w:rPr>
            </w:pPr>
          </w:p>
        </w:tc>
        <w:tc>
          <w:tcPr>
            <w:tcW w:w="1160" w:type="dxa"/>
            <w:vAlign w:val="bottom"/>
            <w:shd w:val="clear" w:color="auto" w:fill="BCBEC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Actual bonus payouts for 2023 performance are disclosed in this table and in the Summary Compensation Table.</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color w:val="auto"/>
        </w:rPr>
        <w:t>Long-Term Incentive Compensation</w:t>
      </w:r>
    </w:p>
    <w:p>
      <w:pPr>
        <w:spacing w:after="0" w:line="13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In 2023, the Compensation and Human Capital Committee granted awards in the form of RPSRs and RSRs. The awards were comprised of 70% RPSRs and 30% RSRs. The Compensation and Human Capital Committee determined this long-term incentive mix would appropriately motivate and reward the NEOs to achieve our long-term objectives and further reinforce the link between their interests and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74930</wp:posOffset>
            </wp:positionV>
            <wp:extent cx="436880" cy="4629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6880" cy="4629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Restricted Performance Stock Rights (RPSRs)</w:t>
      </w:r>
    </w:p>
    <w:p>
      <w:pPr>
        <w:spacing w:after="0" w:line="21" w:lineRule="exact"/>
        <w:rPr>
          <w:sz w:val="20"/>
          <w:szCs w:val="20"/>
          <w:color w:val="auto"/>
        </w:rPr>
      </w:pPr>
    </w:p>
    <w:p>
      <w:pPr>
        <w:ind w:left="1260" w:right="500"/>
        <w:spacing w:after="0" w:line="283" w:lineRule="auto"/>
        <w:rPr>
          <w:sz w:val="20"/>
          <w:szCs w:val="20"/>
          <w:color w:val="auto"/>
        </w:rPr>
      </w:pPr>
      <w:r>
        <w:rPr>
          <w:rFonts w:ascii="Arial" w:cs="Arial" w:eastAsia="Arial" w:hAnsi="Arial"/>
          <w:sz w:val="16"/>
          <w:szCs w:val="16"/>
          <w:color w:val="auto"/>
        </w:rPr>
        <w:t>The RPSRs ensure sustainability and achievement of business goals over time. The RPSRs will vest and be distributed following the completion of the three-year performance period (commencing January 1, 2023, and ending December 31, 2025) if goals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143510</wp:posOffset>
            </wp:positionV>
            <wp:extent cx="436880" cy="4286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Restricted Stock Rights (RSRs)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RSRs provide retentive value and generally vest 100% after three years.</w:t>
      </w:r>
    </w:p>
    <w:p>
      <w:pPr>
        <w:spacing w:after="0" w:line="200" w:lineRule="exact"/>
        <w:rPr>
          <w:sz w:val="20"/>
          <w:szCs w:val="20"/>
          <w:color w:val="auto"/>
        </w:rPr>
      </w:pPr>
    </w:p>
    <w:p>
      <w:pPr>
        <w:spacing w:after="0" w:line="35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Earned RPSRs and RSRs may be paid in shares, cash or a combination of shares and cash at the Compensation and Human Capital Committee’s discretion. An executive generally must remain employed through the vesting period to earn an award. Vesting for termination due to death, disability, retirement or change in control is discussed in the “Termination Payments and Benefits” section on page 80. Dividend equivalents accrue on both RPSR and RSR awards earned and will be paid upon distribution of the RPSRs and RSRs. Following the distribution, 50% of all net after-tax shares received are subject to a three-year mandatory holding requirement.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RESTRICTED PERFORMANCE STOCK RIGHTS</w:t>
      </w:r>
    </w:p>
    <w:p>
      <w:pPr>
        <w:spacing w:after="0" w:line="118"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The Compensation and Human Capital Committee evaluates RPSR performance requirements each year to ensure they are aligned with our business objectives. For the 2023 RPSR grant, the Compensation and Human Capital Committee determined that for the NEOs, performance metrics would be Relative Total Shareholder Return, Adjusted Cumulative FCF* and Return on Invested Capital* (ROIC), each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2023 RPSR grants can vary from 0% to 200% of the rights awarded.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Metric</w:t>
            </w:r>
          </w:p>
        </w:tc>
        <w:tc>
          <w:tcPr>
            <w:tcW w:w="1260" w:type="dxa"/>
            <w:vAlign w:val="bottom"/>
          </w:tcPr>
          <w:p>
            <w:pPr>
              <w:jc w:val="center"/>
              <w:ind w:left="244"/>
              <w:spacing w:after="0"/>
              <w:rPr>
                <w:sz w:val="20"/>
                <w:szCs w:val="20"/>
                <w:color w:val="auto"/>
              </w:rPr>
            </w:pPr>
            <w:r>
              <w:rPr>
                <w:rFonts w:ascii="Arial" w:cs="Arial" w:eastAsia="Arial" w:hAnsi="Arial"/>
                <w:sz w:val="13"/>
                <w:szCs w:val="13"/>
                <w:b w:val="1"/>
                <w:bCs w:val="1"/>
                <w:color w:val="auto"/>
                <w:w w:val="98"/>
              </w:rPr>
              <w:t>Weighting</w:t>
            </w:r>
          </w:p>
        </w:tc>
        <w:tc>
          <w:tcPr>
            <w:tcW w:w="7020" w:type="dxa"/>
            <w:vAlign w:val="bottom"/>
          </w:tcPr>
          <w:p>
            <w:pPr>
              <w:ind w:left="3300"/>
              <w:spacing w:after="0"/>
              <w:rPr>
                <w:sz w:val="20"/>
                <w:szCs w:val="20"/>
                <w:color w:val="auto"/>
              </w:rPr>
            </w:pPr>
            <w:r>
              <w:rPr>
                <w:rFonts w:ascii="Arial" w:cs="Arial" w:eastAsia="Arial" w:hAnsi="Arial"/>
                <w:sz w:val="13"/>
                <w:szCs w:val="13"/>
                <w:b w:val="1"/>
                <w:bCs w:val="1"/>
                <w:color w:val="auto"/>
              </w:rPr>
              <w:t>Rationale</w:t>
            </w:r>
          </w:p>
        </w:tc>
        <w:tc>
          <w:tcPr>
            <w:tcW w:w="0" w:type="dxa"/>
            <w:vAlign w:val="bottom"/>
          </w:tcPr>
          <w:p>
            <w:pPr>
              <w:spacing w:after="0"/>
              <w:rPr>
                <w:sz w:val="1"/>
                <w:szCs w:val="1"/>
                <w:color w:val="auto"/>
              </w:rPr>
            </w:pPr>
          </w:p>
        </w:tc>
      </w:tr>
      <w:tr>
        <w:trPr>
          <w:trHeight w:val="22"/>
        </w:trPr>
        <w:tc>
          <w:tcPr>
            <w:tcW w:w="296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c>
          <w:tcPr>
            <w:tcW w:w="70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Relative Total Shareholder Return</w:t>
            </w:r>
          </w:p>
        </w:tc>
        <w:tc>
          <w:tcPr>
            <w:tcW w:w="1260" w:type="dxa"/>
            <w:vAlign w:val="bottom"/>
            <w:tcBorders>
              <w:bottom w:val="single" w:sz="8" w:color="BCBEC0"/>
            </w:tcBorders>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Aligns the interests of executives with shareholders.</w:t>
            </w:r>
          </w:p>
        </w:tc>
        <w:tc>
          <w:tcPr>
            <w:tcW w:w="0" w:type="dxa"/>
            <w:vAlign w:val="bottom"/>
          </w:tcPr>
          <w:p>
            <w:pPr>
              <w:spacing w:after="0"/>
              <w:rPr>
                <w:sz w:val="1"/>
                <w:szCs w:val="1"/>
                <w:color w:val="auto"/>
              </w:rPr>
            </w:pPr>
          </w:p>
        </w:tc>
      </w:tr>
      <w:tr>
        <w:trPr>
          <w:trHeight w:val="202"/>
        </w:trPr>
        <w:tc>
          <w:tcPr>
            <w:tcW w:w="2960" w:type="dxa"/>
            <w:vAlign w:val="bottom"/>
            <w:vMerge w:val="restart"/>
          </w:tcPr>
          <w:p>
            <w:pPr>
              <w:ind w:left="20"/>
              <w:spacing w:after="0"/>
              <w:rPr>
                <w:sz w:val="20"/>
                <w:szCs w:val="20"/>
                <w:color w:val="auto"/>
              </w:rPr>
            </w:pPr>
            <w:r>
              <w:rPr>
                <w:rFonts w:ascii="Arial" w:cs="Arial" w:eastAsia="Arial" w:hAnsi="Arial"/>
                <w:sz w:val="16"/>
                <w:szCs w:val="16"/>
                <w:color w:val="auto"/>
              </w:rPr>
              <w:t>Adjusted Cumulative FCF*</w:t>
            </w:r>
          </w:p>
        </w:tc>
        <w:tc>
          <w:tcPr>
            <w:tcW w:w="1260" w:type="dxa"/>
            <w:vAlign w:val="bottom"/>
            <w:vMerge w:val="restart"/>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Pr>
          <w:p>
            <w:pPr>
              <w:ind w:left="180"/>
              <w:spacing w:after="0"/>
              <w:rPr>
                <w:sz w:val="20"/>
                <w:szCs w:val="20"/>
                <w:color w:val="auto"/>
              </w:rPr>
            </w:pPr>
            <w:r>
              <w:rPr>
                <w:rFonts w:ascii="Arial" w:cs="Arial" w:eastAsia="Arial" w:hAnsi="Arial"/>
                <w:sz w:val="16"/>
                <w:szCs w:val="16"/>
                <w:color w:val="auto"/>
              </w:rPr>
              <w:t>Focuses on cash generation to create shareholder value after investing in the business through</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7020" w:type="dxa"/>
            <w:vAlign w:val="bottom"/>
            <w:vMerge w:val="restart"/>
          </w:tcPr>
          <w:p>
            <w:pPr>
              <w:ind w:left="180"/>
              <w:spacing w:after="0"/>
              <w:rPr>
                <w:sz w:val="20"/>
                <w:szCs w:val="20"/>
                <w:color w:val="auto"/>
              </w:rPr>
            </w:pPr>
            <w:r>
              <w:rPr>
                <w:rFonts w:ascii="Arial" w:cs="Arial" w:eastAsia="Arial" w:hAnsi="Arial"/>
                <w:sz w:val="16"/>
                <w:szCs w:val="16"/>
                <w:color w:val="auto"/>
              </w:rPr>
              <w:t>capital expenditures.</w:t>
            </w: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BCBEC0"/>
            </w:tcBorders>
          </w:tcPr>
          <w:p>
            <w:pPr>
              <w:spacing w:after="0"/>
              <w:rPr>
                <w:sz w:val="2"/>
                <w:szCs w:val="2"/>
                <w:color w:val="auto"/>
              </w:rPr>
            </w:pPr>
          </w:p>
        </w:tc>
        <w:tc>
          <w:tcPr>
            <w:tcW w:w="1260" w:type="dxa"/>
            <w:vAlign w:val="bottom"/>
            <w:tcBorders>
              <w:bottom w:val="single" w:sz="8" w:color="BCBEC0"/>
            </w:tcBorders>
          </w:tcPr>
          <w:p>
            <w:pPr>
              <w:spacing w:after="0"/>
              <w:rPr>
                <w:sz w:val="2"/>
                <w:szCs w:val="2"/>
                <w:color w:val="auto"/>
              </w:rPr>
            </w:pPr>
          </w:p>
        </w:tc>
        <w:tc>
          <w:tcPr>
            <w:tcW w:w="70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Return on Invested Capital*</w:t>
            </w:r>
          </w:p>
        </w:tc>
        <w:tc>
          <w:tcPr>
            <w:tcW w:w="1260" w:type="dxa"/>
            <w:vAlign w:val="bottom"/>
            <w:tcBorders>
              <w:bottom w:val="single" w:sz="8" w:color="BCBEC0"/>
            </w:tcBorders>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Focuses on effective and profitable deployment of Invested Capital* resources</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RPSR Performance Measures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RPSR Metrics</w:t>
            </w:r>
          </w:p>
        </w:tc>
        <w:tc>
          <w:tcPr>
            <w:tcW w:w="8640" w:type="dxa"/>
            <w:vAlign w:val="bottom"/>
          </w:tcPr>
          <w:p>
            <w:pPr>
              <w:ind w:left="4040"/>
              <w:spacing w:after="0"/>
              <w:rPr>
                <w:sz w:val="20"/>
                <w:szCs w:val="20"/>
                <w:color w:val="auto"/>
              </w:rPr>
            </w:pPr>
            <w:r>
              <w:rPr>
                <w:rFonts w:ascii="Arial" w:cs="Arial" w:eastAsia="Arial" w:hAnsi="Arial"/>
                <w:sz w:val="13"/>
                <w:szCs w:val="13"/>
                <w:b w:val="1"/>
                <w:bCs w:val="1"/>
                <w:color w:val="auto"/>
              </w:rPr>
              <w:t>Calculation</w:t>
            </w:r>
          </w:p>
        </w:tc>
      </w:tr>
      <w:tr>
        <w:trPr>
          <w:trHeight w:val="22"/>
        </w:trPr>
        <w:tc>
          <w:tcPr>
            <w:tcW w:w="2240" w:type="dxa"/>
            <w:vAlign w:val="bottom"/>
            <w:tcBorders>
              <w:bottom w:val="single" w:sz="8" w:color="29378D"/>
            </w:tcBorders>
          </w:tcPr>
          <w:p>
            <w:pPr>
              <w:spacing w:after="0" w:line="20" w:lineRule="exact"/>
              <w:rPr>
                <w:sz w:val="1"/>
                <w:szCs w:val="1"/>
                <w:color w:val="auto"/>
              </w:rPr>
            </w:pPr>
          </w:p>
        </w:tc>
        <w:tc>
          <w:tcPr>
            <w:tcW w:w="8640" w:type="dxa"/>
            <w:vAlign w:val="bottom"/>
            <w:tcBorders>
              <w:bottom w:val="single" w:sz="8" w:color="29378D"/>
            </w:tcBorders>
          </w:tcPr>
          <w:p>
            <w:pPr>
              <w:spacing w:after="0" w:line="20" w:lineRule="exact"/>
              <w:rPr>
                <w:sz w:val="1"/>
                <w:szCs w:val="1"/>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RELATIVE TOTAL</w:t>
            </w:r>
          </w:p>
        </w:tc>
        <w:tc>
          <w:tcPr>
            <w:tcW w:w="8640" w:type="dxa"/>
            <w:vAlign w:val="bottom"/>
          </w:tcPr>
          <w:p>
            <w:pPr>
              <w:ind w:left="260"/>
              <w:spacing w:after="0"/>
              <w:rPr>
                <w:sz w:val="20"/>
                <w:szCs w:val="20"/>
                <w:color w:val="auto"/>
              </w:rPr>
            </w:pPr>
            <w:r>
              <w:rPr>
                <w:rFonts w:ascii="Arial" w:cs="Arial" w:eastAsia="Arial" w:hAnsi="Arial"/>
                <w:sz w:val="16"/>
                <w:szCs w:val="16"/>
                <w:color w:val="auto"/>
              </w:rPr>
              <w:t>Relative TSR (rTSR) is measured by comparing cumulative stock price appreciation with reinvestment of dividends</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SHAREHOLDER RETURN</w:t>
            </w:r>
          </w:p>
        </w:tc>
        <w:tc>
          <w:tcPr>
            <w:tcW w:w="8640" w:type="dxa"/>
            <w:vAlign w:val="bottom"/>
          </w:tcPr>
          <w:p>
            <w:pPr>
              <w:ind w:left="260"/>
              <w:spacing w:after="0"/>
              <w:rPr>
                <w:sz w:val="20"/>
                <w:szCs w:val="20"/>
                <w:color w:val="auto"/>
              </w:rPr>
            </w:pPr>
            <w:r>
              <w:rPr>
                <w:rFonts w:ascii="Arial" w:cs="Arial" w:eastAsia="Arial" w:hAnsi="Arial"/>
                <w:sz w:val="16"/>
                <w:szCs w:val="16"/>
                <w:color w:val="auto"/>
              </w:rPr>
              <w:t>over the three-year period to the TSR Peer Group (50% of rTSR portion of award) and to the S&amp;P Industrials (50% of</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rTSR portion of award), which comprises companies within the S&amp;P 500 classified as Industrials, reflecting the range</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of similar investment alternatives available to our shareholders. To smooth volatility in the market, the TSR</w:t>
            </w:r>
          </w:p>
        </w:tc>
      </w:tr>
      <w:tr>
        <w:trPr>
          <w:trHeight w:val="203"/>
        </w:trPr>
        <w:tc>
          <w:tcPr>
            <w:tcW w:w="2240" w:type="dxa"/>
            <w:vAlign w:val="bottom"/>
          </w:tcPr>
          <w:p>
            <w:pPr>
              <w:spacing w:after="0"/>
              <w:rPr>
                <w:sz w:val="17"/>
                <w:szCs w:val="17"/>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calculation is based on the average of the three-year returns for each of the 30 calendar days, starting from the grant</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date, to the last 30 days of the performance period. The maximum rTSR payout is capped at 100% of target shares if</w:t>
            </w:r>
          </w:p>
        </w:tc>
      </w:tr>
      <w:tr>
        <w:trPr>
          <w:trHeight w:val="215"/>
        </w:trPr>
        <w:tc>
          <w:tcPr>
            <w:tcW w:w="2240" w:type="dxa"/>
            <w:vAlign w:val="bottom"/>
          </w:tcPr>
          <w:p>
            <w:pPr>
              <w:spacing w:after="0"/>
              <w:rPr>
                <w:sz w:val="18"/>
                <w:szCs w:val="18"/>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the absolute TSR is negative, even if the rTSR would have resulted in a higher score.</w:t>
            </w:r>
          </w:p>
        </w:tc>
      </w:tr>
      <w:tr>
        <w:trPr>
          <w:trHeight w:val="29"/>
        </w:trPr>
        <w:tc>
          <w:tcPr>
            <w:tcW w:w="2240" w:type="dxa"/>
            <w:vAlign w:val="bottom"/>
            <w:tcBorders>
              <w:bottom w:val="single" w:sz="8" w:color="BCBEC0"/>
            </w:tcBorders>
          </w:tcPr>
          <w:p>
            <w:pPr>
              <w:spacing w:after="0"/>
              <w:rPr>
                <w:sz w:val="2"/>
                <w:szCs w:val="2"/>
                <w:color w:val="auto"/>
              </w:rPr>
            </w:pPr>
          </w:p>
        </w:tc>
        <w:tc>
          <w:tcPr>
            <w:tcW w:w="8640" w:type="dxa"/>
            <w:vAlign w:val="bottom"/>
            <w:tcBorders>
              <w:bottom w:val="single" w:sz="8" w:color="BCBEC0"/>
            </w:tcBorders>
          </w:tcPr>
          <w:p>
            <w:pPr>
              <w:spacing w:after="0"/>
              <w:rPr>
                <w:sz w:val="2"/>
                <w:szCs w:val="2"/>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ADJUSTED CUMULATIVE</w:t>
            </w:r>
          </w:p>
        </w:tc>
        <w:tc>
          <w:tcPr>
            <w:tcW w:w="8640" w:type="dxa"/>
            <w:vAlign w:val="bottom"/>
          </w:tcPr>
          <w:p>
            <w:pPr>
              <w:ind w:left="260"/>
              <w:spacing w:after="0"/>
              <w:rPr>
                <w:sz w:val="20"/>
                <w:szCs w:val="20"/>
                <w:color w:val="auto"/>
              </w:rPr>
            </w:pPr>
            <w:r>
              <w:rPr>
                <w:rFonts w:ascii="Arial" w:cs="Arial" w:eastAsia="Arial" w:hAnsi="Arial"/>
                <w:sz w:val="16"/>
                <w:szCs w:val="16"/>
                <w:color w:val="auto"/>
              </w:rPr>
              <w:t>Adjusted Cumulative FCF* focuses on cash generation after capital investments and is calculated as the aggregate</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FCF*</w:t>
            </w:r>
          </w:p>
        </w:tc>
        <w:tc>
          <w:tcPr>
            <w:tcW w:w="8640" w:type="dxa"/>
            <w:vAlign w:val="bottom"/>
          </w:tcPr>
          <w:p>
            <w:pPr>
              <w:ind w:left="260"/>
              <w:spacing w:after="0"/>
              <w:rPr>
                <w:sz w:val="20"/>
                <w:szCs w:val="20"/>
                <w:color w:val="auto"/>
              </w:rPr>
            </w:pPr>
            <w:r>
              <w:rPr>
                <w:rFonts w:ascii="Arial" w:cs="Arial" w:eastAsia="Arial" w:hAnsi="Arial"/>
                <w:sz w:val="16"/>
                <w:szCs w:val="16"/>
                <w:color w:val="auto"/>
              </w:rPr>
              <w:t>Transaction-Adjusted Free Cash Flow Before After-Tax Total Pension Funding*, adjusted to exclude total CAS</w:t>
            </w:r>
          </w:p>
        </w:tc>
      </w:tr>
      <w:tr>
        <w:trPr>
          <w:trHeight w:val="224"/>
        </w:trPr>
        <w:tc>
          <w:tcPr>
            <w:tcW w:w="2240" w:type="dxa"/>
            <w:vAlign w:val="bottom"/>
            <w:tcBorders>
              <w:bottom w:val="single" w:sz="8" w:color="BCBEC0"/>
            </w:tcBorders>
          </w:tcPr>
          <w:p>
            <w:pPr>
              <w:spacing w:after="0"/>
              <w:rPr>
                <w:sz w:val="19"/>
                <w:szCs w:val="19"/>
                <w:color w:val="auto"/>
              </w:rPr>
            </w:pPr>
          </w:p>
        </w:tc>
        <w:tc>
          <w:tcPr>
            <w:tcW w:w="8640" w:type="dxa"/>
            <w:vAlign w:val="bottom"/>
            <w:tcBorders>
              <w:bottom w:val="single" w:sz="8" w:color="BCBEC0"/>
            </w:tcBorders>
          </w:tcPr>
          <w:p>
            <w:pPr>
              <w:ind w:left="260"/>
              <w:spacing w:after="0"/>
              <w:rPr>
                <w:sz w:val="20"/>
                <w:szCs w:val="20"/>
                <w:color w:val="auto"/>
              </w:rPr>
            </w:pPr>
            <w:r>
              <w:rPr>
                <w:rFonts w:ascii="Arial" w:cs="Arial" w:eastAsia="Arial" w:hAnsi="Arial"/>
                <w:sz w:val="16"/>
                <w:szCs w:val="16"/>
                <w:color w:val="auto"/>
              </w:rPr>
              <w:t>pension recovery over a three year period.</w:t>
            </w:r>
          </w:p>
        </w:tc>
      </w:tr>
      <w:tr>
        <w:trPr>
          <w:trHeight w:val="242"/>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RETURN ON INVESTED</w:t>
            </w:r>
          </w:p>
        </w:tc>
        <w:tc>
          <w:tcPr>
            <w:tcW w:w="8640" w:type="dxa"/>
            <w:vAlign w:val="bottom"/>
          </w:tcPr>
          <w:p>
            <w:pPr>
              <w:ind w:left="260"/>
              <w:spacing w:after="0"/>
              <w:rPr>
                <w:sz w:val="20"/>
                <w:szCs w:val="20"/>
                <w:color w:val="auto"/>
              </w:rPr>
            </w:pPr>
            <w:r>
              <w:rPr>
                <w:rFonts w:ascii="Arial" w:cs="Arial" w:eastAsia="Arial" w:hAnsi="Arial"/>
                <w:sz w:val="16"/>
                <w:szCs w:val="16"/>
                <w:color w:val="auto"/>
              </w:rPr>
              <w:t>Return on Invested Capital* is calculated as the three-year average of Pension-Adjusted Net Operating Profit After-</w:t>
            </w:r>
          </w:p>
        </w:tc>
      </w:tr>
      <w:tr>
        <w:trPr>
          <w:trHeight w:val="22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CAPITAL*</w:t>
            </w:r>
          </w:p>
        </w:tc>
        <w:tc>
          <w:tcPr>
            <w:tcW w:w="8640" w:type="dxa"/>
            <w:vAlign w:val="bottom"/>
          </w:tcPr>
          <w:p>
            <w:pPr>
              <w:ind w:left="260"/>
              <w:spacing w:after="0"/>
              <w:rPr>
                <w:sz w:val="20"/>
                <w:szCs w:val="20"/>
                <w:color w:val="auto"/>
              </w:rPr>
            </w:pPr>
            <w:r>
              <w:rPr>
                <w:rFonts w:ascii="Arial" w:cs="Arial" w:eastAsia="Arial" w:hAnsi="Arial"/>
                <w:sz w:val="16"/>
                <w:szCs w:val="16"/>
                <w:color w:val="auto"/>
              </w:rPr>
              <w:t>Tax* (Pension-Adjusted NOPAT*) divided by the three-year average of Invested Capital*.</w:t>
            </w:r>
          </w:p>
        </w:tc>
      </w:tr>
      <w:tr>
        <w:trPr>
          <w:trHeight w:val="21"/>
        </w:trPr>
        <w:tc>
          <w:tcPr>
            <w:tcW w:w="2240" w:type="dxa"/>
            <w:vAlign w:val="bottom"/>
            <w:tcBorders>
              <w:bottom w:val="single" w:sz="8" w:color="BCBEC0"/>
            </w:tcBorders>
          </w:tcPr>
          <w:p>
            <w:pPr>
              <w:spacing w:after="0" w:line="20" w:lineRule="exact"/>
              <w:rPr>
                <w:sz w:val="1"/>
                <w:szCs w:val="1"/>
                <w:color w:val="auto"/>
              </w:rPr>
            </w:pPr>
          </w:p>
        </w:tc>
        <w:tc>
          <w:tcPr>
            <w:tcW w:w="8640" w:type="dxa"/>
            <w:vAlign w:val="bottom"/>
            <w:tcBorders>
              <w:bottom w:val="single" w:sz="8" w:color="BCBEC0"/>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494"/>
        <w:spacing w:after="0"/>
        <w:tabs>
          <w:tab w:leader="none" w:pos="520" w:val="left"/>
        </w:tabs>
        <w:numPr>
          <w:ilvl w:val="0"/>
          <w:numId w:val="12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6D6E71"/>
        </w:rPr>
        <w:t>Recently Completed RPSR Performance Period (2021-2023)</w:t>
      </w:r>
    </w:p>
    <w:p>
      <w:pPr>
        <w:spacing w:after="0" w:line="11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February 2021, when granting RPSRs to NEOs who were elected officers at the time of the grant, the Compensation and Human Capital Committee selected rTSR, Adjusted Cumulative FCF* and Operating Return on Net Assets*, equally weighted at 1/3, as the performance metrics for the awards and established the performance criteria for the awards as set forth in the table below. Based on the performance against these metrics, shares earned for 2021 RPSR grants can vary from 0% to 200% of the rights awarded.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Performance Required to Score</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Threshold</w:t>
            </w:r>
          </w:p>
        </w:tc>
        <w:tc>
          <w:tcPr>
            <w:tcW w:w="1320" w:type="dxa"/>
            <w:vAlign w:val="bottom"/>
          </w:tcPr>
          <w:p>
            <w:pPr>
              <w:jc w:val="center"/>
              <w:ind w:left="717"/>
              <w:spacing w:after="0"/>
              <w:rPr>
                <w:sz w:val="20"/>
                <w:szCs w:val="20"/>
                <w:color w:val="auto"/>
              </w:rPr>
            </w:pPr>
            <w:r>
              <w:rPr>
                <w:rFonts w:ascii="Arial" w:cs="Arial" w:eastAsia="Arial" w:hAnsi="Arial"/>
                <w:sz w:val="13"/>
                <w:szCs w:val="13"/>
                <w:b w:val="1"/>
                <w:bCs w:val="1"/>
                <w:color w:val="auto"/>
                <w:w w:val="95"/>
              </w:rPr>
              <w:t>Target</w:t>
            </w:r>
          </w:p>
        </w:tc>
        <w:tc>
          <w:tcPr>
            <w:tcW w:w="800" w:type="dxa"/>
            <w:vAlign w:val="bottom"/>
          </w:tcPr>
          <w:p>
            <w:pPr>
              <w:spacing w:after="0"/>
              <w:rPr>
                <w:sz w:val="18"/>
                <w:szCs w:val="18"/>
                <w:color w:val="auto"/>
              </w:rPr>
            </w:pP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Maximum</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jc w:val="center"/>
              <w:ind w:right="137"/>
              <w:spacing w:after="0"/>
              <w:rPr>
                <w:sz w:val="20"/>
                <w:szCs w:val="20"/>
                <w:color w:val="auto"/>
              </w:rPr>
            </w:pPr>
            <w:r>
              <w:rPr>
                <w:rFonts w:ascii="Arial" w:cs="Arial" w:eastAsia="Arial" w:hAnsi="Arial"/>
                <w:sz w:val="13"/>
                <w:szCs w:val="13"/>
                <w:b w:val="1"/>
                <w:bCs w:val="1"/>
                <w:color w:val="auto"/>
                <w:w w:val="92"/>
              </w:rPr>
              <w:t>Low</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High</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RPSR Metrics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Weighting</w:t>
            </w:r>
          </w:p>
        </w:tc>
        <w:tc>
          <w:tcPr>
            <w:tcW w:w="920" w:type="dxa"/>
            <w:vAlign w:val="bottom"/>
          </w:tcPr>
          <w:p>
            <w:pPr>
              <w:jc w:val="right"/>
              <w:ind w:right="277"/>
              <w:spacing w:after="0"/>
              <w:rPr>
                <w:sz w:val="20"/>
                <w:szCs w:val="20"/>
                <w:color w:val="auto"/>
              </w:rPr>
            </w:pPr>
            <w:r>
              <w:rPr>
                <w:rFonts w:ascii="Arial" w:cs="Arial" w:eastAsia="Arial" w:hAnsi="Arial"/>
                <w:sz w:val="13"/>
                <w:szCs w:val="13"/>
                <w:b w:val="1"/>
                <w:bCs w:val="1"/>
                <w:color w:val="auto"/>
              </w:rPr>
              <w:t>0%</w:t>
            </w:r>
          </w:p>
        </w:tc>
        <w:tc>
          <w:tcPr>
            <w:tcW w:w="1320" w:type="dxa"/>
            <w:vAlign w:val="bottom"/>
          </w:tcPr>
          <w:p>
            <w:pPr>
              <w:jc w:val="right"/>
              <w:ind w:right="537"/>
              <w:spacing w:after="0"/>
              <w:rPr>
                <w:sz w:val="20"/>
                <w:szCs w:val="20"/>
                <w:color w:val="auto"/>
              </w:rPr>
            </w:pPr>
            <w:r>
              <w:rPr>
                <w:rFonts w:ascii="Arial" w:cs="Arial" w:eastAsia="Arial" w:hAnsi="Arial"/>
                <w:sz w:val="13"/>
                <w:szCs w:val="13"/>
                <w:b w:val="1"/>
                <w:bCs w:val="1"/>
                <w:color w:val="auto"/>
              </w:rPr>
              <w:t>100%</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100%</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200%</w:t>
            </w: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2023 Score</w:t>
            </w:r>
          </w:p>
        </w:tc>
        <w:tc>
          <w:tcPr>
            <w:tcW w:w="0" w:type="dxa"/>
            <w:vAlign w:val="bottom"/>
          </w:tcPr>
          <w:p>
            <w:pPr>
              <w:spacing w:after="0"/>
              <w:rPr>
                <w:sz w:val="1"/>
                <w:szCs w:val="1"/>
                <w:color w:val="auto"/>
              </w:rPr>
            </w:pPr>
          </w:p>
        </w:tc>
      </w:tr>
      <w:tr>
        <w:trPr>
          <w:trHeight w:val="22"/>
        </w:trPr>
        <w:tc>
          <w:tcPr>
            <w:tcW w:w="250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Relative TSR - 2021 TSR Peer</w:t>
            </w: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vMerge w:val="continue"/>
          </w:tcPr>
          <w:p>
            <w:pPr>
              <w:spacing w:after="0"/>
              <w:rPr>
                <w:sz w:val="15"/>
                <w:szCs w:val="15"/>
                <w:color w:val="auto"/>
              </w:rPr>
            </w:pPr>
          </w:p>
        </w:tc>
        <w:tc>
          <w:tcPr>
            <w:tcW w:w="1340" w:type="dxa"/>
            <w:vAlign w:val="bottom"/>
            <w:tcBorders>
              <w:left w:val="single" w:sz="8" w:color="CCD4DB"/>
            </w:tcBorders>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Group</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340" w:type="dxa"/>
            <w:vAlign w:val="bottom"/>
            <w:tcBorders>
              <w:left w:val="single" w:sz="8" w:color="CCD4DB"/>
            </w:tcBorders>
          </w:tcPr>
          <w:p>
            <w:pPr>
              <w:spacing w:after="0"/>
              <w:rPr>
                <w:sz w:val="5"/>
                <w:szCs w:val="5"/>
                <w:color w:val="auto"/>
              </w:rPr>
            </w:pPr>
          </w:p>
        </w:tc>
        <w:tc>
          <w:tcPr>
            <w:tcW w:w="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Relative TSR - S&amp;P Industrials</w:t>
            </w: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Borders>
              <w:bottom w:val="single" w:sz="8" w:color="BCBEC0"/>
            </w:tcBorders>
          </w:tcPr>
          <w:p>
            <w:pPr>
              <w:spacing w:after="0"/>
              <w:rPr>
                <w:sz w:val="24"/>
                <w:szCs w:val="24"/>
                <w:color w:val="auto"/>
              </w:rPr>
            </w:pPr>
          </w:p>
        </w:tc>
        <w:tc>
          <w:tcPr>
            <w:tcW w:w="1320" w:type="dxa"/>
            <w:vAlign w:val="bottom"/>
            <w:tcBorders>
              <w:bottom w:val="single" w:sz="8" w:color="BCBEC0"/>
            </w:tcBorders>
          </w:tcPr>
          <w:p>
            <w:pPr>
              <w:spacing w:after="0"/>
              <w:rPr>
                <w:sz w:val="24"/>
                <w:szCs w:val="24"/>
                <w:color w:val="auto"/>
              </w:rPr>
            </w:pPr>
          </w:p>
        </w:tc>
        <w:tc>
          <w:tcPr>
            <w:tcW w:w="800" w:type="dxa"/>
            <w:vAlign w:val="bottom"/>
            <w:tcBorders>
              <w:bottom w:val="single" w:sz="8" w:color="BCBEC0"/>
            </w:tcBorders>
          </w:tcPr>
          <w:p>
            <w:pPr>
              <w:spacing w:after="0"/>
              <w:rPr>
                <w:sz w:val="24"/>
                <w:szCs w:val="24"/>
                <w:color w:val="auto"/>
              </w:rPr>
            </w:pPr>
          </w:p>
        </w:tc>
        <w:tc>
          <w:tcPr>
            <w:tcW w:w="900" w:type="dxa"/>
            <w:vAlign w:val="bottom"/>
            <w:tcBorders>
              <w:bottom w:val="single" w:sz="8" w:color="BCBEC0"/>
            </w:tcBorders>
          </w:tcPr>
          <w:p>
            <w:pPr>
              <w:spacing w:after="0"/>
              <w:rPr>
                <w:sz w:val="24"/>
                <w:szCs w:val="24"/>
                <w:color w:val="auto"/>
              </w:rPr>
            </w:pPr>
          </w:p>
        </w:tc>
        <w:tc>
          <w:tcPr>
            <w:tcW w:w="960" w:type="dxa"/>
            <w:vAlign w:val="bottom"/>
            <w:tcBorders>
              <w:bottom w:val="single" w:sz="8" w:color="CCD4DB"/>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00" w:type="dxa"/>
            <w:vAlign w:val="bottom"/>
            <w:vMerge w:val="continue"/>
          </w:tcPr>
          <w:p>
            <w:pPr>
              <w:spacing w:after="0"/>
              <w:rPr>
                <w:sz w:val="16"/>
                <w:szCs w:val="16"/>
                <w:color w:val="auto"/>
              </w:rPr>
            </w:pPr>
          </w:p>
        </w:tc>
        <w:tc>
          <w:tcPr>
            <w:tcW w:w="1340" w:type="dxa"/>
            <w:vAlign w:val="bottom"/>
            <w:tcBorders>
              <w:left w:val="single" w:sz="8" w:color="CCD4DB"/>
            </w:tcBorders>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1340" w:type="dxa"/>
            <w:vAlign w:val="bottom"/>
            <w:tcBorders>
              <w:left w:val="single" w:sz="8" w:color="CCD4DB"/>
            </w:tcBorders>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r>
        <w:trPr>
          <w:trHeight w:val="326"/>
        </w:trPr>
        <w:tc>
          <w:tcPr>
            <w:tcW w:w="2500" w:type="dxa"/>
            <w:vAlign w:val="bottom"/>
            <w:tcBorders>
              <w:bottom w:val="single" w:sz="8" w:color="CCD4DB"/>
            </w:tcBorders>
          </w:tcPr>
          <w:p>
            <w:pPr>
              <w:spacing w:after="0"/>
              <w:rPr>
                <w:sz w:val="24"/>
                <w:szCs w:val="24"/>
                <w:color w:val="auto"/>
              </w:rPr>
            </w:pPr>
          </w:p>
        </w:tc>
        <w:tc>
          <w:tcPr>
            <w:tcW w:w="1340" w:type="dxa"/>
            <w:vAlign w:val="bottom"/>
            <w:tcBorders>
              <w:left w:val="single" w:sz="8" w:color="CCD4DB"/>
              <w:bottom w:val="single" w:sz="8" w:color="CCD4DB"/>
            </w:tcBorders>
          </w:tcPr>
          <w:p>
            <w:pPr>
              <w:spacing w:after="0"/>
              <w:rPr>
                <w:sz w:val="24"/>
                <w:szCs w:val="24"/>
                <w:color w:val="auto"/>
              </w:rPr>
            </w:pPr>
          </w:p>
        </w:tc>
        <w:tc>
          <w:tcPr>
            <w:tcW w:w="920" w:type="dxa"/>
            <w:vAlign w:val="bottom"/>
            <w:tcBorders>
              <w:bottom w:val="single" w:sz="8" w:color="CCD4DB"/>
            </w:tcBorders>
          </w:tcPr>
          <w:p>
            <w:pPr>
              <w:spacing w:after="0"/>
              <w:rPr>
                <w:sz w:val="24"/>
                <w:szCs w:val="24"/>
                <w:color w:val="auto"/>
              </w:rPr>
            </w:pPr>
          </w:p>
        </w:tc>
        <w:tc>
          <w:tcPr>
            <w:tcW w:w="1320" w:type="dxa"/>
            <w:vAlign w:val="bottom"/>
            <w:tcBorders>
              <w:bottom w:val="single" w:sz="8" w:color="CCD4DB"/>
            </w:tcBorders>
          </w:tcPr>
          <w:p>
            <w:pPr>
              <w:spacing w:after="0"/>
              <w:rPr>
                <w:sz w:val="24"/>
                <w:szCs w:val="24"/>
                <w:color w:val="auto"/>
              </w:rPr>
            </w:pPr>
          </w:p>
        </w:tc>
        <w:tc>
          <w:tcPr>
            <w:tcW w:w="800" w:type="dxa"/>
            <w:vAlign w:val="bottom"/>
            <w:tcBorders>
              <w:bottom w:val="single" w:sz="8" w:color="CCD4DB"/>
            </w:tcBorders>
          </w:tcPr>
          <w:p>
            <w:pPr>
              <w:spacing w:after="0"/>
              <w:rPr>
                <w:sz w:val="24"/>
                <w:szCs w:val="24"/>
                <w:color w:val="auto"/>
              </w:rPr>
            </w:pPr>
          </w:p>
        </w:tc>
        <w:tc>
          <w:tcPr>
            <w:tcW w:w="900" w:type="dxa"/>
            <w:vAlign w:val="bottom"/>
            <w:tcBorders>
              <w:bottom w:val="single" w:sz="8" w:color="CCD4DB"/>
            </w:tcBorders>
          </w:tcPr>
          <w:p>
            <w:pPr>
              <w:spacing w:after="0"/>
              <w:rPr>
                <w:sz w:val="24"/>
                <w:szCs w:val="24"/>
                <w:color w:val="auto"/>
              </w:rPr>
            </w:pPr>
          </w:p>
        </w:tc>
        <w:tc>
          <w:tcPr>
            <w:tcW w:w="960" w:type="dxa"/>
            <w:vAlign w:val="bottom"/>
            <w:tcBorders>
              <w:bottom w:val="single" w:sz="8" w:color="CCD4DB"/>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Adjusted Cumulative FCF*</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r>
        <w:trPr>
          <w:trHeight w:val="272"/>
        </w:trPr>
        <w:tc>
          <w:tcPr>
            <w:tcW w:w="2500" w:type="dxa"/>
            <w:vAlign w:val="bottom"/>
            <w:tcBorders>
              <w:bottom w:val="single" w:sz="8" w:color="CCD4DB"/>
            </w:tcBorders>
          </w:tcPr>
          <w:p>
            <w:pPr>
              <w:spacing w:after="0"/>
              <w:rPr>
                <w:sz w:val="23"/>
                <w:szCs w:val="23"/>
                <w:color w:val="auto"/>
              </w:rPr>
            </w:pPr>
          </w:p>
        </w:tc>
        <w:tc>
          <w:tcPr>
            <w:tcW w:w="1340" w:type="dxa"/>
            <w:vAlign w:val="bottom"/>
            <w:tcBorders>
              <w:left w:val="single" w:sz="8" w:color="CCD4DB"/>
              <w:bottom w:val="single" w:sz="8" w:color="CCD4DB"/>
            </w:tcBorders>
          </w:tcPr>
          <w:p>
            <w:pPr>
              <w:spacing w:after="0"/>
              <w:rPr>
                <w:sz w:val="23"/>
                <w:szCs w:val="23"/>
                <w:color w:val="auto"/>
              </w:rPr>
            </w:pPr>
          </w:p>
        </w:tc>
        <w:tc>
          <w:tcPr>
            <w:tcW w:w="920" w:type="dxa"/>
            <w:vAlign w:val="bottom"/>
            <w:tcBorders>
              <w:bottom w:val="single" w:sz="8" w:color="CCD4DB"/>
            </w:tcBorders>
          </w:tcPr>
          <w:p>
            <w:pPr>
              <w:spacing w:after="0"/>
              <w:rPr>
                <w:sz w:val="23"/>
                <w:szCs w:val="23"/>
                <w:color w:val="auto"/>
              </w:rPr>
            </w:pPr>
          </w:p>
        </w:tc>
        <w:tc>
          <w:tcPr>
            <w:tcW w:w="1320" w:type="dxa"/>
            <w:vAlign w:val="bottom"/>
            <w:tcBorders>
              <w:bottom w:val="single" w:sz="8" w:color="CCD4DB"/>
            </w:tcBorders>
          </w:tcPr>
          <w:p>
            <w:pPr>
              <w:spacing w:after="0"/>
              <w:rPr>
                <w:sz w:val="23"/>
                <w:szCs w:val="23"/>
                <w:color w:val="auto"/>
              </w:rPr>
            </w:pPr>
          </w:p>
        </w:tc>
        <w:tc>
          <w:tcPr>
            <w:tcW w:w="800" w:type="dxa"/>
            <w:vAlign w:val="bottom"/>
            <w:tcBorders>
              <w:bottom w:val="single" w:sz="8" w:color="CCD4DB"/>
            </w:tcBorders>
          </w:tcPr>
          <w:p>
            <w:pPr>
              <w:spacing w:after="0"/>
              <w:rPr>
                <w:sz w:val="23"/>
                <w:szCs w:val="23"/>
                <w:color w:val="auto"/>
              </w:rPr>
            </w:pPr>
          </w:p>
        </w:tc>
        <w:tc>
          <w:tcPr>
            <w:tcW w:w="900" w:type="dxa"/>
            <w:vAlign w:val="bottom"/>
            <w:tcBorders>
              <w:bottom w:val="single" w:sz="8" w:color="CCD4DB"/>
            </w:tcBorders>
          </w:tcPr>
          <w:p>
            <w:pPr>
              <w:spacing w:after="0"/>
              <w:rPr>
                <w:sz w:val="23"/>
                <w:szCs w:val="23"/>
                <w:color w:val="auto"/>
              </w:rPr>
            </w:pPr>
          </w:p>
        </w:tc>
        <w:tc>
          <w:tcPr>
            <w:tcW w:w="960" w:type="dxa"/>
            <w:vAlign w:val="bottom"/>
            <w:tcBorders>
              <w:bottom w:val="single" w:sz="8" w:color="CCD4DB"/>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Operating Return on Net Assets*</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r>
        <w:trPr>
          <w:trHeight w:val="272"/>
        </w:trPr>
        <w:tc>
          <w:tcPr>
            <w:tcW w:w="2500" w:type="dxa"/>
            <w:vAlign w:val="bottom"/>
            <w:tcBorders>
              <w:bottom w:val="single" w:sz="8" w:color="29378D"/>
            </w:tcBorders>
          </w:tcPr>
          <w:p>
            <w:pPr>
              <w:spacing w:after="0"/>
              <w:rPr>
                <w:sz w:val="23"/>
                <w:szCs w:val="23"/>
                <w:color w:val="auto"/>
              </w:rPr>
            </w:pPr>
          </w:p>
        </w:tc>
        <w:tc>
          <w:tcPr>
            <w:tcW w:w="1340" w:type="dxa"/>
            <w:vAlign w:val="bottom"/>
            <w:tcBorders>
              <w:left w:val="single" w:sz="8" w:color="CCD4DB"/>
              <w:bottom w:val="single" w:sz="8" w:color="29378D"/>
            </w:tcBorders>
          </w:tcPr>
          <w:p>
            <w:pPr>
              <w:spacing w:after="0"/>
              <w:rPr>
                <w:sz w:val="23"/>
                <w:szCs w:val="23"/>
                <w:color w:val="auto"/>
              </w:rPr>
            </w:pPr>
          </w:p>
        </w:tc>
        <w:tc>
          <w:tcPr>
            <w:tcW w:w="920" w:type="dxa"/>
            <w:vAlign w:val="bottom"/>
            <w:tcBorders>
              <w:bottom w:val="single" w:sz="8" w:color="00249C"/>
            </w:tcBorders>
          </w:tcPr>
          <w:p>
            <w:pPr>
              <w:spacing w:after="0"/>
              <w:rPr>
                <w:sz w:val="23"/>
                <w:szCs w:val="23"/>
                <w:color w:val="auto"/>
              </w:rPr>
            </w:pPr>
          </w:p>
        </w:tc>
        <w:tc>
          <w:tcPr>
            <w:tcW w:w="1320" w:type="dxa"/>
            <w:vAlign w:val="bottom"/>
            <w:tcBorders>
              <w:bottom w:val="single" w:sz="8" w:color="00249C"/>
            </w:tcBorders>
          </w:tcPr>
          <w:p>
            <w:pPr>
              <w:spacing w:after="0"/>
              <w:rPr>
                <w:sz w:val="23"/>
                <w:szCs w:val="23"/>
                <w:color w:val="auto"/>
              </w:rPr>
            </w:pPr>
          </w:p>
        </w:tc>
        <w:tc>
          <w:tcPr>
            <w:tcW w:w="800" w:type="dxa"/>
            <w:vAlign w:val="bottom"/>
            <w:tcBorders>
              <w:bottom w:val="single" w:sz="8" w:color="00249C"/>
            </w:tcBorders>
          </w:tcPr>
          <w:p>
            <w:pPr>
              <w:spacing w:after="0"/>
              <w:rPr>
                <w:sz w:val="23"/>
                <w:szCs w:val="23"/>
                <w:color w:val="auto"/>
              </w:rPr>
            </w:pPr>
          </w:p>
        </w:tc>
        <w:tc>
          <w:tcPr>
            <w:tcW w:w="900" w:type="dxa"/>
            <w:vAlign w:val="bottom"/>
            <w:tcBorders>
              <w:bottom w:val="single" w:sz="8" w:color="00249C"/>
            </w:tcBorders>
          </w:tcPr>
          <w:p>
            <w:pPr>
              <w:spacing w:after="0"/>
              <w:rPr>
                <w:sz w:val="23"/>
                <w:szCs w:val="23"/>
                <w:color w:val="auto"/>
              </w:rPr>
            </w:pPr>
          </w:p>
        </w:tc>
        <w:tc>
          <w:tcPr>
            <w:tcW w:w="960" w:type="dxa"/>
            <w:vAlign w:val="bottom"/>
            <w:tcBorders>
              <w:bottom w:val="single" w:sz="8" w:color="00249C"/>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6"/>
                <w:szCs w:val="16"/>
                <w:color w:val="auto"/>
              </w:rPr>
              <w:t>RPSR Performance Factor**</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48"/>
        </w:trPr>
        <w:tc>
          <w:tcPr>
            <w:tcW w:w="2500" w:type="dxa"/>
            <w:vAlign w:val="bottom"/>
            <w:tcBorders>
              <w:bottom w:val="single" w:sz="8" w:color="29378D"/>
            </w:tcBorders>
          </w:tcPr>
          <w:p>
            <w:pPr>
              <w:spacing w:after="0"/>
              <w:rPr>
                <w:sz w:val="4"/>
                <w:szCs w:val="4"/>
                <w:color w:val="auto"/>
              </w:rPr>
            </w:pPr>
          </w:p>
        </w:tc>
        <w:tc>
          <w:tcPr>
            <w:tcW w:w="1340" w:type="dxa"/>
            <w:vAlign w:val="bottom"/>
            <w:tcBorders>
              <w:bottom w:val="single" w:sz="8" w:color="29378D"/>
            </w:tcBorders>
          </w:tcPr>
          <w:p>
            <w:pPr>
              <w:spacing w:after="0"/>
              <w:rPr>
                <w:sz w:val="4"/>
                <w:szCs w:val="4"/>
                <w:color w:val="auto"/>
              </w:rPr>
            </w:pPr>
          </w:p>
        </w:tc>
        <w:tc>
          <w:tcPr>
            <w:tcW w:w="920" w:type="dxa"/>
            <w:vAlign w:val="bottom"/>
            <w:tcBorders>
              <w:bottom w:val="single" w:sz="8" w:color="00249C"/>
            </w:tcBorders>
          </w:tcPr>
          <w:p>
            <w:pPr>
              <w:spacing w:after="0"/>
              <w:rPr>
                <w:sz w:val="4"/>
                <w:szCs w:val="4"/>
                <w:color w:val="auto"/>
              </w:rPr>
            </w:pPr>
          </w:p>
        </w:tc>
        <w:tc>
          <w:tcPr>
            <w:tcW w:w="1320" w:type="dxa"/>
            <w:vAlign w:val="bottom"/>
            <w:tcBorders>
              <w:bottom w:val="single" w:sz="8" w:color="00249C"/>
            </w:tcBorders>
          </w:tcPr>
          <w:p>
            <w:pPr>
              <w:spacing w:after="0"/>
              <w:rPr>
                <w:sz w:val="4"/>
                <w:szCs w:val="4"/>
                <w:color w:val="auto"/>
              </w:rPr>
            </w:pPr>
          </w:p>
        </w:tc>
        <w:tc>
          <w:tcPr>
            <w:tcW w:w="800" w:type="dxa"/>
            <w:vAlign w:val="bottom"/>
            <w:tcBorders>
              <w:bottom w:val="single" w:sz="8" w:color="00249C"/>
            </w:tcBorders>
          </w:tcPr>
          <w:p>
            <w:pPr>
              <w:spacing w:after="0"/>
              <w:rPr>
                <w:sz w:val="4"/>
                <w:szCs w:val="4"/>
                <w:color w:val="auto"/>
              </w:rPr>
            </w:pPr>
          </w:p>
        </w:tc>
        <w:tc>
          <w:tcPr>
            <w:tcW w:w="900" w:type="dxa"/>
            <w:vAlign w:val="bottom"/>
            <w:tcBorders>
              <w:bottom w:val="single" w:sz="8" w:color="00249C"/>
            </w:tcBorders>
          </w:tcPr>
          <w:p>
            <w:pPr>
              <w:spacing w:after="0"/>
              <w:rPr>
                <w:sz w:val="4"/>
                <w:szCs w:val="4"/>
                <w:color w:val="auto"/>
              </w:rPr>
            </w:pPr>
          </w:p>
        </w:tc>
        <w:tc>
          <w:tcPr>
            <w:tcW w:w="960" w:type="dxa"/>
            <w:vAlign w:val="bottom"/>
            <w:tcBorders>
              <w:bottom w:val="single" w:sz="8" w:color="00249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-2125345</wp:posOffset>
            </wp:positionV>
            <wp:extent cx="2280285" cy="3600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-1619885</wp:posOffset>
            </wp:positionV>
            <wp:extent cx="2280285" cy="360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-1113790</wp:posOffset>
            </wp:positionV>
            <wp:extent cx="2280285" cy="3600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-633730</wp:posOffset>
            </wp:positionV>
            <wp:extent cx="2280285" cy="3511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80285" cy="3511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123" w:lineRule="exact"/>
        <w:rPr>
          <w:sz w:val="20"/>
          <w:szCs w:val="20"/>
          <w:color w:val="auto"/>
        </w:rPr>
      </w:pPr>
    </w:p>
    <w:p>
      <w:pPr>
        <w:ind w:left="200" w:right="100" w:hanging="192"/>
        <w:spacing w:after="0" w:line="264" w:lineRule="auto"/>
        <w:tabs>
          <w:tab w:leader="none" w:pos="158"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 approved by the Compensation and Human Capital Committee, Adjusted Cumulative FCF* and Operating Return on Net Assets* metrics for the 2021 RPSRs were adjusted, as applicable, to neutralize the impact of business conditions and certain costs unforeseen at the time of grant setting. Adjustments include federal and state taxes related to the sale of minority investments, CAS variance to plan, the IT services divestiture, impacts related to international trade restrictions, landlord funded leasehold improvements, and the impact of a charge associated with the low-rate initial production phase of the B-21 program. The Committee believed that this adjustment was appropriate as the charge was largely associated with fixed pricing established nearly 10 years ago for options on the low rate initial production phase of the program, and therefore, inclusion of the charge would not be reflective of the Company's strong financial performance during the vesting period. All adjustments were made by the Committee using its discretion, as provided in our plan, to measure 2021-2023 performance while maintaining flexibility to provide equitable adjustments that address the impact of material non-operational and unforeseen events. Details are outlined in Appendix A - Use of Non-GAAP Financial Measures.</w:t>
      </w:r>
    </w:p>
    <w:p>
      <w:pPr>
        <w:spacing w:after="0" w:line="200" w:lineRule="exact"/>
        <w:rPr>
          <w:sz w:val="20"/>
          <w:szCs w:val="20"/>
          <w:color w:val="auto"/>
        </w:rPr>
      </w:pPr>
    </w:p>
    <w:p>
      <w:pPr>
        <w:spacing w:after="0" w:line="228"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In February 2024, the Compensation and Human Capital Committee reviewed performance for the January 1, 2021 to December 31, 2023 RPSR performance period. The combined weighted score for the metrics generated an overall performance score of 141%.</w:t>
      </w:r>
    </w:p>
    <w:p>
      <w:pPr>
        <w:spacing w:after="0" w:line="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In February 2024, the NEOs received payouts in stock with respect to the outstanding RPSR awards that were granted in February 2021 for the three-year performance period ending December 31, 2023 (as described further in footnote three of the Outstanding Equity Awards Table on page 74).</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Other NEO Benefits</w:t>
      </w:r>
    </w:p>
    <w:p>
      <w:pPr>
        <w:spacing w:after="0" w:line="12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Retirement Benefits</w:t>
      </w:r>
    </w:p>
    <w:p>
      <w:pPr>
        <w:spacing w:after="0" w:line="13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benefits. Compensation, age and years of service factor into the amount of benefits provided under the plans. Thus, the plans are structured to reward and retain employees of long service and recognize higher performance levels as evidenced by increases in annual pay. The nonqualified supplemental defined benefit plans in which our NEOs participate were frozen as to pay and service as of December 31, 2014.</w:t>
      </w:r>
    </w:p>
    <w:p>
      <w:pPr>
        <w:spacing w:after="0" w:line="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Compensation and Human Capital Committee assesses aggregate benefits available to the NEOs and has previously imposed an overall cap, generally limited to no more than 60% of final average pay, on pension benefits for the NEOs (except for small variations due to contractual restrictions under the plans). Additional information about these retirement plans and the NEO benefits under these plans can be found in the Pension Benefits Table and Nonqualified Deferred Compensation Table, on pages 76 and 79,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Perquisites</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NEOs are eligible for certain limited executive perquisites that include financial planning and income tax preparation, physical exams and personal liability insurance. The Compensation and Human Capital Committee believes these perquisites are common within the competitive market for total compensation packages for executives and are useful in attracting, retaining and motivating talented executives. Perquisites provided to the NEOs in 2023 are detailed in the Summary Compensation Table on page 71.</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Security Arrangements</w:t>
      </w:r>
    </w:p>
    <w:p>
      <w:pPr>
        <w:spacing w:after="0" w:line="13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Given the nature of our business, we maintain a comprehensive security program. Executive protection, including residential and/or travel, is based on a risk assessment and may change based on the individual’s profile. These security requirements are continuously assessed for each member and provided to the Board for informational purposes generally every three years.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spacing w:after="0" w:line="6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regularly review the nature of the security threat and associated vulnerabilities with law enforcement and security specialists and will continue to adapt our security program as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Severance Benefits</w:t>
      </w:r>
    </w:p>
    <w:p>
      <w:pPr>
        <w:spacing w:after="0" w:line="13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a qualified termination, and to ensure certain benefits for the Company.</w:t>
      </w:r>
    </w:p>
    <w:p>
      <w:pPr>
        <w:spacing w:after="0" w:line="7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do not maintain any change in control (CIC) severance plans. In addition, we do not provide excise tax gross-ups for any payments received upon termination after a change in control.</w:t>
      </w:r>
    </w:p>
    <w:p>
      <w:pPr>
        <w:spacing w:after="0" w:line="4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Upon a “qualifying termination” (defined below) the Company may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18-month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 “qualifying termination” includes one of the following: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494"/>
        <w:spacing w:after="0"/>
        <w:tabs>
          <w:tab w:leader="none" w:pos="520" w:val="left"/>
        </w:tabs>
        <w:numPr>
          <w:ilvl w:val="0"/>
          <w:numId w:val="12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126"/>
        </w:numPr>
        <w:rPr>
          <w:rFonts w:ascii="Arial" w:cs="Arial" w:eastAsia="Arial" w:hAnsi="Arial"/>
          <w:sz w:val="16"/>
          <w:szCs w:val="16"/>
          <w:b w:val="1"/>
          <w:bCs w:val="1"/>
          <w:color w:val="29378D"/>
        </w:rPr>
      </w:pPr>
      <w:r>
        <w:rPr>
          <w:rFonts w:ascii="Arial" w:cs="Arial" w:eastAsia="Arial" w:hAnsi="Arial"/>
          <w:sz w:val="16"/>
          <w:szCs w:val="16"/>
          <w:color w:val="auto"/>
        </w:rPr>
        <w:t>involuntary termination, other than for cause or mandatory retirement; or</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6"/>
        </w:numPr>
        <w:rPr>
          <w:rFonts w:ascii="Arial" w:cs="Arial" w:eastAsia="Arial" w:hAnsi="Arial"/>
          <w:sz w:val="16"/>
          <w:szCs w:val="16"/>
          <w:b w:val="1"/>
          <w:bCs w:val="1"/>
          <w:color w:val="29378D"/>
        </w:rPr>
      </w:pPr>
      <w:r>
        <w:rPr>
          <w:rFonts w:ascii="Arial" w:cs="Arial" w:eastAsia="Arial" w:hAnsi="Arial"/>
          <w:sz w:val="16"/>
          <w:szCs w:val="16"/>
          <w:color w:val="auto"/>
        </w:rPr>
        <w:t>election to terminate in lieu of accepting a downgrade to a non-officer position (i.e., good reason).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Change in Control Benefits</w:t>
      </w:r>
    </w:p>
    <w:p>
      <w:pPr>
        <w:spacing w:after="0" w:line="13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We do not maintain separate CIC programs or agreements. The only CIC benefits available to the NEOs are those described in the terms and conditions of the grants under the 2011 Long-Term Incentive Stock Plan (2011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Policies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Stock Ownership Guidelines</w:t>
      </w:r>
    </w:p>
    <w:p>
      <w:pPr>
        <w:spacing w:after="0" w:line="131"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guidelines are as follows:</w:t>
      </w:r>
    </w:p>
    <w:p>
      <w:pPr>
        <w:spacing w:after="0" w:line="177" w:lineRule="exact"/>
        <w:rPr>
          <w:sz w:val="20"/>
          <w:szCs w:val="20"/>
          <w:color w:val="auto"/>
        </w:rPr>
      </w:pPr>
    </w:p>
    <w:p>
      <w:pPr>
        <w:ind w:left="20"/>
        <w:spacing w:after="0"/>
        <w:tabs>
          <w:tab w:leader="none" w:pos="3880" w:val="left"/>
        </w:tabs>
        <w:rPr>
          <w:sz w:val="20"/>
          <w:szCs w:val="20"/>
          <w:color w:val="auto"/>
        </w:rPr>
      </w:pPr>
      <w:r>
        <w:rPr>
          <w:rFonts w:ascii="Arial" w:cs="Arial" w:eastAsia="Arial" w:hAnsi="Arial"/>
          <w:sz w:val="13"/>
          <w:szCs w:val="13"/>
          <w:b w:val="1"/>
          <w:bCs w:val="1"/>
          <w:color w:val="auto"/>
        </w:rPr>
        <w:t>Position</w:t>
      </w:r>
      <w:r>
        <w:rPr>
          <w:sz w:val="20"/>
          <w:szCs w:val="20"/>
          <w:color w:val="auto"/>
        </w:rPr>
        <w:tab/>
      </w:r>
      <w:r>
        <w:rPr>
          <w:rFonts w:ascii="Arial" w:cs="Arial" w:eastAsia="Arial" w:hAnsi="Arial"/>
          <w:sz w:val="13"/>
          <w:szCs w:val="13"/>
          <w:b w:val="1"/>
          <w:bCs w:val="1"/>
          <w:color w:val="auto"/>
        </w:rPr>
        <w:t>Stock Value as a 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554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79375</wp:posOffset>
            </wp:positionV>
            <wp:extent cx="4440555" cy="2400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440555" cy="240030"/>
                    </a:xfrm>
                    <a:prstGeom prst="rect">
                      <a:avLst/>
                    </a:prstGeom>
                    <a:noFill/>
                  </pic:spPr>
                </pic:pic>
              </a:graphicData>
            </a:graphic>
          </wp:anchor>
        </w:drawing>
      </w:r>
    </w:p>
    <w:p>
      <w:pPr>
        <w:spacing w:after="0" w:line="131" w:lineRule="exact"/>
        <w:rPr>
          <w:sz w:val="20"/>
          <w:szCs w:val="20"/>
          <w:color w:val="auto"/>
        </w:rPr>
      </w:pPr>
    </w:p>
    <w:p>
      <w:pPr>
        <w:ind w:left="20" w:right="10000"/>
        <w:spacing w:after="0" w:line="286" w:lineRule="auto"/>
        <w:rPr>
          <w:sz w:val="20"/>
          <w:szCs w:val="20"/>
          <w:color w:val="auto"/>
        </w:rPr>
      </w:pPr>
      <w:r>
        <w:rPr>
          <w:rFonts w:ascii="Arial" w:cs="Arial" w:eastAsia="Arial" w:hAnsi="Arial"/>
          <w:sz w:val="16"/>
          <w:szCs w:val="16"/>
          <w:color w:val="auto"/>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554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5549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Shares that satisfy the stock ownership guidelines include:</w:t>
      </w:r>
    </w:p>
    <w:p>
      <w:pPr>
        <w:spacing w:after="0" w:line="127" w:lineRule="exact"/>
        <w:rPr>
          <w:sz w:val="20"/>
          <w:szCs w:val="20"/>
          <w:color w:val="auto"/>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Company stock owned outright;</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unvested RSRs;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the value of shares held in the Northrop Grumman Savings Plan or Northrop Grumman Financial Security and Savings Program.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Unvested RPSRs are not included in calculating ownership until they are converted to actual shares owned.</w:t>
      </w:r>
    </w:p>
    <w:p>
      <w:pPr>
        <w:spacing w:after="0" w:line="11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Compensation and Human Capital Committee reviews compliance with our stock ownership guidelines on an annual basis. As of December 31, 2023, all NEOs were in compliance with the ownership guidelines or on track to meet the requirement by the end of the five-year period referenced above. The Compensation and Human Capital Committee continues to monitor compliance and will conduct a full review again in 2024.</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auto"/>
        </w:rPr>
        <w:t>Stock Holding Requirements</w:t>
      </w:r>
    </w:p>
    <w:p>
      <w:pPr>
        <w:spacing w:after="0" w:line="13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have holding period requirements for payouts from long-term incentive grants, further emphasizing the importance of sustainable performance and appropriate risk-management behaviors. Under this policy, NEOs are required to hold, for a period of three years, 50% of their net after-tax shares received from RPSR and RSR distributions. These restrictions generally continue following termination and retirement; however, shares acquired from RPSR distributions more than one year after separation from the Company are not subject to the holding requirement.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6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3100" w:type="dxa"/>
            <w:vAlign w:val="bottom"/>
            <w:shd w:val="clear" w:color="auto" w:fill="29378D"/>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BCBEC0"/>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shd w:val="clear" w:color="auto" w:fill="BCBEC0"/>
          </w:tcPr>
          <w:p>
            <w:pPr>
              <w:spacing w:after="0"/>
              <w:rPr>
                <w:sz w:val="20"/>
                <w:szCs w:val="2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24"/>
                <w:szCs w:val="24"/>
                <w:b w:val="1"/>
                <w:bCs w:val="1"/>
                <w:color w:val="auto"/>
              </w:rPr>
              <w:t>+</w:t>
            </w:r>
          </w:p>
        </w:tc>
        <w:tc>
          <w:tcPr>
            <w:tcW w:w="180" w:type="dxa"/>
            <w:vAlign w:val="bottom"/>
            <w:shd w:val="clear" w:color="auto" w:fill="BCBEC0"/>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shd w:val="clear" w:color="auto" w:fill="BCBEC0"/>
          </w:tcPr>
          <w:p>
            <w:pPr>
              <w:spacing w:after="0"/>
              <w:rPr>
                <w:sz w:val="20"/>
                <w:szCs w:val="2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24"/>
                <w:szCs w:val="24"/>
                <w:b w:val="1"/>
                <w:bCs w:val="1"/>
                <w:color w:val="auto"/>
              </w:rPr>
              <w:t>=</w:t>
            </w:r>
          </w:p>
        </w:tc>
        <w:tc>
          <w:tcPr>
            <w:tcW w:w="160" w:type="dxa"/>
            <w:vAlign w:val="bottom"/>
            <w:shd w:val="clear" w:color="auto" w:fill="29378D"/>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SHAREHOLDER ALIGNMENT</w:t>
            </w:r>
          </w:p>
        </w:tc>
        <w:tc>
          <w:tcPr>
            <w:tcW w:w="160" w:type="dxa"/>
            <w:vAlign w:val="bottom"/>
            <w:shd w:val="clear" w:color="auto" w:fill="29378D"/>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60" w:type="dxa"/>
            <w:vAlign w:val="bottom"/>
            <w:shd w:val="clear" w:color="auto" w:fill="BCBEC0"/>
          </w:tcPr>
          <w:p>
            <w:pPr>
              <w:spacing w:after="0"/>
              <w:rPr>
                <w:sz w:val="14"/>
                <w:szCs w:val="14"/>
                <w:color w:val="auto"/>
              </w:rPr>
            </w:pPr>
          </w:p>
        </w:tc>
        <w:tc>
          <w:tcPr>
            <w:tcW w:w="3060" w:type="dxa"/>
            <w:vAlign w:val="bottom"/>
          </w:tcPr>
          <w:p>
            <w:pPr>
              <w:ind w:left="820"/>
              <w:spacing w:after="0"/>
              <w:rPr>
                <w:sz w:val="20"/>
                <w:szCs w:val="20"/>
                <w:color w:val="auto"/>
              </w:rPr>
            </w:pPr>
            <w:r>
              <w:rPr>
                <w:rFonts w:ascii="Arial" w:cs="Arial" w:eastAsia="Arial" w:hAnsi="Arial"/>
                <w:sz w:val="14"/>
                <w:szCs w:val="14"/>
                <w:b w:val="1"/>
                <w:bCs w:val="1"/>
                <w:color w:val="auto"/>
              </w:rPr>
              <w:t>STOCK OWNERSHIP</w:t>
            </w:r>
          </w:p>
        </w:tc>
        <w:tc>
          <w:tcPr>
            <w:tcW w:w="160" w:type="dxa"/>
            <w:vAlign w:val="bottom"/>
            <w:shd w:val="clear" w:color="auto" w:fill="BCBEC0"/>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shd w:val="clear" w:color="auto" w:fill="BCBEC0"/>
          </w:tcPr>
          <w:p>
            <w:pPr>
              <w:spacing w:after="0"/>
              <w:rPr>
                <w:sz w:val="14"/>
                <w:szCs w:val="14"/>
                <w:color w:val="auto"/>
              </w:rPr>
            </w:pPr>
          </w:p>
        </w:tc>
        <w:tc>
          <w:tcPr>
            <w:tcW w:w="3060" w:type="dxa"/>
            <w:vAlign w:val="bottom"/>
          </w:tcPr>
          <w:p>
            <w:pPr>
              <w:ind w:left="920"/>
              <w:spacing w:after="0"/>
              <w:rPr>
                <w:sz w:val="20"/>
                <w:szCs w:val="20"/>
                <w:color w:val="auto"/>
              </w:rPr>
            </w:pPr>
            <w:r>
              <w:rPr>
                <w:rFonts w:ascii="Arial" w:cs="Arial" w:eastAsia="Arial" w:hAnsi="Arial"/>
                <w:sz w:val="14"/>
                <w:szCs w:val="14"/>
                <w:b w:val="1"/>
                <w:bCs w:val="1"/>
                <w:color w:val="auto"/>
              </w:rPr>
              <w:t>STOCK HOLDING</w:t>
            </w:r>
          </w:p>
        </w:tc>
        <w:tc>
          <w:tcPr>
            <w:tcW w:w="160" w:type="dxa"/>
            <w:vAlign w:val="bottom"/>
            <w:shd w:val="clear" w:color="auto" w:fill="BCBEC0"/>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shd w:val="clear" w:color="auto" w:fill="29378D"/>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AND FOCUS ON LONG-TERM,</w:t>
            </w:r>
          </w:p>
        </w:tc>
        <w:tc>
          <w:tcPr>
            <w:tcW w:w="160" w:type="dxa"/>
            <w:vAlign w:val="bottom"/>
            <w:shd w:val="clear" w:color="auto" w:fill="29378D"/>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BCBEC0"/>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shd w:val="clear" w:color="auto" w:fill="BCBEC0"/>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shd w:val="clear" w:color="auto" w:fill="BCBEC0"/>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shd w:val="clear" w:color="auto" w:fill="BCBEC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shd w:val="clear" w:color="auto" w:fill="29378D"/>
          </w:tcPr>
          <w:p>
            <w:pPr>
              <w:spacing w:after="0"/>
              <w:rPr>
                <w:sz w:val="17"/>
                <w:szCs w:val="17"/>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SUSTAINABLE GROWTH</w:t>
            </w:r>
          </w:p>
        </w:tc>
        <w:tc>
          <w:tcPr>
            <w:tcW w:w="160" w:type="dxa"/>
            <w:vAlign w:val="bottom"/>
            <w:shd w:val="clear" w:color="auto" w:fill="29378D"/>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0" w:type="dxa"/>
            <w:vAlign w:val="bottom"/>
            <w:shd w:val="clear" w:color="auto" w:fill="BCBEC0"/>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shd w:val="clear" w:color="auto" w:fill="BCBEC0"/>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shd w:val="clear" w:color="auto" w:fill="BCBEC0"/>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shd w:val="clear" w:color="auto" w:fill="BCBEC0"/>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shd w:val="clear" w:color="auto" w:fill="29378D"/>
          </w:tcPr>
          <w:p>
            <w:pPr>
              <w:spacing w:after="0"/>
              <w:rPr>
                <w:sz w:val="5"/>
                <w:szCs w:val="5"/>
                <w:color w:val="auto"/>
              </w:rPr>
            </w:pPr>
          </w:p>
        </w:tc>
        <w:tc>
          <w:tcPr>
            <w:tcW w:w="3100" w:type="dxa"/>
            <w:vAlign w:val="bottom"/>
          </w:tcPr>
          <w:p>
            <w:pPr>
              <w:spacing w:after="0"/>
              <w:rPr>
                <w:sz w:val="5"/>
                <w:szCs w:val="5"/>
                <w:color w:val="auto"/>
              </w:rPr>
            </w:pPr>
          </w:p>
        </w:tc>
        <w:tc>
          <w:tcPr>
            <w:tcW w:w="160" w:type="dxa"/>
            <w:vAlign w:val="bottom"/>
            <w:shd w:val="clear" w:color="auto" w:fill="29378D"/>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3100" w:type="dxa"/>
            <w:vAlign w:val="bottom"/>
            <w:shd w:val="clear" w:color="auto" w:fill="29378D"/>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Anti-Hedging and Anti-Pledging Policy</w:t>
      </w:r>
    </w:p>
    <w:p>
      <w:pPr>
        <w:spacing w:after="0" w:line="13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46.</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color w:val="auto"/>
        </w:rPr>
        <w:t>Recoupment Policy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recoupment policy generally provides that:</w:t>
      </w:r>
    </w:p>
    <w:p>
      <w:pPr>
        <w:spacing w:after="0" w:line="113" w:lineRule="exact"/>
        <w:rPr>
          <w:sz w:val="20"/>
          <w:szCs w:val="20"/>
          <w:color w:val="auto"/>
        </w:rPr>
      </w:pPr>
    </w:p>
    <w:p>
      <w:pPr>
        <w:ind w:left="200" w:right="100" w:hanging="192"/>
        <w:spacing w:after="0" w:line="304" w:lineRule="auto"/>
        <w:tabs>
          <w:tab w:leader="none" w:pos="143" w:val="left"/>
        </w:tabs>
        <w:numPr>
          <w:ilvl w:val="0"/>
          <w:numId w:val="128"/>
        </w:numPr>
        <w:rPr>
          <w:rFonts w:ascii="Arial" w:cs="Arial" w:eastAsia="Arial" w:hAnsi="Arial"/>
          <w:sz w:val="16"/>
          <w:szCs w:val="16"/>
          <w:b w:val="1"/>
          <w:bCs w:val="1"/>
          <w:color w:val="29378D"/>
        </w:rPr>
      </w:pPr>
      <w:r>
        <w:rPr>
          <w:rFonts w:ascii="Arial" w:cs="Arial" w:eastAsia="Arial" w:hAnsi="Arial"/>
          <w:sz w:val="16"/>
          <w:szCs w:val="16"/>
          <w:color w:val="auto"/>
        </w:rPr>
        <w:t>if the Company is required to restate its financial results, the Company will attempt to recover reasonably promptly from each executive officer the amount of any erroneously awarded compensation that was received by such officer;</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1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00" w:right="60" w:hanging="192"/>
        <w:spacing w:after="0" w:line="275" w:lineRule="auto"/>
        <w:tabs>
          <w:tab w:leader="none" w:pos="157" w:val="left"/>
        </w:tabs>
        <w:numPr>
          <w:ilvl w:val="0"/>
          <w:numId w:val="130"/>
        </w:numPr>
        <w:rPr>
          <w:rFonts w:ascii="Arial" w:cs="Arial" w:eastAsia="Arial" w:hAnsi="Arial"/>
          <w:sz w:val="16"/>
          <w:szCs w:val="16"/>
          <w:color w:val="29378D"/>
        </w:rPr>
      </w:pPr>
      <w:r>
        <w:rPr>
          <w:rFonts w:ascii="Arial" w:cs="Arial" w:eastAsia="Arial" w:hAnsi="Arial"/>
          <w:sz w:val="16"/>
          <w:szCs w:val="16"/>
          <w:color w:val="auto"/>
        </w:rPr>
        <w:t>the Board has discretion to recoup performance-based annual or long-term cash or equity incentive payments (collectively, "incentive compensation") paid to an elected officer in the event of a restatement or if an elected officer engages in illegal conduct that causes significant financial or reputational harm to the Company;</w:t>
      </w:r>
    </w:p>
    <w:p>
      <w:pPr>
        <w:spacing w:after="0" w:line="29" w:lineRule="exact"/>
        <w:rPr>
          <w:rFonts w:ascii="Arial" w:cs="Arial" w:eastAsia="Arial" w:hAnsi="Arial"/>
          <w:sz w:val="16"/>
          <w:szCs w:val="16"/>
          <w:color w:val="29378D"/>
        </w:rPr>
      </w:pPr>
    </w:p>
    <w:p>
      <w:pPr>
        <w:ind w:left="200" w:right="180" w:hanging="192"/>
        <w:spacing w:after="0" w:line="286" w:lineRule="auto"/>
        <w:tabs>
          <w:tab w:leader="none" w:pos="143" w:val="left"/>
        </w:tabs>
        <w:numPr>
          <w:ilvl w:val="0"/>
          <w:numId w:val="130"/>
        </w:numPr>
        <w:rPr>
          <w:rFonts w:ascii="Arial" w:cs="Arial" w:eastAsia="Arial" w:hAnsi="Arial"/>
          <w:sz w:val="16"/>
          <w:szCs w:val="16"/>
          <w:b w:val="1"/>
          <w:bCs w:val="1"/>
          <w:color w:val="29378D"/>
        </w:rPr>
      </w:pPr>
      <w:r>
        <w:rPr>
          <w:rFonts w:ascii="Arial" w:cs="Arial" w:eastAsia="Arial" w:hAnsi="Arial"/>
          <w:sz w:val="16"/>
          <w:szCs w:val="16"/>
          <w:color w:val="auto"/>
        </w:rPr>
        <w:t>the Board has discretion to recoup incentive compensation paid to the elected officer in the event the elected officer fails to report misconduct of another, or is grossly negligent in fulfilling his or her supervisory responsibilities to prevent such misconduct; and</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30"/>
        </w:numPr>
        <w:rPr>
          <w:rFonts w:ascii="Arial" w:cs="Arial" w:eastAsia="Arial" w:hAnsi="Arial"/>
          <w:sz w:val="16"/>
          <w:szCs w:val="16"/>
          <w:b w:val="1"/>
          <w:bCs w:val="1"/>
          <w:color w:val="29378D"/>
        </w:rPr>
      </w:pPr>
      <w:r>
        <w:rPr>
          <w:rFonts w:ascii="Arial" w:cs="Arial" w:eastAsia="Arial" w:hAnsi="Arial"/>
          <w:sz w:val="16"/>
          <w:szCs w:val="16"/>
          <w:color w:val="auto"/>
        </w:rPr>
        <w:t>the CEO has discretion to recoup under similar circumstances incentive compensation provided to non-elected officers or other employees.</w:t>
      </w:r>
    </w:p>
    <w:p>
      <w:pPr>
        <w:spacing w:after="0" w:line="113"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Company’s recoupment policy includes a three-year look back for recovery of the erroneously awarded compensation or other incentive compensation. It also provides for certain disclosure in the event of recoupment, consistent with SEC and other legal requirements. The Company's Recoupment Policy is filed as Exhibit 97 to our 2023 Form 10-K.</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Risk Management</w:t>
      </w:r>
    </w:p>
    <w:p>
      <w:pPr>
        <w:spacing w:after="0" w:line="11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Compensation and Human Capital Committee annually reviews our compensation programs and together with the Independent Compensation Consultant assesses potential compensation-related risks to the Company. Based on this assessment for 2023, the Compensation and Human Capital Committee determined that the risk profile is appropriate and substantial risk management features are incorporated into our compensation programs. This determination reflects the following conclusions from the detailed risk assessment:</w:t>
      </w:r>
    </w:p>
    <w:p>
      <w:pPr>
        <w:spacing w:after="0" w:line="78" w:lineRule="exact"/>
        <w:rPr>
          <w:sz w:val="20"/>
          <w:szCs w:val="20"/>
          <w:color w:val="auto"/>
        </w:rPr>
      </w:pPr>
    </w:p>
    <w:p>
      <w:pPr>
        <w:ind w:left="200" w:right="100" w:hanging="192"/>
        <w:spacing w:after="0" w:line="286" w:lineRule="auto"/>
        <w:tabs>
          <w:tab w:leader="none" w:pos="143"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is appropriate balance to mitigate compensation-related risk in the executive compensation programs’ designs between fixed and variable pay, cash and stock components, annual and long-term measures, financial and non-financial measures and formulaic and discretionary decisions;</w:t>
      </w:r>
    </w:p>
    <w:p>
      <w:pPr>
        <w:spacing w:after="0" w:line="20" w:lineRule="exact"/>
        <w:rPr>
          <w:rFonts w:ascii="Arial" w:cs="Arial" w:eastAsia="Arial" w:hAnsi="Arial"/>
          <w:sz w:val="16"/>
          <w:szCs w:val="16"/>
          <w:b w:val="1"/>
          <w:bCs w:val="1"/>
          <w:color w:val="29378D"/>
        </w:rPr>
      </w:pPr>
    </w:p>
    <w:p>
      <w:pPr>
        <w:ind w:left="200" w:right="20" w:hanging="192"/>
        <w:spacing w:after="0" w:line="286" w:lineRule="auto"/>
        <w:tabs>
          <w:tab w:leader="none" w:pos="143"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are appropriate policies in place to mitigate compensation-related risk, including the Compensation and Human Capital Committee’s and its advisor’s independence, transparent disclosure, officer stock ownership guidelines and holding period requirements, and hedging and recoupment policies; and</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are no incentive or commission arrangements below the executive level that potentially encourage excessive risk-taking behavior.</w:t>
      </w: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color w:val="auto"/>
        </w:rPr>
        <w:t>Tax Deductibility of Pay</w:t>
      </w:r>
    </w:p>
    <w:p>
      <w:pPr>
        <w:spacing w:after="0" w:line="13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Section 162(m) of the Internal Revenue Code generally limits the annual tax deduction to $1 million per person for compensation paid to the Company’s ”covered employees,” defined to include the CEO, CFO, and the next three highest-paid NEOs excluding the CEO and CFO. The limitation also applies to individuals who were covered employees in any year after 2016.</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and Human Capital Committee Report</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and Human Capital Committee reviewed and discussed the CD&amp;A with management. Based on such review and discussion, the Compensation and Human Capital Committee recommended to the Board that the CD&amp;A be included in this Proxy Statement. The Board has approved the recommendation.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Human Capital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David P. Abney,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Madeleine A. Kleiner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Arvind Krishna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Graham N. Robinson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Gary Roughead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Mary A. Winston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13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8" w:right="459" w:bottom="1440" w:gutter="0" w:footer="0" w:header="0"/>
        </w:sectPr>
      </w:pPr>
    </w:p>
    <w:bookmarkStart w:id="73" w:name="page74"/>
    <w:bookmarkEnd w:id="73"/>
    <w:p>
      <w:pPr>
        <w:spacing w:after="0"/>
        <w:rPr>
          <w:sz w:val="20"/>
          <w:szCs w:val="20"/>
          <w:color w:val="auto"/>
        </w:rPr>
      </w:pPr>
      <w:r>
        <w:rPr>
          <w:rFonts w:ascii="Arial" w:cs="Arial" w:eastAsia="Arial" w:hAnsi="Arial"/>
          <w:sz w:val="43"/>
          <w:szCs w:val="43"/>
          <w:b w:val="1"/>
          <w:bCs w:val="1"/>
          <w:color w:val="29378D"/>
        </w:rPr>
        <w:t>Compensation Tables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Change in Pension</w:t>
            </w: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Value and Non-</w:t>
            </w: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Qualified Deferred</w:t>
            </w: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Stock</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Non-Equity Incentive</w:t>
            </w: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Compensation</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All 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Salary</w:t>
            </w:r>
            <w:r>
              <w:rPr>
                <w:rFonts w:ascii="Arial" w:cs="Arial" w:eastAsia="Arial" w:hAnsi="Arial"/>
                <w:sz w:val="15"/>
                <w:szCs w:val="15"/>
                <w:b w:val="1"/>
                <w:bCs w:val="1"/>
                <w:color w:val="auto"/>
                <w:vertAlign w:val="superscript"/>
              </w:rPr>
              <w:t>(1)</w:t>
            </w:r>
          </w:p>
        </w:tc>
        <w:tc>
          <w:tcPr>
            <w:tcW w:w="6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Bonus</w:t>
            </w:r>
          </w:p>
        </w:tc>
        <w:tc>
          <w:tcPr>
            <w:tcW w:w="12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5"/>
                <w:szCs w:val="15"/>
                <w:b w:val="1"/>
                <w:bCs w:val="1"/>
                <w:color w:val="auto"/>
                <w:vertAlign w:val="superscript"/>
              </w:rPr>
              <w:t>(2)</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Plan Compensation</w:t>
            </w:r>
            <w:r>
              <w:rPr>
                <w:rFonts w:ascii="Arial" w:cs="Arial" w:eastAsia="Arial" w:hAnsi="Arial"/>
                <w:sz w:val="15"/>
                <w:szCs w:val="15"/>
                <w:b w:val="1"/>
                <w:bCs w:val="1"/>
                <w:color w:val="auto"/>
                <w:vertAlign w:val="superscript"/>
              </w:rPr>
              <w:t>(3)</w:t>
            </w: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15"/>
                <w:szCs w:val="15"/>
                <w:b w:val="1"/>
                <w:bCs w:val="1"/>
                <w:color w:val="auto"/>
                <w:vertAlign w:val="superscript"/>
              </w:rPr>
              <w:t>(4)</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5"/>
                <w:szCs w:val="15"/>
                <w:b w:val="1"/>
                <w:bCs w:val="1"/>
                <w:color w:val="auto"/>
                <w:vertAlign w:val="superscript"/>
              </w:rPr>
              <w:t>(5)</w:t>
            </w:r>
          </w:p>
        </w:tc>
        <w:tc>
          <w:tcPr>
            <w:tcW w:w="12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rPr>
                <w:sz w:val="20"/>
                <w:szCs w:val="20"/>
                <w:color w:val="auto"/>
              </w:rPr>
            </w:pPr>
            <w:r>
              <w:rPr>
                <w:rFonts w:ascii="Arial" w:cs="Arial" w:eastAsia="Arial" w:hAnsi="Arial"/>
                <w:sz w:val="12"/>
                <w:szCs w:val="12"/>
                <w:b w:val="1"/>
                <w:bCs w:val="1"/>
                <w:color w:val="auto"/>
              </w:rPr>
              <w:t>Name &amp; Principal Position</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2340" w:type="dxa"/>
            <w:vAlign w:val="bottom"/>
            <w:tcBorders>
              <w:bottom w:val="single" w:sz="8" w:color="29378D"/>
            </w:tcBorders>
          </w:tcPr>
          <w:p>
            <w:pPr>
              <w:spacing w:after="0"/>
              <w:rPr>
                <w:sz w:val="2"/>
                <w:szCs w:val="2"/>
                <w:color w:val="auto"/>
              </w:rPr>
            </w:pPr>
          </w:p>
        </w:tc>
        <w:tc>
          <w:tcPr>
            <w:tcW w:w="620" w:type="dxa"/>
            <w:vAlign w:val="bottom"/>
            <w:tcBorders>
              <w:bottom w:val="single" w:sz="8" w:color="29378D"/>
            </w:tcBorders>
          </w:tcPr>
          <w:p>
            <w:pPr>
              <w:spacing w:after="0"/>
              <w:rPr>
                <w:sz w:val="2"/>
                <w:szCs w:val="2"/>
                <w:color w:val="auto"/>
              </w:rPr>
            </w:pPr>
          </w:p>
        </w:tc>
        <w:tc>
          <w:tcPr>
            <w:tcW w:w="1080" w:type="dxa"/>
            <w:vAlign w:val="bottom"/>
            <w:tcBorders>
              <w:bottom w:val="single" w:sz="8" w:color="29378D"/>
            </w:tcBorders>
          </w:tcPr>
          <w:p>
            <w:pPr>
              <w:spacing w:after="0"/>
              <w:rPr>
                <w:sz w:val="2"/>
                <w:szCs w:val="2"/>
                <w:color w:val="auto"/>
              </w:rPr>
            </w:pPr>
          </w:p>
        </w:tc>
        <w:tc>
          <w:tcPr>
            <w:tcW w:w="640" w:type="dxa"/>
            <w:vAlign w:val="bottom"/>
            <w:tcBorders>
              <w:bottom w:val="single" w:sz="8" w:color="29378D"/>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1400" w:type="dxa"/>
            <w:vAlign w:val="bottom"/>
            <w:tcBorders>
              <w:bottom w:val="single" w:sz="8" w:color="29378D"/>
            </w:tcBorders>
          </w:tcPr>
          <w:p>
            <w:pPr>
              <w:spacing w:after="0"/>
              <w:rPr>
                <w:sz w:val="2"/>
                <w:szCs w:val="2"/>
                <w:color w:val="auto"/>
              </w:rPr>
            </w:pPr>
          </w:p>
        </w:tc>
        <w:tc>
          <w:tcPr>
            <w:tcW w:w="1320" w:type="dxa"/>
            <w:vAlign w:val="bottom"/>
            <w:tcBorders>
              <w:bottom w:val="single" w:sz="8" w:color="29378D"/>
            </w:tcBorders>
          </w:tcPr>
          <w:p>
            <w:pPr>
              <w:spacing w:after="0"/>
              <w:rPr>
                <w:sz w:val="2"/>
                <w:szCs w:val="2"/>
                <w:color w:val="auto"/>
              </w:rPr>
            </w:pPr>
          </w:p>
        </w:tc>
        <w:tc>
          <w:tcPr>
            <w:tcW w:w="1400" w:type="dxa"/>
            <w:vAlign w:val="bottom"/>
            <w:tcBorders>
              <w:bottom w:val="single" w:sz="8" w:color="29378D"/>
            </w:tcBorders>
          </w:tcPr>
          <w:p>
            <w:pPr>
              <w:spacing w:after="0"/>
              <w:rPr>
                <w:sz w:val="2"/>
                <w:szCs w:val="2"/>
                <w:color w:val="auto"/>
              </w:rPr>
            </w:pPr>
          </w:p>
        </w:tc>
        <w:tc>
          <w:tcPr>
            <w:tcW w:w="1200" w:type="dxa"/>
            <w:vAlign w:val="bottom"/>
            <w:tcBorders>
              <w:bottom w:val="single" w:sz="8" w:color="29378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40" w:type="dxa"/>
            <w:vAlign w:val="bottom"/>
          </w:tcPr>
          <w:p>
            <w:pPr>
              <w:ind w:left="20"/>
              <w:spacing w:after="0"/>
              <w:rPr>
                <w:sz w:val="20"/>
                <w:szCs w:val="20"/>
                <w:color w:val="auto"/>
              </w:rPr>
            </w:pPr>
            <w:r>
              <w:rPr>
                <w:rFonts w:ascii="Arial" w:cs="Arial" w:eastAsia="Arial" w:hAnsi="Arial"/>
                <w:sz w:val="15"/>
                <w:szCs w:val="15"/>
                <w:b w:val="1"/>
                <w:bCs w:val="1"/>
                <w:color w:val="00249C"/>
              </w:rPr>
              <w:t>Kathy J. Warden</w:t>
            </w:r>
          </w:p>
        </w:tc>
        <w:tc>
          <w:tcPr>
            <w:tcW w:w="62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1,730,769</w:t>
            </w:r>
          </w:p>
        </w:tc>
        <w:tc>
          <w:tcPr>
            <w:tcW w:w="640" w:type="dxa"/>
            <w:vAlign w:val="bottom"/>
            <w:tcBorders>
              <w:bottom w:val="single" w:sz="8" w:color="BCBEC0"/>
            </w:tcBorders>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16,000,440</w:t>
            </w:r>
          </w:p>
        </w:tc>
        <w:tc>
          <w:tcPr>
            <w:tcW w:w="14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5,082,875</w:t>
            </w:r>
          </w:p>
        </w:tc>
        <w:tc>
          <w:tcPr>
            <w:tcW w:w="1320" w:type="dxa"/>
            <w:vAlign w:val="bottom"/>
            <w:tcBorders>
              <w:bottom w:val="single" w:sz="8" w:color="BCBEC0"/>
            </w:tcBorders>
            <w:shd w:val="clear" w:color="auto" w:fill="DFDEEE"/>
          </w:tcPr>
          <w:p>
            <w:pPr>
              <w:jc w:val="right"/>
              <w:ind w:right="13"/>
              <w:spacing w:after="0"/>
              <w:rPr>
                <w:sz w:val="20"/>
                <w:szCs w:val="20"/>
                <w:color w:val="auto"/>
              </w:rPr>
            </w:pPr>
            <w:r>
              <w:rPr>
                <w:rFonts w:ascii="Arial" w:cs="Arial" w:eastAsia="Arial" w:hAnsi="Arial"/>
                <w:sz w:val="14"/>
                <w:szCs w:val="14"/>
                <w:color w:val="auto"/>
              </w:rPr>
              <w:t>1,205,310</w:t>
            </w:r>
          </w:p>
        </w:tc>
        <w:tc>
          <w:tcPr>
            <w:tcW w:w="14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718,099</w:t>
            </w:r>
          </w:p>
        </w:tc>
        <w:tc>
          <w:tcPr>
            <w:tcW w:w="12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24,737,493</w:t>
            </w:r>
          </w:p>
        </w:tc>
        <w:tc>
          <w:tcPr>
            <w:tcW w:w="0" w:type="dxa"/>
            <w:vAlign w:val="bottom"/>
          </w:tcPr>
          <w:p>
            <w:pPr>
              <w:spacing w:after="0"/>
              <w:rPr>
                <w:sz w:val="1"/>
                <w:szCs w:val="1"/>
                <w:color w:val="auto"/>
              </w:rPr>
            </w:pPr>
          </w:p>
        </w:tc>
      </w:tr>
      <w:tr>
        <w:trPr>
          <w:trHeight w:val="214"/>
        </w:trPr>
        <w:tc>
          <w:tcPr>
            <w:tcW w:w="2340" w:type="dxa"/>
            <w:vAlign w:val="bottom"/>
          </w:tcPr>
          <w:p>
            <w:pPr>
              <w:ind w:left="20"/>
              <w:spacing w:after="0" w:line="160" w:lineRule="exact"/>
              <w:rPr>
                <w:sz w:val="20"/>
                <w:szCs w:val="20"/>
                <w:color w:val="auto"/>
              </w:rPr>
            </w:pPr>
            <w:r>
              <w:rPr>
                <w:rFonts w:ascii="Arial" w:cs="Arial" w:eastAsia="Arial" w:hAnsi="Arial"/>
                <w:sz w:val="14"/>
                <w:szCs w:val="14"/>
                <w:color w:val="auto"/>
              </w:rPr>
              <w:t>Chair, Chief Executive Officer and</w:t>
            </w:r>
          </w:p>
        </w:tc>
        <w:tc>
          <w:tcPr>
            <w:tcW w:w="62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2022</w:t>
            </w:r>
          </w:p>
        </w:tc>
        <w:tc>
          <w:tcPr>
            <w:tcW w:w="108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1,640,388</w:t>
            </w:r>
          </w:p>
        </w:tc>
        <w:tc>
          <w:tcPr>
            <w:tcW w:w="640" w:type="dxa"/>
            <w:vAlign w:val="bottom"/>
            <w:tcBorders>
              <w:bottom w:val="single" w:sz="8" w:color="E1E0EF"/>
            </w:tcBorders>
            <w:shd w:val="clear" w:color="auto" w:fill="E1E0EF"/>
          </w:tcPr>
          <w:p>
            <w:pPr>
              <w:ind w:left="420"/>
              <w:spacing w:after="0" w:line="160"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14,250,021</w:t>
            </w:r>
          </w:p>
        </w:tc>
        <w:tc>
          <w:tcPr>
            <w:tcW w:w="1400" w:type="dxa"/>
            <w:vAlign w:val="bottom"/>
            <w:tcBorders>
              <w:bottom w:val="single" w:sz="8" w:color="E1E0EF"/>
            </w:tcBorders>
            <w:shd w:val="clear" w:color="auto" w:fill="E1E0EF"/>
          </w:tcPr>
          <w:p>
            <w:pPr>
              <w:jc w:val="right"/>
              <w:ind w:right="11"/>
              <w:spacing w:after="0" w:line="160" w:lineRule="exact"/>
              <w:rPr>
                <w:sz w:val="20"/>
                <w:szCs w:val="20"/>
                <w:color w:val="auto"/>
              </w:rPr>
            </w:pPr>
            <w:r>
              <w:rPr>
                <w:rFonts w:ascii="Arial" w:cs="Arial" w:eastAsia="Arial" w:hAnsi="Arial"/>
                <w:sz w:val="14"/>
                <w:szCs w:val="14"/>
                <w:color w:val="auto"/>
              </w:rPr>
              <w:t>3,979,800</w:t>
            </w:r>
          </w:p>
        </w:tc>
        <w:tc>
          <w:tcPr>
            <w:tcW w:w="1320" w:type="dxa"/>
            <w:vAlign w:val="bottom"/>
            <w:tcBorders>
              <w:bottom w:val="single" w:sz="8" w:color="E1E0EF"/>
            </w:tcBorders>
            <w:shd w:val="clear" w:color="auto" w:fill="E1E0EF"/>
          </w:tcPr>
          <w:p>
            <w:pPr>
              <w:jc w:val="right"/>
              <w:ind w:right="13"/>
              <w:spacing w:after="0" w:line="160"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801,863</w:t>
            </w:r>
          </w:p>
        </w:tc>
        <w:tc>
          <w:tcPr>
            <w:tcW w:w="120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20,672,072</w:t>
            </w:r>
          </w:p>
        </w:tc>
        <w:tc>
          <w:tcPr>
            <w:tcW w:w="0" w:type="dxa"/>
            <w:vAlign w:val="bottom"/>
          </w:tcPr>
          <w:p>
            <w:pPr>
              <w:spacing w:after="0"/>
              <w:rPr>
                <w:sz w:val="1"/>
                <w:szCs w:val="1"/>
                <w:color w:val="auto"/>
              </w:rPr>
            </w:pPr>
          </w:p>
        </w:tc>
      </w:tr>
      <w:tr>
        <w:trPr>
          <w:trHeight w:val="120"/>
        </w:trPr>
        <w:tc>
          <w:tcPr>
            <w:tcW w:w="2340" w:type="dxa"/>
            <w:vAlign w:val="bottom"/>
          </w:tcPr>
          <w:p>
            <w:pPr>
              <w:ind w:left="20"/>
              <w:spacing w:after="0" w:line="121" w:lineRule="exact"/>
              <w:rPr>
                <w:sz w:val="20"/>
                <w:szCs w:val="20"/>
                <w:color w:val="auto"/>
              </w:rPr>
            </w:pPr>
            <w:r>
              <w:rPr>
                <w:rFonts w:ascii="Arial" w:cs="Arial" w:eastAsia="Arial" w:hAnsi="Arial"/>
                <w:sz w:val="13"/>
                <w:szCs w:val="13"/>
                <w:color w:val="auto"/>
              </w:rPr>
              <w:t>President</w:t>
            </w:r>
          </w:p>
        </w:tc>
        <w:tc>
          <w:tcPr>
            <w:tcW w:w="62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1,589,439</w:t>
            </w:r>
          </w:p>
        </w:tc>
        <w:tc>
          <w:tcPr>
            <w:tcW w:w="640" w:type="dxa"/>
            <w:vAlign w:val="bottom"/>
            <w:tcBorders>
              <w:top w:val="single" w:sz="8" w:color="BCBEC0"/>
            </w:tcBorders>
            <w:vMerge w:val="restart"/>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13,500,119</w:t>
            </w:r>
          </w:p>
        </w:tc>
        <w:tc>
          <w:tcPr>
            <w:tcW w:w="1400" w:type="dxa"/>
            <w:vAlign w:val="bottom"/>
            <w:tcBorders>
              <w:top w:val="single" w:sz="8" w:color="BCBEC0"/>
            </w:tcBorders>
            <w:vMerge w:val="restart"/>
            <w:shd w:val="clear" w:color="auto" w:fill="E1E0EF"/>
          </w:tcPr>
          <w:p>
            <w:pPr>
              <w:jc w:val="right"/>
              <w:ind w:right="11"/>
              <w:spacing w:after="0"/>
              <w:rPr>
                <w:sz w:val="20"/>
                <w:szCs w:val="20"/>
                <w:color w:val="auto"/>
              </w:rPr>
            </w:pPr>
            <w:r>
              <w:rPr>
                <w:rFonts w:ascii="Arial" w:cs="Arial" w:eastAsia="Arial" w:hAnsi="Arial"/>
                <w:sz w:val="14"/>
                <w:szCs w:val="14"/>
                <w:color w:val="auto"/>
              </w:rPr>
              <w:t>3,744,000</w:t>
            </w:r>
          </w:p>
        </w:tc>
        <w:tc>
          <w:tcPr>
            <w:tcW w:w="1320" w:type="dxa"/>
            <w:vAlign w:val="bottom"/>
            <w:tcBorders>
              <w:top w:val="single" w:sz="8" w:color="BCBEC0"/>
            </w:tcBorders>
            <w:vMerge w:val="restart"/>
            <w:shd w:val="clear" w:color="auto" w:fill="E1E0EF"/>
          </w:tcPr>
          <w:p>
            <w:pPr>
              <w:jc w:val="right"/>
              <w:ind w:right="13"/>
              <w:spacing w:after="0"/>
              <w:rPr>
                <w:sz w:val="20"/>
                <w:szCs w:val="20"/>
                <w:color w:val="auto"/>
              </w:rPr>
            </w:pPr>
            <w:r>
              <w:rPr>
                <w:rFonts w:ascii="Arial" w:cs="Arial" w:eastAsia="Arial" w:hAnsi="Arial"/>
                <w:sz w:val="14"/>
                <w:szCs w:val="14"/>
                <w:color w:val="auto"/>
              </w:rPr>
              <w:t>371,464</w:t>
            </w:r>
          </w:p>
        </w:tc>
        <w:tc>
          <w:tcPr>
            <w:tcW w:w="140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671,745</w:t>
            </w:r>
          </w:p>
        </w:tc>
        <w:tc>
          <w:tcPr>
            <w:tcW w:w="120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19,876,767</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620" w:type="dxa"/>
            <w:vAlign w:val="bottom"/>
            <w:vMerge w:val="continue"/>
            <w:shd w:val="clear" w:color="auto" w:fill="E1E0EF"/>
          </w:tcPr>
          <w:p>
            <w:pPr>
              <w:spacing w:after="0"/>
              <w:rPr>
                <w:sz w:val="7"/>
                <w:szCs w:val="7"/>
                <w:color w:val="auto"/>
              </w:rPr>
            </w:pPr>
          </w:p>
        </w:tc>
        <w:tc>
          <w:tcPr>
            <w:tcW w:w="1080" w:type="dxa"/>
            <w:vAlign w:val="bottom"/>
            <w:vMerge w:val="continue"/>
            <w:shd w:val="clear" w:color="auto" w:fill="E1E0EF"/>
          </w:tcPr>
          <w:p>
            <w:pPr>
              <w:spacing w:after="0"/>
              <w:rPr>
                <w:sz w:val="7"/>
                <w:szCs w:val="7"/>
                <w:color w:val="auto"/>
              </w:rPr>
            </w:pPr>
          </w:p>
        </w:tc>
        <w:tc>
          <w:tcPr>
            <w:tcW w:w="640" w:type="dxa"/>
            <w:vAlign w:val="bottom"/>
            <w:vMerge w:val="continue"/>
            <w:shd w:val="clear" w:color="auto" w:fill="E1E0EF"/>
          </w:tcPr>
          <w:p>
            <w:pPr>
              <w:spacing w:after="0"/>
              <w:rPr>
                <w:sz w:val="7"/>
                <w:szCs w:val="7"/>
                <w:color w:val="auto"/>
              </w:rPr>
            </w:pPr>
          </w:p>
        </w:tc>
        <w:tc>
          <w:tcPr>
            <w:tcW w:w="1240" w:type="dxa"/>
            <w:vAlign w:val="bottom"/>
            <w:vMerge w:val="continue"/>
            <w:shd w:val="clear" w:color="auto" w:fill="E1E0EF"/>
          </w:tcPr>
          <w:p>
            <w:pPr>
              <w:spacing w:after="0"/>
              <w:rPr>
                <w:sz w:val="7"/>
                <w:szCs w:val="7"/>
                <w:color w:val="auto"/>
              </w:rPr>
            </w:pPr>
          </w:p>
        </w:tc>
        <w:tc>
          <w:tcPr>
            <w:tcW w:w="1400" w:type="dxa"/>
            <w:vAlign w:val="bottom"/>
            <w:vMerge w:val="continue"/>
            <w:shd w:val="clear" w:color="auto" w:fill="E1E0EF"/>
          </w:tcPr>
          <w:p>
            <w:pPr>
              <w:spacing w:after="0"/>
              <w:rPr>
                <w:sz w:val="7"/>
                <w:szCs w:val="7"/>
                <w:color w:val="auto"/>
              </w:rPr>
            </w:pPr>
          </w:p>
        </w:tc>
        <w:tc>
          <w:tcPr>
            <w:tcW w:w="1320" w:type="dxa"/>
            <w:vAlign w:val="bottom"/>
            <w:vMerge w:val="continue"/>
            <w:shd w:val="clear" w:color="auto" w:fill="E1E0EF"/>
          </w:tcPr>
          <w:p>
            <w:pPr>
              <w:spacing w:after="0"/>
              <w:rPr>
                <w:sz w:val="7"/>
                <w:szCs w:val="7"/>
                <w:color w:val="auto"/>
              </w:rPr>
            </w:pPr>
          </w:p>
        </w:tc>
        <w:tc>
          <w:tcPr>
            <w:tcW w:w="1400" w:type="dxa"/>
            <w:vAlign w:val="bottom"/>
            <w:vMerge w:val="continue"/>
            <w:shd w:val="clear" w:color="auto" w:fill="E1E0EF"/>
          </w:tcPr>
          <w:p>
            <w:pPr>
              <w:spacing w:after="0"/>
              <w:rPr>
                <w:sz w:val="7"/>
                <w:szCs w:val="7"/>
                <w:color w:val="auto"/>
              </w:rPr>
            </w:pPr>
          </w:p>
        </w:tc>
        <w:tc>
          <w:tcPr>
            <w:tcW w:w="1200" w:type="dxa"/>
            <w:vAlign w:val="bottom"/>
            <w:vMerge w:val="continue"/>
            <w:shd w:val="clear" w:color="auto" w:fill="E1E0E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340" w:type="dxa"/>
            <w:vAlign w:val="bottom"/>
            <w:tcBorders>
              <w:bottom w:val="single" w:sz="8" w:color="BCBEC0"/>
            </w:tcBorders>
          </w:tcPr>
          <w:p>
            <w:pPr>
              <w:spacing w:after="0"/>
              <w:rPr>
                <w:sz w:val="7"/>
                <w:szCs w:val="7"/>
                <w:color w:val="auto"/>
              </w:rPr>
            </w:pPr>
          </w:p>
        </w:tc>
        <w:tc>
          <w:tcPr>
            <w:tcW w:w="620" w:type="dxa"/>
            <w:vAlign w:val="bottom"/>
            <w:tcBorders>
              <w:bottom w:val="single" w:sz="8" w:color="BCBEC0"/>
            </w:tcBorders>
            <w:shd w:val="clear" w:color="auto" w:fill="E1E0EF"/>
          </w:tcPr>
          <w:p>
            <w:pPr>
              <w:spacing w:after="0"/>
              <w:rPr>
                <w:sz w:val="7"/>
                <w:szCs w:val="7"/>
                <w:color w:val="auto"/>
              </w:rPr>
            </w:pPr>
          </w:p>
        </w:tc>
        <w:tc>
          <w:tcPr>
            <w:tcW w:w="1080" w:type="dxa"/>
            <w:vAlign w:val="bottom"/>
            <w:tcBorders>
              <w:bottom w:val="single" w:sz="8" w:color="BCBEC0"/>
            </w:tcBorders>
            <w:shd w:val="clear" w:color="auto" w:fill="E1E0EF"/>
          </w:tcPr>
          <w:p>
            <w:pPr>
              <w:spacing w:after="0"/>
              <w:rPr>
                <w:sz w:val="7"/>
                <w:szCs w:val="7"/>
                <w:color w:val="auto"/>
              </w:rPr>
            </w:pPr>
          </w:p>
        </w:tc>
        <w:tc>
          <w:tcPr>
            <w:tcW w:w="640" w:type="dxa"/>
            <w:vAlign w:val="bottom"/>
            <w:tcBorders>
              <w:bottom w:val="single" w:sz="8" w:color="BCBEC0"/>
            </w:tcBorders>
            <w:shd w:val="clear" w:color="auto" w:fill="E1E0EF"/>
          </w:tcPr>
          <w:p>
            <w:pPr>
              <w:spacing w:after="0"/>
              <w:rPr>
                <w:sz w:val="7"/>
                <w:szCs w:val="7"/>
                <w:color w:val="auto"/>
              </w:rPr>
            </w:pPr>
          </w:p>
        </w:tc>
        <w:tc>
          <w:tcPr>
            <w:tcW w:w="1240" w:type="dxa"/>
            <w:vAlign w:val="bottom"/>
            <w:tcBorders>
              <w:bottom w:val="single" w:sz="8" w:color="BCBEC0"/>
            </w:tcBorders>
            <w:shd w:val="clear" w:color="auto" w:fill="E1E0EF"/>
          </w:tcPr>
          <w:p>
            <w:pPr>
              <w:spacing w:after="0"/>
              <w:rPr>
                <w:sz w:val="7"/>
                <w:szCs w:val="7"/>
                <w:color w:val="auto"/>
              </w:rPr>
            </w:pPr>
          </w:p>
        </w:tc>
        <w:tc>
          <w:tcPr>
            <w:tcW w:w="1400" w:type="dxa"/>
            <w:vAlign w:val="bottom"/>
            <w:tcBorders>
              <w:bottom w:val="single" w:sz="8" w:color="BCBEC0"/>
            </w:tcBorders>
            <w:shd w:val="clear" w:color="auto" w:fill="E1E0EF"/>
          </w:tcPr>
          <w:p>
            <w:pPr>
              <w:spacing w:after="0"/>
              <w:rPr>
                <w:sz w:val="7"/>
                <w:szCs w:val="7"/>
                <w:color w:val="auto"/>
              </w:rPr>
            </w:pPr>
          </w:p>
        </w:tc>
        <w:tc>
          <w:tcPr>
            <w:tcW w:w="1320" w:type="dxa"/>
            <w:vAlign w:val="bottom"/>
            <w:tcBorders>
              <w:bottom w:val="single" w:sz="8" w:color="BCBEC0"/>
            </w:tcBorders>
            <w:shd w:val="clear" w:color="auto" w:fill="E1E0EF"/>
          </w:tcPr>
          <w:p>
            <w:pPr>
              <w:spacing w:after="0"/>
              <w:rPr>
                <w:sz w:val="7"/>
                <w:szCs w:val="7"/>
                <w:color w:val="auto"/>
              </w:rPr>
            </w:pPr>
          </w:p>
        </w:tc>
        <w:tc>
          <w:tcPr>
            <w:tcW w:w="1400" w:type="dxa"/>
            <w:vAlign w:val="bottom"/>
            <w:tcBorders>
              <w:bottom w:val="single" w:sz="8" w:color="BCBEC0"/>
            </w:tcBorders>
            <w:shd w:val="clear" w:color="auto" w:fill="E1E0EF"/>
          </w:tcPr>
          <w:p>
            <w:pPr>
              <w:spacing w:after="0"/>
              <w:rPr>
                <w:sz w:val="7"/>
                <w:szCs w:val="7"/>
                <w:color w:val="auto"/>
              </w:rPr>
            </w:pPr>
          </w:p>
        </w:tc>
        <w:tc>
          <w:tcPr>
            <w:tcW w:w="1200" w:type="dxa"/>
            <w:vAlign w:val="bottom"/>
            <w:tcBorders>
              <w:bottom w:val="single" w:sz="8" w:color="BCBEC0"/>
            </w:tcBorders>
            <w:shd w:val="clear" w:color="auto" w:fill="E1E0EF"/>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David F. Keffer</w:t>
            </w: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849,039</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3,399,870</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1,409,468</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228,011</w:t>
            </w:r>
          </w:p>
        </w:tc>
        <w:tc>
          <w:tcPr>
            <w:tcW w:w="1200" w:type="dxa"/>
            <w:vAlign w:val="bottom"/>
          </w:tcPr>
          <w:p>
            <w:pPr>
              <w:jc w:val="right"/>
              <w:spacing w:after="0"/>
              <w:rPr>
                <w:sz w:val="20"/>
                <w:szCs w:val="20"/>
                <w:color w:val="auto"/>
              </w:rPr>
            </w:pPr>
            <w:r>
              <w:rPr>
                <w:rFonts w:ascii="Arial" w:cs="Arial" w:eastAsia="Arial" w:hAnsi="Arial"/>
                <w:sz w:val="14"/>
                <w:szCs w:val="14"/>
                <w:color w:val="auto"/>
              </w:rPr>
              <w:t>5,886,388</w:t>
            </w:r>
          </w:p>
        </w:tc>
        <w:tc>
          <w:tcPr>
            <w:tcW w:w="0" w:type="dxa"/>
            <w:vAlign w:val="bottom"/>
          </w:tcPr>
          <w:p>
            <w:pPr>
              <w:spacing w:after="0"/>
              <w:rPr>
                <w:sz w:val="1"/>
                <w:szCs w:val="1"/>
                <w:color w:val="auto"/>
              </w:rPr>
            </w:pPr>
          </w:p>
        </w:tc>
      </w:tr>
      <w:tr>
        <w:trPr>
          <w:trHeight w:val="2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 Chief</w:t>
            </w:r>
          </w:p>
        </w:tc>
        <w:tc>
          <w:tcPr>
            <w:tcW w:w="62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6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819,387</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3,200,346</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1,104,160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211,043</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5,334,936</w:t>
            </w:r>
          </w:p>
        </w:tc>
        <w:tc>
          <w:tcPr>
            <w:tcW w:w="0" w:type="dxa"/>
            <w:vAlign w:val="bottom"/>
          </w:tcPr>
          <w:p>
            <w:pPr>
              <w:spacing w:after="0"/>
              <w:rPr>
                <w:sz w:val="1"/>
                <w:szCs w:val="1"/>
                <w:color w:val="auto"/>
              </w:rPr>
            </w:pPr>
          </w:p>
        </w:tc>
      </w:tr>
      <w:tr>
        <w:trPr>
          <w:trHeight w:val="91"/>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Financial Officer</w:t>
            </w:r>
          </w:p>
        </w:tc>
        <w:tc>
          <w:tcPr>
            <w:tcW w:w="620" w:type="dxa"/>
            <w:vAlign w:val="bottom"/>
            <w:tcBorders>
              <w:bottom w:val="single" w:sz="8" w:color="BCBEC0"/>
            </w:tcBorders>
            <w:vMerge w:val="continue"/>
          </w:tcPr>
          <w:p>
            <w:pPr>
              <w:spacing w:after="0"/>
              <w:rPr>
                <w:sz w:val="7"/>
                <w:szCs w:val="7"/>
                <w:color w:val="auto"/>
              </w:rPr>
            </w:pPr>
          </w:p>
        </w:tc>
        <w:tc>
          <w:tcPr>
            <w:tcW w:w="1080" w:type="dxa"/>
            <w:vAlign w:val="bottom"/>
            <w:tcBorders>
              <w:bottom w:val="single" w:sz="8" w:color="BCBEC0"/>
            </w:tcBorders>
            <w:vMerge w:val="continue"/>
          </w:tcPr>
          <w:p>
            <w:pPr>
              <w:spacing w:after="0"/>
              <w:rPr>
                <w:sz w:val="7"/>
                <w:szCs w:val="7"/>
                <w:color w:val="auto"/>
              </w:rPr>
            </w:pPr>
          </w:p>
        </w:tc>
        <w:tc>
          <w:tcPr>
            <w:tcW w:w="640" w:type="dxa"/>
            <w:vAlign w:val="bottom"/>
            <w:tcBorders>
              <w:bottom w:val="single" w:sz="8" w:color="BCBEC0"/>
            </w:tcBorders>
            <w:vMerge w:val="continue"/>
          </w:tcPr>
          <w:p>
            <w:pPr>
              <w:spacing w:after="0"/>
              <w:rPr>
                <w:sz w:val="7"/>
                <w:szCs w:val="7"/>
                <w:color w:val="auto"/>
              </w:rPr>
            </w:pPr>
          </w:p>
        </w:tc>
        <w:tc>
          <w:tcPr>
            <w:tcW w:w="124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32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200" w:type="dxa"/>
            <w:vAlign w:val="bottom"/>
            <w:tcBorders>
              <w:bottom w:val="single" w:sz="8" w:color="BCBE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40" w:type="dxa"/>
            <w:vAlign w:val="bottom"/>
            <w:vMerge w:val="continue"/>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790,392</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3,000,038</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1,040,000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195,335</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5,025,765</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40" w:type="dxa"/>
            <w:vAlign w:val="bottom"/>
            <w:tcBorders>
              <w:bottom w:val="single" w:sz="8" w:color="BCBEC0"/>
            </w:tcBorders>
          </w:tcPr>
          <w:p>
            <w:pPr>
              <w:spacing w:after="0"/>
              <w:rPr>
                <w:sz w:val="7"/>
                <w:szCs w:val="7"/>
                <w:color w:val="auto"/>
              </w:rPr>
            </w:pPr>
          </w:p>
        </w:tc>
        <w:tc>
          <w:tcPr>
            <w:tcW w:w="620" w:type="dxa"/>
            <w:vAlign w:val="bottom"/>
            <w:tcBorders>
              <w:bottom w:val="single" w:sz="8" w:color="BCBEC0"/>
            </w:tcBorders>
          </w:tcPr>
          <w:p>
            <w:pPr>
              <w:spacing w:after="0"/>
              <w:rPr>
                <w:sz w:val="7"/>
                <w:szCs w:val="7"/>
                <w:color w:val="auto"/>
              </w:rPr>
            </w:pPr>
          </w:p>
        </w:tc>
        <w:tc>
          <w:tcPr>
            <w:tcW w:w="1080" w:type="dxa"/>
            <w:vAlign w:val="bottom"/>
            <w:tcBorders>
              <w:bottom w:val="single" w:sz="8" w:color="BCBEC0"/>
            </w:tcBorders>
          </w:tcPr>
          <w:p>
            <w:pPr>
              <w:spacing w:after="0"/>
              <w:rPr>
                <w:sz w:val="7"/>
                <w:szCs w:val="7"/>
                <w:color w:val="auto"/>
              </w:rPr>
            </w:pPr>
          </w:p>
        </w:tc>
        <w:tc>
          <w:tcPr>
            <w:tcW w:w="6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1400" w:type="dxa"/>
            <w:vAlign w:val="bottom"/>
            <w:tcBorders>
              <w:bottom w:val="single" w:sz="8" w:color="BCBEC0"/>
            </w:tcBorders>
          </w:tcPr>
          <w:p>
            <w:pPr>
              <w:spacing w:after="0"/>
              <w:rPr>
                <w:sz w:val="7"/>
                <w:szCs w:val="7"/>
                <w:color w:val="auto"/>
              </w:rPr>
            </w:pPr>
          </w:p>
        </w:tc>
        <w:tc>
          <w:tcPr>
            <w:tcW w:w="1320" w:type="dxa"/>
            <w:vAlign w:val="bottom"/>
            <w:tcBorders>
              <w:bottom w:val="single" w:sz="8" w:color="BCBEC0"/>
            </w:tcBorders>
          </w:tcPr>
          <w:p>
            <w:pPr>
              <w:spacing w:after="0"/>
              <w:rPr>
                <w:sz w:val="7"/>
                <w:szCs w:val="7"/>
                <w:color w:val="auto"/>
              </w:rPr>
            </w:pPr>
          </w:p>
        </w:tc>
        <w:tc>
          <w:tcPr>
            <w:tcW w:w="1400" w:type="dxa"/>
            <w:vAlign w:val="bottom"/>
            <w:tcBorders>
              <w:bottom w:val="single" w:sz="8" w:color="BCBEC0"/>
            </w:tcBorders>
          </w:tcPr>
          <w:p>
            <w:pPr>
              <w:spacing w:after="0"/>
              <w:rPr>
                <w:sz w:val="7"/>
                <w:szCs w:val="7"/>
                <w:color w:val="auto"/>
              </w:rPr>
            </w:pPr>
          </w:p>
        </w:tc>
        <w:tc>
          <w:tcPr>
            <w:tcW w:w="120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Mark A. Caylor</w:t>
            </w:r>
          </w:p>
        </w:tc>
        <w:tc>
          <w:tcPr>
            <w:tcW w:w="620" w:type="dxa"/>
            <w:vAlign w:val="bottom"/>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DFDEEE"/>
          </w:tcPr>
          <w:p>
            <w:pPr>
              <w:jc w:val="right"/>
              <w:spacing w:after="0"/>
              <w:rPr>
                <w:sz w:val="20"/>
                <w:szCs w:val="20"/>
                <w:color w:val="auto"/>
              </w:rPr>
            </w:pPr>
            <w:r>
              <w:rPr>
                <w:rFonts w:ascii="Arial" w:cs="Arial" w:eastAsia="Arial" w:hAnsi="Arial"/>
                <w:sz w:val="14"/>
                <w:szCs w:val="14"/>
                <w:color w:val="auto"/>
              </w:rPr>
              <w:t>855,005</w:t>
            </w:r>
          </w:p>
        </w:tc>
        <w:tc>
          <w:tcPr>
            <w:tcW w:w="640" w:type="dxa"/>
            <w:vAlign w:val="bottom"/>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0EF"/>
          </w:tcPr>
          <w:p>
            <w:pPr>
              <w:jc w:val="right"/>
              <w:spacing w:after="0"/>
              <w:rPr>
                <w:sz w:val="20"/>
                <w:szCs w:val="20"/>
                <w:color w:val="auto"/>
              </w:rPr>
            </w:pPr>
            <w:r>
              <w:rPr>
                <w:rFonts w:ascii="Arial" w:cs="Arial" w:eastAsia="Arial" w:hAnsi="Arial"/>
                <w:sz w:val="14"/>
                <w:szCs w:val="14"/>
                <w:color w:val="auto"/>
              </w:rPr>
              <w:t>3,200,380</w:t>
            </w:r>
          </w:p>
        </w:tc>
        <w:tc>
          <w:tcPr>
            <w:tcW w:w="1400" w:type="dxa"/>
            <w:vAlign w:val="bottom"/>
            <w:shd w:val="clear" w:color="auto" w:fill="DFDEEE"/>
          </w:tcPr>
          <w:p>
            <w:pPr>
              <w:jc w:val="right"/>
              <w:ind w:right="11"/>
              <w:spacing w:after="0"/>
              <w:rPr>
                <w:sz w:val="20"/>
                <w:szCs w:val="20"/>
                <w:color w:val="auto"/>
              </w:rPr>
            </w:pPr>
            <w:r>
              <w:rPr>
                <w:rFonts w:ascii="Arial" w:cs="Arial" w:eastAsia="Arial" w:hAnsi="Arial"/>
                <w:sz w:val="14"/>
                <w:szCs w:val="14"/>
                <w:color w:val="auto"/>
              </w:rPr>
              <w:t>1,342,358</w:t>
            </w:r>
          </w:p>
        </w:tc>
        <w:tc>
          <w:tcPr>
            <w:tcW w:w="1320" w:type="dxa"/>
            <w:vAlign w:val="bottom"/>
            <w:shd w:val="clear" w:color="auto" w:fill="DFDEEE"/>
          </w:tcPr>
          <w:p>
            <w:pPr>
              <w:jc w:val="right"/>
              <w:ind w:right="13"/>
              <w:spacing w:after="0"/>
              <w:rPr>
                <w:sz w:val="20"/>
                <w:szCs w:val="20"/>
                <w:color w:val="auto"/>
              </w:rPr>
            </w:pPr>
            <w:r>
              <w:rPr>
                <w:rFonts w:ascii="Arial" w:cs="Arial" w:eastAsia="Arial" w:hAnsi="Arial"/>
                <w:sz w:val="14"/>
                <w:szCs w:val="14"/>
                <w:color w:val="auto"/>
              </w:rPr>
              <w:t>662,262</w:t>
            </w:r>
          </w:p>
        </w:tc>
        <w:tc>
          <w:tcPr>
            <w:tcW w:w="14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130,593</w:t>
            </w:r>
          </w:p>
        </w:tc>
        <w:tc>
          <w:tcPr>
            <w:tcW w:w="12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6,190,598</w:t>
            </w:r>
          </w:p>
        </w:tc>
        <w:tc>
          <w:tcPr>
            <w:tcW w:w="0" w:type="dxa"/>
            <w:vAlign w:val="bottom"/>
          </w:tcPr>
          <w:p>
            <w:pPr>
              <w:spacing w:after="0"/>
              <w:rPr>
                <w:sz w:val="1"/>
                <w:szCs w:val="1"/>
                <w:color w:val="auto"/>
              </w:rPr>
            </w:pPr>
          </w:p>
        </w:tc>
      </w:tr>
      <w:tr>
        <w:trPr>
          <w:trHeight w:val="6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w:t>
            </w:r>
          </w:p>
        </w:tc>
        <w:tc>
          <w:tcPr>
            <w:tcW w:w="620" w:type="dxa"/>
            <w:vAlign w:val="bottom"/>
            <w:tcBorders>
              <w:bottom w:val="single" w:sz="8" w:color="BCBEC0"/>
            </w:tcBorders>
            <w:shd w:val="clear" w:color="auto" w:fill="DFDEEE"/>
          </w:tcPr>
          <w:p>
            <w:pPr>
              <w:spacing w:after="0"/>
              <w:rPr>
                <w:sz w:val="5"/>
                <w:szCs w:val="5"/>
                <w:color w:val="auto"/>
              </w:rPr>
            </w:pPr>
          </w:p>
        </w:tc>
        <w:tc>
          <w:tcPr>
            <w:tcW w:w="1080" w:type="dxa"/>
            <w:vAlign w:val="bottom"/>
            <w:tcBorders>
              <w:bottom w:val="single" w:sz="8" w:color="BCBEC0"/>
            </w:tcBorders>
            <w:shd w:val="clear" w:color="auto" w:fill="DFDEEE"/>
          </w:tcPr>
          <w:p>
            <w:pPr>
              <w:spacing w:after="0"/>
              <w:rPr>
                <w:sz w:val="5"/>
                <w:szCs w:val="5"/>
                <w:color w:val="auto"/>
              </w:rPr>
            </w:pPr>
          </w:p>
        </w:tc>
        <w:tc>
          <w:tcPr>
            <w:tcW w:w="640" w:type="dxa"/>
            <w:vAlign w:val="bottom"/>
            <w:tcBorders>
              <w:bottom w:val="single" w:sz="8" w:color="BCBEC0"/>
            </w:tcBorders>
            <w:shd w:val="clear" w:color="auto" w:fill="DFDEEE"/>
          </w:tcPr>
          <w:p>
            <w:pPr>
              <w:spacing w:after="0"/>
              <w:rPr>
                <w:sz w:val="5"/>
                <w:szCs w:val="5"/>
                <w:color w:val="auto"/>
              </w:rPr>
            </w:pPr>
          </w:p>
        </w:tc>
        <w:tc>
          <w:tcPr>
            <w:tcW w:w="1240" w:type="dxa"/>
            <w:vAlign w:val="bottom"/>
            <w:tcBorders>
              <w:bottom w:val="single" w:sz="8" w:color="BCBEC0"/>
            </w:tcBorders>
            <w:shd w:val="clear" w:color="auto" w:fill="E1E0EF"/>
          </w:tcPr>
          <w:p>
            <w:pPr>
              <w:spacing w:after="0"/>
              <w:rPr>
                <w:sz w:val="5"/>
                <w:szCs w:val="5"/>
                <w:color w:val="auto"/>
              </w:rPr>
            </w:pPr>
          </w:p>
        </w:tc>
        <w:tc>
          <w:tcPr>
            <w:tcW w:w="1400" w:type="dxa"/>
            <w:vAlign w:val="bottom"/>
            <w:tcBorders>
              <w:bottom w:val="single" w:sz="8" w:color="BCBEC0"/>
            </w:tcBorders>
            <w:shd w:val="clear" w:color="auto" w:fill="DFDEEE"/>
          </w:tcPr>
          <w:p>
            <w:pPr>
              <w:spacing w:after="0"/>
              <w:rPr>
                <w:sz w:val="5"/>
                <w:szCs w:val="5"/>
                <w:color w:val="auto"/>
              </w:rPr>
            </w:pPr>
          </w:p>
        </w:tc>
        <w:tc>
          <w:tcPr>
            <w:tcW w:w="1320" w:type="dxa"/>
            <w:vAlign w:val="bottom"/>
            <w:tcBorders>
              <w:bottom w:val="single" w:sz="8" w:color="BCBEC0"/>
            </w:tcBorders>
            <w:shd w:val="clear" w:color="auto" w:fill="DFDEEE"/>
          </w:tcPr>
          <w:p>
            <w:pPr>
              <w:spacing w:after="0"/>
              <w:rPr>
                <w:sz w:val="5"/>
                <w:szCs w:val="5"/>
                <w:color w:val="auto"/>
              </w:rPr>
            </w:pPr>
          </w:p>
        </w:tc>
        <w:tc>
          <w:tcPr>
            <w:tcW w:w="1400" w:type="dxa"/>
            <w:vAlign w:val="bottom"/>
            <w:tcBorders>
              <w:bottom w:val="single" w:sz="8" w:color="BCBEC0"/>
            </w:tcBorders>
            <w:shd w:val="clear" w:color="auto" w:fill="DFDEEE"/>
          </w:tcPr>
          <w:p>
            <w:pPr>
              <w:spacing w:after="0"/>
              <w:rPr>
                <w:sz w:val="5"/>
                <w:szCs w:val="5"/>
                <w:color w:val="auto"/>
              </w:rPr>
            </w:pPr>
          </w:p>
        </w:tc>
        <w:tc>
          <w:tcPr>
            <w:tcW w:w="1200" w:type="dxa"/>
            <w:vAlign w:val="bottom"/>
            <w:tcBorders>
              <w:bottom w:val="single" w:sz="8" w:color="BCBEC0"/>
            </w:tcBorders>
            <w:shd w:val="clear" w:color="auto" w:fill="DFDEE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340" w:type="dxa"/>
            <w:vAlign w:val="bottom"/>
            <w:vMerge w:val="continue"/>
          </w:tcPr>
          <w:p>
            <w:pPr>
              <w:spacing w:after="0"/>
              <w:rPr>
                <w:sz w:val="6"/>
                <w:szCs w:val="6"/>
                <w:color w:val="auto"/>
              </w:rPr>
            </w:pPr>
          </w:p>
        </w:tc>
        <w:tc>
          <w:tcPr>
            <w:tcW w:w="62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855,005</w:t>
            </w:r>
          </w:p>
        </w:tc>
        <w:tc>
          <w:tcPr>
            <w:tcW w:w="640" w:type="dxa"/>
            <w:vAlign w:val="bottom"/>
            <w:vMerge w:val="restart"/>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2,999,816</w:t>
            </w:r>
          </w:p>
        </w:tc>
        <w:tc>
          <w:tcPr>
            <w:tcW w:w="1400" w:type="dxa"/>
            <w:vAlign w:val="bottom"/>
            <w:vMerge w:val="restart"/>
            <w:shd w:val="clear" w:color="auto" w:fill="E1E0EF"/>
          </w:tcPr>
          <w:p>
            <w:pPr>
              <w:jc w:val="right"/>
              <w:ind w:right="11"/>
              <w:spacing w:after="0"/>
              <w:rPr>
                <w:sz w:val="20"/>
                <w:szCs w:val="20"/>
                <w:color w:val="auto"/>
              </w:rPr>
            </w:pPr>
            <w:r>
              <w:rPr>
                <w:rFonts w:ascii="Arial" w:cs="Arial" w:eastAsia="Arial" w:hAnsi="Arial"/>
                <w:sz w:val="14"/>
                <w:szCs w:val="14"/>
                <w:color w:val="auto"/>
              </w:rPr>
              <w:t>1,145,706</w:t>
            </w:r>
          </w:p>
        </w:tc>
        <w:tc>
          <w:tcPr>
            <w:tcW w:w="1320" w:type="dxa"/>
            <w:vAlign w:val="bottom"/>
            <w:vMerge w:val="restart"/>
            <w:shd w:val="clear" w:color="auto" w:fill="E1E0EF"/>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128,645</w:t>
            </w:r>
          </w:p>
        </w:tc>
        <w:tc>
          <w:tcPr>
            <w:tcW w:w="120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5,129,172</w:t>
            </w:r>
          </w:p>
        </w:tc>
        <w:tc>
          <w:tcPr>
            <w:tcW w:w="0" w:type="dxa"/>
            <w:vAlign w:val="bottom"/>
          </w:tcPr>
          <w:p>
            <w:pPr>
              <w:spacing w:after="0"/>
              <w:rPr>
                <w:sz w:val="1"/>
                <w:szCs w:val="1"/>
                <w:color w:val="auto"/>
              </w:rPr>
            </w:pPr>
          </w:p>
        </w:tc>
      </w:tr>
      <w:tr>
        <w:trPr>
          <w:trHeight w:val="132"/>
        </w:trPr>
        <w:tc>
          <w:tcPr>
            <w:tcW w:w="2340" w:type="dxa"/>
            <w:vAlign w:val="bottom"/>
          </w:tcPr>
          <w:p>
            <w:pPr>
              <w:ind w:left="20"/>
              <w:spacing w:after="0" w:line="125" w:lineRule="exact"/>
              <w:rPr>
                <w:sz w:val="20"/>
                <w:szCs w:val="20"/>
                <w:color w:val="auto"/>
              </w:rPr>
            </w:pPr>
            <w:r>
              <w:rPr>
                <w:rFonts w:ascii="Arial" w:cs="Arial" w:eastAsia="Arial" w:hAnsi="Arial"/>
                <w:sz w:val="14"/>
                <w:szCs w:val="14"/>
                <w:color w:val="auto"/>
              </w:rPr>
              <w:t>President, Mission Systems</w:t>
            </w:r>
          </w:p>
        </w:tc>
        <w:tc>
          <w:tcPr>
            <w:tcW w:w="620" w:type="dxa"/>
            <w:vAlign w:val="bottom"/>
            <w:tcBorders>
              <w:bottom w:val="single" w:sz="8" w:color="BCBEC0"/>
            </w:tcBorders>
            <w:vMerge w:val="continue"/>
            <w:shd w:val="clear" w:color="auto" w:fill="E1E0EF"/>
          </w:tcPr>
          <w:p>
            <w:pPr>
              <w:spacing w:after="0"/>
              <w:rPr>
                <w:sz w:val="11"/>
                <w:szCs w:val="11"/>
                <w:color w:val="auto"/>
              </w:rPr>
            </w:pPr>
          </w:p>
        </w:tc>
        <w:tc>
          <w:tcPr>
            <w:tcW w:w="1080" w:type="dxa"/>
            <w:vAlign w:val="bottom"/>
            <w:tcBorders>
              <w:bottom w:val="single" w:sz="8" w:color="BCBEC0"/>
            </w:tcBorders>
            <w:vMerge w:val="continue"/>
            <w:shd w:val="clear" w:color="auto" w:fill="E1E0EF"/>
          </w:tcPr>
          <w:p>
            <w:pPr>
              <w:spacing w:after="0"/>
              <w:rPr>
                <w:sz w:val="11"/>
                <w:szCs w:val="11"/>
                <w:color w:val="auto"/>
              </w:rPr>
            </w:pPr>
          </w:p>
        </w:tc>
        <w:tc>
          <w:tcPr>
            <w:tcW w:w="640" w:type="dxa"/>
            <w:vAlign w:val="bottom"/>
            <w:tcBorders>
              <w:bottom w:val="single" w:sz="8" w:color="BCBEC0"/>
            </w:tcBorders>
            <w:vMerge w:val="continue"/>
            <w:shd w:val="clear" w:color="auto" w:fill="E1E0EF"/>
          </w:tcPr>
          <w:p>
            <w:pPr>
              <w:spacing w:after="0"/>
              <w:rPr>
                <w:sz w:val="11"/>
                <w:szCs w:val="11"/>
                <w:color w:val="auto"/>
              </w:rPr>
            </w:pPr>
          </w:p>
        </w:tc>
        <w:tc>
          <w:tcPr>
            <w:tcW w:w="1240" w:type="dxa"/>
            <w:vAlign w:val="bottom"/>
            <w:tcBorders>
              <w:bottom w:val="single" w:sz="8" w:color="BCBEC0"/>
            </w:tcBorders>
            <w:vMerge w:val="continue"/>
            <w:shd w:val="clear" w:color="auto" w:fill="E1E0EF"/>
          </w:tcPr>
          <w:p>
            <w:pPr>
              <w:spacing w:after="0"/>
              <w:rPr>
                <w:sz w:val="11"/>
                <w:szCs w:val="11"/>
                <w:color w:val="auto"/>
              </w:rPr>
            </w:pPr>
          </w:p>
        </w:tc>
        <w:tc>
          <w:tcPr>
            <w:tcW w:w="1400" w:type="dxa"/>
            <w:vAlign w:val="bottom"/>
            <w:tcBorders>
              <w:bottom w:val="single" w:sz="8" w:color="BCBEC0"/>
            </w:tcBorders>
            <w:vMerge w:val="continue"/>
            <w:shd w:val="clear" w:color="auto" w:fill="E1E0EF"/>
          </w:tcPr>
          <w:p>
            <w:pPr>
              <w:spacing w:after="0"/>
              <w:rPr>
                <w:sz w:val="11"/>
                <w:szCs w:val="11"/>
                <w:color w:val="auto"/>
              </w:rPr>
            </w:pPr>
          </w:p>
        </w:tc>
        <w:tc>
          <w:tcPr>
            <w:tcW w:w="1320" w:type="dxa"/>
            <w:vAlign w:val="bottom"/>
            <w:tcBorders>
              <w:bottom w:val="single" w:sz="8" w:color="BCBEC0"/>
            </w:tcBorders>
            <w:vMerge w:val="continue"/>
            <w:shd w:val="clear" w:color="auto" w:fill="E1E0EF"/>
          </w:tcPr>
          <w:p>
            <w:pPr>
              <w:spacing w:after="0"/>
              <w:rPr>
                <w:sz w:val="11"/>
                <w:szCs w:val="11"/>
                <w:color w:val="auto"/>
              </w:rPr>
            </w:pPr>
          </w:p>
        </w:tc>
        <w:tc>
          <w:tcPr>
            <w:tcW w:w="1400" w:type="dxa"/>
            <w:vAlign w:val="bottom"/>
            <w:tcBorders>
              <w:bottom w:val="single" w:sz="8" w:color="BCBEC0"/>
            </w:tcBorders>
            <w:vMerge w:val="continue"/>
            <w:shd w:val="clear" w:color="auto" w:fill="E1E0EF"/>
          </w:tcPr>
          <w:p>
            <w:pPr>
              <w:spacing w:after="0"/>
              <w:rPr>
                <w:sz w:val="11"/>
                <w:szCs w:val="11"/>
                <w:color w:val="auto"/>
              </w:rPr>
            </w:pPr>
          </w:p>
        </w:tc>
        <w:tc>
          <w:tcPr>
            <w:tcW w:w="1200" w:type="dxa"/>
            <w:vAlign w:val="bottom"/>
            <w:tcBorders>
              <w:bottom w:val="single" w:sz="8" w:color="BCBEC0"/>
            </w:tcBorders>
            <w:vMerge w:val="continue"/>
            <w:shd w:val="clear" w:color="auto" w:fill="E1E0E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BCBEC0"/>
            </w:tcBorders>
          </w:tcPr>
          <w:p>
            <w:pPr>
              <w:spacing w:after="0"/>
              <w:rPr>
                <w:sz w:val="18"/>
                <w:szCs w:val="18"/>
                <w:color w:val="auto"/>
              </w:rPr>
            </w:pPr>
          </w:p>
        </w:tc>
        <w:tc>
          <w:tcPr>
            <w:tcW w:w="62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855,002</w:t>
            </w:r>
          </w:p>
        </w:tc>
        <w:tc>
          <w:tcPr>
            <w:tcW w:w="640" w:type="dxa"/>
            <w:vAlign w:val="bottom"/>
            <w:tcBorders>
              <w:bottom w:val="single" w:sz="8" w:color="BCBEC0"/>
            </w:tcBorders>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3,000,038</w:t>
            </w:r>
          </w:p>
        </w:tc>
        <w:tc>
          <w:tcPr>
            <w:tcW w:w="1400" w:type="dxa"/>
            <w:vAlign w:val="bottom"/>
            <w:tcBorders>
              <w:bottom w:val="single" w:sz="8" w:color="BCBEC0"/>
            </w:tcBorders>
            <w:shd w:val="clear" w:color="auto" w:fill="E1E0EF"/>
          </w:tcPr>
          <w:p>
            <w:pPr>
              <w:jc w:val="right"/>
              <w:ind w:right="11"/>
              <w:spacing w:after="0"/>
              <w:rPr>
                <w:sz w:val="20"/>
                <w:szCs w:val="20"/>
                <w:color w:val="auto"/>
              </w:rPr>
            </w:pPr>
            <w:r>
              <w:rPr>
                <w:rFonts w:ascii="Arial" w:cs="Arial" w:eastAsia="Arial" w:hAnsi="Arial"/>
                <w:sz w:val="14"/>
                <w:szCs w:val="14"/>
                <w:color w:val="auto"/>
              </w:rPr>
              <w:t>1,112,000</w:t>
            </w:r>
          </w:p>
        </w:tc>
        <w:tc>
          <w:tcPr>
            <w:tcW w:w="1320" w:type="dxa"/>
            <w:vAlign w:val="bottom"/>
            <w:tcBorders>
              <w:bottom w:val="single" w:sz="8" w:color="BCBEC0"/>
            </w:tcBorders>
            <w:shd w:val="clear" w:color="auto" w:fill="E1E0EF"/>
          </w:tcPr>
          <w:p>
            <w:pPr>
              <w:jc w:val="right"/>
              <w:ind w:right="13"/>
              <w:spacing w:after="0"/>
              <w:rPr>
                <w:sz w:val="20"/>
                <w:szCs w:val="20"/>
                <w:color w:val="auto"/>
              </w:rPr>
            </w:pPr>
            <w:r>
              <w:rPr>
                <w:rFonts w:ascii="Arial" w:cs="Arial" w:eastAsia="Arial" w:hAnsi="Arial"/>
                <w:sz w:val="14"/>
                <w:szCs w:val="14"/>
                <w:color w:val="auto"/>
              </w:rPr>
              <w:t>206,044</w:t>
            </w:r>
          </w:p>
        </w:tc>
        <w:tc>
          <w:tcPr>
            <w:tcW w:w="140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138,474</w:t>
            </w:r>
          </w:p>
        </w:tc>
        <w:tc>
          <w:tcPr>
            <w:tcW w:w="1200" w:type="dxa"/>
            <w:vAlign w:val="bottom"/>
            <w:tcBorders>
              <w:bottom w:val="single" w:sz="8" w:color="D1D3D4"/>
            </w:tcBorders>
            <w:shd w:val="clear" w:color="auto" w:fill="E1E0EF"/>
          </w:tcPr>
          <w:p>
            <w:pPr>
              <w:jc w:val="right"/>
              <w:spacing w:after="0"/>
              <w:rPr>
                <w:sz w:val="20"/>
                <w:szCs w:val="20"/>
                <w:color w:val="auto"/>
              </w:rPr>
            </w:pPr>
            <w:r>
              <w:rPr>
                <w:rFonts w:ascii="Arial" w:cs="Arial" w:eastAsia="Arial" w:hAnsi="Arial"/>
                <w:sz w:val="14"/>
                <w:szCs w:val="14"/>
                <w:color w:val="auto"/>
              </w:rPr>
              <w:t>5,311,558</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Thomas H. Jones</w:t>
            </w: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785,192</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3,200,380</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1,240,300</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270,042</w:t>
            </w:r>
          </w:p>
        </w:tc>
        <w:tc>
          <w:tcPr>
            <w:tcW w:w="1200" w:type="dxa"/>
            <w:vAlign w:val="bottom"/>
          </w:tcPr>
          <w:p>
            <w:pPr>
              <w:jc w:val="right"/>
              <w:spacing w:after="0"/>
              <w:rPr>
                <w:sz w:val="20"/>
                <w:szCs w:val="20"/>
                <w:color w:val="auto"/>
              </w:rPr>
            </w:pPr>
            <w:r>
              <w:rPr>
                <w:rFonts w:ascii="Arial" w:cs="Arial" w:eastAsia="Arial" w:hAnsi="Arial"/>
                <w:sz w:val="14"/>
                <w:szCs w:val="14"/>
                <w:color w:val="auto"/>
              </w:rPr>
              <w:t>5,495,914</w:t>
            </w:r>
          </w:p>
        </w:tc>
        <w:tc>
          <w:tcPr>
            <w:tcW w:w="0" w:type="dxa"/>
            <w:vAlign w:val="bottom"/>
          </w:tcPr>
          <w:p>
            <w:pPr>
              <w:spacing w:after="0"/>
              <w:rPr>
                <w:sz w:val="1"/>
                <w:szCs w:val="1"/>
                <w:color w:val="auto"/>
              </w:rPr>
            </w:pPr>
          </w:p>
        </w:tc>
      </w:tr>
      <w:tr>
        <w:trPr>
          <w:trHeight w:val="2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w:t>
            </w:r>
          </w:p>
        </w:tc>
        <w:tc>
          <w:tcPr>
            <w:tcW w:w="62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6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762,117</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2,999,816</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1,025,100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282,197</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5,069,230</w:t>
            </w:r>
          </w:p>
        </w:tc>
        <w:tc>
          <w:tcPr>
            <w:tcW w:w="0" w:type="dxa"/>
            <w:vAlign w:val="bottom"/>
          </w:tcPr>
          <w:p>
            <w:pPr>
              <w:spacing w:after="0"/>
              <w:rPr>
                <w:sz w:val="1"/>
                <w:szCs w:val="1"/>
                <w:color w:val="auto"/>
              </w:rPr>
            </w:pPr>
          </w:p>
        </w:tc>
      </w:tr>
      <w:tr>
        <w:trPr>
          <w:trHeight w:val="91"/>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President, Aeronautics Systems</w:t>
            </w:r>
          </w:p>
        </w:tc>
        <w:tc>
          <w:tcPr>
            <w:tcW w:w="620" w:type="dxa"/>
            <w:vAlign w:val="bottom"/>
            <w:tcBorders>
              <w:bottom w:val="single" w:sz="8" w:color="BCBEC0"/>
            </w:tcBorders>
            <w:vMerge w:val="continue"/>
          </w:tcPr>
          <w:p>
            <w:pPr>
              <w:spacing w:after="0"/>
              <w:rPr>
                <w:sz w:val="7"/>
                <w:szCs w:val="7"/>
                <w:color w:val="auto"/>
              </w:rPr>
            </w:pPr>
          </w:p>
        </w:tc>
        <w:tc>
          <w:tcPr>
            <w:tcW w:w="1080" w:type="dxa"/>
            <w:vAlign w:val="bottom"/>
            <w:tcBorders>
              <w:bottom w:val="single" w:sz="8" w:color="BCBEC0"/>
            </w:tcBorders>
            <w:vMerge w:val="continue"/>
          </w:tcPr>
          <w:p>
            <w:pPr>
              <w:spacing w:after="0"/>
              <w:rPr>
                <w:sz w:val="7"/>
                <w:szCs w:val="7"/>
                <w:color w:val="auto"/>
              </w:rPr>
            </w:pPr>
          </w:p>
        </w:tc>
        <w:tc>
          <w:tcPr>
            <w:tcW w:w="640" w:type="dxa"/>
            <w:vAlign w:val="bottom"/>
            <w:tcBorders>
              <w:bottom w:val="single" w:sz="8" w:color="BCBEC0"/>
            </w:tcBorders>
            <w:vMerge w:val="continue"/>
          </w:tcPr>
          <w:p>
            <w:pPr>
              <w:spacing w:after="0"/>
              <w:rPr>
                <w:sz w:val="7"/>
                <w:szCs w:val="7"/>
                <w:color w:val="auto"/>
              </w:rPr>
            </w:pPr>
          </w:p>
        </w:tc>
        <w:tc>
          <w:tcPr>
            <w:tcW w:w="124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32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200" w:type="dxa"/>
            <w:vAlign w:val="bottom"/>
            <w:tcBorders>
              <w:bottom w:val="single" w:sz="8" w:color="BCBE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BCBEC0"/>
            </w:tcBorders>
          </w:tcPr>
          <w:p>
            <w:pPr>
              <w:spacing w:after="0"/>
              <w:rPr>
                <w:sz w:val="18"/>
                <w:szCs w:val="18"/>
                <w:color w:val="auto"/>
              </w:rPr>
            </w:pPr>
          </w:p>
        </w:tc>
        <w:tc>
          <w:tcPr>
            <w:tcW w:w="620" w:type="dxa"/>
            <w:vAlign w:val="bottom"/>
            <w:tcBorders>
              <w:bottom w:val="single" w:sz="8" w:color="BCBEC0"/>
            </w:tcBorders>
          </w:tcPr>
          <w:p>
            <w:pPr>
              <w:spacing w:after="0"/>
              <w:rPr>
                <w:sz w:val="18"/>
                <w:szCs w:val="18"/>
                <w:color w:val="auto"/>
              </w:rPr>
            </w:pPr>
          </w:p>
        </w:tc>
        <w:tc>
          <w:tcPr>
            <w:tcW w:w="108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1400" w:type="dxa"/>
            <w:vAlign w:val="bottom"/>
            <w:tcBorders>
              <w:bottom w:val="single" w:sz="8" w:color="BCBEC0"/>
            </w:tcBorders>
          </w:tcPr>
          <w:p>
            <w:pPr>
              <w:spacing w:after="0"/>
              <w:rPr>
                <w:sz w:val="18"/>
                <w:szCs w:val="18"/>
                <w:color w:val="auto"/>
              </w:rPr>
            </w:pPr>
          </w:p>
        </w:tc>
        <w:tc>
          <w:tcPr>
            <w:tcW w:w="1320" w:type="dxa"/>
            <w:vAlign w:val="bottom"/>
            <w:tcBorders>
              <w:bottom w:val="single" w:sz="8" w:color="BCBEC0"/>
            </w:tcBorders>
          </w:tcPr>
          <w:p>
            <w:pPr>
              <w:spacing w:after="0"/>
              <w:rPr>
                <w:sz w:val="18"/>
                <w:szCs w:val="18"/>
                <w:color w:val="auto"/>
              </w:rPr>
            </w:pPr>
          </w:p>
        </w:tc>
        <w:tc>
          <w:tcPr>
            <w:tcW w:w="1400" w:type="dxa"/>
            <w:vAlign w:val="bottom"/>
            <w:tcBorders>
              <w:bottom w:val="single" w:sz="8" w:color="BCBEC0"/>
            </w:tcBorders>
          </w:tcPr>
          <w:p>
            <w:pPr>
              <w:spacing w:after="0"/>
              <w:rPr>
                <w:sz w:val="18"/>
                <w:szCs w:val="18"/>
                <w:color w:val="auto"/>
              </w:rPr>
            </w:pPr>
          </w:p>
        </w:tc>
        <w:tc>
          <w:tcPr>
            <w:tcW w:w="1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Roshan S. Roeder (6)</w:t>
            </w:r>
          </w:p>
        </w:tc>
        <w:tc>
          <w:tcPr>
            <w:tcW w:w="62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750,000</w:t>
            </w:r>
          </w:p>
        </w:tc>
        <w:tc>
          <w:tcPr>
            <w:tcW w:w="640" w:type="dxa"/>
            <w:vAlign w:val="bottom"/>
            <w:tcBorders>
              <w:bottom w:val="single" w:sz="8" w:color="DFDEEE"/>
            </w:tcBorders>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4"/>
                <w:szCs w:val="14"/>
                <w:color w:val="auto"/>
              </w:rPr>
              <w:t>3,149,450</w:t>
            </w:r>
          </w:p>
        </w:tc>
        <w:tc>
          <w:tcPr>
            <w:tcW w:w="1400" w:type="dxa"/>
            <w:vAlign w:val="bottom"/>
            <w:tcBorders>
              <w:bottom w:val="single" w:sz="8" w:color="DFDEEE"/>
            </w:tcBorders>
            <w:shd w:val="clear" w:color="auto" w:fill="DFDEEE"/>
          </w:tcPr>
          <w:p>
            <w:pPr>
              <w:jc w:val="right"/>
              <w:ind w:right="11"/>
              <w:spacing w:after="0"/>
              <w:rPr>
                <w:sz w:val="20"/>
                <w:szCs w:val="20"/>
                <w:color w:val="auto"/>
              </w:rPr>
            </w:pPr>
            <w:r>
              <w:rPr>
                <w:rFonts w:ascii="Arial" w:cs="Arial" w:eastAsia="Arial" w:hAnsi="Arial"/>
                <w:sz w:val="14"/>
                <w:szCs w:val="14"/>
                <w:color w:val="auto"/>
              </w:rPr>
              <w:t>1,177,500</w:t>
            </w:r>
          </w:p>
        </w:tc>
        <w:tc>
          <w:tcPr>
            <w:tcW w:w="1320" w:type="dxa"/>
            <w:vAlign w:val="bottom"/>
            <w:tcBorders>
              <w:bottom w:val="single" w:sz="8" w:color="DFDEEE"/>
            </w:tcBorders>
            <w:shd w:val="clear" w:color="auto" w:fill="DFDEEE"/>
          </w:tcPr>
          <w:p>
            <w:pPr>
              <w:jc w:val="right"/>
              <w:ind w:right="13"/>
              <w:spacing w:after="0"/>
              <w:rPr>
                <w:sz w:val="20"/>
                <w:szCs w:val="20"/>
                <w:color w:val="auto"/>
              </w:rPr>
            </w:pPr>
            <w:r>
              <w:rPr>
                <w:rFonts w:ascii="Arial" w:cs="Arial" w:eastAsia="Arial" w:hAnsi="Arial"/>
                <w:sz w:val="14"/>
                <w:szCs w:val="14"/>
                <w:color w:val="auto"/>
              </w:rPr>
              <w:t>238,461</w:t>
            </w:r>
          </w:p>
        </w:tc>
        <w:tc>
          <w:tcPr>
            <w:tcW w:w="14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116,021</w:t>
            </w:r>
          </w:p>
        </w:tc>
        <w:tc>
          <w:tcPr>
            <w:tcW w:w="12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5,431,432</w:t>
            </w:r>
          </w:p>
        </w:tc>
        <w:tc>
          <w:tcPr>
            <w:tcW w:w="0" w:type="dxa"/>
            <w:vAlign w:val="bottom"/>
          </w:tcPr>
          <w:p>
            <w:pPr>
              <w:spacing w:after="0"/>
              <w:rPr>
                <w:sz w:val="1"/>
                <w:szCs w:val="1"/>
                <w:color w:val="auto"/>
              </w:rPr>
            </w:pPr>
          </w:p>
        </w:tc>
      </w:tr>
      <w:tr>
        <w:trPr>
          <w:trHeight w:val="119"/>
        </w:trPr>
        <w:tc>
          <w:tcPr>
            <w:tcW w:w="2340" w:type="dxa"/>
            <w:vAlign w:val="bottom"/>
          </w:tcPr>
          <w:p>
            <w:pPr>
              <w:ind w:left="20"/>
              <w:spacing w:after="0" w:line="119" w:lineRule="exact"/>
              <w:rPr>
                <w:sz w:val="20"/>
                <w:szCs w:val="20"/>
                <w:color w:val="auto"/>
              </w:rPr>
            </w:pPr>
            <w:r>
              <w:rPr>
                <w:rFonts w:ascii="Arial" w:cs="Arial" w:eastAsia="Arial" w:hAnsi="Arial"/>
                <w:sz w:val="13"/>
                <w:szCs w:val="13"/>
                <w:color w:val="auto"/>
              </w:rPr>
              <w:t>Corporate Vice President and</w:t>
            </w:r>
          </w:p>
        </w:tc>
        <w:tc>
          <w:tcPr>
            <w:tcW w:w="620" w:type="dxa"/>
            <w:vAlign w:val="bottom"/>
            <w:tcBorders>
              <w:top w:val="single" w:sz="8" w:color="BCBEC0"/>
            </w:tcBorders>
            <w:shd w:val="clear" w:color="auto" w:fill="DFDEEE"/>
          </w:tcPr>
          <w:p>
            <w:pPr>
              <w:spacing w:after="0"/>
              <w:rPr>
                <w:sz w:val="10"/>
                <w:szCs w:val="10"/>
                <w:color w:val="auto"/>
              </w:rPr>
            </w:pPr>
          </w:p>
        </w:tc>
        <w:tc>
          <w:tcPr>
            <w:tcW w:w="1080" w:type="dxa"/>
            <w:vAlign w:val="bottom"/>
            <w:tcBorders>
              <w:top w:val="single" w:sz="8" w:color="BCBEC0"/>
            </w:tcBorders>
            <w:shd w:val="clear" w:color="auto" w:fill="DFDEEE"/>
          </w:tcPr>
          <w:p>
            <w:pPr>
              <w:spacing w:after="0"/>
              <w:rPr>
                <w:sz w:val="10"/>
                <w:szCs w:val="10"/>
                <w:color w:val="auto"/>
              </w:rPr>
            </w:pPr>
          </w:p>
        </w:tc>
        <w:tc>
          <w:tcPr>
            <w:tcW w:w="640" w:type="dxa"/>
            <w:vAlign w:val="bottom"/>
            <w:tcBorders>
              <w:top w:val="single" w:sz="8" w:color="BCBEC0"/>
            </w:tcBorders>
            <w:shd w:val="clear" w:color="auto" w:fill="DFDEEE"/>
          </w:tcPr>
          <w:p>
            <w:pPr>
              <w:spacing w:after="0"/>
              <w:rPr>
                <w:sz w:val="10"/>
                <w:szCs w:val="10"/>
                <w:color w:val="auto"/>
              </w:rPr>
            </w:pPr>
          </w:p>
        </w:tc>
        <w:tc>
          <w:tcPr>
            <w:tcW w:w="1240" w:type="dxa"/>
            <w:vAlign w:val="bottom"/>
            <w:tcBorders>
              <w:top w:val="single" w:sz="8" w:color="BCBEC0"/>
            </w:tcBorders>
            <w:shd w:val="clear" w:color="auto" w:fill="DFDEEE"/>
          </w:tcPr>
          <w:p>
            <w:pPr>
              <w:spacing w:after="0"/>
              <w:rPr>
                <w:sz w:val="10"/>
                <w:szCs w:val="10"/>
                <w:color w:val="auto"/>
              </w:rPr>
            </w:pPr>
          </w:p>
        </w:tc>
        <w:tc>
          <w:tcPr>
            <w:tcW w:w="1400" w:type="dxa"/>
            <w:vAlign w:val="bottom"/>
            <w:tcBorders>
              <w:top w:val="single" w:sz="8" w:color="BCBEC0"/>
            </w:tcBorders>
            <w:shd w:val="clear" w:color="auto" w:fill="DFDEEE"/>
          </w:tcPr>
          <w:p>
            <w:pPr>
              <w:spacing w:after="0"/>
              <w:rPr>
                <w:sz w:val="10"/>
                <w:szCs w:val="10"/>
                <w:color w:val="auto"/>
              </w:rPr>
            </w:pPr>
          </w:p>
        </w:tc>
        <w:tc>
          <w:tcPr>
            <w:tcW w:w="1320" w:type="dxa"/>
            <w:vAlign w:val="bottom"/>
            <w:tcBorders>
              <w:top w:val="single" w:sz="8" w:color="BCBEC0"/>
            </w:tcBorders>
            <w:shd w:val="clear" w:color="auto" w:fill="DFDEEE"/>
          </w:tcPr>
          <w:p>
            <w:pPr>
              <w:spacing w:after="0"/>
              <w:rPr>
                <w:sz w:val="10"/>
                <w:szCs w:val="10"/>
                <w:color w:val="auto"/>
              </w:rPr>
            </w:pPr>
          </w:p>
        </w:tc>
        <w:tc>
          <w:tcPr>
            <w:tcW w:w="1400" w:type="dxa"/>
            <w:vAlign w:val="bottom"/>
            <w:tcBorders>
              <w:top w:val="single" w:sz="8" w:color="BCBEC0"/>
            </w:tcBorders>
            <w:shd w:val="clear" w:color="auto" w:fill="DFDEEE"/>
          </w:tcPr>
          <w:p>
            <w:pPr>
              <w:spacing w:after="0"/>
              <w:rPr>
                <w:sz w:val="10"/>
                <w:szCs w:val="10"/>
                <w:color w:val="auto"/>
              </w:rPr>
            </w:pPr>
          </w:p>
        </w:tc>
        <w:tc>
          <w:tcPr>
            <w:tcW w:w="1200" w:type="dxa"/>
            <w:vAlign w:val="bottom"/>
            <w:tcBorders>
              <w:top w:val="single" w:sz="8" w:color="BCBEC0"/>
            </w:tcBorders>
            <w:shd w:val="clear" w:color="auto" w:fill="DFDEE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Arial" w:cs="Arial" w:eastAsia="Arial" w:hAnsi="Arial"/>
                <w:sz w:val="14"/>
                <w:szCs w:val="14"/>
                <w:color w:val="auto"/>
              </w:rPr>
              <w:t>President, Defense Systems</w:t>
            </w:r>
          </w:p>
        </w:tc>
        <w:tc>
          <w:tcPr>
            <w:tcW w:w="620" w:type="dxa"/>
            <w:vAlign w:val="bottom"/>
            <w:shd w:val="clear" w:color="auto" w:fill="DFDEEE"/>
          </w:tcPr>
          <w:p>
            <w:pPr>
              <w:spacing w:after="0"/>
              <w:rPr>
                <w:sz w:val="16"/>
                <w:szCs w:val="16"/>
                <w:color w:val="auto"/>
              </w:rPr>
            </w:pPr>
          </w:p>
        </w:tc>
        <w:tc>
          <w:tcPr>
            <w:tcW w:w="1080" w:type="dxa"/>
            <w:vAlign w:val="bottom"/>
            <w:shd w:val="clear" w:color="auto" w:fill="DFDEEE"/>
          </w:tcPr>
          <w:p>
            <w:pPr>
              <w:spacing w:after="0"/>
              <w:rPr>
                <w:sz w:val="16"/>
                <w:szCs w:val="16"/>
                <w:color w:val="auto"/>
              </w:rPr>
            </w:pPr>
          </w:p>
        </w:tc>
        <w:tc>
          <w:tcPr>
            <w:tcW w:w="640" w:type="dxa"/>
            <w:vAlign w:val="bottom"/>
            <w:shd w:val="clear" w:color="auto" w:fill="DFDEEE"/>
          </w:tcPr>
          <w:p>
            <w:pPr>
              <w:spacing w:after="0"/>
              <w:rPr>
                <w:sz w:val="16"/>
                <w:szCs w:val="16"/>
                <w:color w:val="auto"/>
              </w:rPr>
            </w:pPr>
          </w:p>
        </w:tc>
        <w:tc>
          <w:tcPr>
            <w:tcW w:w="1240" w:type="dxa"/>
            <w:vAlign w:val="bottom"/>
            <w:shd w:val="clear" w:color="auto" w:fill="DFDEEE"/>
          </w:tcPr>
          <w:p>
            <w:pPr>
              <w:spacing w:after="0"/>
              <w:rPr>
                <w:sz w:val="16"/>
                <w:szCs w:val="16"/>
                <w:color w:val="auto"/>
              </w:rPr>
            </w:pPr>
          </w:p>
        </w:tc>
        <w:tc>
          <w:tcPr>
            <w:tcW w:w="1400" w:type="dxa"/>
            <w:vAlign w:val="bottom"/>
            <w:shd w:val="clear" w:color="auto" w:fill="DFDEEE"/>
          </w:tcPr>
          <w:p>
            <w:pPr>
              <w:spacing w:after="0"/>
              <w:rPr>
                <w:sz w:val="16"/>
                <w:szCs w:val="16"/>
                <w:color w:val="auto"/>
              </w:rPr>
            </w:pPr>
          </w:p>
        </w:tc>
        <w:tc>
          <w:tcPr>
            <w:tcW w:w="1320" w:type="dxa"/>
            <w:vAlign w:val="bottom"/>
            <w:shd w:val="clear" w:color="auto" w:fill="DFDEEE"/>
          </w:tcPr>
          <w:p>
            <w:pPr>
              <w:spacing w:after="0"/>
              <w:rPr>
                <w:sz w:val="16"/>
                <w:szCs w:val="16"/>
                <w:color w:val="auto"/>
              </w:rPr>
            </w:pPr>
          </w:p>
        </w:tc>
        <w:tc>
          <w:tcPr>
            <w:tcW w:w="1400" w:type="dxa"/>
            <w:vAlign w:val="bottom"/>
            <w:shd w:val="clear" w:color="auto" w:fill="DFDEEE"/>
          </w:tcPr>
          <w:p>
            <w:pPr>
              <w:spacing w:after="0"/>
              <w:rPr>
                <w:sz w:val="16"/>
                <w:szCs w:val="16"/>
                <w:color w:val="auto"/>
              </w:rPr>
            </w:pPr>
          </w:p>
        </w:tc>
        <w:tc>
          <w:tcPr>
            <w:tcW w:w="1200" w:type="dxa"/>
            <w:vAlign w:val="bottom"/>
            <w:shd w:val="clear" w:color="auto" w:fill="DFDEE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40" w:type="dxa"/>
            <w:vAlign w:val="bottom"/>
            <w:tcBorders>
              <w:bottom w:val="single" w:sz="8" w:color="BCBEC0"/>
            </w:tcBorders>
          </w:tcPr>
          <w:p>
            <w:pPr>
              <w:spacing w:after="0"/>
              <w:rPr>
                <w:sz w:val="17"/>
                <w:szCs w:val="17"/>
                <w:color w:val="auto"/>
              </w:rPr>
            </w:pPr>
          </w:p>
        </w:tc>
        <w:tc>
          <w:tcPr>
            <w:tcW w:w="620" w:type="dxa"/>
            <w:vAlign w:val="bottom"/>
            <w:tcBorders>
              <w:bottom w:val="single" w:sz="8" w:color="BCBEC0"/>
            </w:tcBorders>
            <w:shd w:val="clear" w:color="auto" w:fill="DFDEEE"/>
          </w:tcPr>
          <w:p>
            <w:pPr>
              <w:spacing w:after="0"/>
              <w:rPr>
                <w:sz w:val="17"/>
                <w:szCs w:val="17"/>
                <w:color w:val="auto"/>
              </w:rPr>
            </w:pPr>
          </w:p>
        </w:tc>
        <w:tc>
          <w:tcPr>
            <w:tcW w:w="1080" w:type="dxa"/>
            <w:vAlign w:val="bottom"/>
            <w:tcBorders>
              <w:bottom w:val="single" w:sz="8" w:color="BCBEC0"/>
            </w:tcBorders>
            <w:shd w:val="clear" w:color="auto" w:fill="DFDEEE"/>
          </w:tcPr>
          <w:p>
            <w:pPr>
              <w:spacing w:after="0"/>
              <w:rPr>
                <w:sz w:val="17"/>
                <w:szCs w:val="17"/>
                <w:color w:val="auto"/>
              </w:rPr>
            </w:pPr>
          </w:p>
        </w:tc>
        <w:tc>
          <w:tcPr>
            <w:tcW w:w="6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1400" w:type="dxa"/>
            <w:vAlign w:val="bottom"/>
            <w:tcBorders>
              <w:bottom w:val="single" w:sz="8" w:color="BCBEC0"/>
            </w:tcBorders>
            <w:shd w:val="clear" w:color="auto" w:fill="DFDEEE"/>
          </w:tcPr>
          <w:p>
            <w:pPr>
              <w:spacing w:after="0"/>
              <w:rPr>
                <w:sz w:val="17"/>
                <w:szCs w:val="17"/>
                <w:color w:val="auto"/>
              </w:rPr>
            </w:pPr>
          </w:p>
        </w:tc>
        <w:tc>
          <w:tcPr>
            <w:tcW w:w="1320" w:type="dxa"/>
            <w:vAlign w:val="bottom"/>
            <w:tcBorders>
              <w:bottom w:val="single" w:sz="8" w:color="BCBEC0"/>
            </w:tcBorders>
            <w:shd w:val="clear" w:color="auto" w:fill="DFDEEE"/>
          </w:tcPr>
          <w:p>
            <w:pPr>
              <w:spacing w:after="0"/>
              <w:rPr>
                <w:sz w:val="17"/>
                <w:szCs w:val="17"/>
                <w:color w:val="auto"/>
              </w:rPr>
            </w:pPr>
          </w:p>
        </w:tc>
        <w:tc>
          <w:tcPr>
            <w:tcW w:w="1400" w:type="dxa"/>
            <w:vAlign w:val="bottom"/>
            <w:tcBorders>
              <w:bottom w:val="single" w:sz="8" w:color="BCBEC0"/>
            </w:tcBorders>
            <w:shd w:val="clear" w:color="auto" w:fill="DFDEEE"/>
          </w:tcPr>
          <w:p>
            <w:pPr>
              <w:spacing w:after="0"/>
              <w:rPr>
                <w:sz w:val="17"/>
                <w:szCs w:val="17"/>
                <w:color w:val="auto"/>
              </w:rPr>
            </w:pPr>
          </w:p>
        </w:tc>
        <w:tc>
          <w:tcPr>
            <w:tcW w:w="1200" w:type="dxa"/>
            <w:vAlign w:val="bottom"/>
            <w:tcBorders>
              <w:bottom w:val="single" w:sz="8" w:color="BCBEC0"/>
            </w:tcBorders>
            <w:shd w:val="clear" w:color="auto" w:fill="DFDEEE"/>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Includes amounts deferred under qualified savings and nonqualified deferred compensation plans.</w:t>
      </w:r>
    </w:p>
    <w:p>
      <w:pPr>
        <w:spacing w:after="0" w:line="82" w:lineRule="exact"/>
        <w:rPr>
          <w:rFonts w:ascii="Arial" w:cs="Arial" w:eastAsia="Arial" w:hAnsi="Arial"/>
          <w:sz w:val="14"/>
          <w:szCs w:val="14"/>
          <w:color w:val="auto"/>
        </w:rPr>
      </w:pPr>
    </w:p>
    <w:p>
      <w:pPr>
        <w:ind w:left="260" w:right="60" w:hanging="252"/>
        <w:spacing w:after="0" w:line="268" w:lineRule="auto"/>
        <w:tabs>
          <w:tab w:leader="none" w:pos="25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14 of the Company’s 2023 Form 10-K. The maximum grant date fair values of the 2023 RPSRs are as follows (grants assume a</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200% maximum payout):</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960" w:type="dxa"/>
            <w:vAlign w:val="bottom"/>
          </w:tcPr>
          <w:p>
            <w:pPr>
              <w:jc w:val="right"/>
              <w:spacing w:after="0"/>
              <w:rPr>
                <w:sz w:val="20"/>
                <w:szCs w:val="20"/>
                <w:color w:val="auto"/>
              </w:rPr>
            </w:pPr>
            <w:r>
              <w:rPr>
                <w:rFonts w:ascii="Arial" w:cs="Arial" w:eastAsia="Arial" w:hAnsi="Arial"/>
                <w:sz w:val="13"/>
                <w:szCs w:val="13"/>
                <w:b w:val="1"/>
                <w:bCs w:val="1"/>
                <w:color w:val="auto"/>
              </w:rPr>
              <w:t>Maximum Grant Date Fair Value ($)</w:t>
            </w:r>
          </w:p>
        </w:tc>
      </w:tr>
      <w:tr>
        <w:trPr>
          <w:trHeight w:val="22"/>
        </w:trPr>
        <w:tc>
          <w:tcPr>
            <w:tcW w:w="4680" w:type="dxa"/>
            <w:vAlign w:val="bottom"/>
            <w:tcBorders>
              <w:bottom w:val="single" w:sz="8" w:color="29378D"/>
            </w:tcBorders>
          </w:tcPr>
          <w:p>
            <w:pPr>
              <w:spacing w:after="0" w:line="20" w:lineRule="exact"/>
              <w:rPr>
                <w:sz w:val="1"/>
                <w:szCs w:val="1"/>
                <w:color w:val="auto"/>
              </w:rPr>
            </w:pPr>
          </w:p>
        </w:tc>
        <w:tc>
          <w:tcPr>
            <w:tcW w:w="5960" w:type="dxa"/>
            <w:vAlign w:val="bottom"/>
            <w:tcBorders>
              <w:bottom w:val="single" w:sz="8" w:color="29378D"/>
            </w:tcBorders>
          </w:tcPr>
          <w:p>
            <w:pPr>
              <w:spacing w:after="0" w:line="20" w:lineRule="exact"/>
              <w:rPr>
                <w:sz w:val="1"/>
                <w:szCs w:val="1"/>
                <w:color w:val="auto"/>
              </w:rPr>
            </w:pPr>
          </w:p>
        </w:tc>
      </w:tr>
      <w:tr>
        <w:trPr>
          <w:trHeight w:val="208"/>
        </w:trPr>
        <w:tc>
          <w:tcPr>
            <w:tcW w:w="46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4"/>
                <w:szCs w:val="14"/>
                <w:b w:val="1"/>
                <w:bCs w:val="1"/>
                <w:color w:val="29378D"/>
              </w:rPr>
              <w:t>Ms. Warden</w:t>
            </w:r>
          </w:p>
        </w:tc>
        <w:tc>
          <w:tcPr>
            <w:tcW w:w="596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22,400,592</w:t>
            </w:r>
          </w:p>
        </w:tc>
      </w:tr>
      <w:tr>
        <w:trPr>
          <w:trHeight w:val="210"/>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4,760,124</w:t>
            </w:r>
          </w:p>
        </w:tc>
      </w:tr>
      <w:tr>
        <w:trPr>
          <w:trHeight w:val="209"/>
        </w:trPr>
        <w:tc>
          <w:tcPr>
            <w:tcW w:w="46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4"/>
                <w:szCs w:val="14"/>
                <w:b w:val="1"/>
                <w:bCs w:val="1"/>
                <w:color w:val="29378D"/>
              </w:rPr>
              <w:t>Mr. Caylor</w:t>
            </w:r>
          </w:p>
        </w:tc>
        <w:tc>
          <w:tcPr>
            <w:tcW w:w="596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4,480,702</w:t>
            </w:r>
          </w:p>
        </w:tc>
      </w:tr>
      <w:tr>
        <w:trPr>
          <w:trHeight w:val="210"/>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4,480,702</w:t>
            </w:r>
          </w:p>
        </w:tc>
      </w:tr>
      <w:tr>
        <w:trPr>
          <w:trHeight w:val="209"/>
        </w:trPr>
        <w:tc>
          <w:tcPr>
            <w:tcW w:w="468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4,199,494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(3) These amounts were paid pursuant to the Company’s AIP and includes amounts deferred under the qualified savings and nonqualified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140" w:hanging="252"/>
        <w:spacing w:after="0" w:line="269" w:lineRule="auto"/>
        <w:tabs>
          <w:tab w:leader="none" w:pos="258"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These amounts relate solely to the increased present value of the NEO’s pension plan benefits using mandatory SEC assumptions (see the descriptions of these plans under the Pension Benefits Table on page 76).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spacing w:after="0" w:line="47" w:lineRule="exact"/>
        <w:rPr>
          <w:rFonts w:ascii="Arial" w:cs="Arial" w:eastAsia="Arial" w:hAnsi="Arial"/>
          <w:sz w:val="14"/>
          <w:szCs w:val="14"/>
          <w:color w:val="auto"/>
        </w:rPr>
      </w:pPr>
    </w:p>
    <w:p>
      <w:pPr>
        <w:ind w:left="260" w:right="200"/>
        <w:spacing w:after="0" w:line="285" w:lineRule="auto"/>
        <w:rPr>
          <w:rFonts w:ascii="Arial" w:cs="Arial" w:eastAsia="Arial" w:hAnsi="Arial"/>
          <w:sz w:val="14"/>
          <w:szCs w:val="14"/>
          <w:color w:val="auto"/>
        </w:rPr>
      </w:pPr>
      <w:r>
        <w:rPr>
          <w:rFonts w:ascii="Arial" w:cs="Arial" w:eastAsia="Arial" w:hAnsi="Arial"/>
          <w:sz w:val="14"/>
          <w:szCs w:val="14"/>
          <w:color w:val="auto"/>
        </w:rPr>
        <w:t>Mr. Keffer and Mr. Jones were hired after the Company’s defined benefit pension plans were closed to new entrants, and as a result, they do not participate in any defined benefit pension plans.</w:t>
      </w:r>
    </w:p>
    <w:p>
      <w:pPr>
        <w:spacing w:after="0" w:line="63" w:lineRule="exact"/>
        <w:rPr>
          <w:rFonts w:ascii="Arial" w:cs="Arial" w:eastAsia="Arial" w:hAnsi="Arial"/>
          <w:sz w:val="14"/>
          <w:szCs w:val="14"/>
          <w:color w:val="auto"/>
        </w:rPr>
      </w:pPr>
    </w:p>
    <w:p>
      <w:pPr>
        <w:ind w:left="260" w:right="80"/>
        <w:spacing w:after="0" w:line="305" w:lineRule="auto"/>
        <w:rPr>
          <w:rFonts w:ascii="Arial" w:cs="Arial" w:eastAsia="Arial" w:hAnsi="Arial"/>
          <w:sz w:val="14"/>
          <w:szCs w:val="14"/>
          <w:color w:val="auto"/>
        </w:rPr>
      </w:pPr>
      <w:r>
        <w:rPr>
          <w:rFonts w:ascii="Arial" w:cs="Arial" w:eastAsia="Arial" w:hAnsi="Arial"/>
          <w:sz w:val="14"/>
          <w:szCs w:val="14"/>
          <w:color w:val="auto"/>
        </w:rPr>
        <w:t>There were no above-market earnings in the nonqualified deferred compensation plans (see the descriptions of these plans under the Nonqualified Deferred Compensation Table on page 79).</w:t>
      </w:r>
    </w:p>
    <w:p>
      <w:pPr>
        <w:spacing w:after="0" w:line="9" w:lineRule="exact"/>
        <w:rPr>
          <w:rFonts w:ascii="Arial" w:cs="Arial" w:eastAsia="Arial" w:hAnsi="Arial"/>
          <w:sz w:val="14"/>
          <w:szCs w:val="14"/>
          <w:color w:val="auto"/>
        </w:rPr>
      </w:pPr>
    </w:p>
    <w:p>
      <w:pPr>
        <w:ind w:left="260" w:right="100" w:hanging="252"/>
        <w:spacing w:after="0" w:line="269" w:lineRule="auto"/>
        <w:tabs>
          <w:tab w:leader="none" w:pos="32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2023 (other than perquisites and personal benefits, which are subject to different thresholds as described below), those items are identified and quantified below.</w:t>
      </w:r>
    </w:p>
    <w:p>
      <w:pPr>
        <w:spacing w:after="0" w:line="48" w:lineRule="exact"/>
        <w:rPr>
          <w:sz w:val="20"/>
          <w:szCs w:val="20"/>
          <w:color w:val="auto"/>
        </w:rPr>
      </w:pPr>
    </w:p>
    <w:p>
      <w:pPr>
        <w:jc w:val="both"/>
        <w:ind w:left="260" w:right="260"/>
        <w:spacing w:after="0" w:line="269" w:lineRule="auto"/>
        <w:rPr>
          <w:sz w:val="20"/>
          <w:szCs w:val="20"/>
          <w:color w:val="auto"/>
        </w:rPr>
      </w:pPr>
      <w:r>
        <w:rPr>
          <w:rFonts w:ascii="Arial" w:cs="Arial" w:eastAsia="Arial" w:hAnsi="Arial"/>
          <w:sz w:val="14"/>
          <w:szCs w:val="14"/>
          <w:color w:val="29378D"/>
        </w:rPr>
        <w:t xml:space="preserve">Perquisites and Personal Benefits </w:t>
      </w:r>
      <w:r>
        <w:rPr>
          <w:rFonts w:ascii="Arial" w:cs="Arial" w:eastAsia="Arial" w:hAnsi="Arial"/>
          <w:sz w:val="14"/>
          <w:szCs w:val="14"/>
          <w:color w:val="000000"/>
        </w:rPr>
        <w:t>– Perquisites and other personal benefits provided to certain NEOs are as follows: security, travel-related perquisites (including use of</w:t>
      </w:r>
      <w:r>
        <w:rPr>
          <w:rFonts w:ascii="Arial" w:cs="Arial" w:eastAsia="Arial" w:hAnsi="Arial"/>
          <w:sz w:val="14"/>
          <w:szCs w:val="14"/>
          <w:color w:val="29378D"/>
        </w:rPr>
        <w:t xml:space="preserve"> </w:t>
      </w:r>
      <w:r>
        <w:rPr>
          <w:rFonts w:ascii="Arial" w:cs="Arial" w:eastAsia="Arial" w:hAnsi="Arial"/>
          <w:sz w:val="14"/>
          <w:szCs w:val="14"/>
          <w:color w:val="000000"/>
        </w:rPr>
        <w:t>Company aircraft and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spacing w:after="0" w:line="34" w:lineRule="exact"/>
        <w:rPr>
          <w:sz w:val="20"/>
          <w:szCs w:val="20"/>
          <w:color w:val="auto"/>
        </w:rPr>
      </w:pPr>
    </w:p>
    <w:p>
      <w:pPr>
        <w:ind w:left="260" w:right="220"/>
        <w:spacing w:after="0" w:line="265" w:lineRule="auto"/>
        <w:rPr>
          <w:sz w:val="20"/>
          <w:szCs w:val="20"/>
          <w:color w:val="auto"/>
        </w:rPr>
      </w:pPr>
      <w:r>
        <w:rPr>
          <w:rFonts w:ascii="Arial" w:cs="Arial" w:eastAsia="Arial" w:hAnsi="Arial"/>
          <w:sz w:val="14"/>
          <w:szCs w:val="14"/>
          <w:color w:val="auto"/>
        </w:rPr>
        <w:t>As discussed in “Key Components of Our Executive Compensation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associated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38" w:lineRule="exact"/>
        <w:rPr>
          <w:sz w:val="20"/>
          <w:szCs w:val="20"/>
          <w:color w:val="auto"/>
        </w:rPr>
      </w:pPr>
    </w:p>
    <w:p>
      <w:pPr>
        <w:ind w:left="260" w:right="80"/>
        <w:spacing w:after="0" w:line="305" w:lineRule="auto"/>
        <w:rPr>
          <w:sz w:val="20"/>
          <w:szCs w:val="20"/>
          <w:color w:val="auto"/>
        </w:rPr>
      </w:pPr>
      <w:r>
        <w:rPr>
          <w:rFonts w:ascii="Arial" w:cs="Arial" w:eastAsia="Arial" w:hAnsi="Arial"/>
          <w:sz w:val="14"/>
          <w:szCs w:val="14"/>
          <w:color w:val="auto"/>
        </w:rPr>
        <w:t>The cost of any category of the listed perquisites and personal benefits did not exceed the greater of $25,000 or 10% of total perquisites and personal benefits for any NEO in 2023, except for the following:</w:t>
      </w:r>
    </w:p>
    <w:p>
      <w:pPr>
        <w:spacing w:after="0" w:line="9" w:lineRule="exact"/>
        <w:rPr>
          <w:sz w:val="20"/>
          <w:szCs w:val="20"/>
          <w:color w:val="auto"/>
        </w:rPr>
      </w:pPr>
    </w:p>
    <w:p>
      <w:pPr>
        <w:ind w:left="520" w:right="260" w:hanging="253"/>
        <w:spacing w:after="0" w:line="261" w:lineRule="auto"/>
        <w:tabs>
          <w:tab w:leader="none" w:pos="508"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Ms. Warden: costs attributable to security protection ($218,016), which includes personal travel on Company aircraft consistent with the Company’s security program ($202,345);</w:t>
      </w:r>
    </w:p>
    <w:p>
      <w:pPr>
        <w:spacing w:after="0" w:line="1" w:lineRule="exact"/>
        <w:rPr>
          <w:rFonts w:ascii="Arial" w:cs="Arial" w:eastAsia="Arial" w:hAnsi="Arial"/>
          <w:sz w:val="14"/>
          <w:szCs w:val="14"/>
          <w:color w:val="auto"/>
        </w:rPr>
      </w:pP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Keffer: costs attributable to security ($4,897), financial planning ($9,500), executive physical benefit ($3,750);</w:t>
      </w:r>
    </w:p>
    <w:p>
      <w:pPr>
        <w:spacing w:after="0" w:line="14" w:lineRule="exact"/>
        <w:rPr>
          <w:rFonts w:ascii="Arial" w:cs="Arial" w:eastAsia="Arial" w:hAnsi="Arial"/>
          <w:sz w:val="14"/>
          <w:szCs w:val="14"/>
          <w:color w:val="auto"/>
        </w:rPr>
      </w:pPr>
    </w:p>
    <w:p>
      <w:pPr>
        <w:ind w:left="520" w:right="340" w:hanging="253"/>
        <w:spacing w:after="0" w:line="261" w:lineRule="auto"/>
        <w:tabs>
          <w:tab w:leader="none" w:pos="49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Caylor: costs attributable to security ($1,932), financial planning ($13,670), executive physical benefit ($3,750), long-term disability (LTD) employer contributions ($4,156);</w:t>
      </w: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Jones: costs attributable to security ($279), financial planning ($17,587), LTD employer contributions ($2,845); and</w:t>
      </w:r>
    </w:p>
    <w:p>
      <w:pPr>
        <w:spacing w:after="0" w:line="14" w:lineRule="exact"/>
        <w:rPr>
          <w:rFonts w:ascii="Arial" w:cs="Arial" w:eastAsia="Arial" w:hAnsi="Arial"/>
          <w:sz w:val="14"/>
          <w:szCs w:val="14"/>
          <w:color w:val="auto"/>
        </w:rPr>
      </w:pP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Ms. Roeder: costs attributable to security ($19,826).</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color w:val="29378D"/>
        </w:rPr>
        <w:t xml:space="preserve">Contributions to Plans </w:t>
      </w:r>
      <w:r>
        <w:rPr>
          <w:rFonts w:ascii="Arial" w:cs="Arial" w:eastAsia="Arial" w:hAnsi="Arial"/>
          <w:sz w:val="14"/>
          <w:szCs w:val="14"/>
          <w:color w:val="000000"/>
        </w:rPr>
        <w:t>– In 2023, we made the following Company contributions to the defined contribution and deferred compensation plans:</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900" w:type="dxa"/>
            <w:vAlign w:val="bottom"/>
          </w:tcPr>
          <w:p>
            <w:pPr>
              <w:jc w:val="right"/>
              <w:spacing w:after="0"/>
              <w:rPr>
                <w:sz w:val="20"/>
                <w:szCs w:val="20"/>
                <w:color w:val="auto"/>
              </w:rPr>
            </w:pPr>
            <w:r>
              <w:rPr>
                <w:rFonts w:ascii="Arial" w:cs="Arial" w:eastAsia="Arial" w:hAnsi="Arial"/>
                <w:sz w:val="13"/>
                <w:szCs w:val="13"/>
                <w:b w:val="1"/>
                <w:bCs w:val="1"/>
                <w:color w:val="auto"/>
              </w:rPr>
              <w:t>Company Contributions ($)</w:t>
            </w:r>
          </w:p>
        </w:tc>
      </w:tr>
      <w:tr>
        <w:trPr>
          <w:trHeight w:val="22"/>
        </w:trPr>
        <w:tc>
          <w:tcPr>
            <w:tcW w:w="5060" w:type="dxa"/>
            <w:vAlign w:val="bottom"/>
            <w:tcBorders>
              <w:bottom w:val="single" w:sz="8" w:color="29378D"/>
            </w:tcBorders>
          </w:tcPr>
          <w:p>
            <w:pPr>
              <w:spacing w:after="0" w:line="20" w:lineRule="exact"/>
              <w:rPr>
                <w:sz w:val="1"/>
                <w:szCs w:val="1"/>
                <w:color w:val="auto"/>
              </w:rPr>
            </w:pPr>
          </w:p>
        </w:tc>
        <w:tc>
          <w:tcPr>
            <w:tcW w:w="5900" w:type="dxa"/>
            <w:vAlign w:val="bottom"/>
            <w:tcBorders>
              <w:bottom w:val="single" w:sz="8" w:color="29378D"/>
            </w:tcBorders>
          </w:tcPr>
          <w:p>
            <w:pPr>
              <w:spacing w:after="0" w:line="20" w:lineRule="exact"/>
              <w:rPr>
                <w:sz w:val="1"/>
                <w:szCs w:val="1"/>
                <w:color w:val="auto"/>
              </w:rPr>
            </w:pPr>
          </w:p>
        </w:tc>
      </w:tr>
      <w:tr>
        <w:trPr>
          <w:trHeight w:val="209"/>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456,846</w:t>
            </w:r>
          </w:p>
        </w:tc>
      </w:tr>
      <w:tr>
        <w:trPr>
          <w:trHeight w:val="210"/>
        </w:trPr>
        <w:tc>
          <w:tcPr>
            <w:tcW w:w="50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195,320</w:t>
            </w:r>
          </w:p>
        </w:tc>
      </w:tr>
      <w:tr>
        <w:trPr>
          <w:trHeight w:val="209"/>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Caylor</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93,229</w:t>
            </w:r>
          </w:p>
        </w:tc>
      </w:tr>
      <w:tr>
        <w:trPr>
          <w:trHeight w:val="210"/>
        </w:trPr>
        <w:tc>
          <w:tcPr>
            <w:tcW w:w="50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235,338</w:t>
            </w:r>
          </w:p>
        </w:tc>
      </w:tr>
      <w:tr>
        <w:trPr>
          <w:trHeight w:val="210"/>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83,082</w:t>
            </w:r>
          </w:p>
        </w:tc>
      </w:tr>
    </w:tbl>
    <w:p>
      <w:pPr>
        <w:spacing w:after="0" w:line="153"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Ms. Roeder was appointed Corporate Vice President and President Defense Systems October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13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Grants of Plan-Based Awards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Stock</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51"/>
        </w:trPr>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97"/>
              </w:rPr>
              <w:t>Estimated Future Payouts Under</w:t>
            </w:r>
          </w:p>
        </w:tc>
        <w:tc>
          <w:tcPr>
            <w:tcW w:w="2100" w:type="dxa"/>
            <w:vAlign w:val="bottom"/>
            <w:gridSpan w:val="2"/>
            <w:vMerge w:val="restart"/>
          </w:tcPr>
          <w:p>
            <w:pPr>
              <w:jc w:val="center"/>
              <w:ind w:left="514"/>
              <w:spacing w:after="0"/>
              <w:rPr>
                <w:sz w:val="20"/>
                <w:szCs w:val="20"/>
                <w:color w:val="auto"/>
              </w:rPr>
            </w:pPr>
            <w:r>
              <w:rPr>
                <w:rFonts w:ascii="Arial" w:cs="Arial" w:eastAsia="Arial" w:hAnsi="Arial"/>
                <w:sz w:val="12"/>
                <w:szCs w:val="12"/>
                <w:b w:val="1"/>
                <w:bCs w:val="1"/>
                <w:color w:val="auto"/>
                <w:w w:val="97"/>
              </w:rPr>
              <w:t>Estimated Future Payouts</w:t>
            </w:r>
          </w:p>
        </w:tc>
        <w:tc>
          <w:tcPr>
            <w:tcW w:w="58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Awards: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2"/>
                <w:szCs w:val="12"/>
                <w:b w:val="1"/>
                <w:bCs w:val="1"/>
                <w:color w:val="auto"/>
              </w:rPr>
              <w:t>Number of</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180" w:type="dxa"/>
            <w:vAlign w:val="bottom"/>
            <w:gridSpan w:val="2"/>
            <w:vMerge w:val="restart"/>
          </w:tcPr>
          <w:p>
            <w:pPr>
              <w:jc w:val="center"/>
              <w:ind w:left="754"/>
              <w:spacing w:after="0"/>
              <w:rPr>
                <w:sz w:val="20"/>
                <w:szCs w:val="20"/>
                <w:color w:val="auto"/>
              </w:rPr>
            </w:pPr>
            <w:r>
              <w:rPr>
                <w:rFonts w:ascii="Arial" w:cs="Arial" w:eastAsia="Arial" w:hAnsi="Arial"/>
                <w:sz w:val="12"/>
                <w:szCs w:val="12"/>
                <w:b w:val="1"/>
                <w:bCs w:val="1"/>
                <w:color w:val="auto"/>
                <w:w w:val="97"/>
              </w:rPr>
              <w:t>Non-Equity Incentive</w:t>
            </w: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2"/>
            <w:vMerge w:val="restart"/>
          </w:tcPr>
          <w:p>
            <w:pPr>
              <w:jc w:val="center"/>
              <w:ind w:left="534"/>
              <w:spacing w:after="0"/>
              <w:rPr>
                <w:sz w:val="20"/>
                <w:szCs w:val="20"/>
                <w:color w:val="auto"/>
              </w:rPr>
            </w:pPr>
            <w:r>
              <w:rPr>
                <w:rFonts w:ascii="Arial" w:cs="Arial" w:eastAsia="Arial" w:hAnsi="Arial"/>
                <w:sz w:val="12"/>
                <w:szCs w:val="12"/>
                <w:b w:val="1"/>
                <w:bCs w:val="1"/>
                <w:color w:val="auto"/>
                <w:w w:val="96"/>
              </w:rPr>
              <w:t>Under Equity Incentive</w:t>
            </w:r>
          </w:p>
        </w:tc>
        <w:tc>
          <w:tcPr>
            <w:tcW w:w="5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2"/>
                <w:szCs w:val="12"/>
                <w:b w:val="1"/>
                <w:bCs w:val="1"/>
                <w:color w:val="auto"/>
              </w:rPr>
              <w:t>Shares of</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vMerge w:val="restart"/>
          </w:tcPr>
          <w:p>
            <w:pPr>
              <w:jc w:val="center"/>
              <w:ind w:right="73"/>
              <w:spacing w:after="0"/>
              <w:rPr>
                <w:sz w:val="20"/>
                <w:szCs w:val="20"/>
                <w:color w:val="auto"/>
              </w:rPr>
            </w:pPr>
            <w:r>
              <w:rPr>
                <w:rFonts w:ascii="Arial" w:cs="Arial" w:eastAsia="Arial" w:hAnsi="Arial"/>
                <w:sz w:val="12"/>
                <w:szCs w:val="12"/>
                <w:b w:val="1"/>
                <w:bCs w:val="1"/>
                <w:color w:val="auto"/>
                <w:w w:val="92"/>
              </w:rPr>
              <w:t>Plan Awards</w:t>
            </w:r>
            <w:r>
              <w:rPr>
                <w:rFonts w:ascii="Arial" w:cs="Arial" w:eastAsia="Arial" w:hAnsi="Arial"/>
                <w:sz w:val="15"/>
                <w:szCs w:val="15"/>
                <w:b w:val="1"/>
                <w:bCs w:val="1"/>
                <w:color w:val="auto"/>
                <w:w w:val="92"/>
                <w:vertAlign w:val="superscript"/>
              </w:rPr>
              <w:t>(1)</w:t>
            </w: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80" w:type="dxa"/>
            <w:vAlign w:val="bottom"/>
            <w:vMerge w:val="restart"/>
          </w:tcPr>
          <w:p>
            <w:pPr>
              <w:jc w:val="center"/>
              <w:ind w:right="273"/>
              <w:spacing w:after="0"/>
              <w:rPr>
                <w:sz w:val="20"/>
                <w:szCs w:val="20"/>
                <w:color w:val="auto"/>
              </w:rPr>
            </w:pPr>
            <w:r>
              <w:rPr>
                <w:rFonts w:ascii="Arial" w:cs="Arial" w:eastAsia="Arial" w:hAnsi="Arial"/>
                <w:sz w:val="12"/>
                <w:szCs w:val="12"/>
                <w:b w:val="1"/>
                <w:bCs w:val="1"/>
                <w:color w:val="auto"/>
                <w:w w:val="94"/>
              </w:rPr>
              <w:t>Plan Awards</w:t>
            </w:r>
            <w:r>
              <w:rPr>
                <w:rFonts w:ascii="Arial" w:cs="Arial" w:eastAsia="Arial" w:hAnsi="Arial"/>
                <w:sz w:val="15"/>
                <w:szCs w:val="15"/>
                <w:b w:val="1"/>
                <w:bCs w:val="1"/>
                <w:color w:val="auto"/>
                <w:w w:val="94"/>
                <w:vertAlign w:val="superscript"/>
              </w:rPr>
              <w:t>(2)</w:t>
            </w:r>
          </w:p>
        </w:tc>
        <w:tc>
          <w:tcPr>
            <w:tcW w:w="5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Borders>
              <w:bottom w:val="single" w:sz="8" w:color="29378D"/>
            </w:tcBorders>
          </w:tcPr>
          <w:p>
            <w:pPr>
              <w:spacing w:after="0"/>
              <w:rPr>
                <w:sz w:val="10"/>
                <w:szCs w:val="10"/>
                <w:color w:val="auto"/>
              </w:rPr>
            </w:pPr>
          </w:p>
        </w:tc>
        <w:tc>
          <w:tcPr>
            <w:tcW w:w="1240" w:type="dxa"/>
            <w:vAlign w:val="bottom"/>
            <w:tcBorders>
              <w:bottom w:val="single" w:sz="8" w:color="29378D"/>
            </w:tcBorders>
            <w:vMerge w:val="continue"/>
          </w:tcPr>
          <w:p>
            <w:pPr>
              <w:spacing w:after="0"/>
              <w:rPr>
                <w:sz w:val="10"/>
                <w:szCs w:val="10"/>
                <w:color w:val="auto"/>
              </w:rPr>
            </w:pPr>
          </w:p>
        </w:tc>
        <w:tc>
          <w:tcPr>
            <w:tcW w:w="800" w:type="dxa"/>
            <w:vAlign w:val="bottom"/>
            <w:tcBorders>
              <w:bottom w:val="single" w:sz="8" w:color="29378D"/>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bottom w:val="single" w:sz="8" w:color="29378D"/>
            </w:tcBorders>
          </w:tcPr>
          <w:p>
            <w:pPr>
              <w:spacing w:after="0"/>
              <w:rPr>
                <w:sz w:val="10"/>
                <w:szCs w:val="10"/>
                <w:color w:val="auto"/>
              </w:rPr>
            </w:pPr>
          </w:p>
        </w:tc>
        <w:tc>
          <w:tcPr>
            <w:tcW w:w="1180" w:type="dxa"/>
            <w:vAlign w:val="bottom"/>
            <w:tcBorders>
              <w:bottom w:val="single" w:sz="8" w:color="29378D"/>
            </w:tcBorders>
            <w:vMerge w:val="continue"/>
          </w:tcPr>
          <w:p>
            <w:pPr>
              <w:spacing w:after="0"/>
              <w:rPr>
                <w:sz w:val="10"/>
                <w:szCs w:val="10"/>
                <w:color w:val="auto"/>
              </w:rPr>
            </w:pPr>
          </w:p>
        </w:tc>
        <w:tc>
          <w:tcPr>
            <w:tcW w:w="580" w:type="dxa"/>
            <w:vAlign w:val="bottom"/>
            <w:tcBorders>
              <w:bottom w:val="single" w:sz="8" w:color="29378D"/>
            </w:tcBorders>
          </w:tcPr>
          <w:p>
            <w:pPr>
              <w:spacing w:after="0"/>
              <w:rPr>
                <w:sz w:val="10"/>
                <w:szCs w:val="10"/>
                <w:color w:val="auto"/>
              </w:rPr>
            </w:pPr>
          </w:p>
        </w:tc>
        <w:tc>
          <w:tcPr>
            <w:tcW w:w="1180" w:type="dxa"/>
            <w:vAlign w:val="bottom"/>
          </w:tcPr>
          <w:p>
            <w:pPr>
              <w:jc w:val="right"/>
              <w:ind w:right="116"/>
              <w:spacing w:after="0" w:line="111" w:lineRule="exact"/>
              <w:rPr>
                <w:sz w:val="20"/>
                <w:szCs w:val="20"/>
                <w:color w:val="auto"/>
              </w:rPr>
            </w:pPr>
            <w:r>
              <w:rPr>
                <w:rFonts w:ascii="Arial" w:cs="Arial" w:eastAsia="Arial" w:hAnsi="Arial"/>
                <w:sz w:val="12"/>
                <w:szCs w:val="12"/>
                <w:b w:val="1"/>
                <w:bCs w:val="1"/>
                <w:color w:val="auto"/>
              </w:rPr>
              <w:t>Stock or</w:t>
            </w:r>
          </w:p>
        </w:tc>
        <w:tc>
          <w:tcPr>
            <w:tcW w:w="9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Stock</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Threshold</w:t>
            </w:r>
          </w:p>
        </w:tc>
        <w:tc>
          <w:tcPr>
            <w:tcW w:w="1240" w:type="dxa"/>
            <w:vAlign w:val="bottom"/>
          </w:tcPr>
          <w:p>
            <w:pPr>
              <w:jc w:val="right"/>
              <w:ind w:right="173"/>
              <w:spacing w:after="0"/>
              <w:rPr>
                <w:sz w:val="20"/>
                <w:szCs w:val="20"/>
                <w:color w:val="auto"/>
              </w:rPr>
            </w:pPr>
            <w:r>
              <w:rPr>
                <w:rFonts w:ascii="Arial" w:cs="Arial" w:eastAsia="Arial" w:hAnsi="Arial"/>
                <w:sz w:val="12"/>
                <w:szCs w:val="12"/>
                <w:b w:val="1"/>
                <w:bCs w:val="1"/>
                <w:color w:val="auto"/>
              </w:rPr>
              <w:t>Target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Maximum</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Threshold</w:t>
            </w:r>
          </w:p>
        </w:tc>
        <w:tc>
          <w:tcPr>
            <w:tcW w:w="1180" w:type="dxa"/>
            <w:vAlign w:val="bottom"/>
          </w:tcPr>
          <w:p>
            <w:pPr>
              <w:jc w:val="right"/>
              <w:ind w:right="353"/>
              <w:spacing w:after="0"/>
              <w:rPr>
                <w:sz w:val="20"/>
                <w:szCs w:val="20"/>
                <w:color w:val="auto"/>
              </w:rPr>
            </w:pPr>
            <w:r>
              <w:rPr>
                <w:rFonts w:ascii="Arial" w:cs="Arial" w:eastAsia="Arial" w:hAnsi="Arial"/>
                <w:sz w:val="12"/>
                <w:szCs w:val="12"/>
                <w:b w:val="1"/>
                <w:bCs w:val="1"/>
                <w:color w:val="auto"/>
              </w:rPr>
              <w:t>Target</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Maximum</w:t>
            </w: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Units</w:t>
            </w:r>
            <w:r>
              <w:rPr>
                <w:rFonts w:ascii="Arial" w:cs="Arial" w:eastAsia="Arial" w:hAnsi="Arial"/>
                <w:sz w:val="15"/>
                <w:szCs w:val="15"/>
                <w:b w:val="1"/>
                <w:bCs w:val="1"/>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87"/>
        </w:trPr>
        <w:tc>
          <w:tcPr>
            <w:tcW w:w="1200" w:type="dxa"/>
            <w:vAlign w:val="bottom"/>
          </w:tcPr>
          <w:p>
            <w:pPr>
              <w:ind w:left="20"/>
              <w:spacing w:after="0"/>
              <w:rPr>
                <w:sz w:val="20"/>
                <w:szCs w:val="20"/>
                <w:color w:val="auto"/>
              </w:rPr>
            </w:pPr>
            <w:r>
              <w:rPr>
                <w:rFonts w:ascii="Arial" w:cs="Arial" w:eastAsia="Arial" w:hAnsi="Arial"/>
                <w:sz w:val="12"/>
                <w:szCs w:val="12"/>
                <w:b w:val="1"/>
                <w:bCs w:val="1"/>
                <w:color w:val="auto"/>
              </w:rPr>
              <w:t>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Grant Type</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Grant Date</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jc w:val="right"/>
              <w:ind w:right="173"/>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353"/>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1200" w:type="dxa"/>
            <w:vAlign w:val="bottom"/>
            <w:tcBorders>
              <w:bottom w:val="single" w:sz="8" w:color="29378D"/>
            </w:tcBorders>
          </w:tcPr>
          <w:p>
            <w:pPr>
              <w:spacing w:after="0"/>
              <w:rPr>
                <w:sz w:val="2"/>
                <w:szCs w:val="2"/>
                <w:color w:val="auto"/>
              </w:rPr>
            </w:pPr>
          </w:p>
        </w:tc>
        <w:tc>
          <w:tcPr>
            <w:tcW w:w="960" w:type="dxa"/>
            <w:vAlign w:val="bottom"/>
            <w:tcBorders>
              <w:bottom w:val="single" w:sz="8" w:color="29378D"/>
            </w:tcBorders>
          </w:tcPr>
          <w:p>
            <w:pPr>
              <w:spacing w:after="0"/>
              <w:rPr>
                <w:sz w:val="2"/>
                <w:szCs w:val="2"/>
                <w:color w:val="auto"/>
              </w:rPr>
            </w:pPr>
          </w:p>
        </w:tc>
        <w:tc>
          <w:tcPr>
            <w:tcW w:w="1140" w:type="dxa"/>
            <w:vAlign w:val="bottom"/>
            <w:tcBorders>
              <w:bottom w:val="single" w:sz="8" w:color="29378D"/>
            </w:tcBorders>
          </w:tcPr>
          <w:p>
            <w:pPr>
              <w:spacing w:after="0"/>
              <w:rPr>
                <w:sz w:val="2"/>
                <w:szCs w:val="2"/>
                <w:color w:val="auto"/>
              </w:rPr>
            </w:pPr>
          </w:p>
        </w:tc>
        <w:tc>
          <w:tcPr>
            <w:tcW w:w="940" w:type="dxa"/>
            <w:vAlign w:val="bottom"/>
            <w:tcBorders>
              <w:bottom w:val="single" w:sz="8" w:color="29378D"/>
            </w:tcBorders>
          </w:tcPr>
          <w:p>
            <w:pPr>
              <w:spacing w:after="0"/>
              <w:rPr>
                <w:sz w:val="2"/>
                <w:szCs w:val="2"/>
                <w:color w:val="auto"/>
              </w:rPr>
            </w:pPr>
          </w:p>
        </w:tc>
        <w:tc>
          <w:tcPr>
            <w:tcW w:w="1240" w:type="dxa"/>
            <w:vAlign w:val="bottom"/>
            <w:tcBorders>
              <w:bottom w:val="single" w:sz="8" w:color="29378D"/>
            </w:tcBorders>
          </w:tcPr>
          <w:p>
            <w:pPr>
              <w:spacing w:after="0"/>
              <w:rPr>
                <w:sz w:val="2"/>
                <w:szCs w:val="2"/>
                <w:color w:val="auto"/>
              </w:rPr>
            </w:pPr>
          </w:p>
        </w:tc>
        <w:tc>
          <w:tcPr>
            <w:tcW w:w="800" w:type="dxa"/>
            <w:vAlign w:val="bottom"/>
            <w:tcBorders>
              <w:bottom w:val="single" w:sz="8" w:color="29378D"/>
            </w:tcBorders>
          </w:tcPr>
          <w:p>
            <w:pPr>
              <w:spacing w:after="0"/>
              <w:rPr>
                <w:sz w:val="2"/>
                <w:szCs w:val="2"/>
                <w:color w:val="auto"/>
              </w:rPr>
            </w:pPr>
          </w:p>
        </w:tc>
        <w:tc>
          <w:tcPr>
            <w:tcW w:w="140" w:type="dxa"/>
            <w:vAlign w:val="bottom"/>
            <w:tcBorders>
              <w:bottom w:val="single" w:sz="8" w:color="29378D"/>
            </w:tcBorders>
          </w:tcPr>
          <w:p>
            <w:pPr>
              <w:spacing w:after="0"/>
              <w:rPr>
                <w:sz w:val="2"/>
                <w:szCs w:val="2"/>
                <w:color w:val="auto"/>
              </w:rPr>
            </w:pPr>
          </w:p>
        </w:tc>
        <w:tc>
          <w:tcPr>
            <w:tcW w:w="920" w:type="dxa"/>
            <w:vAlign w:val="bottom"/>
            <w:tcBorders>
              <w:bottom w:val="single" w:sz="8" w:color="29378D"/>
            </w:tcBorders>
          </w:tcPr>
          <w:p>
            <w:pPr>
              <w:spacing w:after="0"/>
              <w:rPr>
                <w:sz w:val="2"/>
                <w:szCs w:val="2"/>
                <w:color w:val="auto"/>
              </w:rPr>
            </w:pPr>
          </w:p>
        </w:tc>
        <w:tc>
          <w:tcPr>
            <w:tcW w:w="1180" w:type="dxa"/>
            <w:vAlign w:val="bottom"/>
            <w:tcBorders>
              <w:bottom w:val="single" w:sz="8" w:color="29378D"/>
            </w:tcBorders>
          </w:tcPr>
          <w:p>
            <w:pPr>
              <w:spacing w:after="0"/>
              <w:rPr>
                <w:sz w:val="2"/>
                <w:szCs w:val="2"/>
                <w:color w:val="auto"/>
              </w:rPr>
            </w:pPr>
          </w:p>
        </w:tc>
        <w:tc>
          <w:tcPr>
            <w:tcW w:w="580" w:type="dxa"/>
            <w:vAlign w:val="bottom"/>
            <w:tcBorders>
              <w:bottom w:val="single" w:sz="8" w:color="29378D"/>
            </w:tcBorders>
          </w:tcPr>
          <w:p>
            <w:pPr>
              <w:spacing w:after="0"/>
              <w:rPr>
                <w:sz w:val="2"/>
                <w:szCs w:val="2"/>
                <w:color w:val="auto"/>
              </w:rPr>
            </w:pPr>
          </w:p>
        </w:tc>
        <w:tc>
          <w:tcPr>
            <w:tcW w:w="1180" w:type="dxa"/>
            <w:vAlign w:val="bottom"/>
            <w:tcBorders>
              <w:bottom w:val="single" w:sz="8" w:color="29378D"/>
            </w:tcBorders>
          </w:tcPr>
          <w:p>
            <w:pPr>
              <w:spacing w:after="0"/>
              <w:rPr>
                <w:sz w:val="2"/>
                <w:szCs w:val="2"/>
                <w:color w:val="auto"/>
              </w:rPr>
            </w:pPr>
          </w:p>
        </w:tc>
        <w:tc>
          <w:tcPr>
            <w:tcW w:w="960" w:type="dxa"/>
            <w:vAlign w:val="bottom"/>
            <w:tcBorders>
              <w:bottom w:val="single" w:sz="8" w:color="29378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shd w:val="clear" w:color="auto" w:fill="DFDEEE"/>
              </w:rPr>
              <w:t>Kathy J. Warden</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5"/>
                <w:szCs w:val="15"/>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3,237,500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6,475,000</w:t>
            </w:r>
          </w:p>
        </w:tc>
        <w:tc>
          <w:tcPr>
            <w:tcW w:w="140" w:type="dxa"/>
            <w:vAlign w:val="bottom"/>
            <w:shd w:val="clear" w:color="auto" w:fill="DFDEEE"/>
          </w:tcPr>
          <w:p>
            <w:pPr>
              <w:spacing w:after="0"/>
              <w:rPr>
                <w:sz w:val="15"/>
                <w:szCs w:val="15"/>
                <w:color w:val="auto"/>
              </w:rPr>
            </w:pPr>
          </w:p>
        </w:tc>
        <w:tc>
          <w:tcPr>
            <w:tcW w:w="92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58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960" w:type="dxa"/>
            <w:vAlign w:val="bottom"/>
            <w:shd w:val="clear" w:color="auto" w:fill="DFDEEE"/>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20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1140" w:type="dxa"/>
            <w:vAlign w:val="bottom"/>
            <w:shd w:val="clear" w:color="auto" w:fill="DFDEEE"/>
          </w:tcPr>
          <w:p>
            <w:pPr>
              <w:spacing w:after="0"/>
              <w:rPr>
                <w:sz w:val="7"/>
                <w:szCs w:val="7"/>
                <w:color w:val="auto"/>
              </w:rPr>
            </w:pPr>
          </w:p>
        </w:tc>
        <w:tc>
          <w:tcPr>
            <w:tcW w:w="940" w:type="dxa"/>
            <w:vAlign w:val="bottom"/>
            <w:vMerge w:val="continue"/>
            <w:shd w:val="clear" w:color="auto" w:fill="DFDEEE"/>
          </w:tcPr>
          <w:p>
            <w:pPr>
              <w:spacing w:after="0"/>
              <w:rPr>
                <w:sz w:val="7"/>
                <w:szCs w:val="7"/>
                <w:color w:val="auto"/>
              </w:rPr>
            </w:pPr>
          </w:p>
        </w:tc>
        <w:tc>
          <w:tcPr>
            <w:tcW w:w="1240" w:type="dxa"/>
            <w:vAlign w:val="bottom"/>
            <w:vMerge w:val="continue"/>
            <w:shd w:val="clear" w:color="auto" w:fill="DFDEEE"/>
          </w:tcPr>
          <w:p>
            <w:pPr>
              <w:spacing w:after="0"/>
              <w:rPr>
                <w:sz w:val="7"/>
                <w:szCs w:val="7"/>
                <w:color w:val="auto"/>
              </w:rPr>
            </w:pPr>
          </w:p>
        </w:tc>
        <w:tc>
          <w:tcPr>
            <w:tcW w:w="800" w:type="dxa"/>
            <w:vAlign w:val="bottom"/>
            <w:vMerge w:val="continue"/>
            <w:shd w:val="clear" w:color="auto" w:fill="DFDEEE"/>
          </w:tcPr>
          <w:p>
            <w:pPr>
              <w:spacing w:after="0"/>
              <w:rPr>
                <w:sz w:val="7"/>
                <w:szCs w:val="7"/>
                <w:color w:val="auto"/>
              </w:rPr>
            </w:pPr>
          </w:p>
        </w:tc>
        <w:tc>
          <w:tcPr>
            <w:tcW w:w="140" w:type="dxa"/>
            <w:vAlign w:val="bottom"/>
            <w:shd w:val="clear" w:color="auto" w:fill="DFDEEE"/>
          </w:tcPr>
          <w:p>
            <w:pPr>
              <w:spacing w:after="0"/>
              <w:rPr>
                <w:sz w:val="7"/>
                <w:szCs w:val="7"/>
                <w:color w:val="auto"/>
              </w:rPr>
            </w:pPr>
          </w:p>
        </w:tc>
        <w:tc>
          <w:tcPr>
            <w:tcW w:w="92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58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23,342</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46,684</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11,200,296</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8"/>
                <w:szCs w:val="18"/>
                <w:color w:val="auto"/>
              </w:rPr>
            </w:pPr>
          </w:p>
        </w:tc>
        <w:tc>
          <w:tcPr>
            <w:tcW w:w="1240" w:type="dxa"/>
            <w:vAlign w:val="bottom"/>
            <w:tcBorders>
              <w:bottom w:val="single" w:sz="8" w:color="BCBEC0"/>
            </w:tcBorders>
            <w:shd w:val="clear" w:color="auto" w:fill="DFDEEE"/>
          </w:tcPr>
          <w:p>
            <w:pPr>
              <w:spacing w:after="0"/>
              <w:rPr>
                <w:sz w:val="18"/>
                <w:szCs w:val="18"/>
                <w:color w:val="auto"/>
              </w:rPr>
            </w:pPr>
          </w:p>
        </w:tc>
        <w:tc>
          <w:tcPr>
            <w:tcW w:w="800" w:type="dxa"/>
            <w:vAlign w:val="bottom"/>
            <w:tcBorders>
              <w:bottom w:val="single" w:sz="8" w:color="BCBEC0"/>
            </w:tcBorders>
            <w:shd w:val="clear" w:color="auto" w:fill="DFDEEE"/>
          </w:tcPr>
          <w:p>
            <w:pPr>
              <w:spacing w:after="0"/>
              <w:rPr>
                <w:sz w:val="18"/>
                <w:szCs w:val="18"/>
                <w:color w:val="auto"/>
              </w:rPr>
            </w:pPr>
          </w:p>
        </w:tc>
        <w:tc>
          <w:tcPr>
            <w:tcW w:w="140" w:type="dxa"/>
            <w:vAlign w:val="bottom"/>
            <w:tcBorders>
              <w:bottom w:val="single" w:sz="8" w:color="BCBEC0"/>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10,760</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4,800,144</w:t>
            </w:r>
          </w:p>
        </w:tc>
        <w:tc>
          <w:tcPr>
            <w:tcW w:w="0" w:type="dxa"/>
            <w:vAlign w:val="bottom"/>
          </w:tcPr>
          <w:p>
            <w:pPr>
              <w:spacing w:after="0"/>
              <w:rPr>
                <w:sz w:val="1"/>
                <w:szCs w:val="1"/>
                <w:color w:val="auto"/>
              </w:rPr>
            </w:pPr>
          </w:p>
        </w:tc>
      </w:tr>
      <w:tr>
        <w:trPr>
          <w:trHeight w:val="225"/>
        </w:trPr>
        <w:tc>
          <w:tcPr>
            <w:tcW w:w="120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96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tcPr>
          <w:p>
            <w:pPr>
              <w:spacing w:after="0"/>
              <w:rPr>
                <w:sz w:val="19"/>
                <w:szCs w:val="19"/>
                <w:color w:val="auto"/>
              </w:rPr>
            </w:pP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color w:val="auto"/>
              </w:rPr>
              <w:t>897,750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1,885,275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1140" w:type="dxa"/>
            <w:vAlign w:val="bottom"/>
            <w:tcBorders>
              <w:bottom w:val="single" w:sz="8" w:color="BCBEC0"/>
            </w:tcBorders>
          </w:tcPr>
          <w:p>
            <w:pPr>
              <w:spacing w:after="0"/>
              <w:rPr>
                <w:sz w:val="7"/>
                <w:szCs w:val="7"/>
                <w:color w:val="auto"/>
              </w:rPr>
            </w:pPr>
          </w:p>
        </w:tc>
        <w:tc>
          <w:tcPr>
            <w:tcW w:w="9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80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92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58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7"/>
                <w:szCs w:val="17"/>
                <w:color w:val="auto"/>
              </w:rPr>
            </w:pPr>
          </w:p>
        </w:tc>
        <w:tc>
          <w:tcPr>
            <w:tcW w:w="1240" w:type="dxa"/>
            <w:vAlign w:val="bottom"/>
            <w:tcBorders>
              <w:bottom w:val="single" w:sz="8" w:color="BCBEC0"/>
            </w:tcBorders>
          </w:tcPr>
          <w:p>
            <w:pPr>
              <w:spacing w:after="0"/>
              <w:rPr>
                <w:sz w:val="17"/>
                <w:szCs w:val="17"/>
                <w:color w:val="auto"/>
              </w:rPr>
            </w:pPr>
          </w:p>
        </w:tc>
        <w:tc>
          <w:tcPr>
            <w:tcW w:w="800" w:type="dxa"/>
            <w:vAlign w:val="bottom"/>
            <w:tcBorders>
              <w:bottom w:val="single" w:sz="8" w:color="BCBEC0"/>
            </w:tcBorders>
          </w:tcPr>
          <w:p>
            <w:pPr>
              <w:spacing w:after="0"/>
              <w:rPr>
                <w:sz w:val="17"/>
                <w:szCs w:val="17"/>
                <w:color w:val="auto"/>
              </w:rPr>
            </w:pPr>
          </w:p>
        </w:tc>
        <w:tc>
          <w:tcPr>
            <w:tcW w:w="14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tcPr>
          <w:p>
            <w:pPr>
              <w:jc w:val="right"/>
              <w:ind w:right="393"/>
              <w:spacing w:after="0"/>
              <w:rPr>
                <w:sz w:val="20"/>
                <w:szCs w:val="20"/>
                <w:color w:val="auto"/>
              </w:rPr>
            </w:pPr>
            <w:r>
              <w:rPr>
                <w:rFonts w:ascii="Arial" w:cs="Arial" w:eastAsia="Arial" w:hAnsi="Arial"/>
                <w:sz w:val="14"/>
                <w:szCs w:val="14"/>
                <w:color w:val="auto"/>
              </w:rPr>
              <w:t>4,960</w:t>
            </w:r>
          </w:p>
        </w:tc>
        <w:tc>
          <w:tcPr>
            <w:tcW w:w="5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9,920</w:t>
            </w:r>
          </w:p>
        </w:tc>
        <w:tc>
          <w:tcPr>
            <w:tcW w:w="118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2,380,062</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BCBEC0"/>
            </w:tcBorders>
          </w:tcPr>
          <w:p>
            <w:pPr>
              <w:spacing w:after="0"/>
              <w:rPr>
                <w:sz w:val="18"/>
                <w:szCs w:val="18"/>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800" w:type="dxa"/>
            <w:vAlign w:val="bottom"/>
            <w:tcBorders>
              <w:bottom w:val="single" w:sz="8" w:color="BCBEC0"/>
            </w:tcBorders>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92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spacing w:after="0"/>
              <w:rPr>
                <w:sz w:val="18"/>
                <w:szCs w:val="18"/>
                <w:color w:val="auto"/>
              </w:rPr>
            </w:pPr>
          </w:p>
        </w:tc>
        <w:tc>
          <w:tcPr>
            <w:tcW w:w="58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jc w:val="right"/>
              <w:ind w:right="156"/>
              <w:spacing w:after="0"/>
              <w:rPr>
                <w:sz w:val="20"/>
                <w:szCs w:val="20"/>
                <w:color w:val="auto"/>
              </w:rPr>
            </w:pPr>
            <w:r>
              <w:rPr>
                <w:rFonts w:ascii="Arial" w:cs="Arial" w:eastAsia="Arial" w:hAnsi="Arial"/>
                <w:sz w:val="14"/>
                <w:szCs w:val="14"/>
                <w:color w:val="auto"/>
              </w:rPr>
              <w:t>2,286</w:t>
            </w: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1,019,808</w:t>
            </w:r>
          </w:p>
        </w:tc>
        <w:tc>
          <w:tcPr>
            <w:tcW w:w="0" w:type="dxa"/>
            <w:vAlign w:val="bottom"/>
          </w:tcPr>
          <w:p>
            <w:pPr>
              <w:spacing w:after="0"/>
              <w:rPr>
                <w:sz w:val="1"/>
                <w:szCs w:val="1"/>
                <w:color w:val="auto"/>
              </w:rPr>
            </w:pPr>
          </w:p>
        </w:tc>
      </w:tr>
      <w:tr>
        <w:trPr>
          <w:trHeight w:val="187"/>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shd w:val="clear" w:color="auto" w:fill="DFDEEE"/>
              </w:rPr>
              <w:t>Mark A. Caylor</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6"/>
                <w:szCs w:val="16"/>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855,000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1,710,000</w:t>
            </w:r>
          </w:p>
        </w:tc>
        <w:tc>
          <w:tcPr>
            <w:tcW w:w="140" w:type="dxa"/>
            <w:vAlign w:val="bottom"/>
            <w:shd w:val="clear" w:color="auto" w:fill="DFDEEE"/>
          </w:tcPr>
          <w:p>
            <w:pPr>
              <w:spacing w:after="0"/>
              <w:rPr>
                <w:sz w:val="16"/>
                <w:szCs w:val="16"/>
                <w:color w:val="auto"/>
              </w:rPr>
            </w:pPr>
          </w:p>
        </w:tc>
        <w:tc>
          <w:tcPr>
            <w:tcW w:w="920" w:type="dxa"/>
            <w:vAlign w:val="bottom"/>
            <w:shd w:val="clear" w:color="auto" w:fill="DFDEEE"/>
          </w:tcPr>
          <w:p>
            <w:pPr>
              <w:spacing w:after="0"/>
              <w:rPr>
                <w:sz w:val="16"/>
                <w:szCs w:val="16"/>
                <w:color w:val="auto"/>
              </w:rPr>
            </w:pPr>
          </w:p>
        </w:tc>
        <w:tc>
          <w:tcPr>
            <w:tcW w:w="1180" w:type="dxa"/>
            <w:vAlign w:val="bottom"/>
            <w:shd w:val="clear" w:color="auto" w:fill="DFDEEE"/>
          </w:tcPr>
          <w:p>
            <w:pPr>
              <w:spacing w:after="0"/>
              <w:rPr>
                <w:sz w:val="16"/>
                <w:szCs w:val="16"/>
                <w:color w:val="auto"/>
              </w:rPr>
            </w:pPr>
          </w:p>
        </w:tc>
        <w:tc>
          <w:tcPr>
            <w:tcW w:w="580" w:type="dxa"/>
            <w:vAlign w:val="bottom"/>
            <w:shd w:val="clear" w:color="auto" w:fill="DFDEEE"/>
          </w:tcPr>
          <w:p>
            <w:pPr>
              <w:spacing w:after="0"/>
              <w:rPr>
                <w:sz w:val="16"/>
                <w:szCs w:val="16"/>
                <w:color w:val="auto"/>
              </w:rPr>
            </w:pPr>
          </w:p>
        </w:tc>
        <w:tc>
          <w:tcPr>
            <w:tcW w:w="1180" w:type="dxa"/>
            <w:vAlign w:val="bottom"/>
            <w:shd w:val="clear" w:color="auto" w:fill="DFDEEE"/>
          </w:tcPr>
          <w:p>
            <w:pPr>
              <w:spacing w:after="0"/>
              <w:rPr>
                <w:sz w:val="16"/>
                <w:szCs w:val="16"/>
                <w:color w:val="auto"/>
              </w:rPr>
            </w:pPr>
          </w:p>
        </w:tc>
        <w:tc>
          <w:tcPr>
            <w:tcW w:w="960" w:type="dxa"/>
            <w:vAlign w:val="bottom"/>
            <w:shd w:val="clear" w:color="auto" w:fill="DFDEEE"/>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1140" w:type="dxa"/>
            <w:vAlign w:val="bottom"/>
            <w:shd w:val="clear" w:color="auto" w:fill="DFDEEE"/>
          </w:tcPr>
          <w:p>
            <w:pPr>
              <w:spacing w:after="0"/>
              <w:rPr>
                <w:sz w:val="7"/>
                <w:szCs w:val="7"/>
                <w:color w:val="auto"/>
              </w:rPr>
            </w:pPr>
          </w:p>
        </w:tc>
        <w:tc>
          <w:tcPr>
            <w:tcW w:w="940" w:type="dxa"/>
            <w:vAlign w:val="bottom"/>
            <w:vMerge w:val="continue"/>
            <w:shd w:val="clear" w:color="auto" w:fill="DFDEEE"/>
          </w:tcPr>
          <w:p>
            <w:pPr>
              <w:spacing w:after="0"/>
              <w:rPr>
                <w:sz w:val="7"/>
                <w:szCs w:val="7"/>
                <w:color w:val="auto"/>
              </w:rPr>
            </w:pPr>
          </w:p>
        </w:tc>
        <w:tc>
          <w:tcPr>
            <w:tcW w:w="1240" w:type="dxa"/>
            <w:vAlign w:val="bottom"/>
            <w:vMerge w:val="continue"/>
            <w:shd w:val="clear" w:color="auto" w:fill="DFDEEE"/>
          </w:tcPr>
          <w:p>
            <w:pPr>
              <w:spacing w:after="0"/>
              <w:rPr>
                <w:sz w:val="7"/>
                <w:szCs w:val="7"/>
                <w:color w:val="auto"/>
              </w:rPr>
            </w:pPr>
          </w:p>
        </w:tc>
        <w:tc>
          <w:tcPr>
            <w:tcW w:w="800" w:type="dxa"/>
            <w:vAlign w:val="bottom"/>
            <w:vMerge w:val="continue"/>
            <w:shd w:val="clear" w:color="auto" w:fill="DFDEEE"/>
          </w:tcPr>
          <w:p>
            <w:pPr>
              <w:spacing w:after="0"/>
              <w:rPr>
                <w:sz w:val="7"/>
                <w:szCs w:val="7"/>
                <w:color w:val="auto"/>
              </w:rPr>
            </w:pPr>
          </w:p>
        </w:tc>
        <w:tc>
          <w:tcPr>
            <w:tcW w:w="140" w:type="dxa"/>
            <w:vAlign w:val="bottom"/>
            <w:shd w:val="clear" w:color="auto" w:fill="DFDEEE"/>
          </w:tcPr>
          <w:p>
            <w:pPr>
              <w:spacing w:after="0"/>
              <w:rPr>
                <w:sz w:val="7"/>
                <w:szCs w:val="7"/>
                <w:color w:val="auto"/>
              </w:rPr>
            </w:pPr>
          </w:p>
        </w:tc>
        <w:tc>
          <w:tcPr>
            <w:tcW w:w="92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58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4,669</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9,338</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2,240,351</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1D3D4"/>
            </w:tcBorders>
            <w:shd w:val="clear" w:color="auto" w:fill="DFDEEE"/>
          </w:tcPr>
          <w:p>
            <w:pPr>
              <w:spacing w:after="0"/>
              <w:rPr>
                <w:sz w:val="18"/>
                <w:szCs w:val="18"/>
                <w:color w:val="auto"/>
              </w:rPr>
            </w:pPr>
          </w:p>
        </w:tc>
        <w:tc>
          <w:tcPr>
            <w:tcW w:w="960" w:type="dxa"/>
            <w:vAlign w:val="bottom"/>
            <w:tcBorders>
              <w:bottom w:val="single" w:sz="8" w:color="D1D3D4"/>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D1D3D4"/>
            </w:tcBorders>
            <w:shd w:val="clear" w:color="auto" w:fill="DFDEEE"/>
          </w:tcPr>
          <w:p>
            <w:pPr>
              <w:spacing w:after="0"/>
              <w:rPr>
                <w:sz w:val="18"/>
                <w:szCs w:val="18"/>
                <w:color w:val="auto"/>
              </w:rPr>
            </w:pPr>
          </w:p>
        </w:tc>
        <w:tc>
          <w:tcPr>
            <w:tcW w:w="1240" w:type="dxa"/>
            <w:vAlign w:val="bottom"/>
            <w:tcBorders>
              <w:bottom w:val="single" w:sz="8" w:color="D1D3D4"/>
            </w:tcBorders>
            <w:shd w:val="clear" w:color="auto" w:fill="DFDEEE"/>
          </w:tcPr>
          <w:p>
            <w:pPr>
              <w:spacing w:after="0"/>
              <w:rPr>
                <w:sz w:val="18"/>
                <w:szCs w:val="18"/>
                <w:color w:val="auto"/>
              </w:rPr>
            </w:pPr>
          </w:p>
        </w:tc>
        <w:tc>
          <w:tcPr>
            <w:tcW w:w="800" w:type="dxa"/>
            <w:vAlign w:val="bottom"/>
            <w:tcBorders>
              <w:bottom w:val="single" w:sz="8" w:color="D1D3D4"/>
            </w:tcBorders>
            <w:shd w:val="clear" w:color="auto" w:fill="DFDEEE"/>
          </w:tcPr>
          <w:p>
            <w:pPr>
              <w:spacing w:after="0"/>
              <w:rPr>
                <w:sz w:val="18"/>
                <w:szCs w:val="18"/>
                <w:color w:val="auto"/>
              </w:rPr>
            </w:pPr>
          </w:p>
        </w:tc>
        <w:tc>
          <w:tcPr>
            <w:tcW w:w="140" w:type="dxa"/>
            <w:vAlign w:val="bottom"/>
            <w:tcBorders>
              <w:bottom w:val="single" w:sz="8" w:color="D1D3D4"/>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2,152</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960,029</w:t>
            </w:r>
          </w:p>
        </w:tc>
        <w:tc>
          <w:tcPr>
            <w:tcW w:w="0" w:type="dxa"/>
            <w:vAlign w:val="bottom"/>
          </w:tcPr>
          <w:p>
            <w:pPr>
              <w:spacing w:after="0"/>
              <w:rPr>
                <w:sz w:val="1"/>
                <w:szCs w:val="1"/>
                <w:color w:val="auto"/>
              </w:rPr>
            </w:pPr>
          </w:p>
        </w:tc>
      </w:tr>
      <w:tr>
        <w:trPr>
          <w:trHeight w:val="177"/>
        </w:trPr>
        <w:tc>
          <w:tcPr>
            <w:tcW w:w="1200" w:type="dxa"/>
            <w:vAlign w:val="bottom"/>
          </w:tcPr>
          <w:p>
            <w:pPr>
              <w:ind w:left="20"/>
              <w:spacing w:after="0"/>
              <w:rPr>
                <w:sz w:val="20"/>
                <w:szCs w:val="20"/>
                <w:color w:val="auto"/>
              </w:rPr>
            </w:pPr>
            <w:r>
              <w:rPr>
                <w:rFonts w:ascii="Arial" w:cs="Arial" w:eastAsia="Arial" w:hAnsi="Arial"/>
                <w:sz w:val="14"/>
                <w:szCs w:val="14"/>
                <w:b w:val="1"/>
                <w:bCs w:val="1"/>
                <w:color w:val="29378D"/>
              </w:rPr>
              <w:t>Thomas H.</w:t>
            </w:r>
          </w:p>
        </w:tc>
        <w:tc>
          <w:tcPr>
            <w:tcW w:w="96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tcPr>
          <w:p>
            <w:pPr>
              <w:spacing w:after="0"/>
              <w:rPr>
                <w:sz w:val="15"/>
                <w:szCs w:val="15"/>
                <w:color w:val="auto"/>
              </w:rPr>
            </w:pP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color w:val="auto"/>
              </w:rPr>
              <w:t>790,000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1,580,000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Jones</w:t>
            </w: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200" w:type="dxa"/>
            <w:vAlign w:val="bottom"/>
            <w:vMerge w:val="continue"/>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1140" w:type="dxa"/>
            <w:vAlign w:val="bottom"/>
            <w:tcBorders>
              <w:bottom w:val="single" w:sz="8" w:color="BCBEC0"/>
            </w:tcBorders>
          </w:tcPr>
          <w:p>
            <w:pPr>
              <w:spacing w:after="0"/>
              <w:rPr>
                <w:sz w:val="7"/>
                <w:szCs w:val="7"/>
                <w:color w:val="auto"/>
              </w:rPr>
            </w:pPr>
          </w:p>
        </w:tc>
        <w:tc>
          <w:tcPr>
            <w:tcW w:w="9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80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92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58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7"/>
                <w:szCs w:val="17"/>
                <w:color w:val="auto"/>
              </w:rPr>
            </w:pPr>
          </w:p>
        </w:tc>
        <w:tc>
          <w:tcPr>
            <w:tcW w:w="1240" w:type="dxa"/>
            <w:vAlign w:val="bottom"/>
            <w:tcBorders>
              <w:bottom w:val="single" w:sz="8" w:color="BCBEC0"/>
            </w:tcBorders>
          </w:tcPr>
          <w:p>
            <w:pPr>
              <w:spacing w:after="0"/>
              <w:rPr>
                <w:sz w:val="17"/>
                <w:szCs w:val="17"/>
                <w:color w:val="auto"/>
              </w:rPr>
            </w:pPr>
          </w:p>
        </w:tc>
        <w:tc>
          <w:tcPr>
            <w:tcW w:w="800" w:type="dxa"/>
            <w:vAlign w:val="bottom"/>
            <w:tcBorders>
              <w:bottom w:val="single" w:sz="8" w:color="BCBEC0"/>
            </w:tcBorders>
          </w:tcPr>
          <w:p>
            <w:pPr>
              <w:spacing w:after="0"/>
              <w:rPr>
                <w:sz w:val="17"/>
                <w:szCs w:val="17"/>
                <w:color w:val="auto"/>
              </w:rPr>
            </w:pPr>
          </w:p>
        </w:tc>
        <w:tc>
          <w:tcPr>
            <w:tcW w:w="14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tcPr>
          <w:p>
            <w:pPr>
              <w:jc w:val="right"/>
              <w:ind w:right="393"/>
              <w:spacing w:after="0"/>
              <w:rPr>
                <w:sz w:val="20"/>
                <w:szCs w:val="20"/>
                <w:color w:val="auto"/>
              </w:rPr>
            </w:pPr>
            <w:r>
              <w:rPr>
                <w:rFonts w:ascii="Arial" w:cs="Arial" w:eastAsia="Arial" w:hAnsi="Arial"/>
                <w:sz w:val="14"/>
                <w:szCs w:val="14"/>
                <w:color w:val="auto"/>
              </w:rPr>
              <w:t>4,669</w:t>
            </w:r>
          </w:p>
        </w:tc>
        <w:tc>
          <w:tcPr>
            <w:tcW w:w="5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9,338</w:t>
            </w:r>
          </w:p>
        </w:tc>
        <w:tc>
          <w:tcPr>
            <w:tcW w:w="118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2,240,351</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tcPr>
          <w:p>
            <w:pPr>
              <w:spacing w:after="0"/>
              <w:rPr>
                <w:sz w:val="18"/>
                <w:szCs w:val="18"/>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800" w:type="dxa"/>
            <w:vAlign w:val="bottom"/>
            <w:tcBorders>
              <w:bottom w:val="single" w:sz="8" w:color="BCBEC0"/>
            </w:tcBorders>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92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spacing w:after="0"/>
              <w:rPr>
                <w:sz w:val="18"/>
                <w:szCs w:val="18"/>
                <w:color w:val="auto"/>
              </w:rPr>
            </w:pPr>
          </w:p>
        </w:tc>
        <w:tc>
          <w:tcPr>
            <w:tcW w:w="58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jc w:val="right"/>
              <w:ind w:right="156"/>
              <w:spacing w:after="0"/>
              <w:rPr>
                <w:sz w:val="20"/>
                <w:szCs w:val="20"/>
                <w:color w:val="auto"/>
              </w:rPr>
            </w:pPr>
            <w:r>
              <w:rPr>
                <w:rFonts w:ascii="Arial" w:cs="Arial" w:eastAsia="Arial" w:hAnsi="Arial"/>
                <w:sz w:val="14"/>
                <w:szCs w:val="14"/>
                <w:color w:val="auto"/>
              </w:rPr>
              <w:t>2,152</w:t>
            </w: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960,029</w:t>
            </w:r>
          </w:p>
        </w:tc>
        <w:tc>
          <w:tcPr>
            <w:tcW w:w="0" w:type="dxa"/>
            <w:vAlign w:val="bottom"/>
          </w:tcPr>
          <w:p>
            <w:pPr>
              <w:spacing w:after="0"/>
              <w:rPr>
                <w:sz w:val="1"/>
                <w:szCs w:val="1"/>
                <w:color w:val="auto"/>
              </w:rPr>
            </w:pPr>
          </w:p>
        </w:tc>
      </w:tr>
      <w:tr>
        <w:trPr>
          <w:trHeight w:val="177"/>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rPr>
              <w:t>Roshan S.</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5"/>
                <w:szCs w:val="15"/>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750,000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shd w:val="clear" w:color="auto" w:fill="DFDEEE"/>
          </w:tcPr>
          <w:p>
            <w:pPr>
              <w:spacing w:after="0"/>
              <w:rPr>
                <w:sz w:val="15"/>
                <w:szCs w:val="15"/>
                <w:color w:val="auto"/>
              </w:rPr>
            </w:pPr>
          </w:p>
        </w:tc>
        <w:tc>
          <w:tcPr>
            <w:tcW w:w="92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58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960" w:type="dxa"/>
            <w:vAlign w:val="bottom"/>
            <w:shd w:val="clear" w:color="auto" w:fill="DFDEEE"/>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200" w:type="dxa"/>
            <w:vAlign w:val="bottom"/>
            <w:vMerge w:val="restart"/>
            <w:shd w:val="clear" w:color="auto" w:fill="DFDEEE"/>
          </w:tcPr>
          <w:p>
            <w:pPr>
              <w:ind w:left="20"/>
              <w:spacing w:after="0"/>
              <w:rPr>
                <w:sz w:val="20"/>
                <w:szCs w:val="20"/>
                <w:color w:val="auto"/>
              </w:rPr>
            </w:pPr>
            <w:r>
              <w:rPr>
                <w:rFonts w:ascii="Arial" w:cs="Arial" w:eastAsia="Arial" w:hAnsi="Arial"/>
                <w:sz w:val="14"/>
                <w:szCs w:val="14"/>
                <w:b w:val="1"/>
                <w:bCs w:val="1"/>
                <w:color w:val="29378D"/>
              </w:rPr>
              <w:t>Roeder</w:t>
            </w:r>
          </w:p>
        </w:tc>
        <w:tc>
          <w:tcPr>
            <w:tcW w:w="960" w:type="dxa"/>
            <w:vAlign w:val="bottom"/>
            <w:shd w:val="clear" w:color="auto" w:fill="DFDEEE"/>
          </w:tcPr>
          <w:p>
            <w:pPr>
              <w:spacing w:after="0"/>
              <w:rPr>
                <w:sz w:val="8"/>
                <w:szCs w:val="8"/>
                <w:color w:val="auto"/>
              </w:rPr>
            </w:pPr>
          </w:p>
        </w:tc>
        <w:tc>
          <w:tcPr>
            <w:tcW w:w="1140" w:type="dxa"/>
            <w:vAlign w:val="bottom"/>
            <w:shd w:val="clear" w:color="auto" w:fill="DFDEEE"/>
          </w:tcPr>
          <w:p>
            <w:pPr>
              <w:spacing w:after="0"/>
              <w:rPr>
                <w:sz w:val="8"/>
                <w:szCs w:val="8"/>
                <w:color w:val="auto"/>
              </w:rPr>
            </w:pPr>
          </w:p>
        </w:tc>
        <w:tc>
          <w:tcPr>
            <w:tcW w:w="940" w:type="dxa"/>
            <w:vAlign w:val="bottom"/>
            <w:vMerge w:val="continue"/>
            <w:shd w:val="clear" w:color="auto" w:fill="DFDEEE"/>
          </w:tcPr>
          <w:p>
            <w:pPr>
              <w:spacing w:after="0"/>
              <w:rPr>
                <w:sz w:val="8"/>
                <w:szCs w:val="8"/>
                <w:color w:val="auto"/>
              </w:rPr>
            </w:pPr>
          </w:p>
        </w:tc>
        <w:tc>
          <w:tcPr>
            <w:tcW w:w="1240" w:type="dxa"/>
            <w:vAlign w:val="bottom"/>
            <w:vMerge w:val="continue"/>
            <w:shd w:val="clear" w:color="auto" w:fill="DFDEEE"/>
          </w:tcPr>
          <w:p>
            <w:pPr>
              <w:spacing w:after="0"/>
              <w:rPr>
                <w:sz w:val="8"/>
                <w:szCs w:val="8"/>
                <w:color w:val="auto"/>
              </w:rPr>
            </w:pPr>
          </w:p>
        </w:tc>
        <w:tc>
          <w:tcPr>
            <w:tcW w:w="800" w:type="dxa"/>
            <w:vAlign w:val="bottom"/>
            <w:vMerge w:val="continue"/>
            <w:shd w:val="clear" w:color="auto" w:fill="DFDEEE"/>
          </w:tcPr>
          <w:p>
            <w:pPr>
              <w:spacing w:after="0"/>
              <w:rPr>
                <w:sz w:val="8"/>
                <w:szCs w:val="8"/>
                <w:color w:val="auto"/>
              </w:rPr>
            </w:pPr>
          </w:p>
        </w:tc>
        <w:tc>
          <w:tcPr>
            <w:tcW w:w="140" w:type="dxa"/>
            <w:vAlign w:val="bottom"/>
            <w:shd w:val="clear" w:color="auto" w:fill="DFDEEE"/>
          </w:tcPr>
          <w:p>
            <w:pPr>
              <w:spacing w:after="0"/>
              <w:rPr>
                <w:sz w:val="8"/>
                <w:szCs w:val="8"/>
                <w:color w:val="auto"/>
              </w:rPr>
            </w:pPr>
          </w:p>
        </w:tc>
        <w:tc>
          <w:tcPr>
            <w:tcW w:w="920" w:type="dxa"/>
            <w:vAlign w:val="bottom"/>
            <w:shd w:val="clear" w:color="auto" w:fill="DFDEEE"/>
          </w:tcPr>
          <w:p>
            <w:pPr>
              <w:spacing w:after="0"/>
              <w:rPr>
                <w:sz w:val="8"/>
                <w:szCs w:val="8"/>
                <w:color w:val="auto"/>
              </w:rPr>
            </w:pPr>
          </w:p>
        </w:tc>
        <w:tc>
          <w:tcPr>
            <w:tcW w:w="1180" w:type="dxa"/>
            <w:vAlign w:val="bottom"/>
            <w:shd w:val="clear" w:color="auto" w:fill="DFDEEE"/>
          </w:tcPr>
          <w:p>
            <w:pPr>
              <w:spacing w:after="0"/>
              <w:rPr>
                <w:sz w:val="8"/>
                <w:szCs w:val="8"/>
                <w:color w:val="auto"/>
              </w:rPr>
            </w:pPr>
          </w:p>
        </w:tc>
        <w:tc>
          <w:tcPr>
            <w:tcW w:w="580" w:type="dxa"/>
            <w:vAlign w:val="bottom"/>
            <w:shd w:val="clear" w:color="auto" w:fill="DFDEEE"/>
          </w:tcPr>
          <w:p>
            <w:pPr>
              <w:spacing w:after="0"/>
              <w:rPr>
                <w:sz w:val="8"/>
                <w:szCs w:val="8"/>
                <w:color w:val="auto"/>
              </w:rPr>
            </w:pPr>
          </w:p>
        </w:tc>
        <w:tc>
          <w:tcPr>
            <w:tcW w:w="1180" w:type="dxa"/>
            <w:vAlign w:val="bottom"/>
            <w:shd w:val="clear" w:color="auto" w:fill="DFDEEE"/>
          </w:tcPr>
          <w:p>
            <w:pPr>
              <w:spacing w:after="0"/>
              <w:rPr>
                <w:sz w:val="8"/>
                <w:szCs w:val="8"/>
                <w:color w:val="auto"/>
              </w:rPr>
            </w:pPr>
          </w:p>
        </w:tc>
        <w:tc>
          <w:tcPr>
            <w:tcW w:w="960" w:type="dxa"/>
            <w:vAlign w:val="bottom"/>
            <w:shd w:val="clear" w:color="auto" w:fill="DFDEE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vMerge w:val="continue"/>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4,376</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8,752</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2,099,747</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8"/>
                <w:szCs w:val="18"/>
                <w:color w:val="auto"/>
              </w:rPr>
            </w:pPr>
          </w:p>
        </w:tc>
        <w:tc>
          <w:tcPr>
            <w:tcW w:w="1240" w:type="dxa"/>
            <w:vAlign w:val="bottom"/>
            <w:tcBorders>
              <w:bottom w:val="single" w:sz="8" w:color="BCBEC0"/>
            </w:tcBorders>
            <w:shd w:val="clear" w:color="auto" w:fill="DFDEEE"/>
          </w:tcPr>
          <w:p>
            <w:pPr>
              <w:spacing w:after="0"/>
              <w:rPr>
                <w:sz w:val="18"/>
                <w:szCs w:val="18"/>
                <w:color w:val="auto"/>
              </w:rPr>
            </w:pPr>
          </w:p>
        </w:tc>
        <w:tc>
          <w:tcPr>
            <w:tcW w:w="800" w:type="dxa"/>
            <w:vAlign w:val="bottom"/>
            <w:tcBorders>
              <w:bottom w:val="single" w:sz="8" w:color="BCBEC0"/>
            </w:tcBorders>
            <w:shd w:val="clear" w:color="auto" w:fill="DFDEEE"/>
          </w:tcPr>
          <w:p>
            <w:pPr>
              <w:spacing w:after="0"/>
              <w:rPr>
                <w:sz w:val="18"/>
                <w:szCs w:val="18"/>
                <w:color w:val="auto"/>
              </w:rPr>
            </w:pPr>
          </w:p>
        </w:tc>
        <w:tc>
          <w:tcPr>
            <w:tcW w:w="140" w:type="dxa"/>
            <w:vAlign w:val="bottom"/>
            <w:tcBorders>
              <w:bottom w:val="single" w:sz="8" w:color="BCBEC0"/>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2,017</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899,804</w:t>
            </w:r>
          </w:p>
        </w:tc>
        <w:tc>
          <w:tcPr>
            <w:tcW w:w="0" w:type="dxa"/>
            <w:vAlign w:val="bottom"/>
          </w:tcPr>
          <w:p>
            <w:pPr>
              <w:spacing w:after="0"/>
              <w:rPr>
                <w:sz w:val="1"/>
                <w:szCs w:val="1"/>
                <w:color w:val="auto"/>
              </w:rPr>
            </w:pPr>
          </w:p>
        </w:tc>
      </w:tr>
      <w:tr>
        <w:trPr>
          <w:trHeight w:val="210"/>
        </w:trPr>
        <w:tc>
          <w:tcPr>
            <w:tcW w:w="1200" w:type="dxa"/>
            <w:vAlign w:val="bottom"/>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 (5)</w:t>
            </w:r>
          </w:p>
        </w:tc>
        <w:tc>
          <w:tcPr>
            <w:tcW w:w="1140" w:type="dxa"/>
            <w:vAlign w:val="bottom"/>
            <w:shd w:val="clear" w:color="auto" w:fill="DFDEEE"/>
          </w:tcPr>
          <w:p>
            <w:pPr>
              <w:jc w:val="right"/>
              <w:ind w:right="409"/>
              <w:spacing w:after="0"/>
              <w:rPr>
                <w:sz w:val="20"/>
                <w:szCs w:val="20"/>
                <w:color w:val="auto"/>
              </w:rPr>
            </w:pPr>
            <w:r>
              <w:rPr>
                <w:rFonts w:ascii="Arial" w:cs="Arial" w:eastAsia="Arial" w:hAnsi="Arial"/>
                <w:sz w:val="14"/>
                <w:szCs w:val="14"/>
                <w:color w:val="auto"/>
              </w:rPr>
              <w:t>12/5/2023</w:t>
            </w:r>
          </w:p>
        </w:tc>
        <w:tc>
          <w:tcPr>
            <w:tcW w:w="940" w:type="dxa"/>
            <w:vAlign w:val="bottom"/>
            <w:shd w:val="clear" w:color="auto" w:fill="DFDEEE"/>
          </w:tcPr>
          <w:p>
            <w:pPr>
              <w:spacing w:after="0"/>
              <w:rPr>
                <w:sz w:val="18"/>
                <w:szCs w:val="18"/>
                <w:color w:val="auto"/>
              </w:rPr>
            </w:pPr>
          </w:p>
        </w:tc>
        <w:tc>
          <w:tcPr>
            <w:tcW w:w="1240" w:type="dxa"/>
            <w:vAlign w:val="bottom"/>
            <w:shd w:val="clear" w:color="auto" w:fill="DFDEEE"/>
          </w:tcPr>
          <w:p>
            <w:pPr>
              <w:spacing w:after="0"/>
              <w:rPr>
                <w:sz w:val="18"/>
                <w:szCs w:val="18"/>
                <w:color w:val="auto"/>
              </w:rPr>
            </w:pPr>
          </w:p>
        </w:tc>
        <w:tc>
          <w:tcPr>
            <w:tcW w:w="800" w:type="dxa"/>
            <w:vAlign w:val="bottom"/>
            <w:shd w:val="clear" w:color="auto" w:fill="DFDEEE"/>
          </w:tcPr>
          <w:p>
            <w:pPr>
              <w:spacing w:after="0"/>
              <w:rPr>
                <w:sz w:val="18"/>
                <w:szCs w:val="18"/>
                <w:color w:val="auto"/>
              </w:rPr>
            </w:pPr>
          </w:p>
        </w:tc>
        <w:tc>
          <w:tcPr>
            <w:tcW w:w="140" w:type="dxa"/>
            <w:vAlign w:val="bottom"/>
            <w:shd w:val="clear" w:color="auto" w:fill="DFDEEE"/>
          </w:tcPr>
          <w:p>
            <w:pPr>
              <w:spacing w:after="0"/>
              <w:rPr>
                <w:sz w:val="18"/>
                <w:szCs w:val="18"/>
                <w:color w:val="auto"/>
              </w:rPr>
            </w:pPr>
          </w:p>
        </w:tc>
        <w:tc>
          <w:tcPr>
            <w:tcW w:w="920" w:type="dxa"/>
            <w:vAlign w:val="bottom"/>
            <w:shd w:val="clear" w:color="auto" w:fill="DFDEEE"/>
          </w:tcPr>
          <w:p>
            <w:pPr>
              <w:spacing w:after="0"/>
              <w:rPr>
                <w:sz w:val="18"/>
                <w:szCs w:val="18"/>
                <w:color w:val="auto"/>
              </w:rPr>
            </w:pPr>
          </w:p>
        </w:tc>
        <w:tc>
          <w:tcPr>
            <w:tcW w:w="1180" w:type="dxa"/>
            <w:vAlign w:val="bottom"/>
            <w:shd w:val="clear" w:color="auto" w:fill="DFDEEE"/>
          </w:tcPr>
          <w:p>
            <w:pPr>
              <w:spacing w:after="0"/>
              <w:rPr>
                <w:sz w:val="18"/>
                <w:szCs w:val="18"/>
                <w:color w:val="auto"/>
              </w:rPr>
            </w:pPr>
          </w:p>
        </w:tc>
        <w:tc>
          <w:tcPr>
            <w:tcW w:w="580" w:type="dxa"/>
            <w:vAlign w:val="bottom"/>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328</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149,899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00" w:hanging="252"/>
        <w:spacing w:after="0" w:line="30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Represents the potential range of payouts under the Company’s AIP. Actual payouts are shown in the Summary Compensation Table column entitled “Non-Equity Incentive Plan Compensation” on page 71.</w:t>
      </w:r>
    </w:p>
    <w:p>
      <w:pPr>
        <w:spacing w:after="0" w:line="9" w:lineRule="exact"/>
        <w:rPr>
          <w:rFonts w:ascii="Arial" w:cs="Arial" w:eastAsia="Arial" w:hAnsi="Arial"/>
          <w:sz w:val="14"/>
          <w:szCs w:val="14"/>
          <w:color w:val="auto"/>
        </w:rPr>
      </w:pPr>
    </w:p>
    <w:p>
      <w:pPr>
        <w:ind w:left="260" w:right="380" w:hanging="252"/>
        <w:spacing w:after="0" w:line="30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These amounts relate to RPSRs granted in 2023 under the 2011 Plan. For additional details on our RPSRs, refer to “Key Components of Our Executive Compensation Programs - Long-Term Incentive Compensation” on page 63.</w:t>
      </w:r>
    </w:p>
    <w:p>
      <w:pPr>
        <w:spacing w:after="0" w:line="9" w:lineRule="exact"/>
        <w:rPr>
          <w:rFonts w:ascii="Arial" w:cs="Arial" w:eastAsia="Arial" w:hAnsi="Arial"/>
          <w:sz w:val="14"/>
          <w:szCs w:val="14"/>
          <w:color w:val="auto"/>
        </w:rPr>
      </w:pPr>
    </w:p>
    <w:p>
      <w:pPr>
        <w:ind w:left="260" w:right="580" w:hanging="252"/>
        <w:spacing w:after="0" w:line="28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These amounts relate to RSRs granted in 2023 under the 2011 Plan. For additional details on our RSRs, refer to “Key Components of Our Executive Compensation Programs - Long-Term Incentive Compensation” on page 63.</w:t>
      </w:r>
    </w:p>
    <w:p>
      <w:pPr>
        <w:spacing w:after="0" w:line="36" w:lineRule="exact"/>
        <w:rPr>
          <w:rFonts w:ascii="Arial" w:cs="Arial" w:eastAsia="Arial" w:hAnsi="Arial"/>
          <w:sz w:val="14"/>
          <w:szCs w:val="14"/>
          <w:color w:val="auto"/>
        </w:rPr>
      </w:pPr>
    </w:p>
    <w:p>
      <w:pPr>
        <w:ind w:left="260" w:hanging="252"/>
        <w:spacing w:after="0"/>
        <w:tabs>
          <w:tab w:leader="none" w:pos="2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grant date fair value of awards was computed in accordance with FASB ASC Topic 718.</w:t>
      </w:r>
    </w:p>
    <w:p>
      <w:pPr>
        <w:spacing w:after="0" w:line="82" w:lineRule="exact"/>
        <w:rPr>
          <w:rFonts w:ascii="Arial" w:cs="Arial" w:eastAsia="Arial" w:hAnsi="Arial"/>
          <w:sz w:val="14"/>
          <w:szCs w:val="14"/>
          <w:color w:val="auto"/>
        </w:rPr>
      </w:pPr>
    </w:p>
    <w:p>
      <w:pPr>
        <w:ind w:left="260" w:right="160" w:hanging="252"/>
        <w:spacing w:after="0" w:line="28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Ms. Roeder was granted a RSR award on December 5, 2023 in connection with her role as Corporate Vice President and President, Defense Systems. The grant will vest two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2023 Fiscal Year End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Equity Incentive Plan</w:t>
            </w:r>
          </w:p>
        </w:tc>
      </w:tr>
      <w:tr>
        <w:trPr>
          <w:trHeight w:val="149"/>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tcPr>
          <w:p>
            <w:pPr>
              <w:jc w:val="right"/>
              <w:ind w:right="352"/>
              <w:spacing w:after="0"/>
              <w:rPr>
                <w:sz w:val="20"/>
                <w:szCs w:val="20"/>
                <w:color w:val="auto"/>
              </w:rPr>
            </w:pPr>
            <w:r>
              <w:rPr>
                <w:rFonts w:ascii="Arial" w:cs="Arial" w:eastAsia="Arial" w:hAnsi="Arial"/>
                <w:sz w:val="12"/>
                <w:szCs w:val="12"/>
                <w:b w:val="1"/>
                <w:bCs w:val="1"/>
                <w:color w:val="auto"/>
              </w:rPr>
              <w:t>Equity Incentive Plan</w:t>
            </w: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Awards: Market</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Number of</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Market Value of</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Awards: Number of</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or Payout Value of</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Shares or Units of</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Shares or Units of</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Unearned Shares, Units</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Unearned Shares, Units</w:t>
            </w:r>
          </w:p>
        </w:tc>
      </w:tr>
      <w:tr>
        <w:trPr>
          <w:trHeight w:val="148"/>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2"/>
                <w:szCs w:val="12"/>
                <w:b w:val="1"/>
                <w:bCs w:val="1"/>
                <w:color w:val="auto"/>
              </w:rPr>
              <w:t>Stock that Have</w:t>
            </w:r>
          </w:p>
        </w:tc>
        <w:tc>
          <w:tcPr>
            <w:tcW w:w="2080" w:type="dxa"/>
            <w:vAlign w:val="bottom"/>
          </w:tcPr>
          <w:p>
            <w:pPr>
              <w:jc w:val="right"/>
              <w:ind w:right="351"/>
              <w:spacing w:after="0"/>
              <w:rPr>
                <w:sz w:val="20"/>
                <w:szCs w:val="20"/>
                <w:color w:val="auto"/>
              </w:rPr>
            </w:pPr>
            <w:r>
              <w:rPr>
                <w:rFonts w:ascii="Arial" w:cs="Arial" w:eastAsia="Arial" w:hAnsi="Arial"/>
                <w:sz w:val="12"/>
                <w:szCs w:val="12"/>
                <w:b w:val="1"/>
                <w:bCs w:val="1"/>
                <w:color w:val="auto"/>
              </w:rPr>
              <w:t>Stock that Have</w:t>
            </w:r>
          </w:p>
        </w:tc>
        <w:tc>
          <w:tcPr>
            <w:tcW w:w="2160" w:type="dxa"/>
            <w:vAlign w:val="bottom"/>
          </w:tcPr>
          <w:p>
            <w:pPr>
              <w:jc w:val="right"/>
              <w:ind w:right="352"/>
              <w:spacing w:after="0"/>
              <w:rPr>
                <w:sz w:val="20"/>
                <w:szCs w:val="20"/>
                <w:color w:val="auto"/>
              </w:rPr>
            </w:pPr>
            <w:r>
              <w:rPr>
                <w:rFonts w:ascii="Arial" w:cs="Arial" w:eastAsia="Arial" w:hAnsi="Arial"/>
                <w:sz w:val="12"/>
                <w:szCs w:val="12"/>
                <w:b w:val="1"/>
                <w:bCs w:val="1"/>
                <w:color w:val="auto"/>
              </w:rPr>
              <w:t>or Other Rights that</w:t>
            </w: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or Other Rights that</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5"/>
                <w:szCs w:val="15"/>
                <w:b w:val="1"/>
                <w:bCs w:val="1"/>
                <w:color w:val="auto"/>
                <w:vertAlign w:val="superscript"/>
              </w:rPr>
              <w:t>(1)</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5"/>
                <w:szCs w:val="15"/>
                <w:b w:val="1"/>
                <w:bCs w:val="1"/>
                <w:color w:val="auto"/>
                <w:vertAlign w:val="superscript"/>
              </w:rPr>
              <w:t>(2)</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5"/>
                <w:szCs w:val="15"/>
                <w:b w:val="1"/>
                <w:bCs w:val="1"/>
                <w:color w:val="auto"/>
                <w:vertAlign w:val="superscript"/>
              </w:rPr>
              <w:t>(3)</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5"/>
                <w:szCs w:val="15"/>
                <w:b w:val="1"/>
                <w:bCs w:val="1"/>
                <w:color w:val="auto"/>
                <w:vertAlign w:val="superscript"/>
              </w:rPr>
              <w:t>(2)</w:t>
            </w:r>
          </w:p>
        </w:tc>
      </w:tr>
      <w:tr>
        <w:trPr>
          <w:trHeight w:val="179"/>
        </w:trPr>
        <w:tc>
          <w:tcPr>
            <w:tcW w:w="2260" w:type="dxa"/>
            <w:vAlign w:val="bottom"/>
            <w:tcBorders>
              <w:bottom w:val="single" w:sz="8" w:color="29378D"/>
            </w:tcBorders>
          </w:tcPr>
          <w:p>
            <w:pPr>
              <w:ind w:left="20"/>
              <w:spacing w:after="0"/>
              <w:rPr>
                <w:sz w:val="20"/>
                <w:szCs w:val="20"/>
                <w:color w:val="auto"/>
              </w:rPr>
            </w:pPr>
            <w:r>
              <w:rPr>
                <w:rFonts w:ascii="Arial" w:cs="Arial" w:eastAsia="Arial" w:hAnsi="Arial"/>
                <w:sz w:val="12"/>
                <w:szCs w:val="12"/>
                <w:b w:val="1"/>
                <w:bCs w:val="1"/>
                <w:color w:val="auto"/>
              </w:rPr>
              <w:t>Name</w:t>
            </w:r>
          </w:p>
        </w:tc>
        <w:tc>
          <w:tcPr>
            <w:tcW w:w="128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166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w:t>
            </w:r>
          </w:p>
        </w:tc>
        <w:tc>
          <w:tcPr>
            <w:tcW w:w="2080" w:type="dxa"/>
            <w:vAlign w:val="bottom"/>
            <w:tcBorders>
              <w:bottom w:val="single" w:sz="8" w:color="29378D"/>
            </w:tcBorders>
          </w:tcPr>
          <w:p>
            <w:pPr>
              <w:jc w:val="right"/>
              <w:ind w:right="351"/>
              <w:spacing w:after="0"/>
              <w:rPr>
                <w:sz w:val="20"/>
                <w:szCs w:val="20"/>
                <w:color w:val="auto"/>
              </w:rPr>
            </w:pPr>
            <w:r>
              <w:rPr>
                <w:rFonts w:ascii="Arial" w:cs="Arial" w:eastAsia="Arial" w:hAnsi="Arial"/>
                <w:sz w:val="12"/>
                <w:szCs w:val="12"/>
                <w:b w:val="1"/>
                <w:bCs w:val="1"/>
                <w:color w:val="auto"/>
              </w:rPr>
              <w:t>($)</w:t>
            </w:r>
          </w:p>
        </w:tc>
        <w:tc>
          <w:tcPr>
            <w:tcW w:w="2160" w:type="dxa"/>
            <w:vAlign w:val="bottom"/>
            <w:tcBorders>
              <w:bottom w:val="single" w:sz="8" w:color="29378D"/>
            </w:tcBorders>
          </w:tcPr>
          <w:p>
            <w:pPr>
              <w:jc w:val="right"/>
              <w:ind w:right="352"/>
              <w:spacing w:after="0"/>
              <w:rPr>
                <w:sz w:val="20"/>
                <w:szCs w:val="20"/>
                <w:color w:val="auto"/>
              </w:rPr>
            </w:pPr>
            <w:r>
              <w:rPr>
                <w:rFonts w:ascii="Arial" w:cs="Arial" w:eastAsia="Arial" w:hAnsi="Arial"/>
                <w:sz w:val="12"/>
                <w:szCs w:val="12"/>
                <w:b w:val="1"/>
                <w:bCs w:val="1"/>
                <w:color w:val="auto"/>
              </w:rPr>
              <w:t>(#)</w:t>
            </w:r>
          </w:p>
        </w:tc>
        <w:tc>
          <w:tcPr>
            <w:tcW w:w="178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215"/>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10,760</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5,037,186</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23,342</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10,927,324</w:t>
            </w:r>
          </w:p>
        </w:tc>
      </w:tr>
      <w:tr>
        <w:trPr>
          <w:trHeight w:val="207"/>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11,672</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5,464,130</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25,561</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11,966,127</w:t>
            </w:r>
          </w:p>
        </w:tc>
      </w:tr>
      <w:tr>
        <w:trPr>
          <w:trHeight w:val="209"/>
        </w:trPr>
        <w:tc>
          <w:tcPr>
            <w:tcW w:w="2260" w:type="dxa"/>
            <w:vAlign w:val="bottom"/>
            <w:tcBorders>
              <w:bottom w:val="single" w:sz="8" w:color="BCBEC0"/>
            </w:tcBorders>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14,776</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6,917,237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32,505</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15,216,891</w:t>
            </w:r>
          </w:p>
        </w:tc>
      </w:tr>
      <w:tr>
        <w:trPr>
          <w:trHeight w:val="213"/>
        </w:trPr>
        <w:tc>
          <w:tcPr>
            <w:tcW w:w="226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2,286</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1,070,168</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4,960</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2,321,974</w:t>
            </w:r>
          </w:p>
        </w:tc>
      </w:tr>
      <w:tr>
        <w:trPr>
          <w:trHeight w:val="207"/>
        </w:trPr>
        <w:tc>
          <w:tcPr>
            <w:tcW w:w="2260" w:type="dxa"/>
            <w:vAlign w:val="bottom"/>
          </w:tcPr>
          <w:p>
            <w:pPr>
              <w:spacing w:after="0"/>
              <w:rPr>
                <w:sz w:val="17"/>
                <w:szCs w:val="17"/>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2,621</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1,226,995</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5,741</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2,687,592</w:t>
            </w:r>
          </w:p>
        </w:tc>
      </w:tr>
      <w:tr>
        <w:trPr>
          <w:trHeight w:val="209"/>
        </w:trPr>
        <w:tc>
          <w:tcPr>
            <w:tcW w:w="2260" w:type="dxa"/>
            <w:vAlign w:val="bottom"/>
            <w:tcBorders>
              <w:bottom w:val="single" w:sz="8" w:color="BCBEC0"/>
            </w:tcBorders>
          </w:tcPr>
          <w:p>
            <w:pPr>
              <w:spacing w:after="0"/>
              <w:rPr>
                <w:sz w:val="18"/>
                <w:szCs w:val="18"/>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2,152</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1,007,437</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4,669</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2,185,746</w:t>
            </w:r>
          </w:p>
        </w:tc>
      </w:tr>
      <w:tr>
        <w:trPr>
          <w:trHeight w:val="206"/>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2,457</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1,150,220</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5,381</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2,519,061</w:t>
            </w:r>
          </w:p>
        </w:tc>
      </w:tr>
      <w:tr>
        <w:trPr>
          <w:trHeight w:val="209"/>
        </w:trPr>
        <w:tc>
          <w:tcPr>
            <w:tcW w:w="2260" w:type="dxa"/>
            <w:vAlign w:val="bottom"/>
            <w:tcBorders>
              <w:bottom w:val="single" w:sz="8" w:color="BCBEC0"/>
            </w:tcBorders>
            <w:shd w:val="clear" w:color="auto" w:fill="DFDEEE"/>
          </w:tcPr>
          <w:p>
            <w:pPr>
              <w:spacing w:after="0"/>
              <w:rPr>
                <w:sz w:val="18"/>
                <w:szCs w:val="18"/>
                <w:color w:val="auto"/>
              </w:rPr>
            </w:pP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Pr>
          <w:p>
            <w:pPr>
              <w:ind w:left="20"/>
              <w:spacing w:after="0"/>
              <w:rPr>
                <w:sz w:val="20"/>
                <w:szCs w:val="20"/>
                <w:color w:val="auto"/>
              </w:rPr>
            </w:pPr>
            <w:r>
              <w:rPr>
                <w:rFonts w:ascii="Arial" w:cs="Arial" w:eastAsia="Arial" w:hAnsi="Arial"/>
                <w:sz w:val="14"/>
                <w:szCs w:val="14"/>
                <w:b w:val="1"/>
                <w:bCs w:val="1"/>
                <w:color w:val="29378D"/>
              </w:rPr>
              <w:t>Thomas H. Jones</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1,007,437</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4,669</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2,185,746</w:t>
            </w:r>
          </w:p>
        </w:tc>
      </w:tr>
      <w:tr>
        <w:trPr>
          <w:trHeight w:val="207"/>
        </w:trPr>
        <w:tc>
          <w:tcPr>
            <w:tcW w:w="2260" w:type="dxa"/>
            <w:vAlign w:val="bottom"/>
          </w:tcPr>
          <w:p>
            <w:pPr>
              <w:spacing w:after="0"/>
              <w:rPr>
                <w:sz w:val="17"/>
                <w:szCs w:val="17"/>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2,457</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1,150,220</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5,381</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2,519,061</w:t>
            </w:r>
          </w:p>
        </w:tc>
      </w:tr>
      <w:tr>
        <w:trPr>
          <w:trHeight w:val="210"/>
        </w:trPr>
        <w:tc>
          <w:tcPr>
            <w:tcW w:w="2260" w:type="dxa"/>
            <w:vAlign w:val="bottom"/>
            <w:tcBorders>
              <w:bottom w:val="single" w:sz="8" w:color="BCBEC0"/>
            </w:tcBorders>
          </w:tcPr>
          <w:p>
            <w:pPr>
              <w:spacing w:after="0"/>
              <w:rPr>
                <w:sz w:val="18"/>
                <w:szCs w:val="18"/>
                <w:color w:val="auto"/>
              </w:rPr>
            </w:pPr>
          </w:p>
        </w:tc>
        <w:tc>
          <w:tcPr>
            <w:tcW w:w="1280" w:type="dxa"/>
            <w:vAlign w:val="bottom"/>
            <w:tcBorders>
              <w:bottom w:val="single" w:sz="8" w:color="D1D3D4"/>
            </w:tcBorders>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D1D3D4"/>
            </w:tcBorders>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D1D3D4"/>
            </w:tcBorders>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D1D3D4"/>
            </w:tcBorders>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D1D3D4"/>
            </w:tcBorders>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Roshan S. Roeder</w:t>
            </w: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12/5/2023</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328</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153,550</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w:t>
            </w:r>
          </w:p>
        </w:tc>
      </w:tr>
      <w:tr>
        <w:trPr>
          <w:trHeight w:val="206"/>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2,017</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944,238</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4,376</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2,048,581</w:t>
            </w:r>
          </w:p>
        </w:tc>
      </w:tr>
      <w:tr>
        <w:trPr>
          <w:trHeight w:val="210"/>
        </w:trPr>
        <w:tc>
          <w:tcPr>
            <w:tcW w:w="2260" w:type="dxa"/>
            <w:vAlign w:val="bottom"/>
            <w:tcBorders>
              <w:bottom w:val="single" w:sz="8" w:color="DFDEEE"/>
            </w:tcBorders>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292</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136,697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640</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299,610</w:t>
            </w:r>
          </w:p>
        </w:tc>
      </w:tr>
      <w:tr>
        <w:trPr>
          <w:trHeight w:val="209"/>
        </w:trPr>
        <w:tc>
          <w:tcPr>
            <w:tcW w:w="2260" w:type="dxa"/>
            <w:vAlign w:val="bottom"/>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335</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156,827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738</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345,487</w:t>
            </w:r>
          </w:p>
        </w:tc>
      </w:tr>
    </w:tbl>
    <w:p>
      <w:pPr>
        <w:spacing w:after="0" w:line="153" w:lineRule="exact"/>
        <w:rPr>
          <w:sz w:val="20"/>
          <w:szCs w:val="20"/>
          <w:color w:val="auto"/>
        </w:rPr>
      </w:pPr>
    </w:p>
    <w:p>
      <w:pPr>
        <w:ind w:left="260" w:hanging="252"/>
        <w:spacing w:after="0"/>
        <w:tabs>
          <w:tab w:leader="none" w:pos="2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Outstanding RSRs generally vest three years from date of grant.</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value listed is based on the closing price of the Company’s stock of $468.14 on December 29, 2023, the last trading day of the year.</w:t>
      </w:r>
    </w:p>
    <w:p>
      <w:pPr>
        <w:spacing w:after="0" w:line="82" w:lineRule="exact"/>
        <w:rPr>
          <w:rFonts w:ascii="Arial" w:cs="Arial" w:eastAsia="Arial" w:hAnsi="Arial"/>
          <w:sz w:val="14"/>
          <w:szCs w:val="14"/>
          <w:color w:val="auto"/>
        </w:rPr>
      </w:pPr>
    </w:p>
    <w:p>
      <w:pPr>
        <w:ind w:left="260" w:right="180" w:hanging="252"/>
        <w:spacing w:after="0" w:line="269" w:lineRule="auto"/>
        <w:tabs>
          <w:tab w:leader="none" w:pos="25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Outstanding RPSRs granted in 2023, 2022 and 2021 vest based on performance for the three-year performance period ending on December 31, 2025, 2024 and 2023, respectively. All RPSR grants are subject to the Compensation and Human Capital Committee’s approval of the performance-based earn-out percentage applicable to the grant following the end of the performance period. Amounts presented assume target level performance. The 2021 RPSRs were distributed in February 2024 upon the Compensation and Human Capital Committee’s approval. The actual number of shares distributed to the NEOs in February 2024 as a result of the vesting was as follows:</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4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5880" w:type="dxa"/>
            <w:vAlign w:val="bottom"/>
          </w:tcPr>
          <w:p>
            <w:pPr>
              <w:jc w:val="right"/>
              <w:spacing w:after="0"/>
              <w:rPr>
                <w:sz w:val="20"/>
                <w:szCs w:val="20"/>
                <w:color w:val="auto"/>
              </w:rPr>
            </w:pPr>
            <w:r>
              <w:rPr>
                <w:rFonts w:ascii="Arial" w:cs="Arial" w:eastAsia="Arial" w:hAnsi="Arial"/>
                <w:sz w:val="13"/>
                <w:szCs w:val="13"/>
                <w:b w:val="1"/>
                <w:bCs w:val="1"/>
                <w:color w:val="auto"/>
              </w:rPr>
              <w:t>Actual Shares Distributed (#)</w:t>
            </w: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5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960" w:type="dxa"/>
            <w:vAlign w:val="bottom"/>
            <w:tcBorders>
              <w:bottom w:val="single" w:sz="8" w:color="29378D"/>
            </w:tcBorders>
          </w:tcPr>
          <w:p>
            <w:pPr>
              <w:spacing w:after="0" w:line="20" w:lineRule="exact"/>
              <w:rPr>
                <w:sz w:val="1"/>
                <w:szCs w:val="1"/>
                <w:color w:val="auto"/>
              </w:rPr>
            </w:pPr>
          </w:p>
        </w:tc>
        <w:tc>
          <w:tcPr>
            <w:tcW w:w="58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45,832</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Caylor</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14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Stock Vested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19"/>
                <w:szCs w:val="19"/>
                <w:color w:val="auto"/>
              </w:rPr>
            </w:pPr>
          </w:p>
        </w:tc>
        <w:tc>
          <w:tcPr>
            <w:tcW w:w="4160" w:type="dxa"/>
            <w:vAlign w:val="bottom"/>
          </w:tcPr>
          <w:p>
            <w:pPr>
              <w:jc w:val="right"/>
              <w:ind w:right="446"/>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6"/>
                <w:szCs w:val="16"/>
                <w:b w:val="1"/>
                <w:bCs w:val="1"/>
                <w:color w:val="auto"/>
                <w:vertAlign w:val="superscript"/>
              </w:rPr>
              <w:t>(1)(2)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020" w:type="dxa"/>
            <w:vAlign w:val="bottom"/>
          </w:tcPr>
          <w:p>
            <w:pPr>
              <w:spacing w:after="0"/>
              <w:rPr>
                <w:sz w:val="6"/>
                <w:szCs w:val="6"/>
                <w:color w:val="auto"/>
              </w:rPr>
            </w:pPr>
          </w:p>
        </w:tc>
        <w:tc>
          <w:tcPr>
            <w:tcW w:w="4160" w:type="dxa"/>
            <w:vAlign w:val="bottom"/>
            <w:tcBorders>
              <w:bottom w:val="single" w:sz="8" w:color="29378D"/>
            </w:tcBorders>
          </w:tcPr>
          <w:p>
            <w:pPr>
              <w:spacing w:after="0"/>
              <w:rPr>
                <w:sz w:val="6"/>
                <w:szCs w:val="6"/>
                <w:color w:val="auto"/>
              </w:rPr>
            </w:pPr>
          </w:p>
        </w:tc>
        <w:tc>
          <w:tcPr>
            <w:tcW w:w="2060" w:type="dxa"/>
            <w:vAlign w:val="bottom"/>
            <w:tcBorders>
              <w:bottom w:val="single" w:sz="8" w:color="29378D"/>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4160" w:type="dxa"/>
            <w:vAlign w:val="bottom"/>
          </w:tcPr>
          <w:p>
            <w:pPr>
              <w:jc w:val="right"/>
              <w:ind w:right="426"/>
              <w:spacing w:after="0"/>
              <w:rPr>
                <w:sz w:val="20"/>
                <w:szCs w:val="20"/>
                <w:color w:val="auto"/>
              </w:rPr>
            </w:pPr>
            <w:r>
              <w:rPr>
                <w:rFonts w:ascii="Arial" w:cs="Arial" w:eastAsia="Arial" w:hAnsi="Arial"/>
                <w:sz w:val="13"/>
                <w:szCs w:val="13"/>
                <w:b w:val="1"/>
                <w:bCs w:val="1"/>
                <w:color w:val="auto"/>
              </w:rPr>
              <w:t>Number of Shares Acquired on Vesting</w:t>
            </w: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Value Realized on Vesting</w:t>
            </w:r>
          </w:p>
        </w:tc>
        <w:tc>
          <w:tcPr>
            <w:tcW w:w="0" w:type="dxa"/>
            <w:vAlign w:val="bottom"/>
          </w:tcPr>
          <w:p>
            <w:pPr>
              <w:spacing w:after="0"/>
              <w:rPr>
                <w:sz w:val="1"/>
                <w:szCs w:val="1"/>
                <w:color w:val="auto"/>
              </w:rPr>
            </w:pPr>
          </w:p>
        </w:tc>
      </w:tr>
      <w:tr>
        <w:trPr>
          <w:trHeight w:val="176"/>
        </w:trPr>
        <w:tc>
          <w:tcPr>
            <w:tcW w:w="5020" w:type="dxa"/>
            <w:vAlign w:val="bottom"/>
            <w:tcBorders>
              <w:bottom w:val="single" w:sz="8" w:color="29378D"/>
            </w:tcBorders>
            <w:vMerge w:val="continue"/>
          </w:tcPr>
          <w:p>
            <w:pPr>
              <w:spacing w:after="0"/>
              <w:rPr>
                <w:sz w:val="15"/>
                <w:szCs w:val="15"/>
                <w:color w:val="auto"/>
              </w:rPr>
            </w:pPr>
          </w:p>
        </w:tc>
        <w:tc>
          <w:tcPr>
            <w:tcW w:w="4160" w:type="dxa"/>
            <w:vAlign w:val="bottom"/>
            <w:tcBorders>
              <w:bottom w:val="single" w:sz="8" w:color="29378D"/>
            </w:tcBorders>
          </w:tcPr>
          <w:p>
            <w:pPr>
              <w:jc w:val="right"/>
              <w:ind w:right="42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6"/>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Kathy J. Warden</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47,953</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22,302,651</w:t>
            </w:r>
          </w:p>
        </w:tc>
        <w:tc>
          <w:tcPr>
            <w:tcW w:w="0" w:type="dxa"/>
            <w:vAlign w:val="bottom"/>
          </w:tcPr>
          <w:p>
            <w:pPr>
              <w:spacing w:after="0"/>
              <w:rPr>
                <w:sz w:val="1"/>
                <w:szCs w:val="1"/>
                <w:color w:val="auto"/>
              </w:rPr>
            </w:pPr>
          </w:p>
        </w:tc>
      </w:tr>
      <w:tr>
        <w:trPr>
          <w:trHeight w:val="216"/>
        </w:trPr>
        <w:tc>
          <w:tcPr>
            <w:tcW w:w="502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4160" w:type="dxa"/>
            <w:vAlign w:val="bottom"/>
            <w:tcBorders>
              <w:top w:val="single" w:sz="8" w:color="BCBEC0"/>
            </w:tcBorders>
          </w:tcPr>
          <w:p>
            <w:pPr>
              <w:jc w:val="right"/>
              <w:ind w:right="486"/>
              <w:spacing w:after="0"/>
              <w:rPr>
                <w:sz w:val="20"/>
                <w:szCs w:val="20"/>
                <w:color w:val="auto"/>
              </w:rPr>
            </w:pPr>
            <w:r>
              <w:rPr>
                <w:rFonts w:ascii="Arial" w:cs="Arial" w:eastAsia="Arial" w:hAnsi="Arial"/>
                <w:sz w:val="16"/>
                <w:szCs w:val="16"/>
                <w:color w:val="auto"/>
              </w:rPr>
              <w:t>15,664</w:t>
            </w:r>
          </w:p>
        </w:tc>
        <w:tc>
          <w:tcPr>
            <w:tcW w:w="206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7,217,710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BCBEC0"/>
            </w:tcBorders>
          </w:tcPr>
          <w:p>
            <w:pPr>
              <w:spacing w:after="0" w:line="20" w:lineRule="exact"/>
              <w:rPr>
                <w:sz w:val="1"/>
                <w:szCs w:val="1"/>
                <w:color w:val="auto"/>
              </w:rPr>
            </w:pPr>
          </w:p>
        </w:tc>
        <w:tc>
          <w:tcPr>
            <w:tcW w:w="4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Mark A. Caylor</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10,657</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4,956,582</w:t>
            </w:r>
          </w:p>
        </w:tc>
        <w:tc>
          <w:tcPr>
            <w:tcW w:w="0" w:type="dxa"/>
            <w:vAlign w:val="bottom"/>
          </w:tcPr>
          <w:p>
            <w:pPr>
              <w:spacing w:after="0"/>
              <w:rPr>
                <w:sz w:val="1"/>
                <w:szCs w:val="1"/>
                <w:color w:val="auto"/>
              </w:rPr>
            </w:pPr>
          </w:p>
        </w:tc>
      </w:tr>
      <w:tr>
        <w:trPr>
          <w:trHeight w:val="216"/>
        </w:trPr>
        <w:tc>
          <w:tcPr>
            <w:tcW w:w="502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4160" w:type="dxa"/>
            <w:vAlign w:val="bottom"/>
            <w:tcBorders>
              <w:top w:val="single" w:sz="8" w:color="BCBEC0"/>
            </w:tcBorders>
          </w:tcPr>
          <w:p>
            <w:pPr>
              <w:jc w:val="right"/>
              <w:ind w:right="486"/>
              <w:spacing w:after="0"/>
              <w:rPr>
                <w:sz w:val="20"/>
                <w:szCs w:val="20"/>
                <w:color w:val="auto"/>
              </w:rPr>
            </w:pPr>
            <w:r>
              <w:rPr>
                <w:rFonts w:ascii="Arial" w:cs="Arial" w:eastAsia="Arial" w:hAnsi="Arial"/>
                <w:sz w:val="16"/>
                <w:szCs w:val="16"/>
                <w:color w:val="auto"/>
              </w:rPr>
              <w:t>1,683</w:t>
            </w:r>
          </w:p>
        </w:tc>
        <w:tc>
          <w:tcPr>
            <w:tcW w:w="206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782,819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BCBEC0"/>
            </w:tcBorders>
          </w:tcPr>
          <w:p>
            <w:pPr>
              <w:spacing w:after="0" w:line="20" w:lineRule="exact"/>
              <w:rPr>
                <w:sz w:val="1"/>
                <w:szCs w:val="1"/>
                <w:color w:val="auto"/>
              </w:rPr>
            </w:pPr>
          </w:p>
        </w:tc>
        <w:tc>
          <w:tcPr>
            <w:tcW w:w="4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962</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447,364</w:t>
            </w:r>
          </w:p>
        </w:tc>
        <w:tc>
          <w:tcPr>
            <w:tcW w:w="0" w:type="dxa"/>
            <w:vAlign w:val="bottom"/>
          </w:tcPr>
          <w:p>
            <w:pPr>
              <w:spacing w:after="0"/>
              <w:rPr>
                <w:sz w:val="1"/>
                <w:szCs w:val="1"/>
                <w:color w:val="auto"/>
              </w:rPr>
            </w:pPr>
          </w:p>
        </w:tc>
      </w:tr>
      <w:tr>
        <w:trPr>
          <w:trHeight w:val="20"/>
        </w:trPr>
        <w:tc>
          <w:tcPr>
            <w:tcW w:w="5020" w:type="dxa"/>
            <w:vAlign w:val="bottom"/>
            <w:shd w:val="clear" w:color="auto" w:fill="BCBEC0"/>
          </w:tcPr>
          <w:p>
            <w:pPr>
              <w:spacing w:after="0" w:line="20" w:lineRule="exact"/>
              <w:rPr>
                <w:sz w:val="1"/>
                <w:szCs w:val="1"/>
                <w:color w:val="auto"/>
              </w:rPr>
            </w:pPr>
          </w:p>
        </w:tc>
        <w:tc>
          <w:tcPr>
            <w:tcW w:w="4160" w:type="dxa"/>
            <w:vAlign w:val="bottom"/>
            <w:shd w:val="clear" w:color="auto" w:fill="BCBEC0"/>
          </w:tcPr>
          <w:p>
            <w:pPr>
              <w:spacing w:after="0" w:line="20" w:lineRule="exact"/>
              <w:rPr>
                <w:sz w:val="1"/>
                <w:szCs w:val="1"/>
                <w:color w:val="auto"/>
              </w:rPr>
            </w:pPr>
          </w:p>
        </w:tc>
        <w:tc>
          <w:tcPr>
            <w:tcW w:w="2060" w:type="dxa"/>
            <w:vAlign w:val="bottom"/>
            <w:shd w:val="clear" w:color="auto" w:fill="BCBE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number of shares and the amounts reflected in the table are reported on an aggregate basis and do not reflect shares sold or withheld to pay withholding taxes.</w:t>
      </w:r>
    </w:p>
    <w:p>
      <w:pPr>
        <w:spacing w:after="0" w:line="82" w:lineRule="exact"/>
        <w:rPr>
          <w:rFonts w:ascii="Arial" w:cs="Arial" w:eastAsia="Arial" w:hAnsi="Arial"/>
          <w:sz w:val="14"/>
          <w:szCs w:val="14"/>
          <w:color w:val="auto"/>
        </w:rPr>
      </w:pPr>
    </w:p>
    <w:p>
      <w:pPr>
        <w:ind w:left="260" w:right="100" w:hanging="252"/>
        <w:spacing w:after="0" w:line="283" w:lineRule="auto"/>
        <w:tabs>
          <w:tab w:leader="none" w:pos="25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Consists of RPSRs and RSRs granted in 2020. The 2020 RPSRs vested based on the three-year performance period which ended on December 31, 2022 and were distributed in February 2023. The 2020 RSRs vested three years from the date of grant and were distributed in February 2023, except for Mr. Keffer's 2020 new hire RSRs, which were distributed in May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Pension Benefits</w:t>
      </w:r>
    </w:p>
    <w:p>
      <w:pPr>
        <w:spacing w:after="0" w:line="14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 provides information about the pension plans in which the NEOs participate (described in more detail on the following pages), including the present value of each NEO’s accumulated benefits as of December 31, 2023, calculated pursuant to SEC specifications for this table. Our policy generally limits an executive’s total benefit under these plans to be no more than 60% of final average pay.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20" w:type="dxa"/>
            <w:vAlign w:val="bottom"/>
          </w:tcPr>
          <w:p>
            <w:pPr>
              <w:jc w:val="right"/>
              <w:ind w:right="326"/>
              <w:spacing w:after="0"/>
              <w:rPr>
                <w:sz w:val="20"/>
                <w:szCs w:val="20"/>
                <w:color w:val="auto"/>
              </w:rPr>
            </w:pPr>
            <w:r>
              <w:rPr>
                <w:rFonts w:ascii="Arial" w:cs="Arial" w:eastAsia="Arial" w:hAnsi="Arial"/>
                <w:sz w:val="13"/>
                <w:szCs w:val="13"/>
                <w:b w:val="1"/>
                <w:bCs w:val="1"/>
                <w:color w:val="auto"/>
              </w:rPr>
              <w:t>Present Value of</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740" w:type="dxa"/>
            <w:vAlign w:val="bottom"/>
          </w:tcPr>
          <w:p>
            <w:pPr>
              <w:jc w:val="right"/>
              <w:ind w:right="365"/>
              <w:spacing w:after="0" w:line="135" w:lineRule="exact"/>
              <w:rPr>
                <w:sz w:val="20"/>
                <w:szCs w:val="20"/>
                <w:color w:val="auto"/>
              </w:rPr>
            </w:pPr>
            <w:r>
              <w:rPr>
                <w:rFonts w:ascii="Arial" w:cs="Arial" w:eastAsia="Arial" w:hAnsi="Arial"/>
                <w:sz w:val="13"/>
                <w:szCs w:val="13"/>
                <w:b w:val="1"/>
                <w:bCs w:val="1"/>
                <w:color w:val="auto"/>
              </w:rPr>
              <w:t>Number of Years</w:t>
            </w:r>
          </w:p>
        </w:tc>
        <w:tc>
          <w:tcPr>
            <w:tcW w:w="1820" w:type="dxa"/>
            <w:vAlign w:val="bottom"/>
          </w:tcPr>
          <w:p>
            <w:pPr>
              <w:jc w:val="right"/>
              <w:ind w:right="326"/>
              <w:spacing w:after="0" w:line="135" w:lineRule="exact"/>
              <w:rPr>
                <w:sz w:val="20"/>
                <w:szCs w:val="20"/>
                <w:color w:val="auto"/>
              </w:rPr>
            </w:pPr>
            <w:r>
              <w:rPr>
                <w:rFonts w:ascii="Arial" w:cs="Arial" w:eastAsia="Arial" w:hAnsi="Arial"/>
                <w:sz w:val="13"/>
                <w:szCs w:val="13"/>
                <w:b w:val="1"/>
                <w:bCs w:val="1"/>
                <w:color w:val="auto"/>
              </w:rPr>
              <w:t>Accumulated</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During Last</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6"/>
                <w:szCs w:val="16"/>
                <w:b w:val="1"/>
                <w:bCs w:val="1"/>
                <w:color w:val="auto"/>
                <w:vertAlign w:val="superscript"/>
              </w:rPr>
              <w:t>(1)</w:t>
            </w:r>
          </w:p>
        </w:tc>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Name</w:t>
            </w:r>
          </w:p>
        </w:tc>
        <w:tc>
          <w:tcPr>
            <w:tcW w:w="2740" w:type="dxa"/>
            <w:vAlign w:val="bottom"/>
          </w:tcPr>
          <w:p>
            <w:pPr>
              <w:jc w:val="right"/>
              <w:ind w:right="365"/>
              <w:spacing w:after="0" w:line="148" w:lineRule="exact"/>
              <w:rPr>
                <w:sz w:val="20"/>
                <w:szCs w:val="20"/>
                <w:color w:val="auto"/>
              </w:rPr>
            </w:pPr>
            <w:r>
              <w:rPr>
                <w:rFonts w:ascii="Arial" w:cs="Arial" w:eastAsia="Arial" w:hAnsi="Arial"/>
                <w:sz w:val="13"/>
                <w:szCs w:val="13"/>
                <w:b w:val="1"/>
                <w:bCs w:val="1"/>
                <w:color w:val="auto"/>
              </w:rPr>
              <w:t>Credited Service</w:t>
            </w:r>
            <w:r>
              <w:rPr>
                <w:rFonts w:ascii="Arial" w:cs="Arial" w:eastAsia="Arial" w:hAnsi="Arial"/>
                <w:sz w:val="16"/>
                <w:szCs w:val="16"/>
                <w:b w:val="1"/>
                <w:bCs w:val="1"/>
                <w:color w:val="auto"/>
                <w:vertAlign w:val="superscript"/>
              </w:rPr>
              <w:t>(2)</w:t>
            </w:r>
          </w:p>
        </w:tc>
        <w:tc>
          <w:tcPr>
            <w:tcW w:w="1820" w:type="dxa"/>
            <w:vAlign w:val="bottom"/>
          </w:tcPr>
          <w:p>
            <w:pPr>
              <w:jc w:val="right"/>
              <w:ind w:right="326"/>
              <w:spacing w:after="0" w:line="148" w:lineRule="exact"/>
              <w:rPr>
                <w:sz w:val="20"/>
                <w:szCs w:val="20"/>
                <w:color w:val="auto"/>
              </w:rPr>
            </w:pPr>
            <w:r>
              <w:rPr>
                <w:rFonts w:ascii="Arial" w:cs="Arial" w:eastAsia="Arial" w:hAnsi="Arial"/>
                <w:sz w:val="13"/>
                <w:szCs w:val="13"/>
                <w:b w:val="1"/>
                <w:bCs w:val="1"/>
                <w:color w:val="auto"/>
              </w:rPr>
              <w:t>Benefit</w:t>
            </w:r>
            <w:r>
              <w:rPr>
                <w:rFonts w:ascii="Arial" w:cs="Arial" w:eastAsia="Arial" w:hAnsi="Arial"/>
                <w:sz w:val="16"/>
                <w:szCs w:val="16"/>
                <w:b w:val="1"/>
                <w:bCs w:val="1"/>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29378D"/>
            </w:tcBorders>
            <w:vMerge w:val="continue"/>
          </w:tcPr>
          <w:p>
            <w:pPr>
              <w:spacing w:after="0"/>
              <w:rPr>
                <w:sz w:val="16"/>
                <w:szCs w:val="16"/>
                <w:color w:val="auto"/>
              </w:rPr>
            </w:pPr>
          </w:p>
        </w:tc>
        <w:tc>
          <w:tcPr>
            <w:tcW w:w="2900" w:type="dxa"/>
            <w:vAlign w:val="bottom"/>
            <w:tcBorders>
              <w:bottom w:val="single" w:sz="8" w:color="29378D"/>
            </w:tcBorders>
            <w:vMerge w:val="continue"/>
          </w:tcPr>
          <w:p>
            <w:pPr>
              <w:spacing w:after="0"/>
              <w:rPr>
                <w:sz w:val="16"/>
                <w:szCs w:val="16"/>
                <w:color w:val="auto"/>
              </w:rPr>
            </w:pPr>
          </w:p>
        </w:tc>
        <w:tc>
          <w:tcPr>
            <w:tcW w:w="2740" w:type="dxa"/>
            <w:vAlign w:val="bottom"/>
            <w:tcBorders>
              <w:bottom w:val="single" w:sz="8" w:color="29378D"/>
            </w:tcBorders>
          </w:tcPr>
          <w:p>
            <w:pPr>
              <w:jc w:val="right"/>
              <w:ind w:right="365"/>
              <w:spacing w:after="0"/>
              <w:rPr>
                <w:sz w:val="20"/>
                <w:szCs w:val="20"/>
                <w:color w:val="auto"/>
              </w:rPr>
            </w:pPr>
            <w:r>
              <w:rPr>
                <w:rFonts w:ascii="Arial" w:cs="Arial" w:eastAsia="Arial" w:hAnsi="Arial"/>
                <w:sz w:val="13"/>
                <w:szCs w:val="13"/>
                <w:b w:val="1"/>
                <w:bCs w:val="1"/>
                <w:color w:val="auto"/>
              </w:rPr>
              <w:t>(#)</w:t>
            </w:r>
          </w:p>
        </w:tc>
        <w:tc>
          <w:tcPr>
            <w:tcW w:w="1820" w:type="dxa"/>
            <w:vAlign w:val="bottom"/>
            <w:tcBorders>
              <w:bottom w:val="single" w:sz="8" w:color="29378D"/>
            </w:tcBorders>
          </w:tcPr>
          <w:p>
            <w:pPr>
              <w:jc w:val="right"/>
              <w:ind w:right="32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Kathy J. Warden</w:t>
            </w:r>
          </w:p>
        </w:tc>
        <w:tc>
          <w:tcPr>
            <w:tcW w:w="290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OSERP II</w:t>
            </w:r>
          </w:p>
        </w:tc>
        <w:tc>
          <w:tcPr>
            <w:tcW w:w="2740" w:type="dxa"/>
            <w:vAlign w:val="bottom"/>
            <w:tcBorders>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15.3</w:t>
            </w:r>
          </w:p>
        </w:tc>
        <w:tc>
          <w:tcPr>
            <w:tcW w:w="1820" w:type="dxa"/>
            <w:vAlign w:val="bottom"/>
            <w:tcBorders>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3,756,405</w:t>
            </w:r>
          </w:p>
        </w:tc>
        <w:tc>
          <w:tcPr>
            <w:tcW w:w="1120" w:type="dxa"/>
            <w:vAlign w:val="bottom"/>
            <w:tcBorders>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6"/>
                <w:szCs w:val="16"/>
                <w:b w:val="1"/>
                <w:bCs w:val="1"/>
                <w:color w:val="29378D"/>
              </w:rPr>
              <w:t>Mark A. Caylor</w:t>
            </w:r>
          </w:p>
        </w:tc>
        <w:tc>
          <w:tcPr>
            <w:tcW w:w="2900" w:type="dxa"/>
            <w:vAlign w:val="bottom"/>
            <w:tcBorders>
              <w:top w:val="single" w:sz="8" w:color="BCBEC0"/>
            </w:tcBorders>
          </w:tcPr>
          <w:p>
            <w:pPr>
              <w:ind w:left="20"/>
              <w:spacing w:after="0"/>
              <w:rPr>
                <w:sz w:val="20"/>
                <w:szCs w:val="20"/>
                <w:color w:val="auto"/>
              </w:rPr>
            </w:pPr>
            <w:r>
              <w:rPr>
                <w:rFonts w:ascii="Arial" w:cs="Arial" w:eastAsia="Arial" w:hAnsi="Arial"/>
                <w:sz w:val="16"/>
                <w:szCs w:val="16"/>
                <w:color w:val="auto"/>
              </w:rPr>
              <w:t>S&amp;MS Pension Plan</w:t>
            </w:r>
          </w:p>
        </w:tc>
        <w:tc>
          <w:tcPr>
            <w:tcW w:w="2740" w:type="dxa"/>
            <w:vAlign w:val="bottom"/>
            <w:tcBorders>
              <w:top w:val="single" w:sz="8" w:color="BCBEC0"/>
            </w:tcBorders>
          </w:tcPr>
          <w:p>
            <w:pPr>
              <w:jc w:val="right"/>
              <w:ind w:right="425"/>
              <w:spacing w:after="0"/>
              <w:rPr>
                <w:sz w:val="20"/>
                <w:szCs w:val="20"/>
                <w:color w:val="auto"/>
              </w:rPr>
            </w:pPr>
            <w:r>
              <w:rPr>
                <w:rFonts w:ascii="Arial" w:cs="Arial" w:eastAsia="Arial" w:hAnsi="Arial"/>
                <w:sz w:val="16"/>
                <w:szCs w:val="16"/>
                <w:color w:val="auto"/>
              </w:rPr>
              <w:t>21.5</w:t>
            </w:r>
          </w:p>
        </w:tc>
        <w:tc>
          <w:tcPr>
            <w:tcW w:w="1820" w:type="dxa"/>
            <w:vAlign w:val="bottom"/>
            <w:tcBorders>
              <w:top w:val="single" w:sz="8" w:color="BCBEC0"/>
            </w:tcBorders>
          </w:tcPr>
          <w:p>
            <w:pPr>
              <w:jc w:val="right"/>
              <w:ind w:right="386"/>
              <w:spacing w:after="0"/>
              <w:rPr>
                <w:sz w:val="20"/>
                <w:szCs w:val="20"/>
                <w:color w:val="auto"/>
              </w:rPr>
            </w:pPr>
            <w:r>
              <w:rPr>
                <w:rFonts w:ascii="Arial" w:cs="Arial" w:eastAsia="Arial" w:hAnsi="Arial"/>
                <w:sz w:val="16"/>
                <w:szCs w:val="16"/>
                <w:color w:val="auto"/>
              </w:rPr>
              <w:t>806,359</w:t>
            </w:r>
          </w:p>
        </w:tc>
        <w:tc>
          <w:tcPr>
            <w:tcW w:w="1120" w:type="dxa"/>
            <w:vAlign w:val="bottom"/>
            <w:tcBorders>
              <w:top w:val="single" w:sz="8" w:color="BCBEC0"/>
            </w:tcBorders>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SRIP</w:t>
            </w:r>
          </w:p>
        </w:tc>
        <w:tc>
          <w:tcPr>
            <w:tcW w:w="2740" w:type="dxa"/>
            <w:vAlign w:val="bottom"/>
          </w:tcPr>
          <w:p>
            <w:pPr>
              <w:jc w:val="right"/>
              <w:ind w:right="425"/>
              <w:spacing w:after="0"/>
              <w:rPr>
                <w:sz w:val="20"/>
                <w:szCs w:val="20"/>
                <w:color w:val="auto"/>
              </w:rPr>
            </w:pPr>
            <w:r>
              <w:rPr>
                <w:rFonts w:ascii="Arial" w:cs="Arial" w:eastAsia="Arial" w:hAnsi="Arial"/>
                <w:sz w:val="16"/>
                <w:szCs w:val="16"/>
                <w:color w:val="auto"/>
              </w:rPr>
              <w:t>21.5</w:t>
            </w:r>
          </w:p>
        </w:tc>
        <w:tc>
          <w:tcPr>
            <w:tcW w:w="1820" w:type="dxa"/>
            <w:vAlign w:val="bottom"/>
          </w:tcPr>
          <w:p>
            <w:pPr>
              <w:jc w:val="right"/>
              <w:ind w:right="386"/>
              <w:spacing w:after="0"/>
              <w:rPr>
                <w:sz w:val="20"/>
                <w:szCs w:val="20"/>
                <w:color w:val="auto"/>
              </w:rPr>
            </w:pPr>
            <w:r>
              <w:rPr>
                <w:rFonts w:ascii="Arial" w:cs="Arial" w:eastAsia="Arial" w:hAnsi="Arial"/>
                <w:sz w:val="16"/>
                <w:szCs w:val="16"/>
                <w:color w:val="auto"/>
              </w:rPr>
              <w:t>2,307,563</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OSERP</w:t>
            </w:r>
          </w:p>
        </w:tc>
        <w:tc>
          <w:tcPr>
            <w:tcW w:w="2740" w:type="dxa"/>
            <w:vAlign w:val="bottom"/>
          </w:tcPr>
          <w:p>
            <w:pPr>
              <w:jc w:val="right"/>
              <w:ind w:right="425"/>
              <w:spacing w:after="0"/>
              <w:rPr>
                <w:sz w:val="20"/>
                <w:szCs w:val="20"/>
                <w:color w:val="auto"/>
              </w:rPr>
            </w:pPr>
            <w:r>
              <w:rPr>
                <w:rFonts w:ascii="Arial" w:cs="Arial" w:eastAsia="Arial" w:hAnsi="Arial"/>
                <w:sz w:val="16"/>
                <w:szCs w:val="16"/>
                <w:color w:val="auto"/>
              </w:rPr>
              <w:t>12.5</w:t>
            </w:r>
          </w:p>
        </w:tc>
        <w:tc>
          <w:tcPr>
            <w:tcW w:w="1820" w:type="dxa"/>
            <w:vAlign w:val="bottom"/>
          </w:tcPr>
          <w:p>
            <w:pPr>
              <w:jc w:val="right"/>
              <w:ind w:right="386"/>
              <w:spacing w:after="0"/>
              <w:rPr>
                <w:sz w:val="20"/>
                <w:szCs w:val="20"/>
                <w:color w:val="auto"/>
              </w:rPr>
            </w:pPr>
            <w:r>
              <w:rPr>
                <w:rFonts w:ascii="Arial" w:cs="Arial" w:eastAsia="Arial" w:hAnsi="Arial"/>
                <w:sz w:val="16"/>
                <w:szCs w:val="16"/>
                <w:color w:val="auto"/>
              </w:rPr>
              <w:t>1,039,994</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Borders>
              <w:bottom w:val="single" w:sz="8" w:color="DFDEEE"/>
            </w:tcBorders>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290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Pension Plan</w:t>
            </w:r>
          </w:p>
        </w:tc>
        <w:tc>
          <w:tcPr>
            <w:tcW w:w="2740" w:type="dxa"/>
            <w:vAlign w:val="bottom"/>
            <w:tcBorders>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22.0</w:t>
            </w:r>
          </w:p>
        </w:tc>
        <w:tc>
          <w:tcPr>
            <w:tcW w:w="1820" w:type="dxa"/>
            <w:vAlign w:val="bottom"/>
            <w:tcBorders>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360,128</w:t>
            </w:r>
          </w:p>
        </w:tc>
        <w:tc>
          <w:tcPr>
            <w:tcW w:w="1120" w:type="dxa"/>
            <w:vAlign w:val="bottom"/>
            <w:tcBorders>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60" w:type="dxa"/>
            <w:vAlign w:val="bottom"/>
            <w:tcBorders>
              <w:top w:val="single" w:sz="8" w:color="DFDEEE"/>
              <w:bottom w:val="single" w:sz="8" w:color="DFDEEE"/>
            </w:tcBorders>
            <w:shd w:val="clear" w:color="auto" w:fill="DFDEEE"/>
          </w:tcPr>
          <w:p>
            <w:pPr>
              <w:spacing w:after="0"/>
              <w:rPr>
                <w:sz w:val="18"/>
                <w:szCs w:val="18"/>
                <w:color w:val="auto"/>
              </w:rPr>
            </w:pPr>
          </w:p>
        </w:tc>
        <w:tc>
          <w:tcPr>
            <w:tcW w:w="2900" w:type="dxa"/>
            <w:vAlign w:val="bottom"/>
            <w:tcBorders>
              <w:top w:val="single" w:sz="8" w:color="BCBEC0"/>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ERISA 2</w:t>
            </w:r>
          </w:p>
        </w:tc>
        <w:tc>
          <w:tcPr>
            <w:tcW w:w="2740" w:type="dxa"/>
            <w:vAlign w:val="bottom"/>
            <w:tcBorders>
              <w:top w:val="single" w:sz="8" w:color="BCBEC0"/>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22.0</w:t>
            </w:r>
          </w:p>
        </w:tc>
        <w:tc>
          <w:tcPr>
            <w:tcW w:w="1820" w:type="dxa"/>
            <w:vAlign w:val="bottom"/>
            <w:tcBorders>
              <w:top w:val="single" w:sz="8" w:color="BCBEC0"/>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165,792</w:t>
            </w:r>
          </w:p>
        </w:tc>
        <w:tc>
          <w:tcPr>
            <w:tcW w:w="1120" w:type="dxa"/>
            <w:vAlign w:val="bottom"/>
            <w:tcBorders>
              <w:top w:val="single" w:sz="8" w:color="BCBEC0"/>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BCBEC0"/>
          </w:tcPr>
          <w:p>
            <w:pPr>
              <w:spacing w:after="0" w:line="20" w:lineRule="exact"/>
              <w:rPr>
                <w:sz w:val="1"/>
                <w:szCs w:val="1"/>
                <w:color w:val="auto"/>
              </w:rPr>
            </w:pPr>
          </w:p>
        </w:tc>
        <w:tc>
          <w:tcPr>
            <w:tcW w:w="2900" w:type="dxa"/>
            <w:vAlign w:val="bottom"/>
            <w:shd w:val="clear" w:color="auto" w:fill="BCBEC0"/>
          </w:tcPr>
          <w:p>
            <w:pPr>
              <w:spacing w:after="0" w:line="20" w:lineRule="exact"/>
              <w:rPr>
                <w:sz w:val="1"/>
                <w:szCs w:val="1"/>
                <w:color w:val="auto"/>
              </w:rPr>
            </w:pPr>
          </w:p>
        </w:tc>
        <w:tc>
          <w:tcPr>
            <w:tcW w:w="2740" w:type="dxa"/>
            <w:vAlign w:val="bottom"/>
            <w:shd w:val="clear" w:color="auto" w:fill="BCBEC0"/>
          </w:tcPr>
          <w:p>
            <w:pPr>
              <w:spacing w:after="0" w:line="20" w:lineRule="exact"/>
              <w:rPr>
                <w:sz w:val="1"/>
                <w:szCs w:val="1"/>
                <w:color w:val="auto"/>
              </w:rPr>
            </w:pPr>
          </w:p>
        </w:tc>
        <w:tc>
          <w:tcPr>
            <w:tcW w:w="1820" w:type="dxa"/>
            <w:vAlign w:val="bottom"/>
            <w:shd w:val="clear" w:color="auto" w:fill="BCBEC0"/>
          </w:tcPr>
          <w:p>
            <w:pPr>
              <w:spacing w:after="0" w:line="20" w:lineRule="exact"/>
              <w:rPr>
                <w:sz w:val="1"/>
                <w:szCs w:val="1"/>
                <w:color w:val="auto"/>
              </w:rPr>
            </w:pPr>
          </w:p>
        </w:tc>
        <w:tc>
          <w:tcPr>
            <w:tcW w:w="1120" w:type="dxa"/>
            <w:vAlign w:val="bottom"/>
            <w:shd w:val="clear" w:color="auto" w:fill="BCBE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right="220" w:hanging="252"/>
        <w:spacing w:after="0" w:line="305" w:lineRule="auto"/>
        <w:tabs>
          <w:tab w:leader="none" w:pos="25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Mr. Keffer and Mr. Jones were hired after the Company’s defined benefit pension plans were closed to new entrants and as a result, they do not participate in any defined benefit pension plans.</w:t>
      </w:r>
    </w:p>
    <w:p>
      <w:pPr>
        <w:spacing w:after="0" w:line="9" w:lineRule="exact"/>
        <w:rPr>
          <w:rFonts w:ascii="Arial" w:cs="Arial" w:eastAsia="Arial" w:hAnsi="Arial"/>
          <w:sz w:val="14"/>
          <w:szCs w:val="14"/>
          <w:color w:val="auto"/>
        </w:rPr>
      </w:pPr>
    </w:p>
    <w:p>
      <w:pPr>
        <w:ind w:left="260" w:right="300" w:hanging="252"/>
        <w:spacing w:after="0" w:line="305" w:lineRule="auto"/>
        <w:tabs>
          <w:tab w:leader="none" w:pos="25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Credited service under OSERP for Mr. Caylor is less than actual service because credited service under this plan stopped as of December 31, 2014. Each NEO’s actual service is as follows: Ms. Warden: 15.3 years, Mr. Caylor: 21.5 and Ms. Roeder: 21.8 years.</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Amounts are calculated using the following assumptions:</w:t>
      </w:r>
    </w:p>
    <w:p>
      <w:pPr>
        <w:spacing w:after="0" w:line="82" w:lineRule="exact"/>
        <w:rPr>
          <w:rFonts w:ascii="Arial" w:cs="Arial" w:eastAsia="Arial" w:hAnsi="Arial"/>
          <w:sz w:val="14"/>
          <w:szCs w:val="14"/>
          <w:color w:val="auto"/>
        </w:rPr>
      </w:pPr>
    </w:p>
    <w:p>
      <w:pPr>
        <w:ind w:left="420" w:hanging="153"/>
        <w:spacing w:after="0"/>
        <w:tabs>
          <w:tab w:leader="none" w:pos="42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NEO retires on the earliest date he/she could receive an unreduced benefit under each plan;</w:t>
      </w:r>
    </w:p>
    <w:p>
      <w:pPr>
        <w:spacing w:after="0" w:line="82" w:lineRule="exact"/>
        <w:rPr>
          <w:rFonts w:ascii="Arial" w:cs="Arial" w:eastAsia="Arial" w:hAnsi="Arial"/>
          <w:sz w:val="14"/>
          <w:szCs w:val="14"/>
          <w:b w:val="1"/>
          <w:bCs w:val="1"/>
          <w:color w:val="29378D"/>
        </w:rPr>
      </w:pPr>
    </w:p>
    <w:p>
      <w:pPr>
        <w:ind w:left="420" w:hanging="153"/>
        <w:spacing w:after="0"/>
        <w:tabs>
          <w:tab w:leader="none" w:pos="42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form of payment is a single life annuity; and</w:t>
      </w:r>
    </w:p>
    <w:p>
      <w:pPr>
        <w:spacing w:after="0" w:line="82" w:lineRule="exact"/>
        <w:rPr>
          <w:rFonts w:ascii="Arial" w:cs="Arial" w:eastAsia="Arial" w:hAnsi="Arial"/>
          <w:sz w:val="14"/>
          <w:szCs w:val="14"/>
          <w:b w:val="1"/>
          <w:bCs w:val="1"/>
          <w:color w:val="29378D"/>
        </w:rPr>
      </w:pPr>
    </w:p>
    <w:p>
      <w:pPr>
        <w:ind w:left="460" w:right="60" w:hanging="193"/>
        <w:spacing w:after="0" w:line="305" w:lineRule="auto"/>
        <w:tabs>
          <w:tab w:leader="none" w:pos="41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discount rate is 5.14% for the Pension Plan, 5.15% for the S&amp;MS Pension Plan and 5.15% for all other plans. The mortality table is the Pri-2012 White Collar mortality table projected generationally with an adjusted version of Scale MP-2021 for all plans.</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Pension Plans and Descriptions</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Most of the pension plans were closed to new hires in 2008. Prior to that time, the Company consolidated the pension plan provisions from diverse Heritage Formulas to a Cash Balance Formula. Over time, the Company also transitioned officers, including NEOs, from SERPs to a deferred compensation plan, called the Officers Retirement Account Contribution Plan (ORAC). In addition, all final average pay formulas were frozen as of December 31, 2014.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plans in which NEOs participate are listed below in alphabetical order.</w:t>
      </w:r>
    </w:p>
    <w:p>
      <w:pPr>
        <w:spacing w:after="0" w:line="113" w:lineRule="exact"/>
        <w:rPr>
          <w:sz w:val="20"/>
          <w:szCs w:val="20"/>
          <w:color w:val="auto"/>
        </w:rPr>
      </w:pPr>
    </w:p>
    <w:p>
      <w:pPr>
        <w:ind w:left="200" w:right="180" w:hanging="192"/>
        <w:spacing w:after="0" w:line="299"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ERISA 2 is the ERISA Supplemental Program 2. This plan makes participants whole for benefits they lose under the Pension Plan due to certain Internal Revenue Code limits.</w:t>
      </w:r>
    </w:p>
    <w:p>
      <w:pPr>
        <w:ind w:left="160" w:hanging="152"/>
        <w:spacing w:after="0"/>
        <w:tabs>
          <w:tab w:leader="none" w:pos="160" w:val="left"/>
        </w:tabs>
        <w:numPr>
          <w:ilvl w:val="0"/>
          <w:numId w:val="143"/>
        </w:numPr>
        <w:rPr>
          <w:rFonts w:ascii="Arial" w:cs="Arial" w:eastAsia="Arial" w:hAnsi="Arial"/>
          <w:sz w:val="16"/>
          <w:szCs w:val="16"/>
          <w:color w:val="29378D"/>
        </w:rPr>
      </w:pPr>
      <w:r>
        <w:rPr>
          <w:rFonts w:ascii="Arial" w:cs="Arial" w:eastAsia="Arial" w:hAnsi="Arial"/>
          <w:sz w:val="16"/>
          <w:szCs w:val="16"/>
          <w:color w:val="auto"/>
        </w:rPr>
        <w:t>OSERP is the Officers Supplemental Executive Retirement Program. This plan provides a supplemental pension benefit for certain Company officers.</w:t>
      </w:r>
    </w:p>
    <w:p>
      <w:pPr>
        <w:spacing w:after="0" w:line="86" w:lineRule="exact"/>
        <w:rPr>
          <w:rFonts w:ascii="Arial" w:cs="Arial" w:eastAsia="Arial" w:hAnsi="Arial"/>
          <w:sz w:val="16"/>
          <w:szCs w:val="16"/>
          <w:color w:val="29378D"/>
        </w:rPr>
      </w:pPr>
    </w:p>
    <w:p>
      <w:pPr>
        <w:ind w:left="140" w:hanging="132"/>
        <w:spacing w:after="0"/>
        <w:tabs>
          <w:tab w:leader="none" w:pos="140"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OSERP II is the Officers Supplemental Executive Retirement Program II. This plan provides a pension benefit for certain Company officers.</w:t>
      </w:r>
    </w:p>
    <w:p>
      <w:pPr>
        <w:spacing w:after="0" w:line="8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43"/>
        </w:numPr>
        <w:rPr>
          <w:rFonts w:ascii="Arial" w:cs="Arial" w:eastAsia="Arial" w:hAnsi="Arial"/>
          <w:sz w:val="16"/>
          <w:szCs w:val="16"/>
          <w:color w:val="29378D"/>
        </w:rPr>
      </w:pPr>
      <w:r>
        <w:rPr>
          <w:rFonts w:ascii="Arial" w:cs="Arial" w:eastAsia="Arial" w:hAnsi="Arial"/>
          <w:sz w:val="16"/>
          <w:szCs w:val="16"/>
          <w:color w:val="auto"/>
        </w:rPr>
        <w:t>Pension Plan is the Northrop Grumman Pension Plan. This is a tax qualified pension plan covering a broad base of Company employees.</w:t>
      </w:r>
    </w:p>
    <w:p>
      <w:pPr>
        <w:spacing w:after="0" w:line="86" w:lineRule="exact"/>
        <w:rPr>
          <w:rFonts w:ascii="Arial" w:cs="Arial" w:eastAsia="Arial" w:hAnsi="Arial"/>
          <w:sz w:val="16"/>
          <w:szCs w:val="16"/>
          <w:color w:val="29378D"/>
        </w:rPr>
      </w:pPr>
    </w:p>
    <w:p>
      <w:pPr>
        <w:ind w:left="200" w:right="380" w:hanging="192"/>
        <w:spacing w:after="0" w:line="286"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S&amp;MS Pension Plan is the Northrop Grumman Space &amp; Mission Systems Salaried Pension Plan. This is a tax qualified pension plan covering a broad base of Company employees.</w:t>
      </w:r>
    </w:p>
    <w:p>
      <w:pPr>
        <w:spacing w:after="0" w:line="20" w:lineRule="exact"/>
        <w:rPr>
          <w:rFonts w:ascii="Arial" w:cs="Arial" w:eastAsia="Arial" w:hAnsi="Arial"/>
          <w:sz w:val="16"/>
          <w:szCs w:val="16"/>
          <w:b w:val="1"/>
          <w:bCs w:val="1"/>
          <w:color w:val="29378D"/>
        </w:rPr>
      </w:pPr>
    </w:p>
    <w:p>
      <w:pPr>
        <w:ind w:left="200" w:right="540" w:hanging="192"/>
        <w:spacing w:after="0" w:line="286"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SRIP is the Northrop Grumman Supplementary Retirement Income Plan. This plan makes participants whole for benefits they lose under the S&amp;MS Pension Plan due to certain Internal Revenue Code limits.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494"/>
        <w:spacing w:after="0"/>
        <w:tabs>
          <w:tab w:leader="none" w:pos="520" w:val="left"/>
        </w:tabs>
        <w:numPr>
          <w:ilvl w:val="0"/>
          <w:numId w:val="14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Pension Plan and S&amp;MS Pension Plan (Tax Qualified Plan)</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Pension Plan and S&amp;MS Pension Plan have a heritage (non-cash balance) pension formula (Heritage Formulas). These are described in detail in the Heritage Formula table that follows. Prior to 2005, the Company transitioned the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Formulas section below). The final benefit from each plan is the sum of the two formulas: the Heritage Formula benefit plus the Cash Balance Formula benefit.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Mr. Caylor receives a benefit under a Heritage Formula and a Cash Balance Formula in the S&amp;MS Pension Plan.</w:t>
      </w:r>
    </w:p>
    <w:p>
      <w:pPr>
        <w:spacing w:after="0" w:line="113"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Ms. Roeder has pension benefits under two subplans of the Pension Plan due to her transfer between business units. She receives a benefit under a Heritage Formula and a Cash Balance Formula in the Northrop Grumman Electronic Systems Pension Plan, a subplan of the Pension Plan (ES Subplan) based on her employment in this subplan. She also receives a benefit under the Northrop Grumman Retirement Value Plan (RVP Subplan) Cash Balance Formula.</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Heritage Formulas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key features of the Heritage Formula applicable to the eligible NEO.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Feature</w:t>
            </w:r>
          </w:p>
        </w:tc>
        <w:tc>
          <w:tcPr>
            <w:tcW w:w="3520" w:type="dxa"/>
            <w:vAlign w:val="bottom"/>
          </w:tcPr>
          <w:p>
            <w:pPr>
              <w:ind w:left="1520"/>
              <w:spacing w:after="0"/>
              <w:rPr>
                <w:sz w:val="20"/>
                <w:szCs w:val="20"/>
                <w:color w:val="auto"/>
              </w:rPr>
            </w:pPr>
            <w:r>
              <w:rPr>
                <w:rFonts w:ascii="Arial" w:cs="Arial" w:eastAsia="Arial" w:hAnsi="Arial"/>
                <w:sz w:val="13"/>
                <w:szCs w:val="13"/>
                <w:b w:val="1"/>
                <w:bCs w:val="1"/>
                <w:color w:val="auto"/>
              </w:rPr>
              <w:t>ES Subplan</w:t>
            </w:r>
          </w:p>
        </w:tc>
        <w:tc>
          <w:tcPr>
            <w:tcW w:w="3420" w:type="dxa"/>
            <w:vAlign w:val="bottom"/>
          </w:tcPr>
          <w:p>
            <w:pPr>
              <w:ind w:left="1140"/>
              <w:spacing w:after="0"/>
              <w:rPr>
                <w:sz w:val="20"/>
                <w:szCs w:val="20"/>
                <w:color w:val="auto"/>
              </w:rPr>
            </w:pPr>
            <w:r>
              <w:rPr>
                <w:rFonts w:ascii="Arial" w:cs="Arial" w:eastAsia="Arial" w:hAnsi="Arial"/>
                <w:sz w:val="13"/>
                <w:szCs w:val="13"/>
                <w:b w:val="1"/>
                <w:bCs w:val="1"/>
                <w:color w:val="auto"/>
              </w:rPr>
              <w:t>S&amp;MS Pension Plan</w:t>
            </w:r>
          </w:p>
        </w:tc>
      </w:tr>
      <w:tr>
        <w:trPr>
          <w:trHeight w:val="22"/>
        </w:trPr>
        <w:tc>
          <w:tcPr>
            <w:tcW w:w="4120" w:type="dxa"/>
            <w:vAlign w:val="bottom"/>
            <w:tcBorders>
              <w:bottom w:val="single" w:sz="8" w:color="29378D"/>
            </w:tcBorders>
          </w:tcPr>
          <w:p>
            <w:pPr>
              <w:spacing w:after="0" w:line="20" w:lineRule="exact"/>
              <w:rPr>
                <w:sz w:val="1"/>
                <w:szCs w:val="1"/>
                <w:color w:val="auto"/>
              </w:rPr>
            </w:pPr>
          </w:p>
        </w:tc>
        <w:tc>
          <w:tcPr>
            <w:tcW w:w="3520" w:type="dxa"/>
            <w:vAlign w:val="bottom"/>
            <w:tcBorders>
              <w:bottom w:val="single" w:sz="8" w:color="29378D"/>
            </w:tcBorders>
          </w:tcPr>
          <w:p>
            <w:pPr>
              <w:spacing w:after="0" w:line="20" w:lineRule="exact"/>
              <w:rPr>
                <w:sz w:val="1"/>
                <w:szCs w:val="1"/>
                <w:color w:val="auto"/>
              </w:rPr>
            </w:pPr>
          </w:p>
        </w:tc>
        <w:tc>
          <w:tcPr>
            <w:tcW w:w="3420" w:type="dxa"/>
            <w:vAlign w:val="bottom"/>
            <w:tcBorders>
              <w:bottom w:val="single" w:sz="8" w:color="29378D"/>
            </w:tcBorders>
          </w:tcPr>
          <w:p>
            <w:pPr>
              <w:spacing w:after="0" w:line="20" w:lineRule="exact"/>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Benefit Formula</w:t>
            </w:r>
          </w:p>
        </w:tc>
        <w:tc>
          <w:tcPr>
            <w:tcW w:w="3520" w:type="dxa"/>
            <w:vAlign w:val="bottom"/>
          </w:tcPr>
          <w:p>
            <w:pPr>
              <w:ind w:left="180"/>
              <w:spacing w:after="0"/>
              <w:rPr>
                <w:sz w:val="20"/>
                <w:szCs w:val="20"/>
                <w:color w:val="auto"/>
              </w:rPr>
            </w:pPr>
            <w:r>
              <w:rPr>
                <w:rFonts w:ascii="Arial" w:cs="Arial" w:eastAsia="Arial" w:hAnsi="Arial"/>
                <w:sz w:val="16"/>
                <w:szCs w:val="16"/>
                <w:color w:val="auto"/>
              </w:rPr>
              <w:t>Eligible Pay x 2%</w:t>
            </w:r>
          </w:p>
        </w:tc>
        <w:tc>
          <w:tcPr>
            <w:tcW w:w="3420" w:type="dxa"/>
            <w:vAlign w:val="bottom"/>
          </w:tcPr>
          <w:p>
            <w:pPr>
              <w:ind w:left="60"/>
              <w:spacing w:after="0"/>
              <w:rPr>
                <w:sz w:val="20"/>
                <w:szCs w:val="20"/>
                <w:color w:val="auto"/>
              </w:rPr>
            </w:pPr>
            <w:r>
              <w:rPr>
                <w:rFonts w:ascii="Arial" w:cs="Arial" w:eastAsia="Arial" w:hAnsi="Arial"/>
                <w:sz w:val="16"/>
                <w:szCs w:val="16"/>
                <w:color w:val="auto"/>
              </w:rPr>
              <w:t>(Final Average Pay x 1.5% minus Covered</w:t>
            </w:r>
          </w:p>
        </w:tc>
      </w:tr>
      <w:tr>
        <w:trPr>
          <w:trHeight w:val="189"/>
        </w:trPr>
        <w:tc>
          <w:tcPr>
            <w:tcW w:w="4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Compensation x 0.4%) times Pre-January 1,</w:t>
            </w:r>
          </w:p>
        </w:tc>
      </w:tr>
      <w:tr>
        <w:trPr>
          <w:trHeight w:val="224"/>
        </w:trPr>
        <w:tc>
          <w:tcPr>
            <w:tcW w:w="4120" w:type="dxa"/>
            <w:vAlign w:val="bottom"/>
            <w:tcBorders>
              <w:bottom w:val="single" w:sz="8" w:color="BCBEC0"/>
            </w:tcBorders>
          </w:tcPr>
          <w:p>
            <w:pPr>
              <w:spacing w:after="0"/>
              <w:rPr>
                <w:sz w:val="19"/>
                <w:szCs w:val="19"/>
                <w:color w:val="auto"/>
              </w:rPr>
            </w:pPr>
          </w:p>
        </w:tc>
        <w:tc>
          <w:tcPr>
            <w:tcW w:w="3520" w:type="dxa"/>
            <w:vAlign w:val="bottom"/>
            <w:tcBorders>
              <w:bottom w:val="single" w:sz="8" w:color="BCBEC0"/>
            </w:tcBorders>
          </w:tcPr>
          <w:p>
            <w:pPr>
              <w:spacing w:after="0"/>
              <w:rPr>
                <w:sz w:val="19"/>
                <w:szCs w:val="19"/>
                <w:color w:val="auto"/>
              </w:rPr>
            </w:pP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2005 service</w:t>
            </w:r>
          </w:p>
        </w:tc>
      </w:tr>
      <w:tr>
        <w:trPr>
          <w:trHeight w:val="215"/>
        </w:trPr>
        <w:tc>
          <w:tcPr>
            <w:tcW w:w="4120" w:type="dxa"/>
            <w:vAlign w:val="bottom"/>
          </w:tcPr>
          <w:p>
            <w:pPr>
              <w:ind w:left="20"/>
              <w:spacing w:after="0" w:line="216" w:lineRule="exact"/>
              <w:rPr>
                <w:sz w:val="20"/>
                <w:szCs w:val="20"/>
                <w:color w:val="auto"/>
              </w:rPr>
            </w:pPr>
            <w:r>
              <w:rPr>
                <w:rFonts w:ascii="Arial" w:cs="Arial" w:eastAsia="Arial" w:hAnsi="Arial"/>
                <w:sz w:val="16"/>
                <w:szCs w:val="16"/>
                <w:color w:val="auto"/>
              </w:rPr>
              <w:t>Final Average Pay</w:t>
            </w:r>
            <w:r>
              <w:rPr>
                <w:rFonts w:ascii="Arial" w:cs="Arial" w:eastAsia="Arial" w:hAnsi="Arial"/>
                <w:sz w:val="21"/>
                <w:szCs w:val="21"/>
                <w:color w:val="auto"/>
                <w:vertAlign w:val="superscript"/>
              </w:rPr>
              <w:t>(1)</w:t>
            </w:r>
          </w:p>
        </w:tc>
        <w:tc>
          <w:tcPr>
            <w:tcW w:w="3520" w:type="dxa"/>
            <w:vAlign w:val="bottom"/>
          </w:tcPr>
          <w:p>
            <w:pPr>
              <w:ind w:left="180"/>
              <w:spacing w:after="0"/>
              <w:rPr>
                <w:sz w:val="20"/>
                <w:szCs w:val="20"/>
                <w:color w:val="auto"/>
              </w:rPr>
            </w:pPr>
            <w:r>
              <w:rPr>
                <w:rFonts w:ascii="Arial" w:cs="Arial" w:eastAsia="Arial" w:hAnsi="Arial"/>
                <w:sz w:val="16"/>
                <w:szCs w:val="16"/>
                <w:color w:val="auto"/>
              </w:rPr>
              <w:t>Not applicable</w:t>
            </w:r>
          </w:p>
        </w:tc>
        <w:tc>
          <w:tcPr>
            <w:tcW w:w="3420" w:type="dxa"/>
            <w:vAlign w:val="bottom"/>
          </w:tcPr>
          <w:p>
            <w:pPr>
              <w:ind w:left="60"/>
              <w:spacing w:after="0"/>
              <w:rPr>
                <w:sz w:val="20"/>
                <w:szCs w:val="20"/>
                <w:color w:val="auto"/>
              </w:rPr>
            </w:pPr>
            <w:r>
              <w:rPr>
                <w:rFonts w:ascii="Arial" w:cs="Arial" w:eastAsia="Arial" w:hAnsi="Arial"/>
                <w:sz w:val="16"/>
                <w:szCs w:val="16"/>
                <w:color w:val="auto"/>
              </w:rPr>
              <w:t>Average of the highest five consecutive years</w:t>
            </w:r>
          </w:p>
        </w:tc>
      </w:tr>
      <w:tr>
        <w:trPr>
          <w:trHeight w:val="189"/>
        </w:trPr>
        <w:tc>
          <w:tcPr>
            <w:tcW w:w="4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of Eligible Pay; Covered Compensation is</w:t>
            </w:r>
          </w:p>
        </w:tc>
      </w:tr>
      <w:tr>
        <w:trPr>
          <w:trHeight w:val="224"/>
        </w:trPr>
        <w:tc>
          <w:tcPr>
            <w:tcW w:w="4120" w:type="dxa"/>
            <w:vAlign w:val="bottom"/>
            <w:tcBorders>
              <w:bottom w:val="single" w:sz="8" w:color="BCBEC0"/>
            </w:tcBorders>
          </w:tcPr>
          <w:p>
            <w:pPr>
              <w:spacing w:after="0"/>
              <w:rPr>
                <w:sz w:val="19"/>
                <w:szCs w:val="19"/>
                <w:color w:val="auto"/>
              </w:rPr>
            </w:pPr>
          </w:p>
        </w:tc>
        <w:tc>
          <w:tcPr>
            <w:tcW w:w="3520" w:type="dxa"/>
            <w:vAlign w:val="bottom"/>
            <w:tcBorders>
              <w:bottom w:val="single" w:sz="8" w:color="BCBEC0"/>
            </w:tcBorders>
          </w:tcPr>
          <w:p>
            <w:pPr>
              <w:spacing w:after="0"/>
              <w:rPr>
                <w:sz w:val="19"/>
                <w:szCs w:val="19"/>
                <w:color w:val="auto"/>
              </w:rPr>
            </w:pP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specified by the IRS</w:t>
            </w:r>
          </w:p>
        </w:tc>
      </w:tr>
      <w:tr>
        <w:trPr>
          <w:trHeight w:val="188"/>
        </w:trPr>
        <w:tc>
          <w:tcPr>
            <w:tcW w:w="4120" w:type="dxa"/>
            <w:vAlign w:val="bottom"/>
          </w:tcPr>
          <w:p>
            <w:pPr>
              <w:ind w:left="20"/>
              <w:spacing w:after="0"/>
              <w:rPr>
                <w:sz w:val="20"/>
                <w:szCs w:val="20"/>
                <w:color w:val="auto"/>
              </w:rPr>
            </w:pPr>
            <w:r>
              <w:rPr>
                <w:rFonts w:ascii="Arial" w:cs="Arial" w:eastAsia="Arial" w:hAnsi="Arial"/>
                <w:sz w:val="16"/>
                <w:szCs w:val="16"/>
                <w:color w:val="auto"/>
              </w:rPr>
              <w:t>Eligible Pay (limited by Internal Revenue Code section</w:t>
            </w:r>
          </w:p>
        </w:tc>
        <w:tc>
          <w:tcPr>
            <w:tcW w:w="3520" w:type="dxa"/>
            <w:vAlign w:val="bottom"/>
          </w:tcPr>
          <w:p>
            <w:pPr>
              <w:ind w:left="180"/>
              <w:spacing w:after="0"/>
              <w:rPr>
                <w:sz w:val="20"/>
                <w:szCs w:val="20"/>
                <w:color w:val="auto"/>
              </w:rPr>
            </w:pPr>
            <w:r>
              <w:rPr>
                <w:rFonts w:ascii="Arial" w:cs="Arial" w:eastAsia="Arial" w:hAnsi="Arial"/>
                <w:sz w:val="16"/>
                <w:szCs w:val="16"/>
                <w:color w:val="auto"/>
              </w:rPr>
              <w:t>Salary plus bonus paid while participating in</w:t>
            </w:r>
          </w:p>
        </w:tc>
        <w:tc>
          <w:tcPr>
            <w:tcW w:w="3420" w:type="dxa"/>
            <w:vAlign w:val="bottom"/>
          </w:tcPr>
          <w:p>
            <w:pPr>
              <w:ind w:left="60"/>
              <w:spacing w:after="0"/>
              <w:rPr>
                <w:sz w:val="20"/>
                <w:szCs w:val="20"/>
                <w:color w:val="auto"/>
              </w:rPr>
            </w:pPr>
            <w:r>
              <w:rPr>
                <w:rFonts w:ascii="Arial" w:cs="Arial" w:eastAsia="Arial" w:hAnsi="Arial"/>
                <w:sz w:val="16"/>
                <w:szCs w:val="16"/>
                <w:color w:val="auto"/>
              </w:rPr>
              <w:t>Salary plus bonus</w:t>
            </w:r>
          </w:p>
        </w:tc>
      </w:tr>
      <w:tr>
        <w:trPr>
          <w:trHeight w:val="251"/>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401(a)(17))</w:t>
            </w:r>
          </w:p>
        </w:tc>
        <w:tc>
          <w:tcPr>
            <w:tcW w:w="35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this subplan</w:t>
            </w:r>
          </w:p>
        </w:tc>
        <w:tc>
          <w:tcPr>
            <w:tcW w:w="3420" w:type="dxa"/>
            <w:vAlign w:val="bottom"/>
            <w:tcBorders>
              <w:bottom w:val="single" w:sz="8" w:color="BCBEC0"/>
            </w:tcBorders>
          </w:tcPr>
          <w:p>
            <w:pPr>
              <w:spacing w:after="0"/>
              <w:rPr>
                <w:sz w:val="21"/>
                <w:szCs w:val="2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Normal Retirement</w:t>
            </w:r>
          </w:p>
        </w:tc>
        <w:tc>
          <w:tcPr>
            <w:tcW w:w="3520" w:type="dxa"/>
            <w:vAlign w:val="bottom"/>
          </w:tcPr>
          <w:p>
            <w:pPr>
              <w:ind w:left="180"/>
              <w:spacing w:after="0"/>
              <w:rPr>
                <w:sz w:val="20"/>
                <w:szCs w:val="20"/>
                <w:color w:val="auto"/>
              </w:rPr>
            </w:pPr>
            <w:r>
              <w:rPr>
                <w:rFonts w:ascii="Arial" w:cs="Arial" w:eastAsia="Arial" w:hAnsi="Arial"/>
                <w:sz w:val="16"/>
                <w:szCs w:val="16"/>
                <w:color w:val="auto"/>
              </w:rPr>
              <w:t>Age 65</w:t>
            </w:r>
          </w:p>
        </w:tc>
        <w:tc>
          <w:tcPr>
            <w:tcW w:w="3420" w:type="dxa"/>
            <w:vAlign w:val="bottom"/>
          </w:tcPr>
          <w:p>
            <w:pPr>
              <w:ind w:left="60"/>
              <w:spacing w:after="0"/>
              <w:rPr>
                <w:sz w:val="20"/>
                <w:szCs w:val="20"/>
                <w:color w:val="auto"/>
              </w:rPr>
            </w:pPr>
            <w:r>
              <w:rPr>
                <w:rFonts w:ascii="Arial" w:cs="Arial" w:eastAsia="Arial" w:hAnsi="Arial"/>
                <w:sz w:val="16"/>
                <w:szCs w:val="16"/>
                <w:color w:val="auto"/>
              </w:rPr>
              <w:t>Age 65</w:t>
            </w:r>
          </w:p>
        </w:tc>
      </w:tr>
      <w:tr>
        <w:trPr>
          <w:trHeight w:val="28"/>
        </w:trPr>
        <w:tc>
          <w:tcPr>
            <w:tcW w:w="4120" w:type="dxa"/>
            <w:vAlign w:val="bottom"/>
            <w:tcBorders>
              <w:bottom w:val="single" w:sz="8" w:color="BCBEC0"/>
            </w:tcBorders>
          </w:tcPr>
          <w:p>
            <w:pPr>
              <w:spacing w:after="0"/>
              <w:rPr>
                <w:sz w:val="2"/>
                <w:szCs w:val="2"/>
                <w:color w:val="auto"/>
              </w:rPr>
            </w:pPr>
          </w:p>
        </w:tc>
        <w:tc>
          <w:tcPr>
            <w:tcW w:w="6940" w:type="dxa"/>
            <w:vAlign w:val="bottom"/>
            <w:tcBorders>
              <w:bottom w:val="single" w:sz="8" w:color="BCBEC0"/>
            </w:tcBorders>
            <w:gridSpan w:val="2"/>
          </w:tcPr>
          <w:p>
            <w:pPr>
              <w:spacing w:after="0"/>
              <w:rPr>
                <w:sz w:val="2"/>
                <w:szCs w:val="2"/>
                <w:color w:val="auto"/>
              </w:rPr>
            </w:pPr>
          </w:p>
        </w:tc>
      </w:tr>
      <w:tr>
        <w:trPr>
          <w:trHeight w:val="182"/>
        </w:trPr>
        <w:tc>
          <w:tcPr>
            <w:tcW w:w="4120" w:type="dxa"/>
            <w:vAlign w:val="bottom"/>
          </w:tcPr>
          <w:p>
            <w:pPr>
              <w:ind w:left="20"/>
              <w:spacing w:after="0" w:line="182" w:lineRule="exact"/>
              <w:rPr>
                <w:sz w:val="20"/>
                <w:szCs w:val="20"/>
                <w:color w:val="auto"/>
              </w:rPr>
            </w:pPr>
            <w:r>
              <w:rPr>
                <w:rFonts w:ascii="Arial" w:cs="Arial" w:eastAsia="Arial" w:hAnsi="Arial"/>
                <w:sz w:val="16"/>
                <w:szCs w:val="16"/>
                <w:color w:val="auto"/>
              </w:rPr>
              <w:t>Early Retirement</w:t>
            </w:r>
          </w:p>
        </w:tc>
        <w:tc>
          <w:tcPr>
            <w:tcW w:w="6940" w:type="dxa"/>
            <w:vAlign w:val="bottom"/>
            <w:gridSpan w:val="2"/>
          </w:tcPr>
          <w:p>
            <w:pPr>
              <w:ind w:left="180"/>
              <w:spacing w:after="0" w:line="182" w:lineRule="exact"/>
              <w:rPr>
                <w:sz w:val="20"/>
                <w:szCs w:val="20"/>
                <w:color w:val="auto"/>
              </w:rPr>
            </w:pPr>
            <w:r>
              <w:rPr>
                <w:rFonts w:ascii="Arial" w:cs="Arial" w:eastAsia="Arial" w:hAnsi="Arial"/>
                <w:sz w:val="16"/>
                <w:szCs w:val="16"/>
                <w:color w:val="auto"/>
              </w:rPr>
              <w:t>Age 58 with 30 years of service or age 60 with Age 55 with 10 years of service</w:t>
            </w:r>
          </w:p>
        </w:tc>
      </w:tr>
      <w:tr>
        <w:trPr>
          <w:trHeight w:val="215"/>
        </w:trPr>
        <w:tc>
          <w:tcPr>
            <w:tcW w:w="41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6"/>
                <w:szCs w:val="16"/>
                <w:color w:val="auto"/>
              </w:rPr>
              <w:t>10 years of service</w:t>
            </w:r>
          </w:p>
        </w:tc>
        <w:tc>
          <w:tcPr>
            <w:tcW w:w="3420" w:type="dxa"/>
            <w:vAlign w:val="bottom"/>
          </w:tcPr>
          <w:p>
            <w:pPr>
              <w:spacing w:after="0"/>
              <w:rPr>
                <w:sz w:val="18"/>
                <w:szCs w:val="18"/>
                <w:color w:val="auto"/>
              </w:rPr>
            </w:pPr>
          </w:p>
        </w:tc>
      </w:tr>
      <w:tr>
        <w:trPr>
          <w:trHeight w:val="29"/>
        </w:trPr>
        <w:tc>
          <w:tcPr>
            <w:tcW w:w="4120" w:type="dxa"/>
            <w:vAlign w:val="bottom"/>
            <w:tcBorders>
              <w:bottom w:val="single" w:sz="8" w:color="BCBEC0"/>
            </w:tcBorders>
          </w:tcPr>
          <w:p>
            <w:pPr>
              <w:spacing w:after="0"/>
              <w:rPr>
                <w:sz w:val="2"/>
                <w:szCs w:val="2"/>
                <w:color w:val="auto"/>
              </w:rPr>
            </w:pPr>
          </w:p>
        </w:tc>
        <w:tc>
          <w:tcPr>
            <w:tcW w:w="3520" w:type="dxa"/>
            <w:vAlign w:val="bottom"/>
            <w:tcBorders>
              <w:bottom w:val="single" w:sz="8" w:color="BCBEC0"/>
            </w:tcBorders>
          </w:tcPr>
          <w:p>
            <w:pPr>
              <w:spacing w:after="0"/>
              <w:rPr>
                <w:sz w:val="2"/>
                <w:szCs w:val="2"/>
                <w:color w:val="auto"/>
              </w:rPr>
            </w:pPr>
          </w:p>
        </w:tc>
        <w:tc>
          <w:tcPr>
            <w:tcW w:w="3420" w:type="dxa"/>
            <w:vAlign w:val="bottom"/>
            <w:tcBorders>
              <w:bottom w:val="single" w:sz="8" w:color="BCBEC0"/>
            </w:tcBorders>
          </w:tcPr>
          <w:p>
            <w:pPr>
              <w:spacing w:after="0"/>
              <w:rPr>
                <w:sz w:val="2"/>
                <w:szCs w:val="2"/>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Early Retirement Reduction (for retirements occurring</w:t>
            </w:r>
          </w:p>
        </w:tc>
        <w:tc>
          <w:tcPr>
            <w:tcW w:w="3520" w:type="dxa"/>
            <w:vAlign w:val="bottom"/>
          </w:tcPr>
          <w:p>
            <w:pPr>
              <w:ind w:left="180"/>
              <w:spacing w:after="0"/>
              <w:rPr>
                <w:sz w:val="20"/>
                <w:szCs w:val="20"/>
                <w:color w:val="auto"/>
              </w:rPr>
            </w:pPr>
            <w:r>
              <w:rPr>
                <w:rFonts w:ascii="Arial" w:cs="Arial" w:eastAsia="Arial" w:hAnsi="Arial"/>
                <w:sz w:val="16"/>
                <w:szCs w:val="16"/>
                <w:color w:val="auto"/>
              </w:rPr>
              <w:t>Benefits are reduced for commencement prior</w:t>
            </w:r>
          </w:p>
        </w:tc>
        <w:tc>
          <w:tcPr>
            <w:tcW w:w="3420" w:type="dxa"/>
            <w:vAlign w:val="bottom"/>
          </w:tcPr>
          <w:p>
            <w:pPr>
              <w:ind w:left="60"/>
              <w:spacing w:after="0"/>
              <w:rPr>
                <w:sz w:val="20"/>
                <w:szCs w:val="20"/>
                <w:color w:val="auto"/>
              </w:rPr>
            </w:pPr>
            <w:r>
              <w:rPr>
                <w:rFonts w:ascii="Arial" w:cs="Arial" w:eastAsia="Arial" w:hAnsi="Arial"/>
                <w:sz w:val="16"/>
                <w:szCs w:val="16"/>
                <w:color w:val="auto"/>
              </w:rPr>
              <w:t>Benefits are reduced for commencement prior</w:t>
            </w:r>
          </w:p>
        </w:tc>
      </w:tr>
      <w:tr>
        <w:trPr>
          <w:trHeight w:val="224"/>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between Early Retirement and Normal Retirement)</w:t>
            </w:r>
          </w:p>
        </w:tc>
        <w:tc>
          <w:tcPr>
            <w:tcW w:w="35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to age 65</w:t>
            </w: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to age 62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Final Average Pay was frozen for the S&amp;MS Pension Plan as of December 31, 2014.</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Cash Balance Formulas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RVP Cash Balance Formula in the Pension Plan is a hypothetical account balance consisting of pay credits plus interest. It has the following features:</w:t>
      </w:r>
    </w:p>
    <w:p>
      <w:pPr>
        <w:spacing w:after="0" w:line="248" w:lineRule="exact"/>
        <w:rPr>
          <w:sz w:val="20"/>
          <w:szCs w:val="20"/>
          <w:color w:val="auto"/>
        </w:rPr>
      </w:pPr>
    </w:p>
    <w:p>
      <w:pPr>
        <w:ind w:left="200" w:right="180" w:hanging="192"/>
        <w:spacing w:after="0" w:line="304" w:lineRule="auto"/>
        <w:tabs>
          <w:tab w:leader="none" w:pos="143" w:val="left"/>
        </w:tabs>
        <w:numPr>
          <w:ilvl w:val="0"/>
          <w:numId w:val="145"/>
        </w:numPr>
        <w:rPr>
          <w:rFonts w:ascii="Arial" w:cs="Arial" w:eastAsia="Arial" w:hAnsi="Arial"/>
          <w:sz w:val="16"/>
          <w:szCs w:val="16"/>
          <w:b w:val="1"/>
          <w:bCs w:val="1"/>
          <w:color w:val="29378D"/>
        </w:rPr>
      </w:pPr>
      <w:r>
        <w:rPr>
          <w:rFonts w:ascii="Arial" w:cs="Arial" w:eastAsia="Arial" w:hAnsi="Arial"/>
          <w:sz w:val="16"/>
          <w:szCs w:val="16"/>
          <w:color w:val="auto"/>
        </w:rPr>
        <w:t>pay credits are a percentage of pay that vary based on an employee's "points" (age plus service) and are credited monthly. The percentage applicable to the NEO as of her transfer from the RVP subplan was 4.5%.</w:t>
      </w:r>
    </w:p>
    <w:p>
      <w:pPr>
        <w:spacing w:after="0" w:line="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interest is credited at the 30-year U.S. Treasury bond rate. The December 31, 2023 interest credit rate was 4.28%.</w:t>
      </w:r>
    </w:p>
    <w:p>
      <w:pPr>
        <w:spacing w:after="0" w:line="72" w:lineRule="exact"/>
        <w:rPr>
          <w:rFonts w:ascii="Arial" w:cs="Arial" w:eastAsia="Arial" w:hAnsi="Arial"/>
          <w:sz w:val="16"/>
          <w:szCs w:val="16"/>
          <w:color w:val="29378D"/>
        </w:rPr>
      </w:pPr>
    </w:p>
    <w:p>
      <w:pPr>
        <w:ind w:left="160" w:hanging="152"/>
        <w:spacing w:after="0"/>
        <w:tabs>
          <w:tab w:leader="none" w:pos="160"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eligible pay is salary plus bonus, as limited by Internal Revenue Code section 401(a)(17).</w:t>
      </w:r>
    </w:p>
    <w:p>
      <w:pPr>
        <w:spacing w:after="0" w:line="86" w:lineRule="exact"/>
        <w:rPr>
          <w:rFonts w:ascii="Arial" w:cs="Arial" w:eastAsia="Arial" w:hAnsi="Arial"/>
          <w:sz w:val="16"/>
          <w:szCs w:val="16"/>
          <w:color w:val="29378D"/>
        </w:rPr>
      </w:pPr>
    </w:p>
    <w:p>
      <w:pPr>
        <w:ind w:left="200" w:right="580" w:hanging="192"/>
        <w:spacing w:after="0" w:line="286" w:lineRule="auto"/>
        <w:tabs>
          <w:tab w:leader="none" w:pos="157"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after termination of employment, a participant's vested RVP Cash Balance benefit may be distributed immediately, regardless of age, in a variety of actuarially equivalent monthly annuities or as a lump sum.</w:t>
      </w:r>
    </w:p>
    <w:p>
      <w:pPr>
        <w:spacing w:after="0" w:line="264"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Cash Balance formula in the Pension Plan and the S&amp;MS Pension Plan is a hypothetical account balance consisting of pay credits plus interest. It has the following features:</w:t>
      </w:r>
    </w:p>
    <w:p>
      <w:pPr>
        <w:spacing w:after="0" w:line="1" w:lineRule="exact"/>
        <w:rPr>
          <w:sz w:val="20"/>
          <w:szCs w:val="20"/>
          <w:color w:val="auto"/>
        </w:rPr>
      </w:pPr>
    </w:p>
    <w:p>
      <w:pPr>
        <w:ind w:left="200" w:right="420" w:hanging="192"/>
        <w:spacing w:after="0" w:line="299" w:lineRule="auto"/>
        <w:tabs>
          <w:tab w:leader="none" w:pos="143" w:val="left"/>
        </w:tabs>
        <w:numPr>
          <w:ilvl w:val="0"/>
          <w:numId w:val="146"/>
        </w:numPr>
        <w:rPr>
          <w:rFonts w:ascii="Arial" w:cs="Arial" w:eastAsia="Arial" w:hAnsi="Arial"/>
          <w:sz w:val="16"/>
          <w:szCs w:val="16"/>
          <w:b w:val="1"/>
          <w:bCs w:val="1"/>
          <w:color w:val="29378D"/>
        </w:rPr>
      </w:pPr>
      <w:r>
        <w:rPr>
          <w:rFonts w:ascii="Arial" w:cs="Arial" w:eastAsia="Arial" w:hAnsi="Arial"/>
          <w:sz w:val="16"/>
          <w:szCs w:val="16"/>
          <w:color w:val="auto"/>
        </w:rPr>
        <w:t>pay credits are a percentage of pay that vary based on an employee’s ”points” (age plus service) and are credited monthly. The range of percentages applicable to the NEOs on December 31, 2023 was 6.5% - 7.5%.</w:t>
      </w:r>
    </w:p>
    <w:p>
      <w:pPr>
        <w:ind w:left="200" w:right="100" w:hanging="192"/>
        <w:spacing w:after="0" w:line="304" w:lineRule="auto"/>
        <w:tabs>
          <w:tab w:leader="none" w:pos="143" w:val="left"/>
        </w:tabs>
        <w:numPr>
          <w:ilvl w:val="0"/>
          <w:numId w:val="146"/>
        </w:numPr>
        <w:rPr>
          <w:rFonts w:ascii="Arial" w:cs="Arial" w:eastAsia="Arial" w:hAnsi="Arial"/>
          <w:sz w:val="16"/>
          <w:szCs w:val="16"/>
          <w:b w:val="1"/>
          <w:bCs w:val="1"/>
          <w:color w:val="00249C"/>
        </w:rPr>
      </w:pPr>
      <w:r>
        <w:rPr>
          <w:rFonts w:ascii="Arial" w:cs="Arial" w:eastAsia="Arial" w:hAnsi="Arial"/>
          <w:sz w:val="16"/>
          <w:szCs w:val="16"/>
          <w:color w:val="auto"/>
        </w:rPr>
        <w:t>interest is credited at the 30-year U.S. Treasury bond rate subject to a minimum annual interest rate of 2.25%. The December 31, 2023 interest credit rate was 4.28%.</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147"/>
        </w:numPr>
        <w:rPr>
          <w:rFonts w:ascii="Arial" w:cs="Arial" w:eastAsia="Arial" w:hAnsi="Arial"/>
          <w:sz w:val="16"/>
          <w:szCs w:val="16"/>
          <w:b w:val="1"/>
          <w:bCs w:val="1"/>
          <w:color w:val="00249C"/>
        </w:rPr>
      </w:pPr>
      <w:r>
        <w:rPr>
          <w:rFonts w:ascii="Arial" w:cs="Arial" w:eastAsia="Arial" w:hAnsi="Arial"/>
          <w:sz w:val="16"/>
          <w:szCs w:val="16"/>
          <w:color w:val="auto"/>
        </w:rPr>
        <w:t>eligible pay is salary plus bonus, as limited by Internal Revenue Code section 401(a)(17).</w:t>
      </w:r>
    </w:p>
    <w:p>
      <w:pPr>
        <w:spacing w:after="0" w:line="86" w:lineRule="exact"/>
        <w:rPr>
          <w:rFonts w:ascii="Arial" w:cs="Arial" w:eastAsia="Arial" w:hAnsi="Arial"/>
          <w:sz w:val="16"/>
          <w:szCs w:val="16"/>
          <w:b w:val="1"/>
          <w:bCs w:val="1"/>
          <w:color w:val="00249C"/>
        </w:rPr>
      </w:pPr>
    </w:p>
    <w:p>
      <w:pPr>
        <w:ind w:left="140" w:hanging="132"/>
        <w:spacing w:after="0"/>
        <w:tabs>
          <w:tab w:leader="none" w:pos="140" w:val="left"/>
        </w:tabs>
        <w:numPr>
          <w:ilvl w:val="0"/>
          <w:numId w:val="147"/>
        </w:numPr>
        <w:rPr>
          <w:rFonts w:ascii="Arial" w:cs="Arial" w:eastAsia="Arial" w:hAnsi="Arial"/>
          <w:sz w:val="16"/>
          <w:szCs w:val="16"/>
          <w:b w:val="1"/>
          <w:bCs w:val="1"/>
          <w:color w:val="00249C"/>
        </w:rPr>
      </w:pPr>
      <w:r>
        <w:rPr>
          <w:rFonts w:ascii="Arial" w:cs="Arial" w:eastAsia="Arial" w:hAnsi="Arial"/>
          <w:sz w:val="16"/>
          <w:szCs w:val="16"/>
          <w:color w:val="auto"/>
        </w:rPr>
        <w:t>eligibility for early retirement occurs at age 55 with 10 years of service. Benefits may be reduced if commenced prior to Normal Retirement Age (65).</w:t>
      </w: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ERISA 2 and SRIP (Nonqualified Restoration Plans)</w:t>
      </w:r>
    </w:p>
    <w:p>
      <w:pPr>
        <w:spacing w:after="0" w:line="12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ERISA 2 and SRIP are nonqualified plans that restore benefits provided for under the Pension Plan and S&amp;MS Pension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OSERP and OSERP II (Nonqualified Supplemental Executive Retirement Plans)</w:t>
      </w:r>
    </w:p>
    <w:p>
      <w:pPr>
        <w:spacing w:after="0" w:line="12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These plans provide supplemental pension benefits. They were closed to new hires on or before 2009. In addition, final average pay and associated service under these plans were frozen as of December 31,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highlights the key features of these plans applicable to eligible NEOs.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Feature</w:t>
            </w:r>
          </w:p>
        </w:tc>
        <w:tc>
          <w:tcPr>
            <w:tcW w:w="8620" w:type="dxa"/>
            <w:vAlign w:val="bottom"/>
            <w:tcBorders>
              <w:bottom w:val="single" w:sz="8" w:color="29378D"/>
            </w:tcBorders>
          </w:tcPr>
          <w:p>
            <w:pPr>
              <w:ind w:left="3800"/>
              <w:spacing w:after="0"/>
              <w:rPr>
                <w:sz w:val="20"/>
                <w:szCs w:val="20"/>
                <w:color w:val="auto"/>
              </w:rPr>
            </w:pPr>
            <w:r>
              <w:rPr>
                <w:rFonts w:ascii="Arial" w:cs="Arial" w:eastAsia="Arial" w:hAnsi="Arial"/>
                <w:sz w:val="13"/>
                <w:szCs w:val="13"/>
                <w:b w:val="1"/>
                <w:bCs w:val="1"/>
                <w:color w:val="auto"/>
              </w:rPr>
              <w:t>OSERP and OSERP II</w:t>
            </w:r>
            <w:r>
              <w:rPr>
                <w:rFonts w:ascii="Arial" w:cs="Arial" w:eastAsia="Arial" w:hAnsi="Arial"/>
                <w:sz w:val="16"/>
                <w:szCs w:val="16"/>
                <w:b w:val="1"/>
                <w:bCs w:val="1"/>
                <w:color w:val="auto"/>
                <w:vertAlign w:val="superscript"/>
              </w:rPr>
              <w:t>(1)</w:t>
            </w:r>
          </w:p>
        </w:tc>
      </w:tr>
      <w:tr>
        <w:trPr>
          <w:trHeight w:val="182"/>
        </w:trPr>
        <w:tc>
          <w:tcPr>
            <w:tcW w:w="2580" w:type="dxa"/>
            <w:vAlign w:val="bottom"/>
          </w:tcPr>
          <w:p>
            <w:pPr>
              <w:ind w:left="20"/>
              <w:spacing w:after="0" w:line="182" w:lineRule="exact"/>
              <w:rPr>
                <w:sz w:val="20"/>
                <w:szCs w:val="20"/>
                <w:color w:val="auto"/>
              </w:rPr>
            </w:pPr>
            <w:r>
              <w:rPr>
                <w:rFonts w:ascii="Arial" w:cs="Arial" w:eastAsia="Arial" w:hAnsi="Arial"/>
                <w:sz w:val="16"/>
                <w:szCs w:val="16"/>
                <w:color w:val="auto"/>
              </w:rPr>
              <w:t>Benefit Formula</w:t>
            </w:r>
          </w:p>
        </w:tc>
        <w:tc>
          <w:tcPr>
            <w:tcW w:w="8620" w:type="dxa"/>
            <w:vAlign w:val="bottom"/>
          </w:tcPr>
          <w:p>
            <w:pPr>
              <w:ind w:left="440"/>
              <w:spacing w:after="0" w:line="182" w:lineRule="exact"/>
              <w:rPr>
                <w:sz w:val="20"/>
                <w:szCs w:val="20"/>
                <w:color w:val="auto"/>
              </w:rPr>
            </w:pPr>
            <w:r>
              <w:rPr>
                <w:rFonts w:ascii="Arial" w:cs="Arial" w:eastAsia="Arial" w:hAnsi="Arial"/>
                <w:sz w:val="16"/>
                <w:szCs w:val="16"/>
                <w:color w:val="auto"/>
              </w:rPr>
              <w:t>Final Average Pay times 2% for each year of service up to 10 years, 1.5% for each subsequent year up to 20</w:t>
            </w:r>
          </w:p>
        </w:tc>
      </w:tr>
      <w:tr>
        <w:trPr>
          <w:trHeight w:val="215"/>
        </w:trPr>
        <w:tc>
          <w:tcPr>
            <w:tcW w:w="258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6"/>
                <w:szCs w:val="16"/>
                <w:color w:val="auto"/>
              </w:rPr>
              <w:t>years, and 1% for each additional year over 20 and less than 45</w:t>
            </w:r>
          </w:p>
        </w:tc>
      </w:tr>
      <w:tr>
        <w:trPr>
          <w:trHeight w:val="29"/>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Final Average Pay</w:t>
            </w:r>
          </w:p>
        </w:tc>
        <w:tc>
          <w:tcPr>
            <w:tcW w:w="8620" w:type="dxa"/>
            <w:vAlign w:val="bottom"/>
          </w:tcPr>
          <w:p>
            <w:pPr>
              <w:ind w:left="440"/>
              <w:spacing w:after="0"/>
              <w:rPr>
                <w:sz w:val="20"/>
                <w:szCs w:val="20"/>
                <w:color w:val="auto"/>
              </w:rPr>
            </w:pPr>
            <w:r>
              <w:rPr>
                <w:rFonts w:ascii="Arial" w:cs="Arial" w:eastAsia="Arial" w:hAnsi="Arial"/>
                <w:sz w:val="16"/>
                <w:szCs w:val="16"/>
                <w:color w:val="auto"/>
              </w:rPr>
              <w:t>Average of highest three years of Eligible Pay</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Eligible Pay</w:t>
            </w:r>
          </w:p>
        </w:tc>
        <w:tc>
          <w:tcPr>
            <w:tcW w:w="8620" w:type="dxa"/>
            <w:vAlign w:val="bottom"/>
          </w:tcPr>
          <w:p>
            <w:pPr>
              <w:ind w:left="440"/>
              <w:spacing w:after="0"/>
              <w:rPr>
                <w:sz w:val="20"/>
                <w:szCs w:val="20"/>
                <w:color w:val="auto"/>
              </w:rPr>
            </w:pPr>
            <w:r>
              <w:rPr>
                <w:rFonts w:ascii="Arial" w:cs="Arial" w:eastAsia="Arial" w:hAnsi="Arial"/>
                <w:sz w:val="16"/>
                <w:szCs w:val="16"/>
                <w:color w:val="auto"/>
              </w:rPr>
              <w:t>Salary and bonus (including amounts above Internal Revenue Code limits and amounts deferred)</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Normal Retirement</w:t>
            </w:r>
          </w:p>
        </w:tc>
        <w:tc>
          <w:tcPr>
            <w:tcW w:w="8620" w:type="dxa"/>
            <w:vAlign w:val="bottom"/>
          </w:tcPr>
          <w:p>
            <w:pPr>
              <w:ind w:left="440"/>
              <w:spacing w:after="0"/>
              <w:rPr>
                <w:sz w:val="20"/>
                <w:szCs w:val="20"/>
                <w:color w:val="auto"/>
              </w:rPr>
            </w:pPr>
            <w:r>
              <w:rPr>
                <w:rFonts w:ascii="Arial" w:cs="Arial" w:eastAsia="Arial" w:hAnsi="Arial"/>
                <w:sz w:val="16"/>
                <w:szCs w:val="16"/>
                <w:color w:val="auto"/>
              </w:rPr>
              <w:t>Age 65</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Early Retirement</w:t>
            </w:r>
          </w:p>
        </w:tc>
        <w:tc>
          <w:tcPr>
            <w:tcW w:w="8620" w:type="dxa"/>
            <w:vAlign w:val="bottom"/>
          </w:tcPr>
          <w:p>
            <w:pPr>
              <w:ind w:left="440"/>
              <w:spacing w:after="0"/>
              <w:rPr>
                <w:sz w:val="20"/>
                <w:szCs w:val="20"/>
                <w:color w:val="auto"/>
              </w:rPr>
            </w:pPr>
            <w:r>
              <w:rPr>
                <w:rFonts w:ascii="Arial" w:cs="Arial" w:eastAsia="Arial" w:hAnsi="Arial"/>
                <w:sz w:val="16"/>
                <w:szCs w:val="16"/>
                <w:color w:val="auto"/>
              </w:rPr>
              <w:t>Age 55 with 10 years of service</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Early Retirement Reduction</w:t>
            </w:r>
          </w:p>
        </w:tc>
        <w:tc>
          <w:tcPr>
            <w:tcW w:w="8620" w:type="dxa"/>
            <w:vAlign w:val="bottom"/>
          </w:tcPr>
          <w:p>
            <w:pPr>
              <w:ind w:left="440"/>
              <w:spacing w:after="0"/>
              <w:rPr>
                <w:sz w:val="20"/>
                <w:szCs w:val="20"/>
                <w:color w:val="auto"/>
              </w:rPr>
            </w:pPr>
            <w:r>
              <w:rPr>
                <w:rFonts w:ascii="Arial" w:cs="Arial" w:eastAsia="Arial" w:hAnsi="Arial"/>
                <w:sz w:val="16"/>
                <w:szCs w:val="16"/>
                <w:color w:val="auto"/>
              </w:rPr>
              <w:t>Benefits are reduced for commencement prior to the earlier of age 65 or 85 points (age + service)</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Reductions From Other Plans</w:t>
            </w:r>
          </w:p>
        </w:tc>
        <w:tc>
          <w:tcPr>
            <w:tcW w:w="8620" w:type="dxa"/>
            <w:vAlign w:val="bottom"/>
          </w:tcPr>
          <w:p>
            <w:pPr>
              <w:ind w:left="440"/>
              <w:spacing w:after="0"/>
              <w:rPr>
                <w:sz w:val="20"/>
                <w:szCs w:val="20"/>
                <w:color w:val="auto"/>
              </w:rPr>
            </w:pPr>
            <w:r>
              <w:rPr>
                <w:rFonts w:ascii="Arial" w:cs="Arial" w:eastAsia="Arial" w:hAnsi="Arial"/>
                <w:sz w:val="16"/>
                <w:szCs w:val="16"/>
                <w:color w:val="auto"/>
              </w:rPr>
              <w:t>Reduced by any other Company pension benefits</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bl>
    <w:p>
      <w:pPr>
        <w:spacing w:after="0" w:line="193" w:lineRule="exact"/>
        <w:rPr>
          <w:sz w:val="20"/>
          <w:szCs w:val="20"/>
          <w:color w:val="auto"/>
        </w:rPr>
      </w:pPr>
    </w:p>
    <w:p>
      <w:pPr>
        <w:ind w:left="260" w:right="140" w:hanging="252"/>
        <w:spacing w:after="0" w:line="305" w:lineRule="auto"/>
        <w:tabs>
          <w:tab w:leader="none" w:pos="258" w:val="left"/>
        </w:tabs>
        <w:numPr>
          <w:ilvl w:val="0"/>
          <w:numId w:val="148"/>
        </w:numPr>
        <w:rPr>
          <w:rFonts w:ascii="Arial" w:cs="Arial" w:eastAsia="Arial" w:hAnsi="Arial"/>
          <w:sz w:val="14"/>
          <w:szCs w:val="14"/>
          <w:color w:val="auto"/>
        </w:rPr>
      </w:pPr>
      <w:r>
        <w:rPr>
          <w:rFonts w:ascii="Arial" w:cs="Arial" w:eastAsia="Arial" w:hAnsi="Arial"/>
          <w:sz w:val="14"/>
          <w:szCs w:val="14"/>
          <w:color w:val="auto"/>
        </w:rPr>
        <w:t>Ms. Warden participates in OSERP II, which mirrors the benefits provided under the Cash Balance Formula with a pay-based credit percentage of 6.5% (without regard to limits imposed by the Internal Revenue Code sections 401(a)(17) and 415) and under the OSERP provisions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Information on Executives Eligible for Early Retirement</w:t>
      </w:r>
    </w:p>
    <w:p>
      <w:pPr>
        <w:spacing w:after="0" w:line="12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following NEO was eligible for early retirement as of December 31, 2023 (timing below excludes delays imposed by Internal Revenue Code section 409A):</w:t>
      </w:r>
    </w:p>
    <w:p>
      <w:pPr>
        <w:spacing w:after="0" w:line="48" w:lineRule="exact"/>
        <w:rPr>
          <w:sz w:val="20"/>
          <w:szCs w:val="20"/>
          <w:color w:val="auto"/>
        </w:rPr>
      </w:pPr>
    </w:p>
    <w:p>
      <w:pPr>
        <w:ind w:left="200" w:right="940" w:hanging="192"/>
        <w:spacing w:after="0" w:line="304" w:lineRule="auto"/>
        <w:tabs>
          <w:tab w:leader="none" w:pos="143" w:val="left"/>
        </w:tabs>
        <w:numPr>
          <w:ilvl w:val="0"/>
          <w:numId w:val="149"/>
        </w:numPr>
        <w:rPr>
          <w:rFonts w:ascii="Arial" w:cs="Arial" w:eastAsia="Arial" w:hAnsi="Arial"/>
          <w:sz w:val="16"/>
          <w:szCs w:val="16"/>
          <w:b w:val="1"/>
          <w:bCs w:val="1"/>
          <w:color w:val="29378D"/>
        </w:rPr>
      </w:pPr>
      <w:r>
        <w:rPr>
          <w:rFonts w:ascii="Arial" w:cs="Arial" w:eastAsia="Arial" w:hAnsi="Arial"/>
          <w:sz w:val="16"/>
          <w:szCs w:val="16"/>
          <w:color w:val="auto"/>
        </w:rPr>
        <w:t>If Mr. Caylor had retired on December 31, 2023, he would have been eligible to receive an estimated total annual pension benefit of $308,729 (commencing January 1, 2024).</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15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Nonqualified Deferred Compensation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80" w:type="dxa"/>
            <w:vAlign w:val="bottom"/>
          </w:tcPr>
          <w:p>
            <w:pPr>
              <w:jc w:val="right"/>
              <w:ind w:right="212"/>
              <w:spacing w:after="0"/>
              <w:rPr>
                <w:sz w:val="20"/>
                <w:szCs w:val="20"/>
                <w:color w:val="auto"/>
              </w:rPr>
            </w:pPr>
            <w:r>
              <w:rPr>
                <w:rFonts w:ascii="Arial" w:cs="Arial" w:eastAsia="Arial" w:hAnsi="Arial"/>
                <w:sz w:val="12"/>
                <w:szCs w:val="12"/>
                <w:b w:val="1"/>
                <w:bCs w:val="1"/>
                <w:color w:val="auto"/>
              </w:rPr>
              <w:t>Executive</w:t>
            </w:r>
          </w:p>
        </w:tc>
        <w:tc>
          <w:tcPr>
            <w:tcW w:w="1460" w:type="dxa"/>
            <w:vAlign w:val="bottom"/>
          </w:tcPr>
          <w:p>
            <w:pPr>
              <w:jc w:val="right"/>
              <w:ind w:right="212"/>
              <w:spacing w:after="0"/>
              <w:rPr>
                <w:sz w:val="20"/>
                <w:szCs w:val="20"/>
                <w:color w:val="auto"/>
              </w:rPr>
            </w:pPr>
            <w:r>
              <w:rPr>
                <w:rFonts w:ascii="Arial" w:cs="Arial" w:eastAsia="Arial" w:hAnsi="Arial"/>
                <w:sz w:val="12"/>
                <w:szCs w:val="12"/>
                <w:b w:val="1"/>
                <w:bCs w:val="1"/>
                <w:color w:val="auto"/>
              </w:rPr>
              <w:t>Registrant</w:t>
            </w:r>
          </w:p>
        </w:tc>
        <w:tc>
          <w:tcPr>
            <w:tcW w:w="1480" w:type="dxa"/>
            <w:vAlign w:val="bottom"/>
          </w:tcPr>
          <w:p>
            <w:pPr>
              <w:jc w:val="right"/>
              <w:ind w:right="234"/>
              <w:spacing w:after="0"/>
              <w:rPr>
                <w:sz w:val="20"/>
                <w:szCs w:val="20"/>
                <w:color w:val="auto"/>
              </w:rPr>
            </w:pPr>
            <w:r>
              <w:rPr>
                <w:rFonts w:ascii="Arial" w:cs="Arial" w:eastAsia="Arial" w:hAnsi="Arial"/>
                <w:sz w:val="12"/>
                <w:szCs w:val="12"/>
                <w:b w:val="1"/>
                <w:bCs w:val="1"/>
                <w:color w:val="auto"/>
              </w:rPr>
              <w:t>Aggregate</w:t>
            </w:r>
          </w:p>
        </w:tc>
        <w:tc>
          <w:tcPr>
            <w:tcW w:w="1300" w:type="dxa"/>
            <w:vAlign w:val="bottom"/>
          </w:tcPr>
          <w:p>
            <w:pPr>
              <w:jc w:val="right"/>
              <w:ind w:right="212"/>
              <w:spacing w:after="0"/>
              <w:rPr>
                <w:sz w:val="20"/>
                <w:szCs w:val="20"/>
                <w:color w:val="auto"/>
              </w:rPr>
            </w:pPr>
            <w:r>
              <w:rPr>
                <w:rFonts w:ascii="Arial" w:cs="Arial" w:eastAsia="Arial" w:hAnsi="Arial"/>
                <w:sz w:val="12"/>
                <w:szCs w:val="12"/>
                <w:b w:val="1"/>
                <w:bCs w:val="1"/>
                <w:color w:val="auto"/>
              </w:rPr>
              <w:t>Aggregate</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r>
      <w:tr>
        <w:trPr>
          <w:trHeight w:val="135"/>
        </w:trPr>
        <w:tc>
          <w:tcPr>
            <w:tcW w:w="2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8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Contributions in</w:t>
            </w:r>
          </w:p>
        </w:tc>
        <w:tc>
          <w:tcPr>
            <w:tcW w:w="146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Contributions in</w:t>
            </w:r>
          </w:p>
        </w:tc>
        <w:tc>
          <w:tcPr>
            <w:tcW w:w="1480" w:type="dxa"/>
            <w:vAlign w:val="bottom"/>
          </w:tcPr>
          <w:p>
            <w:pPr>
              <w:jc w:val="right"/>
              <w:ind w:right="234"/>
              <w:spacing w:after="0" w:line="135" w:lineRule="exact"/>
              <w:rPr>
                <w:sz w:val="20"/>
                <w:szCs w:val="20"/>
                <w:color w:val="auto"/>
              </w:rPr>
            </w:pPr>
            <w:r>
              <w:rPr>
                <w:rFonts w:ascii="Arial" w:cs="Arial" w:eastAsia="Arial" w:hAnsi="Arial"/>
                <w:sz w:val="12"/>
                <w:szCs w:val="12"/>
                <w:b w:val="1"/>
                <w:bCs w:val="1"/>
                <w:color w:val="auto"/>
              </w:rPr>
              <w:t>Earnings in Last</w:t>
            </w:r>
          </w:p>
        </w:tc>
        <w:tc>
          <w:tcPr>
            <w:tcW w:w="130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Withdrawals/</w:t>
            </w:r>
          </w:p>
        </w:tc>
        <w:tc>
          <w:tcPr>
            <w:tcW w:w="11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Balance at Last</w:t>
            </w:r>
          </w:p>
        </w:tc>
      </w:tr>
      <w:tr>
        <w:trPr>
          <w:trHeight w:val="135"/>
        </w:trPr>
        <w:tc>
          <w:tcPr>
            <w:tcW w:w="2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8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5"/>
                <w:szCs w:val="15"/>
                <w:b w:val="1"/>
                <w:bCs w:val="1"/>
                <w:color w:val="auto"/>
                <w:vertAlign w:val="superscript"/>
              </w:rPr>
              <w:t>(1)</w:t>
            </w:r>
          </w:p>
        </w:tc>
        <w:tc>
          <w:tcPr>
            <w:tcW w:w="146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5"/>
                <w:szCs w:val="15"/>
                <w:b w:val="1"/>
                <w:bCs w:val="1"/>
                <w:color w:val="auto"/>
                <w:vertAlign w:val="superscript"/>
              </w:rPr>
              <w:t>(2)</w:t>
            </w:r>
          </w:p>
        </w:tc>
        <w:tc>
          <w:tcPr>
            <w:tcW w:w="1480" w:type="dxa"/>
            <w:vAlign w:val="bottom"/>
          </w:tcPr>
          <w:p>
            <w:pPr>
              <w:jc w:val="right"/>
              <w:ind w:right="234"/>
              <w:spacing w:after="0" w:line="135" w:lineRule="exact"/>
              <w:rPr>
                <w:sz w:val="20"/>
                <w:szCs w:val="20"/>
                <w:color w:val="auto"/>
              </w:rPr>
            </w:pPr>
            <w:r>
              <w:rPr>
                <w:rFonts w:ascii="Arial" w:cs="Arial" w:eastAsia="Arial" w:hAnsi="Arial"/>
                <w:sz w:val="15"/>
                <w:szCs w:val="15"/>
                <w:b w:val="1"/>
                <w:bCs w:val="1"/>
                <w:color w:val="auto"/>
                <w:vertAlign w:val="subscript"/>
              </w:rPr>
              <w:t>FY</w:t>
            </w:r>
            <w:r>
              <w:rPr>
                <w:rFonts w:ascii="Arial" w:cs="Arial" w:eastAsia="Arial" w:hAnsi="Arial"/>
                <w:sz w:val="6"/>
                <w:szCs w:val="6"/>
                <w:b w:val="1"/>
                <w:bCs w:val="1"/>
                <w:color w:val="auto"/>
              </w:rPr>
              <w:t>(3)</w:t>
            </w:r>
          </w:p>
        </w:tc>
        <w:tc>
          <w:tcPr>
            <w:tcW w:w="130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Distributions</w:t>
            </w:r>
          </w:p>
        </w:tc>
        <w:tc>
          <w:tcPr>
            <w:tcW w:w="11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FYE</w:t>
            </w:r>
            <w:r>
              <w:rPr>
                <w:rFonts w:ascii="Arial" w:cs="Arial" w:eastAsia="Arial" w:hAnsi="Arial"/>
                <w:sz w:val="15"/>
                <w:szCs w:val="15"/>
                <w:b w:val="1"/>
                <w:bCs w:val="1"/>
                <w:color w:val="auto"/>
                <w:vertAlign w:val="superscript"/>
              </w:rPr>
              <w:t>(4)</w:t>
            </w: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b w:val="1"/>
                <w:bCs w:val="1"/>
                <w:color w:val="auto"/>
              </w:rPr>
              <w:t>Name</w:t>
            </w:r>
          </w:p>
        </w:tc>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Plan Name</w:t>
            </w:r>
          </w:p>
        </w:tc>
        <w:tc>
          <w:tcPr>
            <w:tcW w:w="178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ind w:right="234"/>
              <w:spacing w:after="0"/>
              <w:rPr>
                <w:sz w:val="20"/>
                <w:szCs w:val="20"/>
                <w:color w:val="auto"/>
              </w:rPr>
            </w:pPr>
            <w:r>
              <w:rPr>
                <w:rFonts w:ascii="Arial" w:cs="Arial" w:eastAsia="Arial" w:hAnsi="Arial"/>
                <w:sz w:val="12"/>
                <w:szCs w:val="12"/>
                <w:b w:val="1"/>
                <w:bCs w:val="1"/>
                <w:color w:val="auto"/>
              </w:rPr>
              <w:t>($)</w:t>
            </w:r>
          </w:p>
        </w:tc>
        <w:tc>
          <w:tcPr>
            <w:tcW w:w="130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6"/>
        </w:trPr>
        <w:tc>
          <w:tcPr>
            <w:tcW w:w="2560" w:type="dxa"/>
            <w:vAlign w:val="bottom"/>
            <w:tcBorders>
              <w:bottom w:val="single" w:sz="8" w:color="29378D"/>
            </w:tcBorders>
          </w:tcPr>
          <w:p>
            <w:pPr>
              <w:spacing w:after="0"/>
              <w:rPr>
                <w:sz w:val="2"/>
                <w:szCs w:val="2"/>
                <w:color w:val="auto"/>
              </w:rPr>
            </w:pPr>
          </w:p>
        </w:tc>
        <w:tc>
          <w:tcPr>
            <w:tcW w:w="1520" w:type="dxa"/>
            <w:vAlign w:val="bottom"/>
            <w:tcBorders>
              <w:bottom w:val="single" w:sz="8" w:color="29378D"/>
            </w:tcBorders>
          </w:tcPr>
          <w:p>
            <w:pPr>
              <w:spacing w:after="0"/>
              <w:rPr>
                <w:sz w:val="2"/>
                <w:szCs w:val="2"/>
                <w:color w:val="auto"/>
              </w:rPr>
            </w:pPr>
          </w:p>
        </w:tc>
        <w:tc>
          <w:tcPr>
            <w:tcW w:w="1780" w:type="dxa"/>
            <w:vAlign w:val="bottom"/>
            <w:tcBorders>
              <w:bottom w:val="single" w:sz="8" w:color="29378D"/>
            </w:tcBorders>
          </w:tcPr>
          <w:p>
            <w:pPr>
              <w:spacing w:after="0"/>
              <w:rPr>
                <w:sz w:val="2"/>
                <w:szCs w:val="2"/>
                <w:color w:val="auto"/>
              </w:rPr>
            </w:pPr>
          </w:p>
        </w:tc>
        <w:tc>
          <w:tcPr>
            <w:tcW w:w="1460" w:type="dxa"/>
            <w:vAlign w:val="bottom"/>
            <w:tcBorders>
              <w:bottom w:val="single" w:sz="8" w:color="29378D"/>
            </w:tcBorders>
          </w:tcPr>
          <w:p>
            <w:pPr>
              <w:spacing w:after="0"/>
              <w:rPr>
                <w:sz w:val="2"/>
                <w:szCs w:val="2"/>
                <w:color w:val="auto"/>
              </w:rPr>
            </w:pPr>
          </w:p>
        </w:tc>
        <w:tc>
          <w:tcPr>
            <w:tcW w:w="1480" w:type="dxa"/>
            <w:vAlign w:val="bottom"/>
            <w:tcBorders>
              <w:bottom w:val="single" w:sz="8" w:color="29378D"/>
            </w:tcBorders>
          </w:tcPr>
          <w:p>
            <w:pPr>
              <w:spacing w:after="0"/>
              <w:rPr>
                <w:sz w:val="2"/>
                <w:szCs w:val="2"/>
                <w:color w:val="auto"/>
              </w:rPr>
            </w:pPr>
          </w:p>
        </w:tc>
        <w:tc>
          <w:tcPr>
            <w:tcW w:w="1300" w:type="dxa"/>
            <w:vAlign w:val="bottom"/>
            <w:tcBorders>
              <w:bottom w:val="single" w:sz="8" w:color="29378D"/>
            </w:tcBorders>
          </w:tcPr>
          <w:p>
            <w:pPr>
              <w:spacing w:after="0"/>
              <w:rPr>
                <w:sz w:val="2"/>
                <w:szCs w:val="2"/>
                <w:color w:val="auto"/>
              </w:rPr>
            </w:pPr>
          </w:p>
        </w:tc>
        <w:tc>
          <w:tcPr>
            <w:tcW w:w="1140" w:type="dxa"/>
            <w:vAlign w:val="bottom"/>
            <w:tcBorders>
              <w:bottom w:val="single" w:sz="8" w:color="29378D"/>
            </w:tcBorders>
          </w:tcPr>
          <w:p>
            <w:pPr>
              <w:spacing w:after="0"/>
              <w:rPr>
                <w:sz w:val="2"/>
                <w:szCs w:val="2"/>
                <w:color w:val="auto"/>
              </w:rPr>
            </w:pPr>
          </w:p>
        </w:tc>
      </w:tr>
      <w:tr>
        <w:trPr>
          <w:trHeight w:val="208"/>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484,251</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218,269</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982,507</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(5,106)</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6,086,675</w:t>
            </w:r>
          </w:p>
        </w:tc>
      </w:tr>
      <w:tr>
        <w:trPr>
          <w:trHeight w:val="207"/>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228,423</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226,571</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(5,061)</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1,701,709</w:t>
            </w:r>
          </w:p>
        </w:tc>
      </w:tr>
      <w:tr>
        <w:trPr>
          <w:trHeight w:val="213"/>
        </w:trPr>
        <w:tc>
          <w:tcPr>
            <w:tcW w:w="256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129,856</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97,392</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95,741</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(6,188)</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696,363</w:t>
            </w:r>
          </w:p>
        </w:tc>
      </w:tr>
      <w:tr>
        <w:trPr>
          <w:trHeight w:val="206"/>
        </w:trPr>
        <w:tc>
          <w:tcPr>
            <w:tcW w:w="2560" w:type="dxa"/>
            <w:vAlign w:val="bottom"/>
            <w:tcBorders>
              <w:bottom w:val="single" w:sz="8" w:color="BCBEC0"/>
            </w:tcBorders>
          </w:tcPr>
          <w:p>
            <w:pPr>
              <w:spacing w:after="0"/>
              <w:rPr>
                <w:sz w:val="17"/>
                <w:szCs w:val="17"/>
                <w:color w:val="auto"/>
              </w:rPr>
            </w:pP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78,128</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26,039</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(3,864)</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260,881</w:t>
            </w:r>
          </w:p>
        </w:tc>
      </w:tr>
      <w:tr>
        <w:trPr>
          <w:trHeight w:val="213"/>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42,550</w:t>
            </w:r>
          </w:p>
        </w:tc>
        <w:tc>
          <w:tcPr>
            <w:tcW w:w="130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246,207</w:t>
            </w:r>
          </w:p>
        </w:tc>
      </w:tr>
      <w:tr>
        <w:trPr>
          <w:trHeight w:val="207"/>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80,029</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100,975</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(1,849)</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832,436</w:t>
            </w:r>
          </w:p>
        </w:tc>
      </w:tr>
      <w:tr>
        <w:trPr>
          <w:trHeight w:val="212"/>
        </w:trPr>
        <w:tc>
          <w:tcPr>
            <w:tcW w:w="2560" w:type="dxa"/>
            <w:vAlign w:val="bottom"/>
          </w:tcPr>
          <w:p>
            <w:pPr>
              <w:ind w:left="20"/>
              <w:spacing w:after="0"/>
              <w:rPr>
                <w:sz w:val="20"/>
                <w:szCs w:val="20"/>
                <w:color w:val="auto"/>
              </w:rPr>
            </w:pPr>
            <w:r>
              <w:rPr>
                <w:rFonts w:ascii="Arial" w:cs="Arial" w:eastAsia="Arial" w:hAnsi="Arial"/>
                <w:sz w:val="14"/>
                <w:szCs w:val="14"/>
                <w:b w:val="1"/>
                <w:bCs w:val="1"/>
                <w:color w:val="29378D"/>
              </w:rPr>
              <w:t>Thomas H. Jones</w:t>
            </w: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118,423</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133,226</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97,591</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(3,072)</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961,404</w:t>
            </w:r>
          </w:p>
        </w:tc>
      </w:tr>
      <w:tr>
        <w:trPr>
          <w:trHeight w:val="207"/>
        </w:trPr>
        <w:tc>
          <w:tcPr>
            <w:tcW w:w="2560" w:type="dxa"/>
            <w:vAlign w:val="bottom"/>
            <w:tcBorders>
              <w:bottom w:val="single" w:sz="8" w:color="BCBEC0"/>
            </w:tcBorders>
          </w:tcPr>
          <w:p>
            <w:pPr>
              <w:spacing w:after="0"/>
              <w:rPr>
                <w:sz w:val="17"/>
                <w:szCs w:val="17"/>
                <w:color w:val="auto"/>
              </w:rPr>
            </w:pP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72,412</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62,454</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(1,633)</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541,557</w:t>
            </w:r>
          </w:p>
        </w:tc>
      </w:tr>
      <w:tr>
        <w:trPr>
          <w:trHeight w:val="213"/>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00249C"/>
              </w:rPr>
              <w:t>Roshan S. Roeder</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128,532</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25,706</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46,502</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(604)</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382,349</w:t>
            </w:r>
          </w:p>
        </w:tc>
      </w:tr>
      <w:tr>
        <w:trPr>
          <w:trHeight w:val="206"/>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47,475</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22,989</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(602)</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203,131</w:t>
            </w:r>
          </w:p>
        </w:tc>
      </w:tr>
    </w:tbl>
    <w:p>
      <w:pPr>
        <w:spacing w:after="0" w:line="180" w:lineRule="exact"/>
        <w:rPr>
          <w:sz w:val="20"/>
          <w:szCs w:val="20"/>
          <w:color w:val="auto"/>
        </w:rPr>
      </w:pPr>
    </w:p>
    <w:p>
      <w:pPr>
        <w:ind w:left="260" w:right="240" w:hanging="252"/>
        <w:spacing w:after="0" w:line="305" w:lineRule="auto"/>
        <w:tabs>
          <w:tab w:leader="none" w:pos="258" w:val="left"/>
        </w:tabs>
        <w:numPr>
          <w:ilvl w:val="0"/>
          <w:numId w:val="151"/>
        </w:numPr>
        <w:rPr>
          <w:rFonts w:ascii="Arial" w:cs="Arial" w:eastAsia="Arial" w:hAnsi="Arial"/>
          <w:sz w:val="14"/>
          <w:szCs w:val="14"/>
          <w:color w:val="auto"/>
        </w:rPr>
      </w:pPr>
      <w:r>
        <w:rPr>
          <w:rFonts w:ascii="Arial" w:cs="Arial" w:eastAsia="Arial" w:hAnsi="Arial"/>
          <w:sz w:val="14"/>
          <w:szCs w:val="14"/>
          <w:color w:val="auto"/>
        </w:rPr>
        <w:t>NEO contributions in this column are also included in the 2023 Summary Compensation Table on page 71, under the columns entitled “Salary” and “Non-Equity Incentive Plan Compensation.”</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Company contributions in this column are included in the 2023 Summary Compensation Table, under the column entitled “All Other Compensation.”</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Aggregate earnings in the last fiscal year are not included in the 2023 Summary Compensation Table because they are not above market or preferential.</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NEO and Company contributions in this column may include balances for merged plans.</w:t>
      </w:r>
    </w:p>
    <w:p>
      <w:pPr>
        <w:spacing w:after="0" w:line="109" w:lineRule="exact"/>
        <w:rPr>
          <w:rFonts w:ascii="Arial" w:cs="Arial" w:eastAsia="Arial" w:hAnsi="Arial"/>
          <w:sz w:val="14"/>
          <w:szCs w:val="14"/>
          <w:color w:val="auto"/>
        </w:rPr>
      </w:pPr>
    </w:p>
    <w:p>
      <w:pPr>
        <w:ind w:left="260" w:right="320"/>
        <w:spacing w:after="0" w:line="305" w:lineRule="auto"/>
        <w:rPr>
          <w:rFonts w:ascii="Arial" w:cs="Arial" w:eastAsia="Arial" w:hAnsi="Arial"/>
          <w:sz w:val="14"/>
          <w:szCs w:val="14"/>
          <w:color w:val="auto"/>
        </w:rPr>
      </w:pPr>
      <w:r>
        <w:rPr>
          <w:rFonts w:ascii="Arial" w:cs="Arial" w:eastAsia="Arial" w:hAnsi="Arial"/>
          <w:sz w:val="14"/>
          <w:szCs w:val="14"/>
          <w:color w:val="auto"/>
        </w:rPr>
        <w:t>Employee contributions by Ms. Warden and Mr. Keffer for the years ended December 31, 2023, 2022 and 2021, collectively, previously reported as compensation in the Summary Compensation tables, were as follows: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78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Employee Contributions ($)</w:t>
            </w:r>
          </w:p>
        </w:tc>
      </w:tr>
      <w:tr>
        <w:trPr>
          <w:trHeight w:val="22"/>
        </w:trPr>
        <w:tc>
          <w:tcPr>
            <w:tcW w:w="7820" w:type="dxa"/>
            <w:vAlign w:val="bottom"/>
            <w:tcBorders>
              <w:bottom w:val="single" w:sz="8" w:color="29378D"/>
            </w:tcBorders>
          </w:tcPr>
          <w:p>
            <w:pPr>
              <w:spacing w:after="0" w:line="20" w:lineRule="exact"/>
              <w:rPr>
                <w:sz w:val="1"/>
                <w:szCs w:val="1"/>
                <w:color w:val="auto"/>
              </w:rPr>
            </w:pPr>
          </w:p>
        </w:tc>
        <w:tc>
          <w:tcPr>
            <w:tcW w:w="2740" w:type="dxa"/>
            <w:vAlign w:val="bottom"/>
            <w:tcBorders>
              <w:bottom w:val="single" w:sz="8" w:color="29378D"/>
            </w:tcBorders>
          </w:tcPr>
          <w:p>
            <w:pPr>
              <w:spacing w:after="0" w:line="20" w:lineRule="exact"/>
              <w:rPr>
                <w:sz w:val="1"/>
                <w:szCs w:val="1"/>
                <w:color w:val="auto"/>
              </w:rPr>
            </w:pPr>
          </w:p>
        </w:tc>
      </w:tr>
      <w:tr>
        <w:trPr>
          <w:trHeight w:val="209"/>
        </w:trPr>
        <w:tc>
          <w:tcPr>
            <w:tcW w:w="78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274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1,363,502</w:t>
            </w:r>
          </w:p>
        </w:tc>
      </w:tr>
      <w:tr>
        <w:trPr>
          <w:trHeight w:val="209"/>
        </w:trPr>
        <w:tc>
          <w:tcPr>
            <w:tcW w:w="78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274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368,489</w:t>
            </w:r>
          </w:p>
        </w:tc>
      </w:tr>
      <w:tr>
        <w:trPr>
          <w:trHeight w:val="210"/>
        </w:trPr>
        <w:tc>
          <w:tcPr>
            <w:tcW w:w="78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Jones</w:t>
            </w:r>
          </w:p>
        </w:tc>
        <w:tc>
          <w:tcPr>
            <w:tcW w:w="274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232,993</w:t>
            </w:r>
          </w:p>
        </w:tc>
      </w:tr>
      <w:tr>
        <w:trPr>
          <w:trHeight w:val="210"/>
        </w:trPr>
        <w:tc>
          <w:tcPr>
            <w:tcW w:w="78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Ms. Roeder</w:t>
            </w:r>
          </w:p>
        </w:tc>
        <w:tc>
          <w:tcPr>
            <w:tcW w:w="274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128,532</w:t>
            </w:r>
          </w:p>
        </w:tc>
      </w:tr>
    </w:tbl>
    <w:p>
      <w:pPr>
        <w:spacing w:after="0" w:line="193" w:lineRule="exact"/>
        <w:rPr>
          <w:sz w:val="20"/>
          <w:szCs w:val="20"/>
          <w:color w:val="auto"/>
        </w:rPr>
      </w:pPr>
    </w:p>
    <w:p>
      <w:pPr>
        <w:ind w:left="260" w:right="80"/>
        <w:spacing w:after="0" w:line="273" w:lineRule="auto"/>
        <w:rPr>
          <w:sz w:val="20"/>
          <w:szCs w:val="20"/>
          <w:color w:val="auto"/>
        </w:rPr>
      </w:pPr>
      <w:r>
        <w:rPr>
          <w:rFonts w:ascii="Arial" w:cs="Arial" w:eastAsia="Arial" w:hAnsi="Arial"/>
          <w:sz w:val="14"/>
          <w:szCs w:val="14"/>
          <w:color w:val="auto"/>
        </w:rPr>
        <w:t>There were no employee contributions made by Mr. Caylor for the years ended December 31, 2023, 2022 and 2021. Because Mr. Jones was not an NEO on December 31, 2021, employee contribution data for that year is not presented. In addition, Ms. Roeder was not an NEO for the years ended December 31, 2022 and 2021, employee contribution data for these years is not presented.</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Deferred Compensation Plans and Descriptions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deferred compensation plans in which the NEOs participate are listed below in alphabetical order:</w:t>
      </w:r>
    </w:p>
    <w:p>
      <w:pPr>
        <w:spacing w:after="0" w:line="113" w:lineRule="exact"/>
        <w:rPr>
          <w:sz w:val="20"/>
          <w:szCs w:val="20"/>
          <w:color w:val="auto"/>
        </w:rPr>
      </w:pPr>
    </w:p>
    <w:p>
      <w:pPr>
        <w:ind w:left="200" w:right="660" w:hanging="192"/>
        <w:spacing w:after="0" w:line="304" w:lineRule="auto"/>
        <w:tabs>
          <w:tab w:leader="none" w:pos="143" w:val="left"/>
        </w:tabs>
        <w:numPr>
          <w:ilvl w:val="0"/>
          <w:numId w:val="152"/>
        </w:numPr>
        <w:rPr>
          <w:rFonts w:ascii="Arial" w:cs="Arial" w:eastAsia="Arial" w:hAnsi="Arial"/>
          <w:sz w:val="16"/>
          <w:szCs w:val="16"/>
          <w:b w:val="1"/>
          <w:bCs w:val="1"/>
          <w:color w:val="29378D"/>
        </w:rPr>
      </w:pPr>
      <w:r>
        <w:rPr>
          <w:rFonts w:ascii="Arial" w:cs="Arial" w:eastAsia="Arial" w:hAnsi="Arial"/>
          <w:sz w:val="16"/>
          <w:szCs w:val="16"/>
          <w:color w:val="auto"/>
        </w:rPr>
        <w:t>ORAC is the Northrop Grumman Officers Retirement Account Contribution Plan. This plan allows eligible executives, including NEOs, to receive a Company contribution of 4% of base salary and bonus.</w:t>
      </w:r>
    </w:p>
    <w:p>
      <w:pPr>
        <w:spacing w:after="0" w:line="6" w:lineRule="exact"/>
        <w:rPr>
          <w:rFonts w:ascii="Arial" w:cs="Arial" w:eastAsia="Arial" w:hAnsi="Arial"/>
          <w:sz w:val="16"/>
          <w:szCs w:val="16"/>
          <w:b w:val="1"/>
          <w:bCs w:val="1"/>
          <w:color w:val="29378D"/>
        </w:rPr>
      </w:pPr>
    </w:p>
    <w:p>
      <w:pPr>
        <w:ind w:left="200" w:right="100" w:hanging="192"/>
        <w:spacing w:after="0" w:line="266" w:lineRule="auto"/>
        <w:tabs>
          <w:tab w:leader="none" w:pos="143" w:val="left"/>
        </w:tabs>
        <w:numPr>
          <w:ilvl w:val="0"/>
          <w:numId w:val="152"/>
        </w:numPr>
        <w:rPr>
          <w:rFonts w:ascii="Arial" w:cs="Arial" w:eastAsia="Arial" w:hAnsi="Arial"/>
          <w:sz w:val="16"/>
          <w:szCs w:val="16"/>
          <w:b w:val="1"/>
          <w:bCs w:val="1"/>
          <w:color w:val="29378D"/>
        </w:rPr>
      </w:pPr>
      <w:r>
        <w:rPr>
          <w:rFonts w:ascii="Arial" w:cs="Arial" w:eastAsia="Arial" w:hAnsi="Arial"/>
          <w:sz w:val="16"/>
          <w:szCs w:val="16"/>
          <w:color w:val="auto"/>
        </w:rPr>
        <w:t>Savings Excess Plan is the Northrop Grumman Savings Excess Plan. This plan allows eligible employees, including the NEOs, to (i) defer up to 50% of their salary and bonus beyond the compensation limits of the tax qualified plans and receive a Company matching contribution of up to 7% of pay and (ii) receive Retirement Account Contributions (RAC) and Non-elective Contributions (NEC) beyond the compensation limits in the qualified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Termination Payments and Benefits</w:t>
      </w:r>
    </w:p>
    <w:p>
      <w:pPr>
        <w:spacing w:after="0" w:line="14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table summarizes certain payments and benefits the NEOs may receive upon termination, subject to the referenced plans and terms and conditions of the awards.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4"/>
              </w:rPr>
              <w:t>Post-CIC</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Involuntary</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40" w:type="dxa"/>
            <w:vAlign w:val="bottom"/>
          </w:tcPr>
          <w:p>
            <w:pPr>
              <w:ind w:left="700"/>
              <w:spacing w:after="0"/>
              <w:rPr>
                <w:sz w:val="20"/>
                <w:szCs w:val="20"/>
                <w:color w:val="auto"/>
              </w:rPr>
            </w:pPr>
            <w:r>
              <w:rPr>
                <w:rFonts w:ascii="Arial" w:cs="Arial" w:eastAsia="Arial" w:hAnsi="Arial"/>
                <w:sz w:val="12"/>
                <w:szCs w:val="12"/>
                <w:b w:val="1"/>
                <w:bCs w:val="1"/>
                <w:color w:val="auto"/>
              </w:rPr>
              <w:t>Involuntary Termination</w:t>
            </w: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8"/>
              </w:rPr>
              <w:t>or Good Reason</w:t>
            </w:r>
          </w:p>
        </w:tc>
        <w:tc>
          <w:tcPr>
            <w:tcW w:w="1580" w:type="dxa"/>
            <w:vAlign w:val="bottom"/>
          </w:tcPr>
          <w:p>
            <w:pPr>
              <w:ind w:left="560"/>
              <w:spacing w:after="0"/>
              <w:rPr>
                <w:sz w:val="20"/>
                <w:szCs w:val="20"/>
                <w:color w:val="auto"/>
              </w:rPr>
            </w:pPr>
            <w:r>
              <w:rPr>
                <w:rFonts w:ascii="Arial" w:cs="Arial" w:eastAsia="Arial" w:hAnsi="Arial"/>
                <w:sz w:val="12"/>
                <w:szCs w:val="12"/>
                <w:b w:val="1"/>
                <w:bCs w:val="1"/>
                <w:color w:val="auto"/>
              </w:rPr>
              <w:t>Death or</w:t>
            </w:r>
          </w:p>
        </w:tc>
        <w:tc>
          <w:tcPr>
            <w:tcW w:w="0" w:type="dxa"/>
            <w:vAlign w:val="bottom"/>
          </w:tcPr>
          <w:p>
            <w:pPr>
              <w:spacing w:after="0"/>
              <w:rPr>
                <w:sz w:val="1"/>
                <w:szCs w:val="1"/>
                <w:color w:val="auto"/>
              </w:rPr>
            </w:pPr>
          </w:p>
        </w:tc>
      </w:tr>
      <w:tr>
        <w:trPr>
          <w:trHeight w:val="185"/>
        </w:trPr>
        <w:tc>
          <w:tcPr>
            <w:tcW w:w="1620" w:type="dxa"/>
            <w:vAlign w:val="bottom"/>
            <w:tcBorders>
              <w:bottom w:val="single" w:sz="8" w:color="29378D"/>
            </w:tcBorders>
          </w:tcPr>
          <w:p>
            <w:pPr>
              <w:spacing w:after="0"/>
              <w:rPr>
                <w:sz w:val="16"/>
                <w:szCs w:val="16"/>
                <w:color w:val="auto"/>
              </w:rPr>
            </w:pPr>
          </w:p>
        </w:tc>
        <w:tc>
          <w:tcPr>
            <w:tcW w:w="2540" w:type="dxa"/>
            <w:vAlign w:val="bottom"/>
            <w:tcBorders>
              <w:bottom w:val="single" w:sz="8" w:color="29378D"/>
            </w:tcBorders>
          </w:tcPr>
          <w:p>
            <w:pPr>
              <w:ind w:left="680"/>
              <w:spacing w:after="0"/>
              <w:rPr>
                <w:sz w:val="20"/>
                <w:szCs w:val="20"/>
                <w:color w:val="auto"/>
              </w:rPr>
            </w:pPr>
            <w:r>
              <w:rPr>
                <w:rFonts w:ascii="Arial" w:cs="Arial" w:eastAsia="Arial" w:hAnsi="Arial"/>
                <w:sz w:val="12"/>
                <w:szCs w:val="12"/>
                <w:b w:val="1"/>
                <w:bCs w:val="1"/>
                <w:color w:val="auto"/>
              </w:rPr>
              <w:t>Voluntary Termination</w:t>
            </w:r>
            <w:r>
              <w:rPr>
                <w:rFonts w:ascii="Arial" w:cs="Arial" w:eastAsia="Arial" w:hAnsi="Arial"/>
                <w:sz w:val="15"/>
                <w:szCs w:val="15"/>
                <w:b w:val="1"/>
                <w:bCs w:val="1"/>
                <w:color w:val="auto"/>
                <w:vertAlign w:val="superscript"/>
              </w:rPr>
              <w:t>(3)</w:t>
            </w:r>
          </w:p>
        </w:tc>
        <w:tc>
          <w:tcPr>
            <w:tcW w:w="2640" w:type="dxa"/>
            <w:vAlign w:val="bottom"/>
            <w:tcBorders>
              <w:bottom w:val="single" w:sz="8" w:color="29378D"/>
            </w:tcBorders>
          </w:tcPr>
          <w:p>
            <w:pPr>
              <w:ind w:left="920"/>
              <w:spacing w:after="0"/>
              <w:rPr>
                <w:sz w:val="20"/>
                <w:szCs w:val="20"/>
                <w:color w:val="auto"/>
              </w:rPr>
            </w:pPr>
            <w:r>
              <w:rPr>
                <w:rFonts w:ascii="Arial" w:cs="Arial" w:eastAsia="Arial" w:hAnsi="Arial"/>
                <w:sz w:val="12"/>
                <w:szCs w:val="12"/>
                <w:b w:val="1"/>
                <w:bCs w:val="1"/>
                <w:color w:val="auto"/>
              </w:rPr>
              <w:t>Not For Cause</w:t>
            </w:r>
            <w:r>
              <w:rPr>
                <w:rFonts w:ascii="Arial" w:cs="Arial" w:eastAsia="Arial" w:hAnsi="Arial"/>
                <w:sz w:val="15"/>
                <w:szCs w:val="15"/>
                <w:b w:val="1"/>
                <w:bCs w:val="1"/>
                <w:color w:val="auto"/>
                <w:vertAlign w:val="superscript"/>
              </w:rPr>
              <w:t>(3)</w:t>
            </w:r>
          </w:p>
        </w:tc>
        <w:tc>
          <w:tcPr>
            <w:tcW w:w="2860" w:type="dxa"/>
            <w:vAlign w:val="bottom"/>
            <w:tcBorders>
              <w:bottom w:val="single" w:sz="8" w:color="29378D"/>
            </w:tcBorders>
          </w:tcPr>
          <w:p>
            <w:pPr>
              <w:jc w:val="center"/>
              <w:ind w:left="10"/>
              <w:spacing w:after="0"/>
              <w:rPr>
                <w:sz w:val="20"/>
                <w:szCs w:val="20"/>
                <w:color w:val="auto"/>
              </w:rPr>
            </w:pPr>
            <w:r>
              <w:rPr>
                <w:rFonts w:ascii="Arial" w:cs="Arial" w:eastAsia="Arial" w:hAnsi="Arial"/>
                <w:sz w:val="12"/>
                <w:szCs w:val="12"/>
                <w:b w:val="1"/>
                <w:bCs w:val="1"/>
                <w:color w:val="auto"/>
                <w:w w:val="96"/>
              </w:rPr>
              <w:t>Termination</w:t>
            </w:r>
          </w:p>
        </w:tc>
        <w:tc>
          <w:tcPr>
            <w:tcW w:w="1580" w:type="dxa"/>
            <w:vAlign w:val="bottom"/>
            <w:tcBorders>
              <w:bottom w:val="single" w:sz="8" w:color="29378D"/>
            </w:tcBorders>
          </w:tcPr>
          <w:p>
            <w:pPr>
              <w:ind w:left="500"/>
              <w:spacing w:after="0"/>
              <w:rPr>
                <w:sz w:val="20"/>
                <w:szCs w:val="20"/>
                <w:color w:val="auto"/>
              </w:rPr>
            </w:pPr>
            <w:r>
              <w:rPr>
                <w:rFonts w:ascii="Arial" w:cs="Arial" w:eastAsia="Arial" w:hAnsi="Arial"/>
                <w:sz w:val="12"/>
                <w:szCs w:val="12"/>
                <w:b w:val="1"/>
                <w:bCs w:val="1"/>
                <w:color w:val="auto"/>
              </w:rPr>
              <w:t>Disability</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173"/>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RSRs</w:t>
            </w:r>
            <w:r>
              <w:rPr>
                <w:rFonts w:ascii="Arial" w:cs="Arial" w:eastAsia="Arial" w:hAnsi="Arial"/>
                <w:sz w:val="18"/>
                <w:szCs w:val="18"/>
                <w:color w:val="auto"/>
                <w:vertAlign w:val="superscript"/>
              </w:rPr>
              <w:t>(1)</w:t>
            </w:r>
          </w:p>
        </w:tc>
        <w:tc>
          <w:tcPr>
            <w:tcW w:w="2540" w:type="dxa"/>
            <w:vAlign w:val="bottom"/>
          </w:tcPr>
          <w:p>
            <w:pPr>
              <w:ind w:left="100"/>
              <w:spacing w:after="0"/>
              <w:rPr>
                <w:sz w:val="20"/>
                <w:szCs w:val="20"/>
                <w:color w:val="auto"/>
              </w:rPr>
            </w:pPr>
            <w:r>
              <w:rPr>
                <w:rFonts w:ascii="Arial" w:cs="Arial" w:eastAsia="Arial" w:hAnsi="Arial"/>
                <w:sz w:val="14"/>
                <w:szCs w:val="14"/>
                <w:color w:val="auto"/>
              </w:rPr>
              <w:t>Unvested RSRs are forfeited, except</w:t>
            </w:r>
          </w:p>
        </w:tc>
        <w:tc>
          <w:tcPr>
            <w:tcW w:w="2640" w:type="dxa"/>
            <w:vAlign w:val="bottom"/>
          </w:tcPr>
          <w:p>
            <w:pPr>
              <w:ind w:left="60"/>
              <w:spacing w:after="0"/>
              <w:rPr>
                <w:sz w:val="20"/>
                <w:szCs w:val="20"/>
                <w:color w:val="auto"/>
              </w:rPr>
            </w:pPr>
            <w:r>
              <w:rPr>
                <w:rFonts w:ascii="Arial" w:cs="Arial" w:eastAsia="Arial" w:hAnsi="Arial"/>
                <w:sz w:val="14"/>
                <w:szCs w:val="14"/>
                <w:color w:val="auto"/>
              </w:rPr>
              <w:t>Unvested RSRs are forfeited, except in</w:t>
            </w:r>
          </w:p>
        </w:tc>
        <w:tc>
          <w:tcPr>
            <w:tcW w:w="2860" w:type="dxa"/>
            <w:vAlign w:val="bottom"/>
          </w:tcPr>
          <w:p>
            <w:pPr>
              <w:ind w:left="60"/>
              <w:spacing w:after="0"/>
              <w:rPr>
                <w:sz w:val="20"/>
                <w:szCs w:val="20"/>
                <w:color w:val="auto"/>
              </w:rPr>
            </w:pPr>
            <w:r>
              <w:rPr>
                <w:rFonts w:ascii="Arial" w:cs="Arial" w:eastAsia="Arial" w:hAnsi="Arial"/>
                <w:sz w:val="14"/>
                <w:szCs w:val="14"/>
                <w:color w:val="auto"/>
              </w:rPr>
              <w:t>For certain change in control events as set</w:t>
            </w:r>
          </w:p>
        </w:tc>
        <w:tc>
          <w:tcPr>
            <w:tcW w:w="1580" w:type="dxa"/>
            <w:vAlign w:val="bottom"/>
          </w:tcPr>
          <w:p>
            <w:pPr>
              <w:ind w:left="40"/>
              <w:spacing w:after="0"/>
              <w:rPr>
                <w:sz w:val="20"/>
                <w:szCs w:val="20"/>
                <w:color w:val="auto"/>
              </w:rPr>
            </w:pPr>
            <w:r>
              <w:rPr>
                <w:rFonts w:ascii="Arial" w:cs="Arial" w:eastAsia="Arial" w:hAnsi="Arial"/>
                <w:sz w:val="14"/>
                <w:szCs w:val="14"/>
                <w:color w:val="auto"/>
              </w:rPr>
              <w:t>Unvested RSRs will</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540" w:type="dxa"/>
            <w:vAlign w:val="bottom"/>
            <w:vMerge w:val="restart"/>
          </w:tcPr>
          <w:p>
            <w:pPr>
              <w:ind w:left="100"/>
              <w:spacing w:after="0"/>
              <w:rPr>
                <w:sz w:val="20"/>
                <w:szCs w:val="20"/>
                <w:color w:val="auto"/>
              </w:rPr>
            </w:pPr>
            <w:r>
              <w:rPr>
                <w:rFonts w:ascii="Arial" w:cs="Arial" w:eastAsia="Arial" w:hAnsi="Arial"/>
                <w:sz w:val="14"/>
                <w:szCs w:val="14"/>
                <w:color w:val="auto"/>
              </w:rPr>
              <w:t>in the case of early retirement where</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the case of early retirement where the</w:t>
            </w:r>
          </w:p>
        </w:tc>
        <w:tc>
          <w:tcPr>
            <w:tcW w:w="2860" w:type="dxa"/>
            <w:vAlign w:val="bottom"/>
            <w:vMerge w:val="restart"/>
          </w:tcPr>
          <w:p>
            <w:pPr>
              <w:ind w:left="60"/>
              <w:spacing w:after="0"/>
              <w:rPr>
                <w:sz w:val="20"/>
                <w:szCs w:val="20"/>
                <w:color w:val="auto"/>
              </w:rPr>
            </w:pPr>
            <w:r>
              <w:rPr>
                <w:rFonts w:ascii="Arial" w:cs="Arial" w:eastAsia="Arial" w:hAnsi="Arial"/>
                <w:sz w:val="14"/>
                <w:szCs w:val="14"/>
                <w:color w:val="auto"/>
              </w:rPr>
              <w:t>forth in the 2011 Plan (CIC), unvested</w:t>
            </w:r>
          </w:p>
        </w:tc>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fully vest and payment</w:t>
            </w:r>
          </w:p>
        </w:tc>
        <w:tc>
          <w:tcPr>
            <w:tcW w:w="0" w:type="dxa"/>
            <w:vAlign w:val="bottom"/>
          </w:tcPr>
          <w:p>
            <w:pPr>
              <w:spacing w:after="0"/>
              <w:rPr>
                <w:sz w:val="1"/>
                <w:szCs w:val="1"/>
                <w:color w:val="auto"/>
              </w:rPr>
            </w:pPr>
          </w:p>
        </w:tc>
      </w:tr>
      <w:tr>
        <w:trPr>
          <w:trHeight w:val="31"/>
        </w:trPr>
        <w:tc>
          <w:tcPr>
            <w:tcW w:w="16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tcPr>
          <w:p>
            <w:pPr>
              <w:spacing w:after="0"/>
              <w:rPr>
                <w:sz w:val="15"/>
                <w:szCs w:val="15"/>
                <w:color w:val="auto"/>
              </w:rPr>
            </w:pPr>
          </w:p>
        </w:tc>
        <w:tc>
          <w:tcPr>
            <w:tcW w:w="5180" w:type="dxa"/>
            <w:vAlign w:val="bottom"/>
            <w:gridSpan w:val="2"/>
          </w:tcPr>
          <w:p>
            <w:pPr>
              <w:ind w:left="100"/>
              <w:spacing w:after="0"/>
              <w:rPr>
                <w:sz w:val="20"/>
                <w:szCs w:val="20"/>
                <w:color w:val="auto"/>
              </w:rPr>
            </w:pPr>
            <w:r>
              <w:rPr>
                <w:rFonts w:ascii="Arial" w:cs="Arial" w:eastAsia="Arial" w:hAnsi="Arial"/>
                <w:sz w:val="14"/>
                <w:szCs w:val="14"/>
                <w:color w:val="auto"/>
              </w:rPr>
              <w:t>the RSRs are prorated and mandatory RSRs are prorated and mandatory</w:t>
            </w:r>
          </w:p>
        </w:tc>
        <w:tc>
          <w:tcPr>
            <w:tcW w:w="2860" w:type="dxa"/>
            <w:vAlign w:val="bottom"/>
          </w:tcPr>
          <w:p>
            <w:pPr>
              <w:ind w:left="60"/>
              <w:spacing w:after="0"/>
              <w:rPr>
                <w:sz w:val="20"/>
                <w:szCs w:val="20"/>
                <w:color w:val="auto"/>
              </w:rPr>
            </w:pPr>
            <w:r>
              <w:rPr>
                <w:rFonts w:ascii="Arial" w:cs="Arial" w:eastAsia="Arial" w:hAnsi="Arial"/>
                <w:sz w:val="14"/>
                <w:szCs w:val="14"/>
                <w:color w:val="auto"/>
              </w:rPr>
              <w:t>RSRs will vest and payment is accelerated,</w:t>
            </w:r>
          </w:p>
        </w:tc>
        <w:tc>
          <w:tcPr>
            <w:tcW w:w="1580" w:type="dxa"/>
            <w:vAlign w:val="bottom"/>
          </w:tcPr>
          <w:p>
            <w:pPr>
              <w:ind w:left="40"/>
              <w:spacing w:after="0"/>
              <w:rPr>
                <w:sz w:val="20"/>
                <w:szCs w:val="20"/>
                <w:color w:val="auto"/>
              </w:rPr>
            </w:pPr>
            <w:r>
              <w:rPr>
                <w:rFonts w:ascii="Arial" w:cs="Arial" w:eastAsia="Arial" w:hAnsi="Arial"/>
                <w:sz w:val="14"/>
                <w:szCs w:val="14"/>
                <w:color w:val="auto"/>
              </w:rPr>
              <w:t>is accelerated.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retirement (age 65) where they will</w:t>
            </w:r>
          </w:p>
        </w:tc>
        <w:tc>
          <w:tcPr>
            <w:tcW w:w="2640" w:type="dxa"/>
            <w:vAlign w:val="bottom"/>
          </w:tcPr>
          <w:p>
            <w:pPr>
              <w:ind w:left="60"/>
              <w:spacing w:after="0"/>
              <w:rPr>
                <w:sz w:val="20"/>
                <w:szCs w:val="20"/>
                <w:color w:val="auto"/>
              </w:rPr>
            </w:pPr>
            <w:r>
              <w:rPr>
                <w:rFonts w:ascii="Arial" w:cs="Arial" w:eastAsia="Arial" w:hAnsi="Arial"/>
                <w:sz w:val="14"/>
                <w:szCs w:val="14"/>
                <w:color w:val="auto"/>
              </w:rPr>
              <w:t>retirement (age 65) where they will fully</w:t>
            </w:r>
          </w:p>
        </w:tc>
        <w:tc>
          <w:tcPr>
            <w:tcW w:w="2860" w:type="dxa"/>
            <w:vAlign w:val="bottom"/>
          </w:tcPr>
          <w:p>
            <w:pPr>
              <w:ind w:left="60"/>
              <w:spacing w:after="0"/>
              <w:rPr>
                <w:sz w:val="20"/>
                <w:szCs w:val="20"/>
                <w:color w:val="auto"/>
              </w:rPr>
            </w:pPr>
            <w:r>
              <w:rPr>
                <w:rFonts w:ascii="Arial" w:cs="Arial" w:eastAsia="Arial" w:hAnsi="Arial"/>
                <w:sz w:val="14"/>
                <w:szCs w:val="14"/>
                <w:color w:val="auto"/>
              </w:rPr>
              <w:t>only in the event of a double trigger (CIC</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fully vest. Retention awards do not</w:t>
            </w:r>
          </w:p>
        </w:tc>
        <w:tc>
          <w:tcPr>
            <w:tcW w:w="2640" w:type="dxa"/>
            <w:vAlign w:val="bottom"/>
          </w:tcPr>
          <w:p>
            <w:pPr>
              <w:ind w:left="60"/>
              <w:spacing w:after="0"/>
              <w:rPr>
                <w:sz w:val="20"/>
                <w:szCs w:val="20"/>
                <w:color w:val="auto"/>
              </w:rPr>
            </w:pPr>
            <w:r>
              <w:rPr>
                <w:rFonts w:ascii="Arial" w:cs="Arial" w:eastAsia="Arial" w:hAnsi="Arial"/>
                <w:sz w:val="14"/>
                <w:szCs w:val="14"/>
                <w:color w:val="auto"/>
              </w:rPr>
              <w:t>vest. Retention awards do not include</w:t>
            </w:r>
          </w:p>
        </w:tc>
        <w:tc>
          <w:tcPr>
            <w:tcW w:w="2860" w:type="dxa"/>
            <w:vAlign w:val="bottom"/>
          </w:tcPr>
          <w:p>
            <w:pPr>
              <w:ind w:left="60"/>
              <w:spacing w:after="0"/>
              <w:rPr>
                <w:sz w:val="20"/>
                <w:szCs w:val="20"/>
                <w:color w:val="auto"/>
              </w:rPr>
            </w:pPr>
            <w:r>
              <w:rPr>
                <w:rFonts w:ascii="Arial" w:cs="Arial" w:eastAsia="Arial" w:hAnsi="Arial"/>
                <w:sz w:val="14"/>
                <w:szCs w:val="14"/>
                <w:color w:val="auto"/>
              </w:rPr>
              <w:t>and termination other than for cause within</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include retirement provisions.</w:t>
            </w:r>
          </w:p>
        </w:tc>
        <w:tc>
          <w:tcPr>
            <w:tcW w:w="2640" w:type="dxa"/>
            <w:vAlign w:val="bottom"/>
          </w:tcPr>
          <w:p>
            <w:pPr>
              <w:ind w:left="60"/>
              <w:spacing w:after="0"/>
              <w:rPr>
                <w:sz w:val="20"/>
                <w:szCs w:val="20"/>
                <w:color w:val="auto"/>
              </w:rPr>
            </w:pPr>
            <w:r>
              <w:rPr>
                <w:rFonts w:ascii="Arial" w:cs="Arial" w:eastAsia="Arial" w:hAnsi="Arial"/>
                <w:sz w:val="14"/>
                <w:szCs w:val="14"/>
                <w:color w:val="auto"/>
              </w:rPr>
              <w:t>retirement provisions.</w:t>
            </w:r>
          </w:p>
        </w:tc>
        <w:tc>
          <w:tcPr>
            <w:tcW w:w="2860" w:type="dxa"/>
            <w:vAlign w:val="bottom"/>
          </w:tcPr>
          <w:p>
            <w:pPr>
              <w:ind w:left="60"/>
              <w:spacing w:after="0"/>
              <w:rPr>
                <w:sz w:val="20"/>
                <w:szCs w:val="20"/>
                <w:color w:val="auto"/>
              </w:rPr>
            </w:pPr>
            <w:r>
              <w:rPr>
                <w:rFonts w:ascii="Arial" w:cs="Arial" w:eastAsia="Arial" w:hAnsi="Arial"/>
                <w:sz w:val="14"/>
                <w:szCs w:val="14"/>
                <w:color w:val="auto"/>
              </w:rPr>
              <w:t>the specified period), or if the acquiring</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company fails to assume the awards;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subject to certain limitations to the extent</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such accelerated payments would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otherwise trigger an excise tax.</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tcPr>
          <w:p>
            <w:pPr>
              <w:ind w:left="20"/>
              <w:spacing w:after="0" w:line="317" w:lineRule="exact"/>
              <w:rPr>
                <w:sz w:val="20"/>
                <w:szCs w:val="20"/>
                <w:color w:val="auto"/>
              </w:rPr>
            </w:pPr>
            <w:r>
              <w:rPr>
                <w:rFonts w:ascii="Arial" w:cs="Arial" w:eastAsia="Arial" w:hAnsi="Arial"/>
                <w:sz w:val="28"/>
                <w:szCs w:val="28"/>
                <w:color w:val="auto"/>
                <w:vertAlign w:val="subscript"/>
              </w:rPr>
              <w:t>RPSRs</w:t>
            </w:r>
            <w:r>
              <w:rPr>
                <w:rFonts w:ascii="Arial" w:cs="Arial" w:eastAsia="Arial" w:hAnsi="Arial"/>
                <w:sz w:val="9"/>
                <w:szCs w:val="9"/>
                <w:color w:val="auto"/>
              </w:rPr>
              <w:t>(1)(2)</w:t>
            </w:r>
          </w:p>
        </w:tc>
        <w:tc>
          <w:tcPr>
            <w:tcW w:w="2540" w:type="dxa"/>
            <w:vAlign w:val="bottom"/>
          </w:tcPr>
          <w:p>
            <w:pPr>
              <w:ind w:left="100"/>
              <w:spacing w:after="0"/>
              <w:rPr>
                <w:sz w:val="20"/>
                <w:szCs w:val="20"/>
                <w:color w:val="auto"/>
              </w:rPr>
            </w:pPr>
            <w:r>
              <w:rPr>
                <w:rFonts w:ascii="Arial" w:cs="Arial" w:eastAsia="Arial" w:hAnsi="Arial"/>
                <w:sz w:val="14"/>
                <w:szCs w:val="14"/>
                <w:color w:val="auto"/>
              </w:rPr>
              <w:t>Unvested RPSRs are forfeited except</w:t>
            </w:r>
          </w:p>
        </w:tc>
        <w:tc>
          <w:tcPr>
            <w:tcW w:w="2640" w:type="dxa"/>
            <w:vAlign w:val="bottom"/>
          </w:tcPr>
          <w:p>
            <w:pPr>
              <w:ind w:left="60"/>
              <w:spacing w:after="0"/>
              <w:rPr>
                <w:sz w:val="20"/>
                <w:szCs w:val="20"/>
                <w:color w:val="auto"/>
              </w:rPr>
            </w:pPr>
            <w:r>
              <w:rPr>
                <w:rFonts w:ascii="Arial" w:cs="Arial" w:eastAsia="Arial" w:hAnsi="Arial"/>
                <w:sz w:val="14"/>
                <w:szCs w:val="14"/>
                <w:color w:val="auto"/>
              </w:rPr>
              <w:t>Unvested RPSRs are forfeited except in</w:t>
            </w:r>
          </w:p>
        </w:tc>
        <w:tc>
          <w:tcPr>
            <w:tcW w:w="2860" w:type="dxa"/>
            <w:vAlign w:val="bottom"/>
          </w:tcPr>
          <w:p>
            <w:pPr>
              <w:ind w:left="60"/>
              <w:spacing w:after="0"/>
              <w:rPr>
                <w:sz w:val="20"/>
                <w:szCs w:val="20"/>
                <w:color w:val="auto"/>
              </w:rPr>
            </w:pPr>
            <w:r>
              <w:rPr>
                <w:rFonts w:ascii="Arial" w:cs="Arial" w:eastAsia="Arial" w:hAnsi="Arial"/>
                <w:sz w:val="14"/>
                <w:szCs w:val="14"/>
                <w:color w:val="auto"/>
              </w:rPr>
              <w:t>For a CIC, unvested RPSRs will fully vest</w:t>
            </w:r>
          </w:p>
        </w:tc>
        <w:tc>
          <w:tcPr>
            <w:tcW w:w="1580" w:type="dxa"/>
            <w:vAlign w:val="bottom"/>
          </w:tcPr>
          <w:p>
            <w:pPr>
              <w:ind w:left="40"/>
              <w:spacing w:after="0"/>
              <w:rPr>
                <w:sz w:val="20"/>
                <w:szCs w:val="20"/>
                <w:color w:val="auto"/>
              </w:rPr>
            </w:pPr>
            <w:r>
              <w:rPr>
                <w:rFonts w:ascii="Arial" w:cs="Arial" w:eastAsia="Arial" w:hAnsi="Arial"/>
                <w:sz w:val="14"/>
                <w:szCs w:val="14"/>
                <w:color w:val="auto"/>
              </w:rPr>
              <w:t>Unvested RPSRs are</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540" w:type="dxa"/>
            <w:vAlign w:val="bottom"/>
            <w:vMerge w:val="restart"/>
          </w:tcPr>
          <w:p>
            <w:pPr>
              <w:ind w:left="100"/>
              <w:spacing w:after="0"/>
              <w:rPr>
                <w:sz w:val="20"/>
                <w:szCs w:val="20"/>
                <w:color w:val="auto"/>
              </w:rPr>
            </w:pPr>
            <w:r>
              <w:rPr>
                <w:rFonts w:ascii="Arial" w:cs="Arial" w:eastAsia="Arial" w:hAnsi="Arial"/>
                <w:sz w:val="14"/>
                <w:szCs w:val="14"/>
                <w:color w:val="auto"/>
              </w:rPr>
              <w:t>in the case of early retirement where</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the case of early retirement where the</w:t>
            </w:r>
          </w:p>
        </w:tc>
        <w:tc>
          <w:tcPr>
            <w:tcW w:w="2860" w:type="dxa"/>
            <w:vAlign w:val="bottom"/>
            <w:vMerge w:val="restart"/>
          </w:tcPr>
          <w:p>
            <w:pPr>
              <w:ind w:left="60"/>
              <w:spacing w:after="0"/>
              <w:rPr>
                <w:sz w:val="20"/>
                <w:szCs w:val="20"/>
                <w:color w:val="auto"/>
              </w:rPr>
            </w:pPr>
            <w:r>
              <w:rPr>
                <w:rFonts w:ascii="Arial" w:cs="Arial" w:eastAsia="Arial" w:hAnsi="Arial"/>
                <w:sz w:val="14"/>
                <w:szCs w:val="14"/>
                <w:color w:val="auto"/>
              </w:rPr>
              <w:t>and payment is accelerated based on a</w:t>
            </w:r>
          </w:p>
        </w:tc>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prorated and payment,</w:t>
            </w:r>
          </w:p>
        </w:tc>
        <w:tc>
          <w:tcPr>
            <w:tcW w:w="0" w:type="dxa"/>
            <w:vAlign w:val="bottom"/>
          </w:tcPr>
          <w:p>
            <w:pPr>
              <w:spacing w:after="0"/>
              <w:rPr>
                <w:sz w:val="1"/>
                <w:szCs w:val="1"/>
                <w:color w:val="auto"/>
              </w:rPr>
            </w:pPr>
          </w:p>
        </w:tc>
      </w:tr>
      <w:tr>
        <w:trPr>
          <w:trHeight w:val="31"/>
        </w:trPr>
        <w:tc>
          <w:tcPr>
            <w:tcW w:w="16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the RPSRs are prorated and</w:t>
            </w:r>
          </w:p>
        </w:tc>
        <w:tc>
          <w:tcPr>
            <w:tcW w:w="2640" w:type="dxa"/>
            <w:vAlign w:val="bottom"/>
          </w:tcPr>
          <w:p>
            <w:pPr>
              <w:ind w:left="60"/>
              <w:spacing w:after="0"/>
              <w:rPr>
                <w:sz w:val="20"/>
                <w:szCs w:val="20"/>
                <w:color w:val="auto"/>
              </w:rPr>
            </w:pPr>
            <w:r>
              <w:rPr>
                <w:rFonts w:ascii="Arial" w:cs="Arial" w:eastAsia="Arial" w:hAnsi="Arial"/>
                <w:sz w:val="14"/>
                <w:szCs w:val="14"/>
                <w:color w:val="auto"/>
              </w:rPr>
              <w:t>RPSRs are prorated and mandatory</w:t>
            </w:r>
          </w:p>
        </w:tc>
        <w:tc>
          <w:tcPr>
            <w:tcW w:w="2860" w:type="dxa"/>
            <w:vAlign w:val="bottom"/>
          </w:tcPr>
          <w:p>
            <w:pPr>
              <w:ind w:left="60"/>
              <w:spacing w:after="0"/>
              <w:rPr>
                <w:sz w:val="20"/>
                <w:szCs w:val="20"/>
                <w:color w:val="auto"/>
              </w:rPr>
            </w:pPr>
            <w:r>
              <w:rPr>
                <w:rFonts w:ascii="Arial" w:cs="Arial" w:eastAsia="Arial" w:hAnsi="Arial"/>
                <w:sz w:val="14"/>
                <w:szCs w:val="14"/>
                <w:color w:val="auto"/>
              </w:rPr>
              <w:t>truncated performance period, only in the</w:t>
            </w:r>
          </w:p>
        </w:tc>
        <w:tc>
          <w:tcPr>
            <w:tcW w:w="1580" w:type="dxa"/>
            <w:vAlign w:val="bottom"/>
          </w:tcPr>
          <w:p>
            <w:pPr>
              <w:ind w:left="40"/>
              <w:spacing w:after="0"/>
              <w:rPr>
                <w:sz w:val="20"/>
                <w:szCs w:val="20"/>
                <w:color w:val="auto"/>
              </w:rPr>
            </w:pPr>
            <w:r>
              <w:rPr>
                <w:rFonts w:ascii="Arial" w:cs="Arial" w:eastAsia="Arial" w:hAnsi="Arial"/>
                <w:sz w:val="14"/>
                <w:szCs w:val="14"/>
                <w:color w:val="auto"/>
              </w:rPr>
              <w:t>at target, is</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mandatory retirement (age 65) where</w:t>
            </w:r>
          </w:p>
        </w:tc>
        <w:tc>
          <w:tcPr>
            <w:tcW w:w="5500" w:type="dxa"/>
            <w:vAlign w:val="bottom"/>
            <w:gridSpan w:val="2"/>
          </w:tcPr>
          <w:p>
            <w:pPr>
              <w:ind w:left="60"/>
              <w:spacing w:after="0"/>
              <w:rPr>
                <w:sz w:val="20"/>
                <w:szCs w:val="20"/>
                <w:color w:val="auto"/>
              </w:rPr>
            </w:pPr>
            <w:r>
              <w:rPr>
                <w:rFonts w:ascii="Arial" w:cs="Arial" w:eastAsia="Arial" w:hAnsi="Arial"/>
                <w:sz w:val="14"/>
                <w:szCs w:val="14"/>
                <w:color w:val="auto"/>
              </w:rPr>
              <w:t>retirement (age 65) where they fully vest. event of a double trigger (CIC and</w:t>
            </w:r>
          </w:p>
        </w:tc>
        <w:tc>
          <w:tcPr>
            <w:tcW w:w="1580" w:type="dxa"/>
            <w:vAlign w:val="bottom"/>
          </w:tcPr>
          <w:p>
            <w:pPr>
              <w:ind w:left="40"/>
              <w:spacing w:after="0"/>
              <w:rPr>
                <w:sz w:val="20"/>
                <w:szCs w:val="20"/>
                <w:color w:val="auto"/>
              </w:rPr>
            </w:pPr>
            <w:r>
              <w:rPr>
                <w:rFonts w:ascii="Arial" w:cs="Arial" w:eastAsia="Arial" w:hAnsi="Arial"/>
                <w:sz w:val="14"/>
                <w:szCs w:val="14"/>
                <w:color w:val="auto"/>
              </w:rPr>
              <w:t>accelerated.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they fully vest.</w:t>
            </w: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termination other than for cause within the</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specified period), or if the acquiring</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company fails to assume the awards;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subject to certain limitations to the extent</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such accelerated payments would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otherwise trigger an excise tax.</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5500" w:type="dxa"/>
            <w:vAlign w:val="bottom"/>
            <w:tcBorders>
              <w:bottom w:val="single" w:sz="8" w:color="BCBEC0"/>
            </w:tcBorders>
            <w:gridSpan w:val="2"/>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Cash Severance</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5500" w:type="dxa"/>
            <w:vAlign w:val="bottom"/>
            <w:gridSpan w:val="2"/>
          </w:tcPr>
          <w:p>
            <w:pPr>
              <w:ind w:left="60"/>
              <w:spacing w:after="0"/>
              <w:rPr>
                <w:sz w:val="20"/>
                <w:szCs w:val="20"/>
                <w:color w:val="auto"/>
              </w:rPr>
            </w:pPr>
            <w:r>
              <w:rPr>
                <w:rFonts w:ascii="Arial" w:cs="Arial" w:eastAsia="Arial" w:hAnsi="Arial"/>
                <w:sz w:val="14"/>
                <w:szCs w:val="14"/>
                <w:color w:val="auto"/>
              </w:rPr>
              <w:t>Lump sum equal to 1.5x base salary and 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bonus target and a prorated</w:t>
            </w: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performance bonus for the year of</w:t>
            </w: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termination.</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Medical/Dental</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Continued medical and dental coverage</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Continuation</w:t>
            </w: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for the 18-month severance period.</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20" w:type="dxa"/>
            <w:vAlign w:val="bottom"/>
            <w:tcBorders>
              <w:bottom w:val="single" w:sz="8" w:color="BCBEC0"/>
            </w:tcBorders>
          </w:tcPr>
          <w:p>
            <w:pPr>
              <w:spacing w:after="0"/>
              <w:rPr>
                <w:sz w:val="3"/>
                <w:szCs w:val="3"/>
                <w:color w:val="auto"/>
              </w:rPr>
            </w:pPr>
          </w:p>
        </w:tc>
        <w:tc>
          <w:tcPr>
            <w:tcW w:w="2540" w:type="dxa"/>
            <w:vAlign w:val="bottom"/>
            <w:tcBorders>
              <w:bottom w:val="single" w:sz="8" w:color="BCBEC0"/>
            </w:tcBorders>
          </w:tcPr>
          <w:p>
            <w:pPr>
              <w:spacing w:after="0"/>
              <w:rPr>
                <w:sz w:val="3"/>
                <w:szCs w:val="3"/>
                <w:color w:val="auto"/>
              </w:rPr>
            </w:pPr>
          </w:p>
        </w:tc>
        <w:tc>
          <w:tcPr>
            <w:tcW w:w="2640" w:type="dxa"/>
            <w:vAlign w:val="bottom"/>
            <w:tcBorders>
              <w:bottom w:val="single" w:sz="8" w:color="BCBEC0"/>
            </w:tcBorders>
          </w:tcPr>
          <w:p>
            <w:pPr>
              <w:spacing w:after="0"/>
              <w:rPr>
                <w:sz w:val="3"/>
                <w:szCs w:val="3"/>
                <w:color w:val="auto"/>
              </w:rPr>
            </w:pPr>
          </w:p>
        </w:tc>
        <w:tc>
          <w:tcPr>
            <w:tcW w:w="2860" w:type="dxa"/>
            <w:vAlign w:val="bottom"/>
            <w:tcBorders>
              <w:bottom w:val="single" w:sz="8" w:color="BCBEC0"/>
            </w:tcBorders>
          </w:tcPr>
          <w:p>
            <w:pPr>
              <w:spacing w:after="0"/>
              <w:rPr>
                <w:sz w:val="3"/>
                <w:szCs w:val="3"/>
                <w:color w:val="auto"/>
              </w:rPr>
            </w:pPr>
          </w:p>
        </w:tc>
        <w:tc>
          <w:tcPr>
            <w:tcW w:w="158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Financial</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Reimbursement of fees for the year of</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Planning/Income Tax</w:t>
            </w: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termination and the following year.</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20" w:type="dxa"/>
            <w:vAlign w:val="bottom"/>
            <w:tcBorders>
              <w:bottom w:val="single" w:sz="8" w:color="BCBEC0"/>
            </w:tcBorders>
          </w:tcPr>
          <w:p>
            <w:pPr>
              <w:spacing w:after="0"/>
              <w:rPr>
                <w:sz w:val="3"/>
                <w:szCs w:val="3"/>
                <w:color w:val="auto"/>
              </w:rPr>
            </w:pPr>
          </w:p>
        </w:tc>
        <w:tc>
          <w:tcPr>
            <w:tcW w:w="2540" w:type="dxa"/>
            <w:vAlign w:val="bottom"/>
            <w:tcBorders>
              <w:bottom w:val="single" w:sz="8" w:color="BCBEC0"/>
            </w:tcBorders>
          </w:tcPr>
          <w:p>
            <w:pPr>
              <w:spacing w:after="0"/>
              <w:rPr>
                <w:sz w:val="3"/>
                <w:szCs w:val="3"/>
                <w:color w:val="auto"/>
              </w:rPr>
            </w:pPr>
          </w:p>
        </w:tc>
        <w:tc>
          <w:tcPr>
            <w:tcW w:w="2640" w:type="dxa"/>
            <w:vAlign w:val="bottom"/>
            <w:tcBorders>
              <w:bottom w:val="single" w:sz="8" w:color="BCBEC0"/>
            </w:tcBorders>
          </w:tcPr>
          <w:p>
            <w:pPr>
              <w:spacing w:after="0"/>
              <w:rPr>
                <w:sz w:val="3"/>
                <w:szCs w:val="3"/>
                <w:color w:val="auto"/>
              </w:rPr>
            </w:pPr>
          </w:p>
        </w:tc>
        <w:tc>
          <w:tcPr>
            <w:tcW w:w="2860" w:type="dxa"/>
            <w:vAlign w:val="bottom"/>
            <w:tcBorders>
              <w:bottom w:val="single" w:sz="8" w:color="BCBEC0"/>
            </w:tcBorders>
          </w:tcPr>
          <w:p>
            <w:pPr>
              <w:spacing w:after="0"/>
              <w:rPr>
                <w:sz w:val="3"/>
                <w:szCs w:val="3"/>
                <w:color w:val="auto"/>
              </w:rPr>
            </w:pPr>
          </w:p>
        </w:tc>
        <w:tc>
          <w:tcPr>
            <w:tcW w:w="158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620" w:type="dxa"/>
            <w:vAlign w:val="bottom"/>
          </w:tcPr>
          <w:p>
            <w:pPr>
              <w:ind w:left="20"/>
              <w:spacing w:after="0"/>
              <w:rPr>
                <w:sz w:val="20"/>
                <w:szCs w:val="20"/>
                <w:color w:val="auto"/>
              </w:rPr>
            </w:pPr>
            <w:r>
              <w:rPr>
                <w:rFonts w:ascii="Arial" w:cs="Arial" w:eastAsia="Arial" w:hAnsi="Arial"/>
                <w:sz w:val="14"/>
                <w:szCs w:val="14"/>
                <w:color w:val="auto"/>
              </w:rPr>
              <w:t>Outplacement Services</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Expenses up to 15% of base salary.</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Terms of equity awards granted to the NEOs under the 2011 Plan.</w:t>
      </w:r>
    </w:p>
    <w:p>
      <w:pPr>
        <w:spacing w:after="0" w:line="41" w:lineRule="exact"/>
        <w:rPr>
          <w:rFonts w:ascii="Arial" w:cs="Arial" w:eastAsia="Arial" w:hAnsi="Arial"/>
          <w:sz w:val="14"/>
          <w:szCs w:val="14"/>
          <w:color w:val="auto"/>
        </w:rPr>
      </w:pPr>
    </w:p>
    <w:p>
      <w:pPr>
        <w:ind w:left="260" w:hanging="252"/>
        <w:spacing w:after="0"/>
        <w:tabs>
          <w:tab w:leader="none" w:pos="2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Compensation and Human Capital Committee’s approval of the earn-out percentage based on the RPSR performance metrics.</w:t>
      </w:r>
    </w:p>
    <w:p>
      <w:pPr>
        <w:spacing w:after="0" w:line="41" w:lineRule="exact"/>
        <w:rPr>
          <w:rFonts w:ascii="Arial" w:cs="Arial" w:eastAsia="Arial" w:hAnsi="Arial"/>
          <w:sz w:val="14"/>
          <w:szCs w:val="14"/>
          <w:color w:val="auto"/>
        </w:rPr>
      </w:pPr>
    </w:p>
    <w:p>
      <w:pPr>
        <w:ind w:left="260" w:right="160" w:hanging="252"/>
        <w:spacing w:after="0" w:line="305" w:lineRule="auto"/>
        <w:tabs>
          <w:tab w:leader="none" w:pos="258"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retirement treatment requires employment for at least six months following the grant date with respect to RSRs and at least six months of the performance period with respect to RPSRs.</w:t>
      </w:r>
    </w:p>
    <w:p>
      <w:pPr>
        <w:spacing w:after="0" w:line="200" w:lineRule="exact"/>
        <w:rPr>
          <w:sz w:val="20"/>
          <w:szCs w:val="20"/>
          <w:color w:val="auto"/>
        </w:rPr>
      </w:pPr>
    </w:p>
    <w:p>
      <w:pPr>
        <w:spacing w:after="0" w:line="363" w:lineRule="exact"/>
        <w:rPr>
          <w:sz w:val="20"/>
          <w:szCs w:val="20"/>
          <w:color w:val="auto"/>
        </w:rPr>
      </w:pPr>
    </w:p>
    <w:p>
      <w:pPr>
        <w:ind w:left="520" w:hanging="494"/>
        <w:spacing w:after="0"/>
        <w:tabs>
          <w:tab w:leader="none" w:pos="520" w:val="left"/>
        </w:tabs>
        <w:numPr>
          <w:ilvl w:val="0"/>
          <w:numId w:val="15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Potential Termination Payments Table provides estimated payments and benefits that the Company would have provided to each NEO if his or her employment had terminated on December 31, 2023 for the reasons set forth in the table below. The Company stock price is assumed to be $468.14, the closing market price on December 29, 2023, the last trading day of the year. These payments and benefits are payable based on:</w:t>
      </w:r>
    </w:p>
    <w:p>
      <w:pPr>
        <w:spacing w:after="0" w:line="56" w:lineRule="exact"/>
        <w:rPr>
          <w:sz w:val="20"/>
          <w:szCs w:val="20"/>
          <w:color w:val="auto"/>
        </w:rPr>
      </w:pPr>
    </w:p>
    <w:p>
      <w:pPr>
        <w:ind w:left="140" w:hanging="132"/>
        <w:spacing w:after="0"/>
        <w:tabs>
          <w:tab w:leader="none" w:pos="140" w:val="left"/>
        </w:tabs>
        <w:numPr>
          <w:ilvl w:val="0"/>
          <w:numId w:val="155"/>
        </w:numPr>
        <w:rPr>
          <w:rFonts w:ascii="Arial" w:cs="Arial" w:eastAsia="Arial" w:hAnsi="Arial"/>
          <w:sz w:val="16"/>
          <w:szCs w:val="16"/>
          <w:b w:val="1"/>
          <w:bCs w:val="1"/>
          <w:color w:val="29378D"/>
        </w:rPr>
      </w:pPr>
      <w:r>
        <w:rPr>
          <w:rFonts w:ascii="Arial" w:cs="Arial" w:eastAsia="Arial" w:hAnsi="Arial"/>
          <w:sz w:val="16"/>
          <w:szCs w:val="16"/>
          <w:color w:val="auto"/>
        </w:rPr>
        <w:t>the Severance Plan;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55"/>
        </w:numPr>
        <w:rPr>
          <w:rFonts w:ascii="Arial" w:cs="Arial" w:eastAsia="Arial" w:hAnsi="Arial"/>
          <w:sz w:val="16"/>
          <w:szCs w:val="16"/>
          <w:b w:val="1"/>
          <w:bCs w:val="1"/>
          <w:color w:val="29378D"/>
        </w:rPr>
      </w:pPr>
      <w:r>
        <w:rPr>
          <w:rFonts w:ascii="Arial" w:cs="Arial" w:eastAsia="Arial" w:hAnsi="Arial"/>
          <w:sz w:val="16"/>
          <w:szCs w:val="16"/>
          <w:color w:val="auto"/>
        </w:rPr>
        <w:t>the 2011 Plan and the terms and conditions of equity awards made pursuant to the plan.</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76 and 79, respectively, as well as benefits generally available to our employees such as distributions under our savings plan, disability or life insurance benefits and accrued vacation.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Termination Payment Table</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color w:val="auto"/>
        </w:rPr>
        <w:t>Potential Termination Payments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right"/>
              <w:ind w:right="190"/>
              <w:spacing w:after="0"/>
              <w:rPr>
                <w:sz w:val="20"/>
                <w:szCs w:val="20"/>
                <w:color w:val="auto"/>
              </w:rPr>
            </w:pPr>
            <w:r>
              <w:rPr>
                <w:rFonts w:ascii="Arial" w:cs="Arial" w:eastAsia="Arial" w:hAnsi="Arial"/>
                <w:sz w:val="12"/>
                <w:szCs w:val="12"/>
                <w:b w:val="1"/>
                <w:bCs w:val="1"/>
                <w:color w:val="auto"/>
              </w:rPr>
              <w:t>Post-CIC</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80" w:type="dxa"/>
            <w:vAlign w:val="bottom"/>
          </w:tcPr>
          <w:p>
            <w:pPr>
              <w:jc w:val="right"/>
              <w:ind w:right="250"/>
              <w:spacing w:after="0" w:line="135" w:lineRule="exact"/>
              <w:rPr>
                <w:sz w:val="20"/>
                <w:szCs w:val="20"/>
                <w:color w:val="auto"/>
              </w:rPr>
            </w:pPr>
            <w:r>
              <w:rPr>
                <w:rFonts w:ascii="Arial" w:cs="Arial" w:eastAsia="Arial" w:hAnsi="Arial"/>
                <w:sz w:val="12"/>
                <w:szCs w:val="12"/>
                <w:b w:val="1"/>
                <w:bCs w:val="1"/>
                <w:color w:val="auto"/>
              </w:rPr>
              <w:t>Involuntary</w:t>
            </w:r>
          </w:p>
        </w:tc>
        <w:tc>
          <w:tcPr>
            <w:tcW w:w="1520" w:type="dxa"/>
            <w:vAlign w:val="bottom"/>
          </w:tcPr>
          <w:p>
            <w:pPr>
              <w:jc w:val="right"/>
              <w:ind w:right="190"/>
              <w:spacing w:after="0" w:line="135" w:lineRule="exact"/>
              <w:rPr>
                <w:sz w:val="20"/>
                <w:szCs w:val="20"/>
                <w:color w:val="auto"/>
              </w:rPr>
            </w:pPr>
            <w:r>
              <w:rPr>
                <w:rFonts w:ascii="Arial" w:cs="Arial" w:eastAsia="Arial" w:hAnsi="Arial"/>
                <w:sz w:val="12"/>
                <w:szCs w:val="12"/>
                <w:b w:val="1"/>
                <w:bCs w:val="1"/>
                <w:color w:val="auto"/>
              </w:rPr>
              <w:t>Involuntary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Voluntary</w:t>
            </w:r>
          </w:p>
        </w:tc>
        <w:tc>
          <w:tcPr>
            <w:tcW w:w="1880" w:type="dxa"/>
            <w:vAlign w:val="bottom"/>
          </w:tcPr>
          <w:p>
            <w:pPr>
              <w:jc w:val="right"/>
              <w:ind w:right="250"/>
              <w:spacing w:after="0"/>
              <w:rPr>
                <w:sz w:val="20"/>
                <w:szCs w:val="20"/>
                <w:color w:val="auto"/>
              </w:rPr>
            </w:pPr>
            <w:r>
              <w:rPr>
                <w:rFonts w:ascii="Arial" w:cs="Arial" w:eastAsia="Arial" w:hAnsi="Arial"/>
                <w:sz w:val="12"/>
                <w:szCs w:val="12"/>
                <w:b w:val="1"/>
                <w:bCs w:val="1"/>
                <w:color w:val="auto"/>
              </w:rPr>
              <w:t>Termination</w:t>
            </w:r>
          </w:p>
        </w:tc>
        <w:tc>
          <w:tcPr>
            <w:tcW w:w="1520" w:type="dxa"/>
            <w:vAlign w:val="bottom"/>
          </w:tcPr>
          <w:p>
            <w:pPr>
              <w:jc w:val="right"/>
              <w:ind w:right="190"/>
              <w:spacing w:after="0"/>
              <w:rPr>
                <w:sz w:val="20"/>
                <w:szCs w:val="20"/>
                <w:color w:val="auto"/>
              </w:rPr>
            </w:pPr>
            <w:r>
              <w:rPr>
                <w:rFonts w:ascii="Arial" w:cs="Arial" w:eastAsia="Arial" w:hAnsi="Arial"/>
                <w:sz w:val="12"/>
                <w:szCs w:val="12"/>
                <w:b w:val="1"/>
                <w:bCs w:val="1"/>
                <w:color w:val="auto"/>
              </w:rPr>
              <w:t>or Good Reason</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Death or</w:t>
            </w: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324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Termination</w:t>
            </w:r>
          </w:p>
        </w:tc>
        <w:tc>
          <w:tcPr>
            <w:tcW w:w="1880" w:type="dxa"/>
            <w:vAlign w:val="bottom"/>
          </w:tcPr>
          <w:p>
            <w:pPr>
              <w:jc w:val="right"/>
              <w:ind w:right="250"/>
              <w:spacing w:after="0" w:line="135" w:lineRule="exact"/>
              <w:rPr>
                <w:sz w:val="20"/>
                <w:szCs w:val="20"/>
                <w:color w:val="auto"/>
              </w:rPr>
            </w:pPr>
            <w:r>
              <w:rPr>
                <w:rFonts w:ascii="Arial" w:cs="Arial" w:eastAsia="Arial" w:hAnsi="Arial"/>
                <w:sz w:val="12"/>
                <w:szCs w:val="12"/>
                <w:b w:val="1"/>
                <w:bCs w:val="1"/>
                <w:color w:val="auto"/>
              </w:rPr>
              <w:t>Not For Cause</w:t>
            </w:r>
            <w:r>
              <w:rPr>
                <w:rFonts w:ascii="Arial" w:cs="Arial" w:eastAsia="Arial" w:hAnsi="Arial"/>
                <w:sz w:val="15"/>
                <w:szCs w:val="15"/>
                <w:b w:val="1"/>
                <w:bCs w:val="1"/>
                <w:color w:val="auto"/>
                <w:vertAlign w:val="superscript"/>
              </w:rPr>
              <w:t>(1)</w:t>
            </w:r>
          </w:p>
        </w:tc>
        <w:tc>
          <w:tcPr>
            <w:tcW w:w="1520" w:type="dxa"/>
            <w:vAlign w:val="bottom"/>
          </w:tcPr>
          <w:p>
            <w:pPr>
              <w:jc w:val="right"/>
              <w:ind w:right="190"/>
              <w:spacing w:after="0" w:line="135" w:lineRule="exact"/>
              <w:rPr>
                <w:sz w:val="20"/>
                <w:szCs w:val="20"/>
                <w:color w:val="auto"/>
              </w:rPr>
            </w:pPr>
            <w:r>
              <w:rPr>
                <w:rFonts w:ascii="Arial" w:cs="Arial" w:eastAsia="Arial" w:hAnsi="Arial"/>
                <w:sz w:val="12"/>
                <w:szCs w:val="12"/>
                <w:b w:val="1"/>
                <w:bCs w:val="1"/>
                <w:color w:val="auto"/>
              </w:rPr>
              <w:t>Termination</w:t>
            </w:r>
            <w:r>
              <w:rPr>
                <w:rFonts w:ascii="Arial" w:cs="Arial" w:eastAsia="Arial" w:hAnsi="Arial"/>
                <w:sz w:val="15"/>
                <w:szCs w:val="15"/>
                <w:b w:val="1"/>
                <w:bCs w:val="1"/>
                <w:color w:val="auto"/>
                <w:vertAlign w:val="superscript"/>
              </w:rPr>
              <w:t>(2)</w:t>
            </w: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Disability</w:t>
            </w:r>
          </w:p>
        </w:tc>
        <w:tc>
          <w:tcPr>
            <w:tcW w:w="0" w:type="dxa"/>
            <w:vAlign w:val="bottom"/>
          </w:tcPr>
          <w:p>
            <w:pPr>
              <w:spacing w:after="0"/>
              <w:rPr>
                <w:sz w:val="1"/>
                <w:szCs w:val="1"/>
                <w:color w:val="auto"/>
              </w:rPr>
            </w:pPr>
          </w:p>
        </w:tc>
      </w:tr>
      <w:tr>
        <w:trPr>
          <w:trHeight w:val="65"/>
        </w:trPr>
        <w:tc>
          <w:tcPr>
            <w:tcW w:w="2380" w:type="dxa"/>
            <w:vAlign w:val="bottom"/>
            <w:vMerge w:val="continue"/>
          </w:tcPr>
          <w:p>
            <w:pPr>
              <w:spacing w:after="0"/>
              <w:rPr>
                <w:sz w:val="5"/>
                <w:szCs w:val="5"/>
                <w:color w:val="auto"/>
              </w:rPr>
            </w:pPr>
          </w:p>
        </w:tc>
        <w:tc>
          <w:tcPr>
            <w:tcW w:w="3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Executive Benefits</w:t>
            </w: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8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15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4"/>
        </w:trPr>
        <w:tc>
          <w:tcPr>
            <w:tcW w:w="2380" w:type="dxa"/>
            <w:vAlign w:val="bottom"/>
            <w:tcBorders>
              <w:bottom w:val="single" w:sz="8" w:color="29378D"/>
            </w:tcBorders>
          </w:tcPr>
          <w:p>
            <w:pPr>
              <w:spacing w:after="0"/>
              <w:rPr>
                <w:sz w:val="9"/>
                <w:szCs w:val="9"/>
                <w:color w:val="auto"/>
              </w:rPr>
            </w:pPr>
          </w:p>
        </w:tc>
        <w:tc>
          <w:tcPr>
            <w:tcW w:w="3240" w:type="dxa"/>
            <w:vAlign w:val="bottom"/>
            <w:tcBorders>
              <w:bottom w:val="single" w:sz="8" w:color="29378D"/>
            </w:tcBorders>
            <w:vMerge w:val="continue"/>
          </w:tcPr>
          <w:p>
            <w:pPr>
              <w:spacing w:after="0"/>
              <w:rPr>
                <w:sz w:val="9"/>
                <w:szCs w:val="9"/>
                <w:color w:val="auto"/>
              </w:rPr>
            </w:pPr>
          </w:p>
        </w:tc>
        <w:tc>
          <w:tcPr>
            <w:tcW w:w="1160" w:type="dxa"/>
            <w:vAlign w:val="bottom"/>
            <w:tcBorders>
              <w:bottom w:val="single" w:sz="8" w:color="29378D"/>
            </w:tcBorders>
            <w:vMerge w:val="continue"/>
          </w:tcPr>
          <w:p>
            <w:pPr>
              <w:spacing w:after="0"/>
              <w:rPr>
                <w:sz w:val="9"/>
                <w:szCs w:val="9"/>
                <w:color w:val="auto"/>
              </w:rPr>
            </w:pPr>
          </w:p>
        </w:tc>
        <w:tc>
          <w:tcPr>
            <w:tcW w:w="1880" w:type="dxa"/>
            <w:vAlign w:val="bottom"/>
            <w:tcBorders>
              <w:bottom w:val="single" w:sz="8" w:color="29378D"/>
            </w:tcBorders>
            <w:vMerge w:val="continue"/>
          </w:tcPr>
          <w:p>
            <w:pPr>
              <w:spacing w:after="0"/>
              <w:rPr>
                <w:sz w:val="9"/>
                <w:szCs w:val="9"/>
                <w:color w:val="auto"/>
              </w:rPr>
            </w:pPr>
          </w:p>
        </w:tc>
        <w:tc>
          <w:tcPr>
            <w:tcW w:w="1520" w:type="dxa"/>
            <w:vAlign w:val="bottom"/>
            <w:tcBorders>
              <w:bottom w:val="single" w:sz="8" w:color="29378D"/>
            </w:tcBorders>
            <w:vMerge w:val="continue"/>
          </w:tcPr>
          <w:p>
            <w:pPr>
              <w:spacing w:after="0"/>
              <w:rPr>
                <w:sz w:val="9"/>
                <w:szCs w:val="9"/>
                <w:color w:val="auto"/>
              </w:rPr>
            </w:pPr>
          </w:p>
        </w:tc>
        <w:tc>
          <w:tcPr>
            <w:tcW w:w="1060" w:type="dxa"/>
            <w:vAlign w:val="bottom"/>
            <w:tcBorders>
              <w:bottom w:val="single" w:sz="8" w:color="29378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17,418,553</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17,418,553</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22,893,451</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11,608,936</w:t>
            </w:r>
          </w:p>
        </w:tc>
        <w:tc>
          <w:tcPr>
            <w:tcW w:w="0" w:type="dxa"/>
            <w:vAlign w:val="bottom"/>
          </w:tcPr>
          <w:p>
            <w:pPr>
              <w:spacing w:after="0"/>
              <w:rPr>
                <w:sz w:val="1"/>
                <w:szCs w:val="1"/>
                <w:color w:val="auto"/>
              </w:rPr>
            </w:pPr>
          </w:p>
        </w:tc>
      </w:tr>
      <w:tr>
        <w:trPr>
          <w:trHeight w:val="246"/>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DFDEEE"/>
            </w:tcBorders>
            <w:shd w:val="clear" w:color="auto" w:fill="DFDEEE"/>
          </w:tcPr>
          <w:p>
            <w:pPr>
              <w:spacing w:after="0"/>
              <w:rPr>
                <w:sz w:val="20"/>
                <w:szCs w:val="20"/>
                <w:color w:val="auto"/>
              </w:rPr>
            </w:pPr>
          </w:p>
        </w:tc>
        <w:tc>
          <w:tcPr>
            <w:tcW w:w="1880" w:type="dxa"/>
            <w:vAlign w:val="bottom"/>
            <w:tcBorders>
              <w:bottom w:val="single" w:sz="8" w:color="DFDEEE"/>
            </w:tcBorders>
            <w:shd w:val="clear" w:color="auto" w:fill="DFDEEE"/>
          </w:tcPr>
          <w:p>
            <w:pPr>
              <w:spacing w:after="0"/>
              <w:rPr>
                <w:sz w:val="20"/>
                <w:szCs w:val="20"/>
                <w:color w:val="auto"/>
              </w:rPr>
            </w:pPr>
          </w:p>
        </w:tc>
        <w:tc>
          <w:tcPr>
            <w:tcW w:w="1520" w:type="dxa"/>
            <w:vAlign w:val="bottom"/>
            <w:tcBorders>
              <w:bottom w:val="single" w:sz="8" w:color="DFDEEE"/>
            </w:tcBorders>
            <w:shd w:val="clear" w:color="auto" w:fill="DFDEEE"/>
          </w:tcPr>
          <w:p>
            <w:pPr>
              <w:spacing w:after="0"/>
              <w:rPr>
                <w:sz w:val="20"/>
                <w:szCs w:val="20"/>
                <w:color w:val="auto"/>
              </w:rPr>
            </w:pPr>
          </w:p>
        </w:tc>
        <w:tc>
          <w:tcPr>
            <w:tcW w:w="1060" w:type="dxa"/>
            <w:vAlign w:val="bottom"/>
            <w:tcBorders>
              <w:bottom w:val="single" w:sz="8" w:color="DFDEEE"/>
            </w:tcBorders>
            <w:shd w:val="clear" w:color="auto" w:fill="DFD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80" w:type="dxa"/>
            <w:vAlign w:val="bottom"/>
            <w:tcBorders>
              <w:top w:val="single" w:sz="8" w:color="DFDEEE"/>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3240" w:type="dxa"/>
            <w:vAlign w:val="bottom"/>
            <w:tcBorders>
              <w:top w:val="single" w:sz="8" w:color="BCBEC0"/>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top w:val="single" w:sz="8" w:color="BCBEC0"/>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BCBEC0"/>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7,481,250</w:t>
            </w:r>
          </w:p>
        </w:tc>
        <w:tc>
          <w:tcPr>
            <w:tcW w:w="1520" w:type="dxa"/>
            <w:vAlign w:val="bottom"/>
            <w:tcBorders>
              <w:top w:val="single" w:sz="8" w:color="BCBEC0"/>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19,149</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30,000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BCBEC0"/>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262,500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3,834,535</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3,834,535</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5,009,566</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2,562,598</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David F. Keffer</w:t>
            </w:r>
          </w:p>
        </w:tc>
        <w:tc>
          <w:tcPr>
            <w:tcW w:w="32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1880" w:type="dxa"/>
            <w:vAlign w:val="bottom"/>
            <w:tcBorders>
              <w:bottom w:val="single" w:sz="8" w:color="BCBEC0"/>
            </w:tcBorders>
          </w:tcPr>
          <w:p>
            <w:pPr>
              <w:spacing w:after="0" w:line="20" w:lineRule="exact"/>
              <w:rPr>
                <w:sz w:val="1"/>
                <w:szCs w:val="1"/>
                <w:color w:val="auto"/>
              </w:rPr>
            </w:pPr>
          </w:p>
        </w:tc>
        <w:tc>
          <w:tcPr>
            <w:tcW w:w="1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380" w:type="dxa"/>
            <w:vAlign w:val="bottom"/>
            <w:vMerge w:val="continue"/>
          </w:tcPr>
          <w:p>
            <w:pPr>
              <w:spacing w:after="0"/>
              <w:rPr>
                <w:sz w:val="17"/>
                <w:szCs w:val="17"/>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2,629,125</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19,149</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128,250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2,482,078</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2,482,078</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3,695,029</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3,695,029</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2,405,303</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2,405,303</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4,704,807</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2,405,303</w:t>
            </w:r>
          </w:p>
        </w:tc>
        <w:tc>
          <w:tcPr>
            <w:tcW w:w="0" w:type="dxa"/>
            <w:vAlign w:val="bottom"/>
          </w:tcPr>
          <w:p>
            <w:pPr>
              <w:spacing w:after="0"/>
              <w:rPr>
                <w:sz w:val="1"/>
                <w:szCs w:val="1"/>
                <w:color w:val="auto"/>
              </w:rPr>
            </w:pPr>
          </w:p>
        </w:tc>
      </w:tr>
      <w:tr>
        <w:trPr>
          <w:trHeight w:val="232"/>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DFDEEE"/>
            </w:tcBorders>
            <w:shd w:val="clear" w:color="auto" w:fill="DFDEEE"/>
          </w:tcPr>
          <w:p>
            <w:pPr>
              <w:spacing w:after="0"/>
              <w:rPr>
                <w:sz w:val="19"/>
                <w:szCs w:val="19"/>
                <w:color w:val="auto"/>
              </w:rPr>
            </w:pPr>
          </w:p>
        </w:tc>
        <w:tc>
          <w:tcPr>
            <w:tcW w:w="1880" w:type="dxa"/>
            <w:vAlign w:val="bottom"/>
            <w:tcBorders>
              <w:bottom w:val="single" w:sz="8" w:color="DFDEEE"/>
            </w:tcBorders>
            <w:shd w:val="clear" w:color="auto" w:fill="DFDEEE"/>
          </w:tcPr>
          <w:p>
            <w:pPr>
              <w:spacing w:after="0"/>
              <w:rPr>
                <w:sz w:val="19"/>
                <w:szCs w:val="19"/>
                <w:color w:val="auto"/>
              </w:rPr>
            </w:pPr>
          </w:p>
        </w:tc>
        <w:tc>
          <w:tcPr>
            <w:tcW w:w="1520" w:type="dxa"/>
            <w:vAlign w:val="bottom"/>
            <w:tcBorders>
              <w:bottom w:val="single" w:sz="8" w:color="DFDEEE"/>
            </w:tcBorders>
            <w:shd w:val="clear" w:color="auto" w:fill="DFDEEE"/>
          </w:tcPr>
          <w:p>
            <w:pPr>
              <w:spacing w:after="0"/>
              <w:rPr>
                <w:sz w:val="19"/>
                <w:szCs w:val="19"/>
                <w:color w:val="auto"/>
              </w:rPr>
            </w:pPr>
          </w:p>
        </w:tc>
        <w:tc>
          <w:tcPr>
            <w:tcW w:w="1060" w:type="dxa"/>
            <w:vAlign w:val="bottom"/>
            <w:tcBorders>
              <w:bottom w:val="single" w:sz="8" w:color="DFDEEE"/>
            </w:tcBorders>
            <w:shd w:val="clear" w:color="auto" w:fill="DFD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Borders>
              <w:top w:val="single" w:sz="8" w:color="DFDEEE"/>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3240" w:type="dxa"/>
            <w:vAlign w:val="bottom"/>
            <w:tcBorders>
              <w:top w:val="single" w:sz="8" w:color="BCBEC0"/>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top w:val="single" w:sz="8" w:color="BCBEC0"/>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BCBEC0"/>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2,565,000</w:t>
            </w:r>
          </w:p>
        </w:tc>
        <w:tc>
          <w:tcPr>
            <w:tcW w:w="1520" w:type="dxa"/>
            <w:vAlign w:val="bottom"/>
            <w:tcBorders>
              <w:top w:val="single" w:sz="8" w:color="BCBEC0"/>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6,198</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BCBEC0"/>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128,250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2,482,078</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2,482,078</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3,695,029</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3,695,029</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2,405,303</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2,405,303</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4,704,807</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2,405,303</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Thomas H. Jones</w:t>
            </w:r>
          </w:p>
        </w:tc>
        <w:tc>
          <w:tcPr>
            <w:tcW w:w="32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1880" w:type="dxa"/>
            <w:vAlign w:val="bottom"/>
            <w:tcBorders>
              <w:bottom w:val="single" w:sz="8" w:color="BCBEC0"/>
            </w:tcBorders>
          </w:tcPr>
          <w:p>
            <w:pPr>
              <w:spacing w:after="0" w:line="20" w:lineRule="exact"/>
              <w:rPr>
                <w:sz w:val="1"/>
                <w:szCs w:val="1"/>
                <w:color w:val="auto"/>
              </w:rPr>
            </w:pPr>
          </w:p>
        </w:tc>
        <w:tc>
          <w:tcPr>
            <w:tcW w:w="1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380" w:type="dxa"/>
            <w:vAlign w:val="bottom"/>
            <w:vMerge w:val="continue"/>
          </w:tcPr>
          <w:p>
            <w:pPr>
              <w:spacing w:after="0"/>
              <w:rPr>
                <w:sz w:val="17"/>
                <w:szCs w:val="17"/>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2,370,000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7,765</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1,391,312</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1,391,312</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2,348,191</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881,508</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BCBEC0"/>
            </w:tcBorders>
            <w:shd w:val="clear" w:color="auto" w:fill="DFDEEE"/>
          </w:tcPr>
          <w:p>
            <w:pPr>
              <w:spacing w:after="0"/>
              <w:rPr>
                <w:sz w:val="18"/>
                <w:szCs w:val="18"/>
                <w:color w:val="auto"/>
              </w:rPr>
            </w:pPr>
          </w:p>
        </w:tc>
        <w:tc>
          <w:tcPr>
            <w:tcW w:w="1880" w:type="dxa"/>
            <w:vAlign w:val="bottom"/>
            <w:tcBorders>
              <w:bottom w:val="single" w:sz="8" w:color="BCBEC0"/>
            </w:tcBorders>
            <w:shd w:val="clear" w:color="auto" w:fill="DFDEEE"/>
          </w:tcPr>
          <w:p>
            <w:pPr>
              <w:spacing w:after="0"/>
              <w:rPr>
                <w:sz w:val="18"/>
                <w:szCs w:val="18"/>
                <w:color w:val="auto"/>
              </w:rPr>
            </w:pPr>
          </w:p>
        </w:tc>
        <w:tc>
          <w:tcPr>
            <w:tcW w:w="1520" w:type="dxa"/>
            <w:vAlign w:val="bottom"/>
            <w:tcBorders>
              <w:bottom w:val="single" w:sz="8" w:color="BCBEC0"/>
            </w:tcBorders>
            <w:shd w:val="clear" w:color="auto" w:fill="DFDEEE"/>
          </w:tcPr>
          <w:p>
            <w:pPr>
              <w:spacing w:after="0"/>
              <w:rPr>
                <w:sz w:val="18"/>
                <w:szCs w:val="18"/>
                <w:color w:val="auto"/>
              </w:rPr>
            </w:pPr>
          </w:p>
        </w:tc>
        <w:tc>
          <w:tcPr>
            <w:tcW w:w="1060" w:type="dxa"/>
            <w:vAlign w:val="bottom"/>
            <w:tcBorders>
              <w:bottom w:val="single" w:sz="8" w:color="BCBEC0"/>
            </w:tcBorders>
            <w:shd w:val="clear" w:color="auto" w:fill="DFD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Roshan S. Roeder</w:t>
            </w: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2,250,000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20,262</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112,500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hanging="494"/>
        <w:spacing w:after="0"/>
        <w:tabs>
          <w:tab w:leader="none" w:pos="520" w:val="left"/>
        </w:tabs>
        <w:numPr>
          <w:ilvl w:val="0"/>
          <w:numId w:val="15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6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Similar treatment provided for certain “good reason” terminations, as described in “Key Components of Our Executive Compensation Programs - Severance Benefits” found on page 66; however, there would be no termination payment in the event of an involuntary termination for cause.</w:t>
      </w:r>
    </w:p>
    <w:p>
      <w:pPr>
        <w:spacing w:after="0" w:line="9" w:lineRule="exact"/>
        <w:rPr>
          <w:rFonts w:ascii="Arial" w:cs="Arial" w:eastAsia="Arial" w:hAnsi="Arial"/>
          <w:sz w:val="14"/>
          <w:szCs w:val="14"/>
          <w:color w:val="auto"/>
        </w:rPr>
      </w:pPr>
    </w:p>
    <w:p>
      <w:pPr>
        <w:ind w:left="260" w:right="14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amounts assume full acceleration, which, as discussed above, may not occur to the extent that it would result in an excise tax that decreases the after-tax value of the awards to an NEO.</w:t>
      </w:r>
    </w:p>
    <w:p>
      <w:pPr>
        <w:spacing w:after="0" w:line="9" w:lineRule="exact"/>
        <w:rPr>
          <w:rFonts w:ascii="Arial" w:cs="Arial" w:eastAsia="Arial" w:hAnsi="Arial"/>
          <w:sz w:val="14"/>
          <w:szCs w:val="14"/>
          <w:color w:val="auto"/>
        </w:rPr>
      </w:pPr>
    </w:p>
    <w:p>
      <w:pPr>
        <w:ind w:left="260" w:right="40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Long-term Incentive awards result in a benefit under Voluntary Termination and Involuntary Termination Not for Cause only if eligible for retirement treatment under the terms and conditions of the grants.</w:t>
      </w:r>
    </w:p>
    <w:p>
      <w:pPr>
        <w:spacing w:after="0" w:line="9" w:lineRule="exact"/>
        <w:rPr>
          <w:rFonts w:ascii="Arial" w:cs="Arial" w:eastAsia="Arial" w:hAnsi="Arial"/>
          <w:sz w:val="14"/>
          <w:szCs w:val="14"/>
          <w:color w:val="auto"/>
        </w:rPr>
      </w:pPr>
    </w:p>
    <w:p>
      <w:pPr>
        <w:jc w:val="both"/>
        <w:ind w:left="260" w:right="120" w:hanging="252"/>
        <w:spacing w:after="0" w:line="273"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Represents the following benefits under the Severance Plan, assuming a termination date of December 31, 2023: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6" w:name="page87"/>
    <w:bookmarkEnd w:id="86"/>
    <w:p>
      <w:pPr>
        <w:spacing w:after="0"/>
        <w:rPr>
          <w:sz w:val="20"/>
          <w:szCs w:val="20"/>
          <w:color w:val="auto"/>
        </w:rPr>
      </w:pPr>
      <w:r>
        <w:rPr>
          <w:rFonts w:ascii="Arial" w:cs="Arial" w:eastAsia="Arial" w:hAnsi="Arial"/>
          <w:sz w:val="43"/>
          <w:szCs w:val="43"/>
          <w:b w:val="1"/>
          <w:bCs w:val="1"/>
          <w:color w:val="29378D"/>
        </w:rPr>
        <w:t>2023 CEO Pay Ratio</w:t>
      </w:r>
    </w:p>
    <w:p>
      <w:pPr>
        <w:spacing w:after="0" w:line="200" w:lineRule="exact"/>
        <w:rPr>
          <w:sz w:val="20"/>
          <w:szCs w:val="20"/>
          <w:color w:val="auto"/>
        </w:rPr>
      </w:pPr>
    </w:p>
    <w:p>
      <w:pPr>
        <w:spacing w:after="0" w:line="266"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median employee and the annual total compensation of our CEO, Ms. Warden, as of our fiscal year end December 31, 2023. The pay ratio included in this information is a reasonable estimate calculated in a manner consistent with Item 402(u) of Regulation S-K.</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accordance with SEC rules, we re-identified the median employee in 2023. We determined that as of October 31, 2023 the company's global employee population consisted of approximately 100,600 individuals. We selected October 31, 2023 to allow sufficient time to identify the median employee given the global scope of our operations. As a company, we decided to scope in all employees in our domestic and international locations.</w:t>
      </w:r>
    </w:p>
    <w:p>
      <w:pPr>
        <w:spacing w:after="0" w:line="7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To identify the median employee, we used wages comprised of base salary, overtime pay and shift premiums for the ten-month period ending October 31, 2023. We believe this measure provides a reasonably obtainable and reflective component of compensation from which to identify the median employee.</w:t>
      </w:r>
    </w:p>
    <w:p>
      <w:pPr>
        <w:spacing w:after="0" w:line="6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calculated the median employee’s annual total compensation in the same manner as the CEO’s annual total compensation as calculated in the Summary Compensation Table on page 71. The median employee’s annual total compensation was $114,197, which includes other forms of compensation such as financial and wellness benefits. The CEO’s annual total compensation was $24,737,493. Based on this information, for 2023 the ratio of the annual total compensation of the CEO to the annual total compensation of the median employee was 217:1.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494"/>
        <w:spacing w:after="0"/>
        <w:tabs>
          <w:tab w:leader="none" w:pos="520" w:val="left"/>
        </w:tabs>
        <w:numPr>
          <w:ilvl w:val="0"/>
          <w:numId w:val="15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98" w:right="479" w:bottom="1440" w:gutter="0" w:footer="0" w:header="0"/>
        </w:sectPr>
      </w:pPr>
    </w:p>
    <w:bookmarkStart w:id="87" w:name="page88"/>
    <w:bookmarkEnd w:id="87"/>
    <w:p>
      <w:pPr>
        <w:spacing w:after="0"/>
        <w:rPr>
          <w:sz w:val="20"/>
          <w:szCs w:val="20"/>
          <w:color w:val="auto"/>
        </w:rPr>
      </w:pPr>
      <w:r>
        <w:rPr>
          <w:rFonts w:ascii="Arial" w:cs="Arial" w:eastAsia="Arial" w:hAnsi="Arial"/>
          <w:sz w:val="43"/>
          <w:szCs w:val="43"/>
          <w:b w:val="1"/>
          <w:bCs w:val="1"/>
          <w:color w:val="29378D"/>
        </w:rPr>
        <w:t>Pay Versus Performance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auto"/>
        </w:rPr>
        <w:t>Pay Versus Performance Table</w:t>
      </w:r>
    </w:p>
    <w:p>
      <w:pPr>
        <w:spacing w:after="0" w:line="11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following table provides four years of the Company’s compensation and performance history prepared in accordance with Item 402(v) of Regulation S-K under the Exchange Act/Securities Exchange Act of 1934, as amended (the “Exchange Act”) and does not necessarily reflect value actually realized by the executives or how our Compensation and Human Capital Committee evaluates compensation decisions in light of company or individual performance. For information on how our Compensation and Human Capital Committee aligns pay with performance when making compensation decisions, please review the Compensation Discussion and Analysis beginning on page 50.</w:t>
      </w:r>
    </w:p>
    <w:p>
      <w:pPr>
        <w:spacing w:after="0" w:line="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Based on the data shown in the table there is general alignment between the "compensation actually paid" (CAP), as defined by the SEC, and the included metrics. While the CAP calculation includes important compensation elements, it does not reflect the executives' "earned" compensation.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40" w:type="dxa"/>
            <w:vAlign w:val="bottom"/>
            <w:gridSpan w:val="2"/>
          </w:tcPr>
          <w:p>
            <w:pPr>
              <w:jc w:val="right"/>
              <w:ind w:right="295"/>
              <w:spacing w:after="0"/>
              <w:rPr>
                <w:sz w:val="20"/>
                <w:szCs w:val="20"/>
                <w:color w:val="auto"/>
              </w:rPr>
            </w:pPr>
            <w:r>
              <w:rPr>
                <w:rFonts w:ascii="Arial" w:cs="Arial" w:eastAsia="Arial" w:hAnsi="Arial"/>
                <w:sz w:val="13"/>
                <w:szCs w:val="13"/>
                <w:b w:val="1"/>
                <w:bCs w:val="1"/>
                <w:color w:val="auto"/>
              </w:rPr>
              <w:t>Value of Initial Fixed $100</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Summary</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Borders>
              <w:bottom w:val="single" w:sz="8" w:color="29378D"/>
            </w:tcBorders>
            <w:gridSpan w:val="2"/>
          </w:tcPr>
          <w:p>
            <w:pPr>
              <w:jc w:val="right"/>
              <w:ind w:right="395"/>
              <w:spacing w:after="0"/>
              <w:rPr>
                <w:sz w:val="20"/>
                <w:szCs w:val="20"/>
                <w:color w:val="auto"/>
              </w:rPr>
            </w:pPr>
            <w:r>
              <w:rPr>
                <w:rFonts w:ascii="Arial" w:cs="Arial" w:eastAsia="Arial" w:hAnsi="Arial"/>
                <w:sz w:val="13"/>
                <w:szCs w:val="13"/>
                <w:b w:val="1"/>
                <w:bCs w:val="1"/>
                <w:color w:val="auto"/>
              </w:rPr>
              <w:t>Investment Based on:</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700" w:type="dxa"/>
            <w:vAlign w:val="bottom"/>
          </w:tcPr>
          <w:p>
            <w:pPr>
              <w:spacing w:after="0"/>
              <w:rPr>
                <w:sz w:val="9"/>
                <w:szCs w:val="9"/>
                <w:color w:val="auto"/>
              </w:rPr>
            </w:pPr>
          </w:p>
        </w:tc>
        <w:tc>
          <w:tcPr>
            <w:tcW w:w="164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Compensation Table</w:t>
            </w: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(SCT) Total for</w:t>
            </w:r>
          </w:p>
        </w:tc>
        <w:tc>
          <w:tcPr>
            <w:tcW w:w="126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rPr>
              <w:t>CAP to PEO</w:t>
            </w:r>
            <w:r>
              <w:rPr>
                <w:rFonts w:ascii="Arial" w:cs="Arial" w:eastAsia="Arial" w:hAnsi="Arial"/>
                <w:sz w:val="16"/>
                <w:szCs w:val="16"/>
                <w:b w:val="1"/>
                <w:bCs w:val="1"/>
                <w:color w:val="auto"/>
                <w:vertAlign w:val="superscript"/>
              </w:rPr>
              <w:t>(2)(3)</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Avg SCT Total for</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Avg CAP to non-</w:t>
            </w:r>
          </w:p>
        </w:tc>
        <w:tc>
          <w:tcPr>
            <w:tcW w:w="1100" w:type="dxa"/>
            <w:vAlign w:val="bottom"/>
            <w:vMerge w:val="restart"/>
          </w:tcPr>
          <w:p>
            <w:pPr>
              <w:jc w:val="right"/>
              <w:ind w:right="295"/>
              <w:spacing w:after="0" w:line="275" w:lineRule="exact"/>
              <w:rPr>
                <w:sz w:val="20"/>
                <w:szCs w:val="20"/>
                <w:color w:val="auto"/>
              </w:rPr>
            </w:pPr>
            <w:r>
              <w:rPr>
                <w:rFonts w:ascii="Arial" w:cs="Arial" w:eastAsia="Arial" w:hAnsi="Arial"/>
                <w:sz w:val="25"/>
                <w:szCs w:val="25"/>
                <w:b w:val="1"/>
                <w:bCs w:val="1"/>
                <w:color w:val="auto"/>
                <w:vertAlign w:val="subscript"/>
              </w:rPr>
              <w:t>TSR</w:t>
            </w:r>
            <w:r>
              <w:rPr>
                <w:rFonts w:ascii="Arial" w:cs="Arial" w:eastAsia="Arial" w:hAnsi="Arial"/>
                <w:sz w:val="8"/>
                <w:szCs w:val="8"/>
                <w:b w:val="1"/>
                <w:bCs w:val="1"/>
                <w:color w:val="auto"/>
              </w:rPr>
              <w:t>(4)</w:t>
            </w:r>
          </w:p>
        </w:tc>
        <w:tc>
          <w:tcPr>
            <w:tcW w:w="1140" w:type="dxa"/>
            <w:vAlign w:val="bottom"/>
          </w:tcPr>
          <w:p>
            <w:pPr>
              <w:jc w:val="right"/>
              <w:spacing w:after="0" w:line="167" w:lineRule="exact"/>
              <w:rPr>
                <w:sz w:val="20"/>
                <w:szCs w:val="20"/>
                <w:color w:val="auto"/>
              </w:rPr>
            </w:pPr>
            <w:r>
              <w:rPr>
                <w:rFonts w:ascii="Arial" w:cs="Arial" w:eastAsia="Arial" w:hAnsi="Arial"/>
                <w:sz w:val="13"/>
                <w:szCs w:val="13"/>
                <w:b w:val="1"/>
                <w:bCs w:val="1"/>
                <w:color w:val="auto"/>
                <w:w w:val="96"/>
              </w:rPr>
              <w:t>Peer Group TSR</w:t>
            </w:r>
            <w:r>
              <w:rPr>
                <w:rFonts w:ascii="Arial" w:cs="Arial" w:eastAsia="Arial" w:hAnsi="Arial"/>
                <w:sz w:val="16"/>
                <w:szCs w:val="16"/>
                <w:b w:val="1"/>
                <w:bCs w:val="1"/>
                <w:color w:val="auto"/>
                <w:w w:val="96"/>
                <w:vertAlign w:val="superscript"/>
              </w:rPr>
              <w:t>(4)</w:t>
            </w:r>
          </w:p>
        </w:tc>
        <w:tc>
          <w:tcPr>
            <w:tcW w:w="1440" w:type="dxa"/>
            <w:vAlign w:val="bottom"/>
            <w:vMerge w:val="restart"/>
          </w:tcPr>
          <w:p>
            <w:pPr>
              <w:jc w:val="right"/>
              <w:ind w:right="311"/>
              <w:spacing w:after="0"/>
              <w:rPr>
                <w:sz w:val="20"/>
                <w:szCs w:val="20"/>
                <w:color w:val="auto"/>
              </w:rPr>
            </w:pPr>
            <w:r>
              <w:rPr>
                <w:rFonts w:ascii="Arial" w:cs="Arial" w:eastAsia="Arial" w:hAnsi="Arial"/>
                <w:sz w:val="13"/>
                <w:szCs w:val="13"/>
                <w:b w:val="1"/>
                <w:bCs w:val="1"/>
                <w:color w:val="auto"/>
              </w:rPr>
              <w:t>Net Income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CSM: Adjusted Cash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w:t>
            </w:r>
            <w:r>
              <w:rPr>
                <w:rFonts w:ascii="Arial" w:cs="Arial" w:eastAsia="Arial" w:hAnsi="Arial"/>
                <w:sz w:val="16"/>
                <w:szCs w:val="16"/>
                <w:b w:val="1"/>
                <w:bCs w:val="1"/>
                <w:color w:val="auto"/>
                <w:vertAlign w:val="superscript"/>
              </w:rPr>
              <w:t>(1)</w:t>
            </w:r>
          </w:p>
        </w:tc>
        <w:tc>
          <w:tcPr>
            <w:tcW w:w="16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Principal Executive</w:t>
            </w:r>
          </w:p>
        </w:tc>
        <w:tc>
          <w:tcPr>
            <w:tcW w:w="1260" w:type="dxa"/>
            <w:vAlign w:val="bottom"/>
            <w:vMerge w:val="continue"/>
          </w:tcPr>
          <w:p>
            <w:pPr>
              <w:spacing w:after="0"/>
              <w:rPr>
                <w:sz w:val="9"/>
                <w:szCs w:val="9"/>
                <w:color w:val="auto"/>
              </w:rPr>
            </w:pPr>
          </w:p>
        </w:tc>
        <w:tc>
          <w:tcPr>
            <w:tcW w:w="12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non-PEO NEOs</w:t>
            </w: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PEO NEOs</w:t>
            </w:r>
            <w:r>
              <w:rPr>
                <w:rFonts w:ascii="Arial" w:cs="Arial" w:eastAsia="Arial" w:hAnsi="Arial"/>
                <w:sz w:val="12"/>
                <w:szCs w:val="12"/>
                <w:b w:val="1"/>
                <w:bCs w:val="1"/>
                <w:color w:val="auto"/>
                <w:vertAlign w:val="superscript"/>
              </w:rPr>
              <w:t>(2)(3)</w:t>
            </w:r>
          </w:p>
        </w:tc>
        <w:tc>
          <w:tcPr>
            <w:tcW w:w="1100" w:type="dxa"/>
            <w:vAlign w:val="bottom"/>
            <w:vMerge w:val="continue"/>
          </w:tcPr>
          <w:p>
            <w:pPr>
              <w:spacing w:after="0"/>
              <w:rPr>
                <w:sz w:val="9"/>
                <w:szCs w:val="9"/>
                <w:color w:val="auto"/>
              </w:rPr>
            </w:pPr>
          </w:p>
        </w:tc>
        <w:tc>
          <w:tcPr>
            <w:tcW w:w="1140" w:type="dxa"/>
            <w:vAlign w:val="bottom"/>
          </w:tcPr>
          <w:p>
            <w:pPr>
              <w:jc w:val="right"/>
              <w:ind w:right="435"/>
              <w:spacing w:after="0"/>
              <w:rPr>
                <w:sz w:val="20"/>
                <w:szCs w:val="20"/>
                <w:color w:val="auto"/>
              </w:rPr>
            </w:pPr>
            <w:r>
              <w:rPr>
                <w:rFonts w:ascii="Arial" w:cs="Arial" w:eastAsia="Arial" w:hAnsi="Arial"/>
                <w:sz w:val="8"/>
                <w:szCs w:val="8"/>
                <w:b w:val="1"/>
                <w:bCs w:val="1"/>
                <w:color w:val="auto"/>
              </w:rPr>
              <w:t>(5)</w:t>
            </w:r>
          </w:p>
        </w:tc>
        <w:tc>
          <w:tcPr>
            <w:tcW w:w="1440" w:type="dxa"/>
            <w:vAlign w:val="bottom"/>
            <w:vMerge w:val="continue"/>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Flow from Operations*</w:t>
            </w:r>
            <w:r>
              <w:rPr>
                <w:rFonts w:ascii="Arial" w:cs="Arial" w:eastAsia="Arial" w:hAnsi="Arial"/>
                <w:sz w:val="12"/>
                <w:szCs w:val="12"/>
                <w:b w:val="1"/>
                <w:bCs w:val="1"/>
                <w:color w:val="auto"/>
                <w:vertAlign w:val="superscript"/>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00" w:type="dxa"/>
            <w:vAlign w:val="bottom"/>
            <w:tcBorders>
              <w:bottom w:val="single" w:sz="8" w:color="29378D"/>
            </w:tcBorders>
            <w:vMerge w:val="continue"/>
          </w:tcPr>
          <w:p>
            <w:pPr>
              <w:spacing w:after="0"/>
              <w:rPr>
                <w:sz w:val="16"/>
                <w:szCs w:val="16"/>
                <w:color w:val="auto"/>
              </w:rPr>
            </w:pPr>
          </w:p>
        </w:tc>
        <w:tc>
          <w:tcPr>
            <w:tcW w:w="164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w w:val="96"/>
              </w:rPr>
              <w:t>Officer (PEO) ($)</w:t>
            </w:r>
          </w:p>
        </w:tc>
        <w:tc>
          <w:tcPr>
            <w:tcW w:w="1260" w:type="dxa"/>
            <w:vAlign w:val="bottom"/>
            <w:tcBorders>
              <w:bottom w:val="single" w:sz="8" w:color="29378D"/>
            </w:tcBorders>
          </w:tcPr>
          <w:p>
            <w:pPr>
              <w:jc w:val="right"/>
              <w:ind w:right="531"/>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29378D"/>
            </w:tcBorders>
          </w:tcPr>
          <w:p>
            <w:pPr>
              <w:jc w:val="right"/>
              <w:ind w:right="395"/>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29378D"/>
            </w:tcBorders>
          </w:tcPr>
          <w:p>
            <w:pPr>
              <w:jc w:val="right"/>
              <w:ind w:right="415"/>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29378D"/>
            </w:tcBorders>
          </w:tcPr>
          <w:p>
            <w:pPr>
              <w:jc w:val="right"/>
              <w:ind w:right="571"/>
              <w:spacing w:after="0"/>
              <w:rPr>
                <w:sz w:val="20"/>
                <w:szCs w:val="20"/>
                <w:color w:val="auto"/>
              </w:rPr>
            </w:pPr>
            <w:r>
              <w:rPr>
                <w:rFonts w:ascii="Arial" w:cs="Arial" w:eastAsia="Arial" w:hAnsi="Arial"/>
                <w:sz w:val="13"/>
                <w:szCs w:val="13"/>
                <w:b w:val="1"/>
                <w:bCs w:val="1"/>
                <w:color w:val="auto"/>
              </w:rPr>
              <w:t>($)</w:t>
            </w:r>
          </w:p>
        </w:tc>
        <w:tc>
          <w:tcPr>
            <w:tcW w:w="156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29378D"/>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0A2299"/>
              </w:rPr>
              <w:t>2023</w:t>
            </w:r>
          </w:p>
        </w:tc>
        <w:tc>
          <w:tcPr>
            <w:tcW w:w="1640" w:type="dxa"/>
            <w:vAlign w:val="bottom"/>
            <w:shd w:val="clear" w:color="auto" w:fill="DFDEEE"/>
          </w:tcPr>
          <w:p>
            <w:pPr>
              <w:jc w:val="right"/>
              <w:ind w:right="74"/>
              <w:spacing w:after="0"/>
              <w:rPr>
                <w:sz w:val="20"/>
                <w:szCs w:val="20"/>
                <w:color w:val="auto"/>
              </w:rPr>
            </w:pPr>
            <w:r>
              <w:rPr>
                <w:rFonts w:ascii="Arial" w:cs="Arial" w:eastAsia="Arial" w:hAnsi="Arial"/>
                <w:sz w:val="14"/>
                <w:szCs w:val="14"/>
                <w:color w:val="auto"/>
              </w:rPr>
              <w:t>24,737,493</w:t>
            </w:r>
          </w:p>
        </w:tc>
        <w:tc>
          <w:tcPr>
            <w:tcW w:w="126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13,440,872</w:t>
            </w:r>
          </w:p>
        </w:tc>
        <w:tc>
          <w:tcPr>
            <w:tcW w:w="1220" w:type="dxa"/>
            <w:vAlign w:val="bottom"/>
            <w:shd w:val="clear" w:color="auto" w:fill="DFDEEE"/>
          </w:tcPr>
          <w:p>
            <w:pPr>
              <w:jc w:val="right"/>
              <w:ind w:right="13"/>
              <w:spacing w:after="0"/>
              <w:rPr>
                <w:sz w:val="20"/>
                <w:szCs w:val="20"/>
                <w:color w:val="auto"/>
              </w:rPr>
            </w:pPr>
            <w:r>
              <w:rPr>
                <w:rFonts w:ascii="Arial" w:cs="Arial" w:eastAsia="Arial" w:hAnsi="Arial"/>
                <w:sz w:val="14"/>
                <w:szCs w:val="14"/>
                <w:color w:val="auto"/>
              </w:rPr>
              <w:t>5,751,083</w:t>
            </w:r>
          </w:p>
        </w:tc>
        <w:tc>
          <w:tcPr>
            <w:tcW w:w="118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3,930,874</w:t>
            </w:r>
          </w:p>
        </w:tc>
        <w:tc>
          <w:tcPr>
            <w:tcW w:w="11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145.27</w:t>
            </w:r>
          </w:p>
        </w:tc>
        <w:tc>
          <w:tcPr>
            <w:tcW w:w="114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111.48</w:t>
            </w:r>
          </w:p>
        </w:tc>
        <w:tc>
          <w:tcPr>
            <w:tcW w:w="1440" w:type="dxa"/>
            <w:vAlign w:val="bottom"/>
            <w:shd w:val="clear" w:color="auto" w:fill="DFDEEE"/>
          </w:tcPr>
          <w:p>
            <w:pPr>
              <w:jc w:val="right"/>
              <w:spacing w:after="0"/>
              <w:rPr>
                <w:sz w:val="20"/>
                <w:szCs w:val="20"/>
                <w:color w:val="auto"/>
              </w:rPr>
            </w:pPr>
            <w:r>
              <w:rPr>
                <w:rFonts w:ascii="Arial" w:cs="Arial" w:eastAsia="Arial" w:hAnsi="Arial"/>
                <w:sz w:val="14"/>
                <w:szCs w:val="14"/>
                <w:color w:val="auto"/>
              </w:rPr>
              <w:t>2,056,000,000</w:t>
            </w:r>
          </w:p>
        </w:tc>
        <w:tc>
          <w:tcPr>
            <w:tcW w:w="156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3,637,000,000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BCBEC0"/>
            </w:tcBorders>
          </w:tcPr>
          <w:p>
            <w:pPr>
              <w:ind w:left="40"/>
              <w:spacing w:after="0"/>
              <w:rPr>
                <w:sz w:val="20"/>
                <w:szCs w:val="20"/>
                <w:color w:val="auto"/>
              </w:rPr>
            </w:pPr>
            <w:r>
              <w:rPr>
                <w:rFonts w:ascii="Arial" w:cs="Arial" w:eastAsia="Arial" w:hAnsi="Arial"/>
                <w:sz w:val="14"/>
                <w:szCs w:val="14"/>
                <w:b w:val="1"/>
                <w:bCs w:val="1"/>
                <w:color w:val="0A2299"/>
              </w:rPr>
              <w:t>2022</w:t>
            </w:r>
          </w:p>
        </w:tc>
        <w:tc>
          <w:tcPr>
            <w:tcW w:w="1640" w:type="dxa"/>
            <w:vAlign w:val="bottom"/>
            <w:tcBorders>
              <w:bottom w:val="single" w:sz="8" w:color="BCBEC0"/>
            </w:tcBorders>
          </w:tcPr>
          <w:p>
            <w:pPr>
              <w:jc w:val="right"/>
              <w:ind w:right="74"/>
              <w:spacing w:after="0"/>
              <w:rPr>
                <w:sz w:val="20"/>
                <w:szCs w:val="20"/>
                <w:color w:val="auto"/>
              </w:rPr>
            </w:pPr>
            <w:r>
              <w:rPr>
                <w:rFonts w:ascii="Arial" w:cs="Arial" w:eastAsia="Arial" w:hAnsi="Arial"/>
                <w:sz w:val="14"/>
                <w:szCs w:val="14"/>
                <w:color w:val="auto"/>
              </w:rPr>
              <w:t>20,672,072</w:t>
            </w:r>
          </w:p>
        </w:tc>
        <w:tc>
          <w:tcPr>
            <w:tcW w:w="12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54,746,734</w:t>
            </w:r>
          </w:p>
        </w:tc>
        <w:tc>
          <w:tcPr>
            <w:tcW w:w="1220" w:type="dxa"/>
            <w:vAlign w:val="bottom"/>
            <w:tcBorders>
              <w:bottom w:val="single" w:sz="8" w:color="BCBEC0"/>
            </w:tcBorders>
          </w:tcPr>
          <w:p>
            <w:pPr>
              <w:jc w:val="right"/>
              <w:ind w:right="13"/>
              <w:spacing w:after="0"/>
              <w:rPr>
                <w:sz w:val="20"/>
                <w:szCs w:val="20"/>
                <w:color w:val="auto"/>
              </w:rPr>
            </w:pPr>
            <w:r>
              <w:rPr>
                <w:rFonts w:ascii="Arial" w:cs="Arial" w:eastAsia="Arial" w:hAnsi="Arial"/>
                <w:sz w:val="14"/>
                <w:szCs w:val="14"/>
                <w:color w:val="auto"/>
              </w:rPr>
              <w:t>5,388,919</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11,074,607</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166.57</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106.08</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4,896,000,000</w:t>
            </w:r>
          </w:p>
        </w:tc>
        <w:tc>
          <w:tcPr>
            <w:tcW w:w="15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3,913,000,000</w:t>
            </w:r>
          </w:p>
        </w:tc>
        <w:tc>
          <w:tcPr>
            <w:tcW w:w="2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0A2299"/>
              </w:rPr>
              <w:t>2021</w:t>
            </w:r>
          </w:p>
        </w:tc>
        <w:tc>
          <w:tcPr>
            <w:tcW w:w="1640" w:type="dxa"/>
            <w:vAlign w:val="bottom"/>
            <w:tcBorders>
              <w:bottom w:val="single" w:sz="8" w:color="BCBEC0"/>
            </w:tcBorders>
            <w:shd w:val="clear" w:color="auto" w:fill="DFDEEE"/>
          </w:tcPr>
          <w:p>
            <w:pPr>
              <w:jc w:val="right"/>
              <w:ind w:right="74"/>
              <w:spacing w:after="0"/>
              <w:rPr>
                <w:sz w:val="20"/>
                <w:szCs w:val="20"/>
                <w:color w:val="auto"/>
              </w:rPr>
            </w:pPr>
            <w:r>
              <w:rPr>
                <w:rFonts w:ascii="Arial" w:cs="Arial" w:eastAsia="Arial" w:hAnsi="Arial"/>
                <w:sz w:val="14"/>
                <w:szCs w:val="14"/>
                <w:color w:val="auto"/>
              </w:rPr>
              <w:t>19,876,767</w:t>
            </w:r>
          </w:p>
        </w:tc>
        <w:tc>
          <w:tcPr>
            <w:tcW w:w="12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38,893,119</w:t>
            </w:r>
          </w:p>
        </w:tc>
        <w:tc>
          <w:tcPr>
            <w:tcW w:w="1220" w:type="dxa"/>
            <w:vAlign w:val="bottom"/>
            <w:tcBorders>
              <w:bottom w:val="single" w:sz="8" w:color="BCBEC0"/>
            </w:tcBorders>
            <w:shd w:val="clear" w:color="auto" w:fill="DFDEEE"/>
          </w:tcPr>
          <w:p>
            <w:pPr>
              <w:jc w:val="right"/>
              <w:ind w:right="13"/>
              <w:spacing w:after="0"/>
              <w:rPr>
                <w:sz w:val="20"/>
                <w:szCs w:val="20"/>
                <w:color w:val="auto"/>
              </w:rPr>
            </w:pPr>
            <w:r>
              <w:rPr>
                <w:rFonts w:ascii="Arial" w:cs="Arial" w:eastAsia="Arial" w:hAnsi="Arial"/>
                <w:sz w:val="14"/>
                <w:szCs w:val="14"/>
                <w:color w:val="auto"/>
              </w:rPr>
              <w:t>5,274,973</w:t>
            </w:r>
          </w:p>
        </w:tc>
        <w:tc>
          <w:tcPr>
            <w:tcW w:w="11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9,100,357</w:t>
            </w:r>
          </w:p>
        </w:tc>
        <w:tc>
          <w:tcPr>
            <w:tcW w:w="11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116.47</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91.84</w:t>
            </w:r>
          </w:p>
        </w:tc>
        <w:tc>
          <w:tcPr>
            <w:tcW w:w="14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7,005,000,000</w:t>
            </w:r>
          </w:p>
        </w:tc>
        <w:tc>
          <w:tcPr>
            <w:tcW w:w="15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4,475,000,000</w:t>
            </w:r>
          </w:p>
        </w:tc>
        <w:tc>
          <w:tcPr>
            <w:tcW w:w="2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BCBEC0"/>
            </w:tcBorders>
          </w:tcPr>
          <w:p>
            <w:pPr>
              <w:ind w:left="40"/>
              <w:spacing w:after="0"/>
              <w:rPr>
                <w:sz w:val="20"/>
                <w:szCs w:val="20"/>
                <w:color w:val="auto"/>
              </w:rPr>
            </w:pPr>
            <w:r>
              <w:rPr>
                <w:rFonts w:ascii="Arial" w:cs="Arial" w:eastAsia="Arial" w:hAnsi="Arial"/>
                <w:sz w:val="14"/>
                <w:szCs w:val="14"/>
                <w:b w:val="1"/>
                <w:bCs w:val="1"/>
                <w:color w:val="0A2299"/>
              </w:rPr>
              <w:t>2020</w:t>
            </w:r>
            <w:r>
              <w:rPr>
                <w:rFonts w:ascii="Arial" w:cs="Arial" w:eastAsia="Arial" w:hAnsi="Arial"/>
                <w:sz w:val="9"/>
                <w:szCs w:val="9"/>
                <w:b w:val="1"/>
                <w:bCs w:val="1"/>
                <w:color w:val="0A2299"/>
              </w:rPr>
              <w:t>(7)</w:t>
            </w:r>
          </w:p>
        </w:tc>
        <w:tc>
          <w:tcPr>
            <w:tcW w:w="1640" w:type="dxa"/>
            <w:vAlign w:val="bottom"/>
            <w:tcBorders>
              <w:bottom w:val="single" w:sz="8" w:color="BCBEC0"/>
            </w:tcBorders>
          </w:tcPr>
          <w:p>
            <w:pPr>
              <w:jc w:val="right"/>
              <w:ind w:right="74"/>
              <w:spacing w:after="0"/>
              <w:rPr>
                <w:sz w:val="20"/>
                <w:szCs w:val="20"/>
                <w:color w:val="auto"/>
              </w:rPr>
            </w:pPr>
            <w:r>
              <w:rPr>
                <w:rFonts w:ascii="Arial" w:cs="Arial" w:eastAsia="Arial" w:hAnsi="Arial"/>
                <w:sz w:val="14"/>
                <w:szCs w:val="14"/>
                <w:color w:val="auto"/>
              </w:rPr>
              <w:t>20,807,144</w:t>
            </w:r>
          </w:p>
        </w:tc>
        <w:tc>
          <w:tcPr>
            <w:tcW w:w="12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14,601,902</w:t>
            </w:r>
          </w:p>
        </w:tc>
        <w:tc>
          <w:tcPr>
            <w:tcW w:w="1220" w:type="dxa"/>
            <w:vAlign w:val="bottom"/>
            <w:tcBorders>
              <w:bottom w:val="single" w:sz="8" w:color="BCBEC0"/>
            </w:tcBorders>
          </w:tcPr>
          <w:p>
            <w:pPr>
              <w:jc w:val="right"/>
              <w:ind w:right="13"/>
              <w:spacing w:after="0"/>
              <w:rPr>
                <w:sz w:val="20"/>
                <w:szCs w:val="20"/>
                <w:color w:val="auto"/>
              </w:rPr>
            </w:pPr>
            <w:r>
              <w:rPr>
                <w:rFonts w:ascii="Arial" w:cs="Arial" w:eastAsia="Arial" w:hAnsi="Arial"/>
                <w:sz w:val="14"/>
                <w:szCs w:val="14"/>
                <w:color w:val="auto"/>
              </w:rPr>
              <w:t>5,526,430</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2,671,853</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90.08</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82.41</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3,189,000,000</w:t>
            </w:r>
          </w:p>
        </w:tc>
        <w:tc>
          <w:tcPr>
            <w:tcW w:w="15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5,135,000,000</w:t>
            </w:r>
          </w:p>
        </w:tc>
        <w:tc>
          <w:tcPr>
            <w:tcW w:w="2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8890"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-153670</wp:posOffset>
            </wp:positionV>
            <wp:extent cx="8255" cy="154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-436245</wp:posOffset>
            </wp:positionV>
            <wp:extent cx="8890" cy="4368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-436245</wp:posOffset>
            </wp:positionV>
            <wp:extent cx="8255" cy="4368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8255" cy="436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-436245</wp:posOffset>
            </wp:positionV>
            <wp:extent cx="8255" cy="4368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-436245</wp:posOffset>
            </wp:positionV>
            <wp:extent cx="8890" cy="4368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-436245</wp:posOffset>
            </wp:positionV>
            <wp:extent cx="8255" cy="4368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-436245</wp:posOffset>
            </wp:positionV>
            <wp:extent cx="8255" cy="4368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8890" cy="1454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-436245</wp:posOffset>
            </wp:positionV>
            <wp:extent cx="8255" cy="145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-582295</wp:posOffset>
            </wp:positionV>
            <wp:extent cx="8890" cy="5829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58293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109" w:lineRule="exact"/>
        <w:rPr>
          <w:sz w:val="20"/>
          <w:szCs w:val="20"/>
          <w:color w:val="auto"/>
        </w:rPr>
      </w:pPr>
    </w:p>
    <w:p>
      <w:pPr>
        <w:ind w:left="260" w:right="40" w:hanging="252"/>
        <w:spacing w:after="0" w:line="276" w:lineRule="auto"/>
        <w:tabs>
          <w:tab w:leader="none" w:pos="217"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Ms. Warden is included as the Principal Executive Officer (PEO), CEO, for years 2023, 2022, 2021 and 2020. Messrs. Keffer, Caylor and Jones and Ms. Roeder are included in the non-PEO NEO averages for 2023. Messrs. Keffer, Bromberg, Caylor and Jones are included in the non-PEO NEO averages for 2022. Messrs. Keffer, Caylor, Larson and Ms. Petryszyn are included in the non-PEO NEO averages for 2021. Messrs. Keffer, Caylor, Larson, Pamiljans and Bedingfield are included in the non-PEO NEO averages for 2020.</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CAP calculations for the PEO and non-PEO NEOs are included in the table below, as defined by the SEC. The non-PEO NEOs reflect an average for each year.</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00249C"/>
        </w:rPr>
        <w:t>CAP Calculation =</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Summary Compensation Table</w:t>
      </w:r>
    </w:p>
    <w:p>
      <w:pPr>
        <w:spacing w:after="0" w:line="82" w:lineRule="exact"/>
        <w:rPr>
          <w:sz w:val="20"/>
          <w:szCs w:val="20"/>
          <w:color w:val="auto"/>
        </w:rPr>
      </w:pPr>
    </w:p>
    <w:p>
      <w:pPr>
        <w:ind w:left="340" w:hanging="89"/>
        <w:spacing w:after="0"/>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Annual stock award</w:t>
      </w:r>
    </w:p>
    <w:p>
      <w:pPr>
        <w:spacing w:after="0" w:line="82" w:lineRule="exact"/>
        <w:rPr>
          <w:rFonts w:ascii="Arial" w:cs="Arial" w:eastAsia="Arial" w:hAnsi="Arial"/>
          <w:sz w:val="14"/>
          <w:szCs w:val="14"/>
          <w:color w:val="auto"/>
        </w:rPr>
      </w:pPr>
    </w:p>
    <w:p>
      <w:pPr>
        <w:ind w:left="260" w:right="9180" w:hanging="9"/>
        <w:spacing w:after="0" w:line="372" w:lineRule="auto"/>
        <w:tabs>
          <w:tab w:leader="none" w:pos="348"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Change in pension value </w:t>
      </w:r>
      <w:r>
        <w:rPr>
          <w:rFonts w:ascii="Arial" w:cs="Arial" w:eastAsia="Arial" w:hAnsi="Arial"/>
          <w:sz w:val="9"/>
          <w:szCs w:val="9"/>
          <w:color w:val="auto"/>
        </w:rPr>
        <w:t>(a)</w:t>
      </w:r>
      <w:r>
        <w:rPr>
          <w:rFonts w:ascii="Arial" w:cs="Arial" w:eastAsia="Arial" w:hAnsi="Arial"/>
          <w:sz w:val="14"/>
          <w:szCs w:val="14"/>
          <w:color w:val="auto"/>
        </w:rPr>
        <w:t xml:space="preserve"> + Pension service cost</w:t>
      </w:r>
    </w:p>
    <w:p>
      <w:pPr>
        <w:ind w:left="260"/>
        <w:spacing w:after="0"/>
        <w:rPr>
          <w:rFonts w:ascii="Arial" w:cs="Arial" w:eastAsia="Arial" w:hAnsi="Arial"/>
          <w:sz w:val="14"/>
          <w:szCs w:val="14"/>
          <w:color w:val="auto"/>
        </w:rPr>
      </w:pPr>
      <w:r>
        <w:rPr>
          <w:rFonts w:ascii="Arial" w:cs="Arial" w:eastAsia="Arial" w:hAnsi="Arial"/>
          <w:sz w:val="14"/>
          <w:szCs w:val="14"/>
          <w:color w:val="auto"/>
        </w:rPr>
        <w:t>+ Prior pension service cost</w:t>
      </w:r>
    </w:p>
    <w:p>
      <w:pPr>
        <w:spacing w:after="0" w:line="82" w:lineRule="exact"/>
        <w:rPr>
          <w:sz w:val="20"/>
          <w:szCs w:val="20"/>
          <w:color w:val="auto"/>
        </w:rPr>
      </w:pPr>
    </w:p>
    <w:p>
      <w:pPr>
        <w:ind w:left="520" w:right="320" w:hanging="269"/>
        <w:spacing w:after="0" w:line="273" w:lineRule="auto"/>
        <w:tabs>
          <w:tab w:leader="none" w:pos="38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Fair value of current year equity awards, annual change in fair value as of year-end for unvested awards, fair value as of vesting of awards granted and vested in year, annual change in value as of vesting of prior year's awards, annual change in value of prior year's awards forfeited and value of dividends or other earnings paid on stock</w:t>
      </w:r>
    </w:p>
    <w:p>
      <w:pPr>
        <w:spacing w:after="0" w:line="76" w:lineRule="exact"/>
        <w:rPr>
          <w:sz w:val="20"/>
          <w:szCs w:val="20"/>
          <w:color w:val="auto"/>
        </w:rPr>
      </w:pPr>
    </w:p>
    <w:p>
      <w:pPr>
        <w:jc w:val="center"/>
        <w:ind w:left="960"/>
        <w:spacing w:after="0"/>
        <w:rPr>
          <w:sz w:val="20"/>
          <w:szCs w:val="20"/>
          <w:color w:val="auto"/>
        </w:rPr>
      </w:pPr>
      <w:r>
        <w:rPr>
          <w:rFonts w:ascii="Arial" w:cs="Arial" w:eastAsia="Arial" w:hAnsi="Arial"/>
          <w:sz w:val="13"/>
          <w:szCs w:val="13"/>
          <w:b w:val="1"/>
          <w:bCs w:val="1"/>
          <w:color w:val="auto"/>
        </w:rPr>
        <w:t>CAP Calculation (per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58121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47" w:lineRule="exact"/>
        <w:rPr>
          <w:sz w:val="20"/>
          <w:szCs w:val="20"/>
          <w:color w:val="auto"/>
        </w:rPr>
      </w:pPr>
    </w:p>
    <w:p>
      <w:pPr>
        <w:jc w:val="center"/>
        <w:ind w:left="960"/>
        <w:spacing w:after="0"/>
        <w:rPr>
          <w:sz w:val="20"/>
          <w:szCs w:val="20"/>
          <w:color w:val="auto"/>
        </w:rPr>
      </w:pPr>
      <w:r>
        <w:rPr>
          <w:rFonts w:ascii="Arial" w:cs="Arial" w:eastAsia="Arial" w:hAnsi="Arial"/>
          <w:sz w:val="13"/>
          <w:szCs w:val="13"/>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58121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Year ($M)</w:t>
            </w: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SCT Total</w:t>
            </w:r>
          </w:p>
        </w:tc>
        <w:tc>
          <w:tcPr>
            <w:tcW w:w="134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w w:val="98"/>
              </w:rPr>
              <w:t>Annual Stock Award</w:t>
            </w:r>
          </w:p>
        </w:tc>
        <w:tc>
          <w:tcPr>
            <w:tcW w:w="1400" w:type="dxa"/>
            <w:vAlign w:val="bottom"/>
          </w:tcPr>
          <w:p>
            <w:pPr>
              <w:ind w:left="100"/>
              <w:spacing w:after="0"/>
              <w:rPr>
                <w:sz w:val="20"/>
                <w:szCs w:val="20"/>
                <w:color w:val="auto"/>
              </w:rPr>
            </w:pPr>
            <w:r>
              <w:rPr>
                <w:rFonts w:ascii="Arial" w:cs="Arial" w:eastAsia="Arial" w:hAnsi="Arial"/>
                <w:sz w:val="13"/>
                <w:szCs w:val="13"/>
                <w:b w:val="1"/>
                <w:bCs w:val="1"/>
                <w:color w:val="auto"/>
              </w:rPr>
              <w:t>Change in Pension</w:t>
            </w:r>
          </w:p>
        </w:tc>
        <w:tc>
          <w:tcPr>
            <w:tcW w:w="1380" w:type="dxa"/>
            <w:vAlign w:val="bottom"/>
          </w:tcPr>
          <w:p>
            <w:pPr>
              <w:jc w:val="right"/>
              <w:ind w:right="171"/>
              <w:spacing w:after="0"/>
              <w:rPr>
                <w:sz w:val="20"/>
                <w:szCs w:val="20"/>
                <w:color w:val="auto"/>
              </w:rPr>
            </w:pPr>
            <w:r>
              <w:rPr>
                <w:rFonts w:ascii="Arial" w:cs="Arial" w:eastAsia="Arial" w:hAnsi="Arial"/>
                <w:sz w:val="13"/>
                <w:szCs w:val="13"/>
                <w:b w:val="1"/>
                <w:bCs w:val="1"/>
                <w:color w:val="auto"/>
              </w:rPr>
              <w:t>Pension Service</w:t>
            </w:r>
          </w:p>
        </w:tc>
        <w:tc>
          <w:tcPr>
            <w:tcW w:w="1360" w:type="dxa"/>
            <w:vAlign w:val="bottom"/>
          </w:tcPr>
          <w:p>
            <w:pPr>
              <w:jc w:val="right"/>
              <w:ind w:right="231"/>
              <w:spacing w:after="0"/>
              <w:rPr>
                <w:sz w:val="20"/>
                <w:szCs w:val="20"/>
                <w:color w:val="auto"/>
              </w:rPr>
            </w:pPr>
            <w:r>
              <w:rPr>
                <w:rFonts w:ascii="Arial" w:cs="Arial" w:eastAsia="Arial" w:hAnsi="Arial"/>
                <w:sz w:val="13"/>
                <w:szCs w:val="13"/>
                <w:b w:val="1"/>
                <w:bCs w:val="1"/>
                <w:color w:val="auto"/>
              </w:rPr>
              <w:t>Prior Pension</w:t>
            </w:r>
          </w:p>
        </w:tc>
        <w:tc>
          <w:tcPr>
            <w:tcW w:w="1500" w:type="dxa"/>
            <w:vAlign w:val="bottom"/>
            <w:vMerge w:val="restart"/>
          </w:tcPr>
          <w:p>
            <w:pPr>
              <w:jc w:val="right"/>
              <w:ind w:right="410"/>
              <w:spacing w:after="0"/>
              <w:rPr>
                <w:sz w:val="20"/>
                <w:szCs w:val="20"/>
                <w:color w:val="auto"/>
              </w:rPr>
            </w:pPr>
            <w:r>
              <w:rPr>
                <w:rFonts w:ascii="Arial" w:cs="Arial" w:eastAsia="Arial" w:hAnsi="Arial"/>
                <w:sz w:val="13"/>
                <w:szCs w:val="13"/>
                <w:b w:val="1"/>
                <w:bCs w:val="1"/>
                <w:color w:val="auto"/>
              </w:rPr>
              <w:t>Equity Value</w:t>
            </w:r>
          </w:p>
        </w:tc>
        <w:tc>
          <w:tcPr>
            <w:tcW w:w="104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Total</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0" w:type="dxa"/>
            <w:vAlign w:val="bottom"/>
          </w:tcPr>
          <w:p>
            <w:pPr>
              <w:jc w:val="center"/>
              <w:ind w:left="671"/>
              <w:spacing w:after="0"/>
              <w:rPr>
                <w:sz w:val="20"/>
                <w:szCs w:val="20"/>
                <w:color w:val="auto"/>
              </w:rPr>
            </w:pPr>
            <w:r>
              <w:rPr>
                <w:rFonts w:ascii="Arial" w:cs="Arial" w:eastAsia="Arial" w:hAnsi="Arial"/>
                <w:sz w:val="13"/>
                <w:szCs w:val="13"/>
                <w:b w:val="1"/>
                <w:bCs w:val="1"/>
                <w:color w:val="auto"/>
                <w:w w:val="97"/>
              </w:rPr>
              <w:t>Value</w:t>
            </w:r>
          </w:p>
        </w:tc>
        <w:tc>
          <w:tcPr>
            <w:tcW w:w="1380" w:type="dxa"/>
            <w:vAlign w:val="bottom"/>
          </w:tcPr>
          <w:p>
            <w:pPr>
              <w:jc w:val="right"/>
              <w:ind w:right="171"/>
              <w:spacing w:after="0"/>
              <w:rPr>
                <w:sz w:val="20"/>
                <w:szCs w:val="20"/>
                <w:color w:val="auto"/>
              </w:rPr>
            </w:pPr>
            <w:r>
              <w:rPr>
                <w:rFonts w:ascii="Arial" w:cs="Arial" w:eastAsia="Arial" w:hAnsi="Arial"/>
                <w:sz w:val="13"/>
                <w:szCs w:val="13"/>
                <w:b w:val="1"/>
                <w:bCs w:val="1"/>
                <w:color w:val="auto"/>
              </w:rPr>
              <w:t>Cost</w:t>
            </w:r>
          </w:p>
        </w:tc>
        <w:tc>
          <w:tcPr>
            <w:tcW w:w="1360" w:type="dxa"/>
            <w:vAlign w:val="bottom"/>
          </w:tcPr>
          <w:p>
            <w:pPr>
              <w:jc w:val="right"/>
              <w:ind w:right="231"/>
              <w:spacing w:after="0"/>
              <w:rPr>
                <w:sz w:val="20"/>
                <w:szCs w:val="20"/>
                <w:color w:val="auto"/>
              </w:rPr>
            </w:pPr>
            <w:r>
              <w:rPr>
                <w:rFonts w:ascii="Arial" w:cs="Arial" w:eastAsia="Arial" w:hAnsi="Arial"/>
                <w:sz w:val="13"/>
                <w:szCs w:val="13"/>
                <w:b w:val="1"/>
                <w:bCs w:val="1"/>
                <w:color w:val="auto"/>
              </w:rPr>
              <w:t>Service Cost</w:t>
            </w:r>
          </w:p>
        </w:tc>
        <w:tc>
          <w:tcPr>
            <w:tcW w:w="15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80" w:type="dxa"/>
            <w:vAlign w:val="bottom"/>
            <w:tcBorders>
              <w:top w:val="single" w:sz="8" w:color="00249C"/>
            </w:tcBorders>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20" w:type="dxa"/>
            <w:vAlign w:val="bottom"/>
            <w:tcBorders>
              <w:top w:val="single" w:sz="8" w:color="00249C"/>
            </w:tcBorders>
            <w:shd w:val="clear" w:color="auto" w:fill="DFDEEE"/>
          </w:tcPr>
          <w:p>
            <w:pPr>
              <w:jc w:val="right"/>
              <w:ind w:right="30"/>
              <w:spacing w:after="0"/>
              <w:rPr>
                <w:sz w:val="20"/>
                <w:szCs w:val="20"/>
                <w:color w:val="auto"/>
              </w:rPr>
            </w:pPr>
            <w:r>
              <w:rPr>
                <w:rFonts w:ascii="Arial" w:cs="Arial" w:eastAsia="Arial" w:hAnsi="Arial"/>
                <w:sz w:val="14"/>
                <w:szCs w:val="14"/>
                <w:color w:val="auto"/>
              </w:rPr>
              <w:t>24.7</w:t>
            </w:r>
          </w:p>
        </w:tc>
        <w:tc>
          <w:tcPr>
            <w:tcW w:w="1340" w:type="dxa"/>
            <w:vAlign w:val="bottom"/>
            <w:tcBorders>
              <w:top w:val="single" w:sz="8" w:color="00249C"/>
            </w:tcBorders>
            <w:shd w:val="clear" w:color="auto" w:fill="DFDEEE"/>
          </w:tcPr>
          <w:p>
            <w:pPr>
              <w:jc w:val="right"/>
              <w:ind w:right="10"/>
              <w:spacing w:after="0"/>
              <w:rPr>
                <w:sz w:val="20"/>
                <w:szCs w:val="20"/>
                <w:color w:val="auto"/>
              </w:rPr>
            </w:pPr>
            <w:r>
              <w:rPr>
                <w:rFonts w:ascii="Arial" w:cs="Arial" w:eastAsia="Arial" w:hAnsi="Arial"/>
                <w:sz w:val="14"/>
                <w:szCs w:val="14"/>
                <w:color w:val="auto"/>
              </w:rPr>
              <w:t>(16.0)</w:t>
            </w:r>
          </w:p>
        </w:tc>
        <w:tc>
          <w:tcPr>
            <w:tcW w:w="1400" w:type="dxa"/>
            <w:vAlign w:val="bottom"/>
            <w:tcBorders>
              <w:top w:val="single" w:sz="8" w:color="00249C"/>
            </w:tcBorders>
            <w:shd w:val="clear" w:color="auto" w:fill="DFDEEE"/>
          </w:tcPr>
          <w:p>
            <w:pPr>
              <w:jc w:val="center"/>
              <w:ind w:left="671"/>
              <w:spacing w:after="0"/>
              <w:rPr>
                <w:sz w:val="20"/>
                <w:szCs w:val="20"/>
                <w:color w:val="auto"/>
              </w:rPr>
            </w:pPr>
            <w:r>
              <w:rPr>
                <w:rFonts w:ascii="Arial" w:cs="Arial" w:eastAsia="Arial" w:hAnsi="Arial"/>
                <w:sz w:val="14"/>
                <w:szCs w:val="14"/>
                <w:color w:val="auto"/>
              </w:rPr>
              <w:t>(1.2)</w:t>
            </w:r>
          </w:p>
        </w:tc>
        <w:tc>
          <w:tcPr>
            <w:tcW w:w="1380" w:type="dxa"/>
            <w:vAlign w:val="bottom"/>
            <w:tcBorders>
              <w:top w:val="single" w:sz="8" w:color="00249C"/>
            </w:tcBorders>
            <w:shd w:val="clear" w:color="auto" w:fill="DFDEEE"/>
          </w:tcPr>
          <w:p>
            <w:pPr>
              <w:jc w:val="right"/>
              <w:ind w:right="211"/>
              <w:spacing w:after="0"/>
              <w:rPr>
                <w:sz w:val="20"/>
                <w:szCs w:val="20"/>
                <w:color w:val="auto"/>
              </w:rPr>
            </w:pPr>
            <w:r>
              <w:rPr>
                <w:rFonts w:ascii="Arial" w:cs="Arial" w:eastAsia="Arial" w:hAnsi="Arial"/>
                <w:sz w:val="14"/>
                <w:szCs w:val="14"/>
                <w:color w:val="auto"/>
              </w:rPr>
              <w:t>0.35</w:t>
            </w:r>
          </w:p>
        </w:tc>
        <w:tc>
          <w:tcPr>
            <w:tcW w:w="1360" w:type="dxa"/>
            <w:vAlign w:val="bottom"/>
            <w:tcBorders>
              <w:top w:val="single" w:sz="8" w:color="00249C"/>
            </w:tcBorders>
            <w:shd w:val="clear" w:color="auto" w:fill="DFDEEE"/>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00249C"/>
            </w:tcBorders>
            <w:shd w:val="clear" w:color="auto" w:fill="DFDEEE"/>
          </w:tcPr>
          <w:p>
            <w:pPr>
              <w:jc w:val="right"/>
              <w:ind w:right="450"/>
              <w:spacing w:after="0"/>
              <w:rPr>
                <w:sz w:val="20"/>
                <w:szCs w:val="20"/>
                <w:color w:val="auto"/>
              </w:rPr>
            </w:pPr>
            <w:r>
              <w:rPr>
                <w:rFonts w:ascii="Arial" w:cs="Arial" w:eastAsia="Arial" w:hAnsi="Arial"/>
                <w:sz w:val="14"/>
                <w:szCs w:val="14"/>
                <w:color w:val="auto"/>
              </w:rPr>
              <w:t>5.5</w:t>
            </w:r>
          </w:p>
        </w:tc>
        <w:tc>
          <w:tcPr>
            <w:tcW w:w="840" w:type="dxa"/>
            <w:vAlign w:val="bottom"/>
            <w:tcBorders>
              <w:top w:val="single" w:sz="8" w:color="00249C"/>
            </w:tcBorders>
            <w:shd w:val="clear" w:color="auto" w:fill="DFDEEE"/>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29378D"/>
              </w:rPr>
              <w:t>2022</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20.7</w:t>
            </w: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(14.3)</w:t>
            </w:r>
          </w:p>
        </w:tc>
        <w:tc>
          <w:tcPr>
            <w:tcW w:w="1400" w:type="dxa"/>
            <w:vAlign w:val="bottom"/>
          </w:tcPr>
          <w:p>
            <w:pPr>
              <w:ind w:left="10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11"/>
              <w:spacing w:after="0"/>
              <w:rPr>
                <w:sz w:val="20"/>
                <w:szCs w:val="20"/>
                <w:color w:val="auto"/>
              </w:rPr>
            </w:pPr>
            <w:r>
              <w:rPr>
                <w:rFonts w:ascii="Arial" w:cs="Arial" w:eastAsia="Arial" w:hAnsi="Arial"/>
                <w:sz w:val="14"/>
                <w:szCs w:val="14"/>
                <w:color w:val="auto"/>
              </w:rPr>
              <w:t>0.52</w:t>
            </w:r>
          </w:p>
        </w:tc>
        <w:tc>
          <w:tcPr>
            <w:tcW w:w="1360" w:type="dxa"/>
            <w:vAlign w:val="bottom"/>
          </w:tcPr>
          <w:p>
            <w:pPr>
              <w:ind w:left="8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50"/>
              <w:spacing w:after="0"/>
              <w:rPr>
                <w:sz w:val="20"/>
                <w:szCs w:val="20"/>
                <w:color w:val="auto"/>
              </w:rPr>
            </w:pPr>
            <w:r>
              <w:rPr>
                <w:rFonts w:ascii="Arial" w:cs="Arial" w:eastAsia="Arial" w:hAnsi="Arial"/>
                <w:sz w:val="14"/>
                <w:szCs w:val="14"/>
                <w:color w:val="auto"/>
              </w:rPr>
              <w:t>47.8</w:t>
            </w:r>
          </w:p>
        </w:tc>
        <w:tc>
          <w:tcPr>
            <w:tcW w:w="840" w:type="dxa"/>
            <w:vAlign w:val="bottom"/>
          </w:tcPr>
          <w:p>
            <w:pPr>
              <w:jc w:val="right"/>
              <w:spacing w:after="0"/>
              <w:rPr>
                <w:sz w:val="20"/>
                <w:szCs w:val="20"/>
                <w:color w:val="auto"/>
              </w:rPr>
            </w:pPr>
            <w:r>
              <w:rPr>
                <w:rFonts w:ascii="Arial" w:cs="Arial" w:eastAsia="Arial" w:hAnsi="Arial"/>
                <w:sz w:val="14"/>
                <w:szCs w:val="14"/>
                <w:color w:val="auto"/>
              </w:rPr>
              <w:t>54.7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280" w:type="dxa"/>
            <w:vAlign w:val="bottom"/>
            <w:tcBorders>
              <w:top w:val="single" w:sz="8" w:color="BCBEC0"/>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20" w:type="dxa"/>
            <w:vAlign w:val="bottom"/>
            <w:tcBorders>
              <w:top w:val="single" w:sz="8" w:color="BCBEC0"/>
              <w:bottom w:val="single" w:sz="8" w:color="BCBEC0"/>
            </w:tcBorders>
            <w:shd w:val="clear" w:color="auto" w:fill="DFDEEE"/>
          </w:tcPr>
          <w:p>
            <w:pPr>
              <w:jc w:val="right"/>
              <w:ind w:right="30"/>
              <w:spacing w:after="0"/>
              <w:rPr>
                <w:sz w:val="20"/>
                <w:szCs w:val="20"/>
                <w:color w:val="auto"/>
              </w:rPr>
            </w:pPr>
            <w:r>
              <w:rPr>
                <w:rFonts w:ascii="Arial" w:cs="Arial" w:eastAsia="Arial" w:hAnsi="Arial"/>
                <w:sz w:val="14"/>
                <w:szCs w:val="14"/>
                <w:color w:val="auto"/>
              </w:rPr>
              <w:t>19.9</w:t>
            </w:r>
          </w:p>
        </w:tc>
        <w:tc>
          <w:tcPr>
            <w:tcW w:w="1340" w:type="dxa"/>
            <w:vAlign w:val="bottom"/>
            <w:tcBorders>
              <w:top w:val="single" w:sz="8" w:color="BCBEC0"/>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(13.5)</w:t>
            </w:r>
          </w:p>
        </w:tc>
        <w:tc>
          <w:tcPr>
            <w:tcW w:w="1400" w:type="dxa"/>
            <w:vAlign w:val="bottom"/>
            <w:tcBorders>
              <w:top w:val="single" w:sz="8" w:color="BCBEC0"/>
              <w:bottom w:val="single" w:sz="8" w:color="BCBEC0"/>
            </w:tcBorders>
            <w:shd w:val="clear" w:color="auto" w:fill="DFDEEE"/>
          </w:tcPr>
          <w:p>
            <w:pPr>
              <w:jc w:val="center"/>
              <w:ind w:left="671"/>
              <w:spacing w:after="0"/>
              <w:rPr>
                <w:sz w:val="20"/>
                <w:szCs w:val="20"/>
                <w:color w:val="auto"/>
              </w:rPr>
            </w:pPr>
            <w:r>
              <w:rPr>
                <w:rFonts w:ascii="Arial" w:cs="Arial" w:eastAsia="Arial" w:hAnsi="Arial"/>
                <w:sz w:val="14"/>
                <w:szCs w:val="14"/>
                <w:color w:val="auto"/>
              </w:rPr>
              <w:t>(0.4)</w:t>
            </w:r>
          </w:p>
        </w:tc>
        <w:tc>
          <w:tcPr>
            <w:tcW w:w="1380" w:type="dxa"/>
            <w:vAlign w:val="bottom"/>
            <w:tcBorders>
              <w:top w:val="single" w:sz="8" w:color="BCBEC0"/>
              <w:bottom w:val="single" w:sz="8" w:color="BCBEC0"/>
            </w:tcBorders>
            <w:shd w:val="clear" w:color="auto" w:fill="DFDEEE"/>
          </w:tcPr>
          <w:p>
            <w:pPr>
              <w:jc w:val="right"/>
              <w:ind w:right="211"/>
              <w:spacing w:after="0"/>
              <w:rPr>
                <w:sz w:val="20"/>
                <w:szCs w:val="20"/>
                <w:color w:val="auto"/>
              </w:rPr>
            </w:pPr>
            <w:r>
              <w:rPr>
                <w:rFonts w:ascii="Arial" w:cs="Arial" w:eastAsia="Arial" w:hAnsi="Arial"/>
                <w:sz w:val="14"/>
                <w:szCs w:val="14"/>
                <w:color w:val="auto"/>
              </w:rPr>
              <w:t>0.51</w:t>
            </w:r>
          </w:p>
        </w:tc>
        <w:tc>
          <w:tcPr>
            <w:tcW w:w="1360" w:type="dxa"/>
            <w:vAlign w:val="bottom"/>
            <w:tcBorders>
              <w:top w:val="single" w:sz="8" w:color="BCBEC0"/>
              <w:bottom w:val="single" w:sz="8" w:color="BCBEC0"/>
            </w:tcBorders>
            <w:shd w:val="clear" w:color="auto" w:fill="DFDEEE"/>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BCBEC0"/>
              <w:bottom w:val="single" w:sz="8" w:color="BCBEC0"/>
            </w:tcBorders>
            <w:shd w:val="clear" w:color="auto" w:fill="DFDEEE"/>
          </w:tcPr>
          <w:p>
            <w:pPr>
              <w:jc w:val="right"/>
              <w:ind w:right="450"/>
              <w:spacing w:after="0"/>
              <w:rPr>
                <w:sz w:val="20"/>
                <w:szCs w:val="20"/>
                <w:color w:val="auto"/>
              </w:rPr>
            </w:pPr>
            <w:r>
              <w:rPr>
                <w:rFonts w:ascii="Arial" w:cs="Arial" w:eastAsia="Arial" w:hAnsi="Arial"/>
                <w:sz w:val="14"/>
                <w:szCs w:val="14"/>
                <w:color w:val="auto"/>
              </w:rPr>
              <w:t>32.4</w:t>
            </w:r>
          </w:p>
        </w:tc>
        <w:tc>
          <w:tcPr>
            <w:tcW w:w="84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320" w:type="dxa"/>
            <w:vAlign w:val="bottom"/>
            <w:tcBorders>
              <w:bottom w:val="single" w:sz="8" w:color="BCBEC0"/>
            </w:tcBorders>
          </w:tcPr>
          <w:p>
            <w:pPr>
              <w:jc w:val="right"/>
              <w:ind w:right="30"/>
              <w:spacing w:after="0"/>
              <w:rPr>
                <w:sz w:val="20"/>
                <w:szCs w:val="20"/>
                <w:color w:val="auto"/>
              </w:rPr>
            </w:pPr>
            <w:r>
              <w:rPr>
                <w:rFonts w:ascii="Arial" w:cs="Arial" w:eastAsia="Arial" w:hAnsi="Arial"/>
                <w:sz w:val="14"/>
                <w:szCs w:val="14"/>
                <w:color w:val="auto"/>
              </w:rPr>
              <w:t>20.8</w:t>
            </w:r>
          </w:p>
        </w:tc>
        <w:tc>
          <w:tcPr>
            <w:tcW w:w="134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(13.5)</w:t>
            </w:r>
          </w:p>
        </w:tc>
        <w:tc>
          <w:tcPr>
            <w:tcW w:w="1400" w:type="dxa"/>
            <w:vAlign w:val="bottom"/>
            <w:tcBorders>
              <w:bottom w:val="single" w:sz="8" w:color="BCBEC0"/>
            </w:tcBorders>
          </w:tcPr>
          <w:p>
            <w:pPr>
              <w:jc w:val="center"/>
              <w:ind w:left="671"/>
              <w:spacing w:after="0"/>
              <w:rPr>
                <w:sz w:val="20"/>
                <w:szCs w:val="20"/>
                <w:color w:val="auto"/>
              </w:rPr>
            </w:pPr>
            <w:r>
              <w:rPr>
                <w:rFonts w:ascii="Arial" w:cs="Arial" w:eastAsia="Arial" w:hAnsi="Arial"/>
                <w:sz w:val="14"/>
                <w:szCs w:val="14"/>
                <w:color w:val="auto"/>
              </w:rPr>
              <w:t>(1.1)</w:t>
            </w:r>
          </w:p>
        </w:tc>
        <w:tc>
          <w:tcPr>
            <w:tcW w:w="1380" w:type="dxa"/>
            <w:vAlign w:val="bottom"/>
            <w:tcBorders>
              <w:bottom w:val="single" w:sz="8" w:color="BCBEC0"/>
            </w:tcBorders>
          </w:tcPr>
          <w:p>
            <w:pPr>
              <w:jc w:val="right"/>
              <w:ind w:right="211"/>
              <w:spacing w:after="0"/>
              <w:rPr>
                <w:sz w:val="20"/>
                <w:szCs w:val="20"/>
                <w:color w:val="auto"/>
              </w:rPr>
            </w:pPr>
            <w:r>
              <w:rPr>
                <w:rFonts w:ascii="Arial" w:cs="Arial" w:eastAsia="Arial" w:hAnsi="Arial"/>
                <w:sz w:val="14"/>
                <w:szCs w:val="14"/>
                <w:color w:val="auto"/>
              </w:rPr>
              <w:t>0.42</w:t>
            </w:r>
          </w:p>
        </w:tc>
        <w:tc>
          <w:tcPr>
            <w:tcW w:w="1360" w:type="dxa"/>
            <w:vAlign w:val="bottom"/>
            <w:tcBorders>
              <w:bottom w:val="single" w:sz="8" w:color="BCBEC0"/>
            </w:tcBorders>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CBEC0"/>
            </w:tcBorders>
          </w:tcPr>
          <w:p>
            <w:pPr>
              <w:jc w:val="right"/>
              <w:ind w:right="450"/>
              <w:spacing w:after="0"/>
              <w:rPr>
                <w:sz w:val="20"/>
                <w:szCs w:val="20"/>
                <w:color w:val="auto"/>
              </w:rPr>
            </w:pPr>
            <w:r>
              <w:rPr>
                <w:rFonts w:ascii="Arial" w:cs="Arial" w:eastAsia="Arial" w:hAnsi="Arial"/>
                <w:sz w:val="14"/>
                <w:szCs w:val="14"/>
                <w:color w:val="auto"/>
              </w:rPr>
              <w:t>8.0</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7"/>
        </w:trPr>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3"/>
          </w:tcPr>
          <w:p>
            <w:pPr>
              <w:ind w:left="94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306"/>
        </w:trPr>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60" w:type="dxa"/>
            <w:vAlign w:val="bottom"/>
            <w:gridSpan w:val="2"/>
          </w:tcPr>
          <w:p>
            <w:pPr>
              <w:jc w:val="right"/>
              <w:ind w:right="92"/>
              <w:spacing w:after="0"/>
              <w:rPr>
                <w:sz w:val="20"/>
                <w:szCs w:val="20"/>
                <w:color w:val="auto"/>
              </w:rPr>
            </w:pPr>
            <w:r>
              <w:rPr>
                <w:rFonts w:ascii="Arial" w:cs="Arial" w:eastAsia="Arial" w:hAnsi="Arial"/>
                <w:sz w:val="13"/>
                <w:szCs w:val="13"/>
                <w:b w:val="1"/>
                <w:bCs w:val="1"/>
                <w:color w:val="auto"/>
              </w:rPr>
              <w:t>CAP Calculation (per SEC)</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240" w:type="dxa"/>
            <w:vAlign w:val="bottom"/>
            <w:tcBorders>
              <w:bottom w:val="single" w:sz="8" w:color="29378D"/>
            </w:tcBorders>
          </w:tcPr>
          <w:p>
            <w:pPr>
              <w:spacing w:after="0" w:line="20" w:lineRule="exact"/>
              <w:rPr>
                <w:sz w:val="1"/>
                <w:szCs w:val="1"/>
                <w:color w:val="auto"/>
              </w:rPr>
            </w:pPr>
          </w:p>
        </w:tc>
        <w:tc>
          <w:tcPr>
            <w:tcW w:w="162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52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jc w:val="right"/>
              <w:ind w:right="232"/>
              <w:spacing w:after="0"/>
              <w:rPr>
                <w:sz w:val="20"/>
                <w:szCs w:val="20"/>
                <w:color w:val="auto"/>
              </w:rPr>
            </w:pPr>
            <w:r>
              <w:rPr>
                <w:rFonts w:ascii="Arial" w:cs="Arial" w:eastAsia="Arial" w:hAnsi="Arial"/>
                <w:sz w:val="13"/>
                <w:szCs w:val="13"/>
                <w:b w:val="1"/>
                <w:bCs w:val="1"/>
                <w:color w:val="auto"/>
                <w:w w:val="97"/>
              </w:rPr>
              <w:t>Non-PEO NEOs (Avg)</w:t>
            </w: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240" w:type="dxa"/>
            <w:vAlign w:val="bottom"/>
            <w:tcBorders>
              <w:bottom w:val="single" w:sz="8" w:color="29378D"/>
            </w:tcBorders>
          </w:tcPr>
          <w:p>
            <w:pPr>
              <w:spacing w:after="0" w:line="20" w:lineRule="exact"/>
              <w:rPr>
                <w:sz w:val="1"/>
                <w:szCs w:val="1"/>
                <w:color w:val="auto"/>
              </w:rPr>
            </w:pPr>
          </w:p>
        </w:tc>
        <w:tc>
          <w:tcPr>
            <w:tcW w:w="162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52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Year ($M)</w:t>
            </w: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SCT Total</w:t>
            </w:r>
          </w:p>
        </w:tc>
        <w:tc>
          <w:tcPr>
            <w:tcW w:w="138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rPr>
              <w:t>Annual Stock Award</w:t>
            </w:r>
          </w:p>
        </w:tc>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5"/>
              </w:rPr>
              <w:t>Change in Pension</w:t>
            </w:r>
          </w:p>
        </w:tc>
        <w:tc>
          <w:tcPr>
            <w:tcW w:w="1620" w:type="dxa"/>
            <w:vAlign w:val="bottom"/>
          </w:tcPr>
          <w:p>
            <w:pPr>
              <w:jc w:val="right"/>
              <w:ind w:right="252"/>
              <w:spacing w:after="0"/>
              <w:rPr>
                <w:sz w:val="20"/>
                <w:szCs w:val="20"/>
                <w:color w:val="auto"/>
              </w:rPr>
            </w:pPr>
            <w:r>
              <w:rPr>
                <w:rFonts w:ascii="Arial" w:cs="Arial" w:eastAsia="Arial" w:hAnsi="Arial"/>
                <w:sz w:val="13"/>
                <w:szCs w:val="13"/>
                <w:b w:val="1"/>
                <w:bCs w:val="1"/>
                <w:color w:val="auto"/>
              </w:rPr>
              <w:t>Pension Service</w:t>
            </w:r>
          </w:p>
        </w:tc>
        <w:tc>
          <w:tcPr>
            <w:tcW w:w="1280" w:type="dxa"/>
            <w:vAlign w:val="bottom"/>
          </w:tcPr>
          <w:p>
            <w:pPr>
              <w:jc w:val="right"/>
              <w:ind w:right="231"/>
              <w:spacing w:after="0"/>
              <w:rPr>
                <w:sz w:val="20"/>
                <w:szCs w:val="20"/>
                <w:color w:val="auto"/>
              </w:rPr>
            </w:pPr>
            <w:r>
              <w:rPr>
                <w:rFonts w:ascii="Arial" w:cs="Arial" w:eastAsia="Arial" w:hAnsi="Arial"/>
                <w:sz w:val="13"/>
                <w:szCs w:val="13"/>
                <w:b w:val="1"/>
                <w:bCs w:val="1"/>
                <w:color w:val="auto"/>
              </w:rPr>
              <w:t>Prior Pension</w:t>
            </w:r>
          </w:p>
        </w:tc>
        <w:tc>
          <w:tcPr>
            <w:tcW w:w="1520" w:type="dxa"/>
            <w:vAlign w:val="bottom"/>
            <w:vMerge w:val="restart"/>
          </w:tcPr>
          <w:p>
            <w:pPr>
              <w:jc w:val="right"/>
              <w:ind w:right="430"/>
              <w:spacing w:after="0"/>
              <w:rPr>
                <w:sz w:val="20"/>
                <w:szCs w:val="20"/>
                <w:color w:val="auto"/>
              </w:rPr>
            </w:pPr>
            <w:r>
              <w:rPr>
                <w:rFonts w:ascii="Arial" w:cs="Arial" w:eastAsia="Arial" w:hAnsi="Arial"/>
                <w:sz w:val="13"/>
                <w:szCs w:val="13"/>
                <w:b w:val="1"/>
                <w:bCs w:val="1"/>
                <w:color w:val="auto"/>
              </w:rPr>
              <w:t>Equity Value</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29378D"/>
            </w:tcBorders>
            <w:vMerge w:val="continue"/>
          </w:tcPr>
          <w:p>
            <w:pPr>
              <w:spacing w:after="0"/>
              <w:rPr>
                <w:sz w:val="15"/>
                <w:szCs w:val="15"/>
                <w:color w:val="auto"/>
              </w:rPr>
            </w:pPr>
          </w:p>
        </w:tc>
        <w:tc>
          <w:tcPr>
            <w:tcW w:w="1280" w:type="dxa"/>
            <w:vAlign w:val="bottom"/>
            <w:tcBorders>
              <w:bottom w:val="single" w:sz="8" w:color="29378D"/>
            </w:tcBorders>
            <w:vMerge w:val="continue"/>
          </w:tcPr>
          <w:p>
            <w:pPr>
              <w:spacing w:after="0"/>
              <w:rPr>
                <w:sz w:val="15"/>
                <w:szCs w:val="15"/>
                <w:color w:val="auto"/>
              </w:rPr>
            </w:pPr>
          </w:p>
        </w:tc>
        <w:tc>
          <w:tcPr>
            <w:tcW w:w="1380" w:type="dxa"/>
            <w:vAlign w:val="bottom"/>
            <w:tcBorders>
              <w:bottom w:val="single" w:sz="8" w:color="29378D"/>
            </w:tcBorders>
            <w:vMerge w:val="continue"/>
          </w:tcPr>
          <w:p>
            <w:pPr>
              <w:spacing w:after="0"/>
              <w:rPr>
                <w:sz w:val="15"/>
                <w:szCs w:val="15"/>
                <w:color w:val="auto"/>
              </w:rPr>
            </w:pPr>
          </w:p>
        </w:tc>
        <w:tc>
          <w:tcPr>
            <w:tcW w:w="1240" w:type="dxa"/>
            <w:vAlign w:val="bottom"/>
            <w:tcBorders>
              <w:bottom w:val="single" w:sz="8" w:color="29378D"/>
            </w:tcBorders>
          </w:tcPr>
          <w:p>
            <w:pPr>
              <w:jc w:val="center"/>
              <w:ind w:left="832"/>
              <w:spacing w:after="0"/>
              <w:rPr>
                <w:sz w:val="20"/>
                <w:szCs w:val="20"/>
                <w:color w:val="auto"/>
              </w:rPr>
            </w:pPr>
            <w:r>
              <w:rPr>
                <w:rFonts w:ascii="Arial" w:cs="Arial" w:eastAsia="Arial" w:hAnsi="Arial"/>
                <w:sz w:val="13"/>
                <w:szCs w:val="13"/>
                <w:b w:val="1"/>
                <w:bCs w:val="1"/>
                <w:color w:val="auto"/>
                <w:w w:val="97"/>
              </w:rPr>
              <w:t>Value</w:t>
            </w:r>
          </w:p>
        </w:tc>
        <w:tc>
          <w:tcPr>
            <w:tcW w:w="1620" w:type="dxa"/>
            <w:vAlign w:val="bottom"/>
            <w:tcBorders>
              <w:bottom w:val="single" w:sz="8" w:color="29378D"/>
            </w:tcBorders>
          </w:tcPr>
          <w:p>
            <w:pPr>
              <w:jc w:val="right"/>
              <w:ind w:right="252"/>
              <w:spacing w:after="0"/>
              <w:rPr>
                <w:sz w:val="20"/>
                <w:szCs w:val="20"/>
                <w:color w:val="auto"/>
              </w:rPr>
            </w:pPr>
            <w:r>
              <w:rPr>
                <w:rFonts w:ascii="Arial" w:cs="Arial" w:eastAsia="Arial" w:hAnsi="Arial"/>
                <w:sz w:val="13"/>
                <w:szCs w:val="13"/>
                <w:b w:val="1"/>
                <w:bCs w:val="1"/>
                <w:color w:val="auto"/>
              </w:rPr>
              <w:t>Cost</w:t>
            </w:r>
          </w:p>
        </w:tc>
        <w:tc>
          <w:tcPr>
            <w:tcW w:w="1280" w:type="dxa"/>
            <w:vAlign w:val="bottom"/>
            <w:tcBorders>
              <w:bottom w:val="single" w:sz="8" w:color="29378D"/>
            </w:tcBorders>
          </w:tcPr>
          <w:p>
            <w:pPr>
              <w:jc w:val="right"/>
              <w:ind w:right="231"/>
              <w:spacing w:after="0"/>
              <w:rPr>
                <w:sz w:val="20"/>
                <w:szCs w:val="20"/>
                <w:color w:val="auto"/>
              </w:rPr>
            </w:pPr>
            <w:r>
              <w:rPr>
                <w:rFonts w:ascii="Arial" w:cs="Arial" w:eastAsia="Arial" w:hAnsi="Arial"/>
                <w:sz w:val="13"/>
                <w:szCs w:val="13"/>
                <w:b w:val="1"/>
                <w:bCs w:val="1"/>
                <w:color w:val="auto"/>
              </w:rPr>
              <w:t>Service Cost</w:t>
            </w:r>
          </w:p>
        </w:tc>
        <w:tc>
          <w:tcPr>
            <w:tcW w:w="1520" w:type="dxa"/>
            <w:vAlign w:val="bottom"/>
            <w:tcBorders>
              <w:bottom w:val="single" w:sz="8" w:color="29378D"/>
            </w:tcBorders>
            <w:vMerge w:val="continue"/>
          </w:tcPr>
          <w:p>
            <w:pPr>
              <w:spacing w:after="0"/>
              <w:rPr>
                <w:sz w:val="15"/>
                <w:szCs w:val="15"/>
                <w:color w:val="auto"/>
              </w:rPr>
            </w:pPr>
          </w:p>
        </w:tc>
        <w:tc>
          <w:tcPr>
            <w:tcW w:w="820" w:type="dxa"/>
            <w:vAlign w:val="bottom"/>
            <w:tcBorders>
              <w:bottom w:val="single" w:sz="8" w:color="29378D"/>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5.8</w:t>
            </w:r>
          </w:p>
        </w:tc>
        <w:tc>
          <w:tcPr>
            <w:tcW w:w="138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(3.2)</w:t>
            </w:r>
          </w:p>
        </w:tc>
        <w:tc>
          <w:tcPr>
            <w:tcW w:w="1240" w:type="dxa"/>
            <w:vAlign w:val="bottom"/>
            <w:shd w:val="clear" w:color="auto" w:fill="DFDEEE"/>
          </w:tcPr>
          <w:p>
            <w:pPr>
              <w:jc w:val="center"/>
              <w:ind w:left="832"/>
              <w:spacing w:after="0"/>
              <w:rPr>
                <w:sz w:val="20"/>
                <w:szCs w:val="20"/>
                <w:color w:val="auto"/>
              </w:rPr>
            </w:pPr>
            <w:r>
              <w:rPr>
                <w:rFonts w:ascii="Arial" w:cs="Arial" w:eastAsia="Arial" w:hAnsi="Arial"/>
                <w:sz w:val="14"/>
                <w:szCs w:val="14"/>
                <w:color w:val="auto"/>
              </w:rPr>
              <w:t>(0.2)</w:t>
            </w:r>
          </w:p>
        </w:tc>
        <w:tc>
          <w:tcPr>
            <w:tcW w:w="1620" w:type="dxa"/>
            <w:vAlign w:val="bottom"/>
            <w:shd w:val="clear" w:color="auto" w:fill="DFDEEE"/>
          </w:tcPr>
          <w:p>
            <w:pPr>
              <w:jc w:val="right"/>
              <w:ind w:right="292"/>
              <w:spacing w:after="0"/>
              <w:rPr>
                <w:sz w:val="20"/>
                <w:szCs w:val="20"/>
                <w:color w:val="auto"/>
              </w:rPr>
            </w:pPr>
            <w:r>
              <w:rPr>
                <w:rFonts w:ascii="Arial" w:cs="Arial" w:eastAsia="Arial" w:hAnsi="Arial"/>
                <w:sz w:val="14"/>
                <w:szCs w:val="14"/>
                <w:color w:val="auto"/>
              </w:rPr>
              <w:t>0.04</w:t>
            </w:r>
          </w:p>
        </w:tc>
        <w:tc>
          <w:tcPr>
            <w:tcW w:w="1280" w:type="dxa"/>
            <w:vAlign w:val="bottom"/>
            <w:shd w:val="clear" w:color="auto" w:fill="DFDEEE"/>
          </w:tcPr>
          <w:p>
            <w:pPr>
              <w:ind w:left="8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FDEEE"/>
          </w:tcPr>
          <w:p>
            <w:pPr>
              <w:jc w:val="right"/>
              <w:ind w:right="470"/>
              <w:spacing w:after="0"/>
              <w:rPr>
                <w:sz w:val="20"/>
                <w:szCs w:val="20"/>
                <w:color w:val="auto"/>
              </w:rPr>
            </w:pPr>
            <w:r>
              <w:rPr>
                <w:rFonts w:ascii="Arial" w:cs="Arial" w:eastAsia="Arial" w:hAnsi="Arial"/>
                <w:sz w:val="14"/>
                <w:szCs w:val="14"/>
                <w:color w:val="auto"/>
              </w:rPr>
              <w:t>1.5</w:t>
            </w:r>
          </w:p>
        </w:tc>
        <w:tc>
          <w:tcPr>
            <w:tcW w:w="82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9"/>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(3.4)</w:t>
            </w:r>
          </w:p>
        </w:tc>
        <w:tc>
          <w:tcPr>
            <w:tcW w:w="1240" w:type="dxa"/>
            <w:vAlign w:val="bottom"/>
            <w:tcBorders>
              <w:bottom w:val="single" w:sz="8" w:color="BCBEC0"/>
            </w:tcBorders>
          </w:tcPr>
          <w:p>
            <w:pPr>
              <w:ind w:left="104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CBEC0"/>
            </w:tcBorders>
          </w:tcPr>
          <w:p>
            <w:pPr>
              <w:jc w:val="right"/>
              <w:ind w:right="292"/>
              <w:spacing w:after="0"/>
              <w:rPr>
                <w:sz w:val="20"/>
                <w:szCs w:val="20"/>
                <w:color w:val="auto"/>
              </w:rPr>
            </w:pPr>
            <w:r>
              <w:rPr>
                <w:rFonts w:ascii="Arial" w:cs="Arial" w:eastAsia="Arial" w:hAnsi="Arial"/>
                <w:sz w:val="14"/>
                <w:szCs w:val="14"/>
                <w:color w:val="auto"/>
              </w:rPr>
              <w:t>0.05</w:t>
            </w:r>
          </w:p>
        </w:tc>
        <w:tc>
          <w:tcPr>
            <w:tcW w:w="1280" w:type="dxa"/>
            <w:vAlign w:val="bottom"/>
            <w:tcBorders>
              <w:bottom w:val="single" w:sz="8" w:color="BCBEC0"/>
            </w:tcBorders>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470"/>
              <w:spacing w:after="0"/>
              <w:rPr>
                <w:sz w:val="20"/>
                <w:szCs w:val="20"/>
                <w:color w:val="auto"/>
              </w:rPr>
            </w:pPr>
            <w:r>
              <w:rPr>
                <w:rFonts w:ascii="Arial" w:cs="Arial" w:eastAsia="Arial" w:hAnsi="Arial"/>
                <w:sz w:val="14"/>
                <w:szCs w:val="14"/>
                <w:color w:val="auto"/>
              </w:rPr>
              <w:t>9.1</w:t>
            </w: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5.3</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(3.1)</w:t>
            </w:r>
          </w:p>
        </w:tc>
        <w:tc>
          <w:tcPr>
            <w:tcW w:w="1240" w:type="dxa"/>
            <w:vAlign w:val="bottom"/>
            <w:tcBorders>
              <w:bottom w:val="single" w:sz="8" w:color="BCBEC0"/>
            </w:tcBorders>
            <w:shd w:val="clear" w:color="auto" w:fill="DFDEEE"/>
          </w:tcPr>
          <w:p>
            <w:pPr>
              <w:jc w:val="center"/>
              <w:ind w:left="832"/>
              <w:spacing w:after="0"/>
              <w:rPr>
                <w:sz w:val="20"/>
                <w:szCs w:val="20"/>
                <w:color w:val="auto"/>
              </w:rPr>
            </w:pPr>
            <w:r>
              <w:rPr>
                <w:rFonts w:ascii="Arial" w:cs="Arial" w:eastAsia="Arial" w:hAnsi="Arial"/>
                <w:sz w:val="14"/>
                <w:szCs w:val="14"/>
                <w:color w:val="auto"/>
              </w:rPr>
              <w:t>(0.1)</w:t>
            </w:r>
          </w:p>
        </w:tc>
        <w:tc>
          <w:tcPr>
            <w:tcW w:w="1620" w:type="dxa"/>
            <w:vAlign w:val="bottom"/>
            <w:tcBorders>
              <w:bottom w:val="single" w:sz="8" w:color="BCBEC0"/>
            </w:tcBorders>
            <w:shd w:val="clear" w:color="auto" w:fill="DFDEEE"/>
          </w:tcPr>
          <w:p>
            <w:pPr>
              <w:jc w:val="right"/>
              <w:ind w:right="292"/>
              <w:spacing w:after="0"/>
              <w:rPr>
                <w:sz w:val="20"/>
                <w:szCs w:val="20"/>
                <w:color w:val="auto"/>
              </w:rPr>
            </w:pPr>
            <w:r>
              <w:rPr>
                <w:rFonts w:ascii="Arial" w:cs="Arial" w:eastAsia="Arial" w:hAnsi="Arial"/>
                <w:sz w:val="14"/>
                <w:szCs w:val="14"/>
                <w:color w:val="auto"/>
              </w:rPr>
              <w:t>0.06</w:t>
            </w:r>
          </w:p>
        </w:tc>
        <w:tc>
          <w:tcPr>
            <w:tcW w:w="1280" w:type="dxa"/>
            <w:vAlign w:val="bottom"/>
            <w:tcBorders>
              <w:bottom w:val="single" w:sz="8" w:color="BCBEC0"/>
            </w:tcBorders>
            <w:shd w:val="clear" w:color="auto" w:fill="DFDEEE"/>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470"/>
              <w:spacing w:after="0"/>
              <w:rPr>
                <w:sz w:val="20"/>
                <w:szCs w:val="20"/>
                <w:color w:val="auto"/>
              </w:rPr>
            </w:pPr>
            <w:r>
              <w:rPr>
                <w:rFonts w:ascii="Arial" w:cs="Arial" w:eastAsia="Arial" w:hAnsi="Arial"/>
                <w:sz w:val="14"/>
                <w:szCs w:val="14"/>
                <w:color w:val="auto"/>
              </w:rPr>
              <w:t>7.0</w:t>
            </w:r>
          </w:p>
        </w:tc>
        <w:tc>
          <w:tcPr>
            <w:tcW w:w="82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5.5</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(2.8)</w:t>
            </w:r>
          </w:p>
        </w:tc>
        <w:tc>
          <w:tcPr>
            <w:tcW w:w="1240" w:type="dxa"/>
            <w:vAlign w:val="bottom"/>
            <w:tcBorders>
              <w:bottom w:val="single" w:sz="8" w:color="BCBEC0"/>
            </w:tcBorders>
          </w:tcPr>
          <w:p>
            <w:pPr>
              <w:jc w:val="center"/>
              <w:ind w:left="832"/>
              <w:spacing w:after="0"/>
              <w:rPr>
                <w:sz w:val="20"/>
                <w:szCs w:val="20"/>
                <w:color w:val="auto"/>
              </w:rPr>
            </w:pPr>
            <w:r>
              <w:rPr>
                <w:rFonts w:ascii="Arial" w:cs="Arial" w:eastAsia="Arial" w:hAnsi="Arial"/>
                <w:sz w:val="14"/>
                <w:szCs w:val="14"/>
                <w:color w:val="auto"/>
              </w:rPr>
              <w:t>(0.4)</w:t>
            </w:r>
          </w:p>
        </w:tc>
        <w:tc>
          <w:tcPr>
            <w:tcW w:w="1620" w:type="dxa"/>
            <w:vAlign w:val="bottom"/>
            <w:tcBorders>
              <w:bottom w:val="single" w:sz="8" w:color="BCBEC0"/>
            </w:tcBorders>
          </w:tcPr>
          <w:p>
            <w:pPr>
              <w:jc w:val="right"/>
              <w:ind w:right="292"/>
              <w:spacing w:after="0"/>
              <w:rPr>
                <w:sz w:val="20"/>
                <w:szCs w:val="20"/>
                <w:color w:val="auto"/>
              </w:rPr>
            </w:pPr>
            <w:r>
              <w:rPr>
                <w:rFonts w:ascii="Arial" w:cs="Arial" w:eastAsia="Arial" w:hAnsi="Arial"/>
                <w:sz w:val="14"/>
                <w:szCs w:val="14"/>
                <w:color w:val="auto"/>
              </w:rPr>
              <w:t>0.09</w:t>
            </w:r>
          </w:p>
        </w:tc>
        <w:tc>
          <w:tcPr>
            <w:tcW w:w="1280" w:type="dxa"/>
            <w:vAlign w:val="bottom"/>
            <w:tcBorders>
              <w:bottom w:val="single" w:sz="8" w:color="BCBEC0"/>
            </w:tcBorders>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470"/>
              <w:spacing w:after="0"/>
              <w:rPr>
                <w:sz w:val="20"/>
                <w:szCs w:val="20"/>
                <w:color w:val="auto"/>
              </w:rPr>
            </w:pPr>
            <w:r>
              <w:rPr>
                <w:rFonts w:ascii="Arial" w:cs="Arial" w:eastAsia="Arial" w:hAnsi="Arial"/>
                <w:sz w:val="14"/>
                <w:szCs w:val="14"/>
                <w:color w:val="auto"/>
              </w:rPr>
              <w:t>0.3</w:t>
            </w: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520" w:hanging="328"/>
        <w:spacing w:after="0" w:line="305" w:lineRule="auto"/>
        <w:tabs>
          <w:tab w:leader="none" w:pos="645" w:val="left"/>
        </w:tabs>
        <w:numPr>
          <w:ilvl w:val="1"/>
          <w:numId w:val="162"/>
        </w:numPr>
        <w:rPr>
          <w:rFonts w:ascii="Arial" w:cs="Arial" w:eastAsia="Arial" w:hAnsi="Arial"/>
          <w:sz w:val="14"/>
          <w:szCs w:val="14"/>
          <w:color w:val="auto"/>
        </w:rPr>
      </w:pPr>
      <w:r>
        <w:rPr>
          <w:rFonts w:ascii="Arial" w:cs="Arial" w:eastAsia="Arial" w:hAnsi="Arial"/>
          <w:sz w:val="14"/>
          <w:szCs w:val="14"/>
          <w:color w:val="auto"/>
        </w:rPr>
        <w:t>The change in pension value amounts relate solely to the increased present value of the NEO’s pension plan benefits using mandatory SEC assumptions, see additional information in the Summary Compensation Table on page 71.</w:t>
      </w:r>
    </w:p>
    <w:p>
      <w:pPr>
        <w:spacing w:after="0" w:line="9" w:lineRule="exact"/>
        <w:rPr>
          <w:rFonts w:ascii="Arial" w:cs="Arial" w:eastAsia="Arial" w:hAnsi="Arial"/>
          <w:sz w:val="14"/>
          <w:szCs w:val="14"/>
          <w:color w:val="auto"/>
        </w:rPr>
      </w:pPr>
    </w:p>
    <w:p>
      <w:pPr>
        <w:ind w:left="260" w:hanging="252"/>
        <w:spacing w:after="0" w:line="269" w:lineRule="auto"/>
        <w:tabs>
          <w:tab w:leader="none" w:pos="21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Key components that factor into the amount reported as CAP (in accordance with the SEC definition) are the Company’s year-end stock value and equity awards. Executives receive the value of their equity grants only upon vesting. The value reflected for unvested grants, as calculated in CAP, does not reflect value actually received or realized by the executives during the covered year. The equity component of CAP for fiscal years 2023, 2022, 2021 and 2020 are further detailed in the table below. The equity values were calculated in accordance with the SEC methodology for determining CAP for each year shown.</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amounts deducted or added in calculating the equity award adjustments are as follows:</w:t>
      </w:r>
    </w:p>
    <w:p>
      <w:pPr>
        <w:spacing w:after="0" w:line="181" w:lineRule="exact"/>
        <w:rPr>
          <w:sz w:val="20"/>
          <w:szCs w:val="20"/>
          <w:color w:val="auto"/>
        </w:rPr>
      </w:pPr>
    </w:p>
    <w:p>
      <w:pPr>
        <w:jc w:val="center"/>
        <w:ind w:left="1400"/>
        <w:spacing w:after="0"/>
        <w:rPr>
          <w:sz w:val="20"/>
          <w:szCs w:val="20"/>
          <w:color w:val="auto"/>
        </w:rPr>
      </w:pPr>
      <w:r>
        <w:rPr>
          <w:rFonts w:ascii="Arial" w:cs="Arial" w:eastAsia="Arial" w:hAnsi="Arial"/>
          <w:sz w:val="13"/>
          <w:szCs w:val="13"/>
          <w:b w:val="1"/>
          <w:bCs w:val="1"/>
          <w:color w:val="auto"/>
        </w:rPr>
        <w:t>Equity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609473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spacing w:after="0" w:line="47" w:lineRule="exact"/>
        <w:rPr>
          <w:sz w:val="20"/>
          <w:szCs w:val="20"/>
          <w:color w:val="auto"/>
        </w:rPr>
      </w:pPr>
    </w:p>
    <w:p>
      <w:pPr>
        <w:jc w:val="center"/>
        <w:ind w:left="1400"/>
        <w:spacing w:after="0"/>
        <w:rPr>
          <w:sz w:val="20"/>
          <w:szCs w:val="20"/>
          <w:color w:val="auto"/>
        </w:rPr>
      </w:pPr>
      <w:r>
        <w:rPr>
          <w:rFonts w:ascii="Arial" w:cs="Arial" w:eastAsia="Arial" w:hAnsi="Arial"/>
          <w:sz w:val="13"/>
          <w:szCs w:val="13"/>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60947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Annual Change in</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Fair Value as of</w:t>
            </w: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8"/>
        </w:trPr>
        <w:tc>
          <w:tcPr>
            <w:tcW w:w="9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Fair Value of Current</w:t>
            </w: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w w:val="98"/>
              </w:rPr>
              <w:t>Fair Value as of Year-</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Vesting of Awards</w:t>
            </w:r>
          </w:p>
        </w:tc>
        <w:tc>
          <w:tcPr>
            <w:tcW w:w="1420" w:type="dxa"/>
            <w:vAlign w:val="bottom"/>
          </w:tcPr>
          <w:p>
            <w:pPr>
              <w:jc w:val="right"/>
              <w:ind w:right="17"/>
              <w:spacing w:after="0"/>
              <w:rPr>
                <w:sz w:val="20"/>
                <w:szCs w:val="20"/>
                <w:color w:val="auto"/>
              </w:rPr>
            </w:pPr>
            <w:r>
              <w:rPr>
                <w:rFonts w:ascii="Arial" w:cs="Arial" w:eastAsia="Arial" w:hAnsi="Arial"/>
                <w:sz w:val="13"/>
                <w:szCs w:val="13"/>
                <w:b w:val="1"/>
                <w:bCs w:val="1"/>
                <w:color w:val="auto"/>
              </w:rPr>
              <w:t>Annual Change in</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Annual Change in</w:t>
            </w:r>
          </w:p>
        </w:tc>
        <w:tc>
          <w:tcPr>
            <w:tcW w:w="148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Value of Dividends or</w:t>
            </w:r>
          </w:p>
        </w:tc>
        <w:tc>
          <w:tcPr>
            <w:tcW w:w="1240" w:type="dxa"/>
            <w:vAlign w:val="bottom"/>
          </w:tcPr>
          <w:p>
            <w:pPr>
              <w:spacing w:after="0"/>
              <w:rPr>
                <w:sz w:val="12"/>
                <w:szCs w:val="12"/>
                <w:color w:val="auto"/>
              </w:rPr>
            </w:pPr>
          </w:p>
        </w:tc>
      </w:tr>
      <w:tr>
        <w:trPr>
          <w:trHeight w:val="135"/>
        </w:trPr>
        <w:tc>
          <w:tcPr>
            <w:tcW w:w="980" w:type="dxa"/>
            <w:vAlign w:val="bottom"/>
          </w:tcPr>
          <w:p>
            <w:pPr>
              <w:spacing w:after="0"/>
              <w:rPr>
                <w:sz w:val="11"/>
                <w:szCs w:val="11"/>
                <w:color w:val="auto"/>
              </w:rPr>
            </w:pPr>
          </w:p>
        </w:tc>
        <w:tc>
          <w:tcPr>
            <w:tcW w:w="1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Year Equity Awards</w:t>
            </w:r>
          </w:p>
        </w:tc>
        <w:tc>
          <w:tcPr>
            <w:tcW w:w="14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End for Unvested</w:t>
            </w:r>
          </w:p>
        </w:tc>
        <w:tc>
          <w:tcPr>
            <w:tcW w:w="13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Granted and Vested</w:t>
            </w:r>
          </w:p>
        </w:tc>
        <w:tc>
          <w:tcPr>
            <w:tcW w:w="14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7"/>
              </w:rPr>
              <w:t>Value as of Vesting of</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 Prior Year's</w:t>
            </w:r>
          </w:p>
        </w:tc>
        <w:tc>
          <w:tcPr>
            <w:tcW w:w="14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Other Earnings Paid</w:t>
            </w: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Total Equity Value</w:t>
            </w:r>
          </w:p>
        </w:tc>
      </w:tr>
      <w:tr>
        <w:trPr>
          <w:trHeight w:val="185"/>
        </w:trPr>
        <w:tc>
          <w:tcPr>
            <w:tcW w:w="980" w:type="dxa"/>
            <w:vAlign w:val="bottom"/>
          </w:tcPr>
          <w:p>
            <w:pPr>
              <w:spacing w:after="0"/>
              <w:rPr>
                <w:sz w:val="20"/>
                <w:szCs w:val="20"/>
                <w:color w:val="auto"/>
              </w:rPr>
            </w:pPr>
            <w:r>
              <w:rPr>
                <w:rFonts w:ascii="Arial" w:cs="Arial" w:eastAsia="Arial" w:hAnsi="Arial"/>
                <w:sz w:val="13"/>
                <w:szCs w:val="13"/>
                <w:b w:val="1"/>
                <w:bCs w:val="1"/>
                <w:color w:val="auto"/>
              </w:rPr>
              <w:t>Year ($M)</w:t>
            </w: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as of Year-End</w:t>
            </w: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Awards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in Year</w:t>
            </w:r>
          </w:p>
        </w:tc>
        <w:tc>
          <w:tcPr>
            <w:tcW w:w="1420" w:type="dxa"/>
            <w:vAlign w:val="bottom"/>
          </w:tcPr>
          <w:p>
            <w:pPr>
              <w:jc w:val="right"/>
              <w:ind w:right="17"/>
              <w:spacing w:after="0"/>
              <w:rPr>
                <w:sz w:val="20"/>
                <w:szCs w:val="20"/>
                <w:color w:val="auto"/>
              </w:rPr>
            </w:pPr>
            <w:r>
              <w:rPr>
                <w:rFonts w:ascii="Arial" w:cs="Arial" w:eastAsia="Arial" w:hAnsi="Arial"/>
                <w:sz w:val="13"/>
                <w:szCs w:val="13"/>
                <w:b w:val="1"/>
                <w:bCs w:val="1"/>
                <w:color w:val="auto"/>
              </w:rPr>
              <w:t>Prior Year's Awards</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Awards Forfeited</w:t>
            </w:r>
          </w:p>
        </w:tc>
        <w:tc>
          <w:tcPr>
            <w:tcW w:w="1480" w:type="dxa"/>
            <w:vAlign w:val="bottom"/>
          </w:tcPr>
          <w:p>
            <w:pPr>
              <w:jc w:val="right"/>
              <w:ind w:right="77"/>
              <w:spacing w:after="0"/>
              <w:rPr>
                <w:sz w:val="20"/>
                <w:szCs w:val="20"/>
                <w:color w:val="auto"/>
              </w:rPr>
            </w:pPr>
            <w:r>
              <w:rPr>
                <w:rFonts w:ascii="Arial" w:cs="Arial" w:eastAsia="Arial" w:hAnsi="Arial"/>
                <w:sz w:val="13"/>
                <w:szCs w:val="13"/>
                <w:b w:val="1"/>
                <w:bCs w:val="1"/>
                <w:color w:val="auto"/>
              </w:rPr>
              <w:t>on Stock</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Included in CAP</w:t>
            </w: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1280" w:type="dxa"/>
            <w:vAlign w:val="bottom"/>
            <w:tcBorders>
              <w:top w:val="single" w:sz="8" w:color="29378D"/>
            </w:tcBorders>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80" w:type="dxa"/>
            <w:vAlign w:val="bottom"/>
            <w:tcBorders>
              <w:top w:val="single" w:sz="8" w:color="29378D"/>
            </w:tcBorders>
            <w:shd w:val="clear" w:color="auto" w:fill="DFDEEE"/>
          </w:tcPr>
          <w:p>
            <w:pPr>
              <w:jc w:val="right"/>
              <w:ind w:right="10"/>
              <w:spacing w:after="0"/>
              <w:rPr>
                <w:sz w:val="20"/>
                <w:szCs w:val="20"/>
                <w:color w:val="auto"/>
              </w:rPr>
            </w:pPr>
            <w:r>
              <w:rPr>
                <w:rFonts w:ascii="Arial" w:cs="Arial" w:eastAsia="Arial" w:hAnsi="Arial"/>
                <w:sz w:val="14"/>
                <w:szCs w:val="14"/>
                <w:color w:val="auto"/>
              </w:rPr>
              <w:t>17.1</w:t>
            </w:r>
          </w:p>
        </w:tc>
        <w:tc>
          <w:tcPr>
            <w:tcW w:w="1420" w:type="dxa"/>
            <w:vAlign w:val="bottom"/>
            <w:tcBorders>
              <w:top w:val="single" w:sz="8" w:color="29378D"/>
            </w:tcBorders>
            <w:shd w:val="clear" w:color="auto" w:fill="DFDEEE"/>
          </w:tcPr>
          <w:p>
            <w:pPr>
              <w:jc w:val="right"/>
              <w:ind w:right="31"/>
              <w:spacing w:after="0"/>
              <w:rPr>
                <w:sz w:val="20"/>
                <w:szCs w:val="20"/>
                <w:color w:val="auto"/>
              </w:rPr>
            </w:pPr>
            <w:r>
              <w:rPr>
                <w:rFonts w:ascii="Arial" w:cs="Arial" w:eastAsia="Arial" w:hAnsi="Arial"/>
                <w:sz w:val="14"/>
                <w:szCs w:val="14"/>
                <w:color w:val="auto"/>
              </w:rPr>
              <w:t>(8.1)</w:t>
            </w:r>
          </w:p>
        </w:tc>
        <w:tc>
          <w:tcPr>
            <w:tcW w:w="1300" w:type="dxa"/>
            <w:vAlign w:val="bottom"/>
            <w:tcBorders>
              <w:top w:val="single" w:sz="8" w:color="29378D"/>
            </w:tcBorders>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29378D"/>
            </w:tcBorders>
            <w:shd w:val="clear" w:color="auto" w:fill="DFDEEE"/>
          </w:tcPr>
          <w:p>
            <w:pPr>
              <w:jc w:val="center"/>
              <w:ind w:left="891"/>
              <w:spacing w:after="0"/>
              <w:rPr>
                <w:sz w:val="20"/>
                <w:szCs w:val="20"/>
                <w:color w:val="auto"/>
              </w:rPr>
            </w:pPr>
            <w:r>
              <w:rPr>
                <w:rFonts w:ascii="Arial" w:cs="Arial" w:eastAsia="Arial" w:hAnsi="Arial"/>
                <w:sz w:val="14"/>
                <w:szCs w:val="14"/>
                <w:color w:val="auto"/>
              </w:rPr>
              <w:t>(4.6)</w:t>
            </w:r>
          </w:p>
        </w:tc>
        <w:tc>
          <w:tcPr>
            <w:tcW w:w="1340" w:type="dxa"/>
            <w:vAlign w:val="bottom"/>
            <w:tcBorders>
              <w:top w:val="single" w:sz="8" w:color="29378D"/>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29378D"/>
            </w:tcBorders>
            <w:shd w:val="clear" w:color="auto" w:fill="DFDEEE"/>
          </w:tcPr>
          <w:p>
            <w:pPr>
              <w:jc w:val="right"/>
              <w:ind w:right="130"/>
              <w:spacing w:after="0"/>
              <w:rPr>
                <w:sz w:val="20"/>
                <w:szCs w:val="20"/>
                <w:color w:val="auto"/>
              </w:rPr>
            </w:pPr>
            <w:r>
              <w:rPr>
                <w:rFonts w:ascii="Arial" w:cs="Arial" w:eastAsia="Arial" w:hAnsi="Arial"/>
                <w:sz w:val="14"/>
                <w:szCs w:val="14"/>
                <w:color w:val="auto"/>
              </w:rPr>
              <w:t>1.1</w:t>
            </w:r>
          </w:p>
        </w:tc>
        <w:tc>
          <w:tcPr>
            <w:tcW w:w="1260" w:type="dxa"/>
            <w:vAlign w:val="bottom"/>
            <w:tcBorders>
              <w:top w:val="single" w:sz="8" w:color="29378D"/>
            </w:tcBorders>
            <w:shd w:val="clear" w:color="auto" w:fill="DFDEEE"/>
          </w:tcPr>
          <w:p>
            <w:pPr>
              <w:jc w:val="right"/>
              <w:ind w:right="10"/>
              <w:spacing w:after="0"/>
              <w:rPr>
                <w:sz w:val="20"/>
                <w:szCs w:val="20"/>
                <w:color w:val="auto"/>
              </w:rPr>
            </w:pPr>
            <w:r>
              <w:rPr>
                <w:rFonts w:ascii="Arial" w:cs="Arial" w:eastAsia="Arial" w:hAnsi="Arial"/>
                <w:sz w:val="14"/>
                <w:szCs w:val="14"/>
                <w:color w:val="auto"/>
              </w:rPr>
              <w:t>5.5</w:t>
            </w:r>
          </w:p>
        </w:tc>
      </w:tr>
      <w:tr>
        <w:trPr>
          <w:trHeight w:val="215"/>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25.5</w:t>
            </w:r>
          </w:p>
        </w:tc>
        <w:tc>
          <w:tcPr>
            <w:tcW w:w="1420" w:type="dxa"/>
            <w:vAlign w:val="bottom"/>
            <w:tcBorders>
              <w:bottom w:val="single" w:sz="8" w:color="BCBEC0"/>
            </w:tcBorders>
          </w:tcPr>
          <w:p>
            <w:pPr>
              <w:jc w:val="right"/>
              <w:ind w:right="71"/>
              <w:spacing w:after="0"/>
              <w:rPr>
                <w:sz w:val="20"/>
                <w:szCs w:val="20"/>
                <w:color w:val="auto"/>
              </w:rPr>
            </w:pPr>
            <w:r>
              <w:rPr>
                <w:rFonts w:ascii="Arial" w:cs="Arial" w:eastAsia="Arial" w:hAnsi="Arial"/>
                <w:sz w:val="14"/>
                <w:szCs w:val="14"/>
                <w:color w:val="auto"/>
              </w:rPr>
              <w:t>13.2</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911"/>
              <w:spacing w:after="0"/>
              <w:rPr>
                <w:sz w:val="20"/>
                <w:szCs w:val="20"/>
                <w:color w:val="auto"/>
              </w:rPr>
            </w:pPr>
            <w:r>
              <w:rPr>
                <w:rFonts w:ascii="Arial" w:cs="Arial" w:eastAsia="Arial" w:hAnsi="Arial"/>
                <w:sz w:val="14"/>
                <w:szCs w:val="14"/>
                <w:color w:val="auto"/>
              </w:rPr>
              <w:t>8.2</w:t>
            </w:r>
          </w:p>
        </w:tc>
        <w:tc>
          <w:tcPr>
            <w:tcW w:w="1340" w:type="dxa"/>
            <w:vAlign w:val="bottom"/>
            <w:tcBorders>
              <w:bottom w:val="single" w:sz="8" w:color="BCBEC0"/>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0.9</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47.8</w:t>
            </w: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22.5</w:t>
            </w:r>
          </w:p>
        </w:tc>
        <w:tc>
          <w:tcPr>
            <w:tcW w:w="1420" w:type="dxa"/>
            <w:vAlign w:val="bottom"/>
            <w:tcBorders>
              <w:bottom w:val="single" w:sz="8" w:color="BCBEC0"/>
            </w:tcBorders>
            <w:shd w:val="clear" w:color="auto" w:fill="DFDEEE"/>
          </w:tcPr>
          <w:p>
            <w:pPr>
              <w:jc w:val="right"/>
              <w:ind w:right="71"/>
              <w:spacing w:after="0"/>
              <w:rPr>
                <w:sz w:val="20"/>
                <w:szCs w:val="20"/>
                <w:color w:val="auto"/>
              </w:rPr>
            </w:pPr>
            <w:r>
              <w:rPr>
                <w:rFonts w:ascii="Arial" w:cs="Arial" w:eastAsia="Arial" w:hAnsi="Arial"/>
                <w:sz w:val="14"/>
                <w:szCs w:val="14"/>
                <w:color w:val="auto"/>
              </w:rPr>
              <w:t>4.7</w:t>
            </w:r>
          </w:p>
        </w:tc>
        <w:tc>
          <w:tcPr>
            <w:tcW w:w="13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shd w:val="clear" w:color="auto" w:fill="DFDEEE"/>
          </w:tcPr>
          <w:p>
            <w:pPr>
              <w:jc w:val="center"/>
              <w:ind w:left="911"/>
              <w:spacing w:after="0"/>
              <w:rPr>
                <w:sz w:val="20"/>
                <w:szCs w:val="20"/>
                <w:color w:val="auto"/>
              </w:rPr>
            </w:pPr>
            <w:r>
              <w:rPr>
                <w:rFonts w:ascii="Arial" w:cs="Arial" w:eastAsia="Arial" w:hAnsi="Arial"/>
                <w:sz w:val="14"/>
                <w:szCs w:val="14"/>
                <w:color w:val="auto"/>
              </w:rPr>
              <w:t>4.4</w:t>
            </w:r>
          </w:p>
        </w:tc>
        <w:tc>
          <w:tcPr>
            <w:tcW w:w="1340" w:type="dxa"/>
            <w:vAlign w:val="bottom"/>
            <w:tcBorders>
              <w:bottom w:val="single" w:sz="8" w:color="BCBEC0"/>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130"/>
              <w:spacing w:after="0"/>
              <w:rPr>
                <w:sz w:val="20"/>
                <w:szCs w:val="20"/>
                <w:color w:val="auto"/>
              </w:rPr>
            </w:pPr>
            <w:r>
              <w:rPr>
                <w:rFonts w:ascii="Arial" w:cs="Arial" w:eastAsia="Arial" w:hAnsi="Arial"/>
                <w:sz w:val="14"/>
                <w:szCs w:val="14"/>
                <w:color w:val="auto"/>
              </w:rPr>
              <w:t>0.8</w:t>
            </w:r>
          </w:p>
        </w:tc>
        <w:tc>
          <w:tcPr>
            <w:tcW w:w="126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32.4</w:t>
            </w:r>
          </w:p>
        </w:tc>
      </w:tr>
      <w:tr>
        <w:trPr>
          <w:trHeight w:val="209"/>
        </w:trPr>
        <w:tc>
          <w:tcPr>
            <w:tcW w:w="1280" w:type="dxa"/>
            <w:vAlign w:val="bottom"/>
            <w:tcBorders>
              <w:bottom w:val="single" w:sz="8" w:color="D1D3D4"/>
            </w:tcBorders>
          </w:tcPr>
          <w:p>
            <w:pPr>
              <w:spacing w:after="0"/>
              <w:rPr>
                <w:sz w:val="20"/>
                <w:szCs w:val="20"/>
                <w:color w:val="auto"/>
              </w:rPr>
            </w:pPr>
            <w:r>
              <w:rPr>
                <w:rFonts w:ascii="Arial" w:cs="Arial" w:eastAsia="Arial" w:hAnsi="Arial"/>
                <w:sz w:val="14"/>
                <w:szCs w:val="14"/>
                <w:b w:val="1"/>
                <w:bCs w:val="1"/>
                <w:color w:val="29378D"/>
              </w:rPr>
              <w:t>2020</w:t>
            </w:r>
          </w:p>
        </w:tc>
        <w:tc>
          <w:tcPr>
            <w:tcW w:w="138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11.6</w:t>
            </w:r>
          </w:p>
        </w:tc>
        <w:tc>
          <w:tcPr>
            <w:tcW w:w="1420" w:type="dxa"/>
            <w:vAlign w:val="bottom"/>
            <w:tcBorders>
              <w:bottom w:val="single" w:sz="8" w:color="D1D3D4"/>
            </w:tcBorders>
          </w:tcPr>
          <w:p>
            <w:pPr>
              <w:jc w:val="right"/>
              <w:ind w:right="31"/>
              <w:spacing w:after="0"/>
              <w:rPr>
                <w:sz w:val="20"/>
                <w:szCs w:val="20"/>
                <w:color w:val="auto"/>
              </w:rPr>
            </w:pPr>
            <w:r>
              <w:rPr>
                <w:rFonts w:ascii="Arial" w:cs="Arial" w:eastAsia="Arial" w:hAnsi="Arial"/>
                <w:sz w:val="14"/>
                <w:szCs w:val="14"/>
                <w:color w:val="auto"/>
              </w:rPr>
              <w:t>(3.1)</w:t>
            </w:r>
          </w:p>
        </w:tc>
        <w:tc>
          <w:tcPr>
            <w:tcW w:w="1300" w:type="dxa"/>
            <w:vAlign w:val="bottom"/>
            <w:tcBorders>
              <w:bottom w:val="single" w:sz="8" w:color="D1D3D4"/>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1D3D4"/>
            </w:tcBorders>
          </w:tcPr>
          <w:p>
            <w:pPr>
              <w:jc w:val="center"/>
              <w:ind w:left="891"/>
              <w:spacing w:after="0"/>
              <w:rPr>
                <w:sz w:val="20"/>
                <w:szCs w:val="20"/>
                <w:color w:val="auto"/>
              </w:rPr>
            </w:pPr>
            <w:r>
              <w:rPr>
                <w:rFonts w:ascii="Arial" w:cs="Arial" w:eastAsia="Arial" w:hAnsi="Arial"/>
                <w:sz w:val="14"/>
                <w:szCs w:val="14"/>
                <w:color w:val="auto"/>
              </w:rPr>
              <w:t>(0.9)</w:t>
            </w:r>
          </w:p>
        </w:tc>
        <w:tc>
          <w:tcPr>
            <w:tcW w:w="1340" w:type="dxa"/>
            <w:vAlign w:val="bottom"/>
            <w:tcBorders>
              <w:bottom w:val="single" w:sz="8" w:color="D1D3D4"/>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1D3D4"/>
            </w:tcBorders>
          </w:tcPr>
          <w:p>
            <w:pPr>
              <w:jc w:val="right"/>
              <w:ind w:right="130"/>
              <w:spacing w:after="0"/>
              <w:rPr>
                <w:sz w:val="20"/>
                <w:szCs w:val="20"/>
                <w:color w:val="auto"/>
              </w:rPr>
            </w:pPr>
            <w:r>
              <w:rPr>
                <w:rFonts w:ascii="Arial" w:cs="Arial" w:eastAsia="Arial" w:hAnsi="Arial"/>
                <w:sz w:val="14"/>
                <w:szCs w:val="14"/>
                <w:color w:val="auto"/>
              </w:rPr>
              <w:t>0.4</w:t>
            </w:r>
          </w:p>
        </w:tc>
        <w:tc>
          <w:tcPr>
            <w:tcW w:w="126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8.0</w:t>
            </w:r>
          </w:p>
        </w:tc>
      </w:tr>
      <w:tr>
        <w:trPr>
          <w:trHeight w:val="405"/>
        </w:trPr>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jc w:val="right"/>
              <w:ind w:right="171"/>
              <w:spacing w:after="0"/>
              <w:rPr>
                <w:sz w:val="20"/>
                <w:szCs w:val="20"/>
                <w:color w:val="auto"/>
              </w:rPr>
            </w:pPr>
            <w:r>
              <w:rPr>
                <w:rFonts w:ascii="Arial" w:cs="Arial" w:eastAsia="Arial" w:hAnsi="Arial"/>
                <w:sz w:val="13"/>
                <w:szCs w:val="13"/>
                <w:b w:val="1"/>
                <w:bCs w:val="1"/>
                <w:color w:val="auto"/>
              </w:rPr>
              <w:t>Equity Valuation</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
        </w:trPr>
        <w:tc>
          <w:tcPr>
            <w:tcW w:w="1280" w:type="dxa"/>
            <w:vAlign w:val="bottom"/>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0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148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r>
      <w:tr>
        <w:trPr>
          <w:trHeight w:val="174"/>
        </w:trPr>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right"/>
              <w:ind w:right="11"/>
              <w:spacing w:after="0"/>
              <w:rPr>
                <w:sz w:val="20"/>
                <w:szCs w:val="20"/>
                <w:color w:val="auto"/>
              </w:rPr>
            </w:pPr>
            <w:r>
              <w:rPr>
                <w:rFonts w:ascii="Arial" w:cs="Arial" w:eastAsia="Arial" w:hAnsi="Arial"/>
                <w:sz w:val="13"/>
                <w:szCs w:val="13"/>
                <w:b w:val="1"/>
                <w:bCs w:val="1"/>
                <w:color w:val="auto"/>
                <w:w w:val="99"/>
              </w:rPr>
              <w:t>Non-PEO NEOs (Avg)</w:t>
            </w: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
        </w:trPr>
        <w:tc>
          <w:tcPr>
            <w:tcW w:w="1280" w:type="dxa"/>
            <w:vAlign w:val="bottom"/>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0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148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r>
      <w:tr>
        <w:trPr>
          <w:trHeight w:val="421"/>
        </w:trPr>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jc w:val="right"/>
              <w:ind w:right="31"/>
              <w:spacing w:after="0"/>
              <w:rPr>
                <w:sz w:val="20"/>
                <w:szCs w:val="20"/>
                <w:color w:val="auto"/>
              </w:rPr>
            </w:pPr>
            <w:r>
              <w:rPr>
                <w:rFonts w:ascii="Arial" w:cs="Arial" w:eastAsia="Arial" w:hAnsi="Arial"/>
                <w:sz w:val="13"/>
                <w:szCs w:val="13"/>
                <w:b w:val="1"/>
                <w:bCs w:val="1"/>
                <w:color w:val="auto"/>
              </w:rPr>
              <w:t>Annual Change in</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Fair Value as of</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13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Fair Value of Current</w:t>
            </w:r>
          </w:p>
        </w:tc>
        <w:tc>
          <w:tcPr>
            <w:tcW w:w="14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w w:val="98"/>
              </w:rPr>
              <w:t>Fair Value as of Year-</w:t>
            </w:r>
          </w:p>
        </w:tc>
        <w:tc>
          <w:tcPr>
            <w:tcW w:w="13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Vesting of Awards</w:t>
            </w:r>
          </w:p>
        </w:tc>
        <w:tc>
          <w:tcPr>
            <w:tcW w:w="1420" w:type="dxa"/>
            <w:vAlign w:val="bottom"/>
          </w:tcPr>
          <w:p>
            <w:pPr>
              <w:jc w:val="right"/>
              <w:ind w:right="11"/>
              <w:spacing w:after="0" w:line="135" w:lineRule="exact"/>
              <w:rPr>
                <w:sz w:val="20"/>
                <w:szCs w:val="20"/>
                <w:color w:val="auto"/>
              </w:rPr>
            </w:pPr>
            <w:r>
              <w:rPr>
                <w:rFonts w:ascii="Arial" w:cs="Arial" w:eastAsia="Arial" w:hAnsi="Arial"/>
                <w:sz w:val="13"/>
                <w:szCs w:val="13"/>
                <w:b w:val="1"/>
                <w:bCs w:val="1"/>
                <w:color w:val="auto"/>
              </w:rPr>
              <w:t>Annual Change in</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Annual Change in</w:t>
            </w:r>
          </w:p>
        </w:tc>
        <w:tc>
          <w:tcPr>
            <w:tcW w:w="14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9"/>
              </w:rPr>
              <w:t>Value of Dividends or</w:t>
            </w:r>
          </w:p>
        </w:tc>
        <w:tc>
          <w:tcPr>
            <w:tcW w:w="1260" w:type="dxa"/>
            <w:vAlign w:val="bottom"/>
          </w:tcPr>
          <w:p>
            <w:pPr>
              <w:spacing w:after="0"/>
              <w:rPr>
                <w:sz w:val="11"/>
                <w:szCs w:val="11"/>
                <w:color w:val="auto"/>
              </w:rPr>
            </w:pPr>
          </w:p>
        </w:tc>
      </w:tr>
      <w:tr>
        <w:trPr>
          <w:trHeight w:val="148"/>
        </w:trPr>
        <w:tc>
          <w:tcPr>
            <w:tcW w:w="12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Year Equity Awards</w:t>
            </w:r>
          </w:p>
        </w:tc>
        <w:tc>
          <w:tcPr>
            <w:tcW w:w="1420" w:type="dxa"/>
            <w:vAlign w:val="bottom"/>
          </w:tcPr>
          <w:p>
            <w:pPr>
              <w:jc w:val="right"/>
              <w:ind w:right="31"/>
              <w:spacing w:after="0"/>
              <w:rPr>
                <w:sz w:val="20"/>
                <w:szCs w:val="20"/>
                <w:color w:val="auto"/>
              </w:rPr>
            </w:pPr>
            <w:r>
              <w:rPr>
                <w:rFonts w:ascii="Arial" w:cs="Arial" w:eastAsia="Arial" w:hAnsi="Arial"/>
                <w:sz w:val="13"/>
                <w:szCs w:val="13"/>
                <w:b w:val="1"/>
                <w:bCs w:val="1"/>
                <w:color w:val="auto"/>
              </w:rPr>
              <w:t>End for Unvested</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Granted and Vested</w:t>
            </w:r>
          </w:p>
        </w:tc>
        <w:tc>
          <w:tcPr>
            <w:tcW w:w="1420" w:type="dxa"/>
            <w:vAlign w:val="bottom"/>
          </w:tcPr>
          <w:p>
            <w:pPr>
              <w:jc w:val="right"/>
              <w:ind w:right="11"/>
              <w:spacing w:after="0"/>
              <w:rPr>
                <w:sz w:val="20"/>
                <w:szCs w:val="20"/>
                <w:color w:val="auto"/>
              </w:rPr>
            </w:pPr>
            <w:r>
              <w:rPr>
                <w:rFonts w:ascii="Arial" w:cs="Arial" w:eastAsia="Arial" w:hAnsi="Arial"/>
                <w:sz w:val="13"/>
                <w:szCs w:val="13"/>
                <w:b w:val="1"/>
                <w:bCs w:val="1"/>
                <w:color w:val="auto"/>
                <w:w w:val="97"/>
              </w:rPr>
              <w:t>Value as of Vesting of</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Value of Prior Year's</w:t>
            </w:r>
          </w:p>
        </w:tc>
        <w:tc>
          <w:tcPr>
            <w:tcW w:w="1480" w:type="dxa"/>
            <w:vAlign w:val="bottom"/>
          </w:tcPr>
          <w:p>
            <w:pPr>
              <w:jc w:val="right"/>
              <w:ind w:right="70"/>
              <w:spacing w:after="0"/>
              <w:rPr>
                <w:sz w:val="20"/>
                <w:szCs w:val="20"/>
                <w:color w:val="auto"/>
              </w:rPr>
            </w:pPr>
            <w:r>
              <w:rPr>
                <w:rFonts w:ascii="Arial" w:cs="Arial" w:eastAsia="Arial" w:hAnsi="Arial"/>
                <w:sz w:val="13"/>
                <w:szCs w:val="13"/>
                <w:b w:val="1"/>
                <w:bCs w:val="1"/>
                <w:color w:val="auto"/>
              </w:rPr>
              <w:t>Other Earnings Paid</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Total Equity Value</w:t>
            </w:r>
          </w:p>
        </w:tc>
      </w:tr>
      <w:tr>
        <w:trPr>
          <w:trHeight w:val="189"/>
        </w:trPr>
        <w:tc>
          <w:tcPr>
            <w:tcW w:w="1280" w:type="dxa"/>
            <w:vAlign w:val="bottom"/>
            <w:tcBorders>
              <w:bottom w:val="single" w:sz="8" w:color="29378D"/>
            </w:tcBorders>
          </w:tcPr>
          <w:p>
            <w:pPr>
              <w:spacing w:after="0"/>
              <w:rPr>
                <w:sz w:val="20"/>
                <w:szCs w:val="20"/>
                <w:color w:val="auto"/>
              </w:rPr>
            </w:pPr>
            <w:r>
              <w:rPr>
                <w:rFonts w:ascii="Arial" w:cs="Arial" w:eastAsia="Arial" w:hAnsi="Arial"/>
                <w:sz w:val="13"/>
                <w:szCs w:val="13"/>
                <w:b w:val="1"/>
                <w:bCs w:val="1"/>
                <w:color w:val="auto"/>
              </w:rPr>
              <w:t>Year ($M)</w:t>
            </w:r>
          </w:p>
        </w:tc>
        <w:tc>
          <w:tcPr>
            <w:tcW w:w="13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as of Year-End</w:t>
            </w:r>
          </w:p>
        </w:tc>
        <w:tc>
          <w:tcPr>
            <w:tcW w:w="1420" w:type="dxa"/>
            <w:vAlign w:val="bottom"/>
            <w:tcBorders>
              <w:bottom w:val="single" w:sz="8" w:color="29378D"/>
            </w:tcBorders>
          </w:tcPr>
          <w:p>
            <w:pPr>
              <w:jc w:val="right"/>
              <w:ind w:right="31"/>
              <w:spacing w:after="0"/>
              <w:rPr>
                <w:sz w:val="20"/>
                <w:szCs w:val="20"/>
                <w:color w:val="auto"/>
              </w:rPr>
            </w:pPr>
            <w:r>
              <w:rPr>
                <w:rFonts w:ascii="Arial" w:cs="Arial" w:eastAsia="Arial" w:hAnsi="Arial"/>
                <w:sz w:val="13"/>
                <w:szCs w:val="13"/>
                <w:b w:val="1"/>
                <w:bCs w:val="1"/>
                <w:color w:val="auto"/>
              </w:rPr>
              <w:t>Awards</w:t>
            </w:r>
          </w:p>
        </w:tc>
        <w:tc>
          <w:tcPr>
            <w:tcW w:w="130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in Year</w:t>
            </w:r>
          </w:p>
        </w:tc>
        <w:tc>
          <w:tcPr>
            <w:tcW w:w="1420" w:type="dxa"/>
            <w:vAlign w:val="bottom"/>
            <w:tcBorders>
              <w:bottom w:val="single" w:sz="8" w:color="29378D"/>
            </w:tcBorders>
          </w:tcPr>
          <w:p>
            <w:pPr>
              <w:jc w:val="right"/>
              <w:ind w:right="11"/>
              <w:spacing w:after="0"/>
              <w:rPr>
                <w:sz w:val="20"/>
                <w:szCs w:val="20"/>
                <w:color w:val="auto"/>
              </w:rPr>
            </w:pPr>
            <w:r>
              <w:rPr>
                <w:rFonts w:ascii="Arial" w:cs="Arial" w:eastAsia="Arial" w:hAnsi="Arial"/>
                <w:sz w:val="13"/>
                <w:szCs w:val="13"/>
                <w:b w:val="1"/>
                <w:bCs w:val="1"/>
                <w:color w:val="auto"/>
              </w:rPr>
              <w:t>Prior Year's Awards</w:t>
            </w:r>
          </w:p>
        </w:tc>
        <w:tc>
          <w:tcPr>
            <w:tcW w:w="134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Awards Forfeited</w:t>
            </w:r>
          </w:p>
        </w:tc>
        <w:tc>
          <w:tcPr>
            <w:tcW w:w="1480" w:type="dxa"/>
            <w:vAlign w:val="bottom"/>
            <w:tcBorders>
              <w:bottom w:val="single" w:sz="8" w:color="29378D"/>
            </w:tcBorders>
          </w:tcPr>
          <w:p>
            <w:pPr>
              <w:jc w:val="right"/>
              <w:ind w:right="70"/>
              <w:spacing w:after="0"/>
              <w:rPr>
                <w:sz w:val="20"/>
                <w:szCs w:val="20"/>
                <w:color w:val="auto"/>
              </w:rPr>
            </w:pPr>
            <w:r>
              <w:rPr>
                <w:rFonts w:ascii="Arial" w:cs="Arial" w:eastAsia="Arial" w:hAnsi="Arial"/>
                <w:sz w:val="13"/>
                <w:szCs w:val="13"/>
                <w:b w:val="1"/>
                <w:bCs w:val="1"/>
                <w:color w:val="auto"/>
              </w:rPr>
              <w:t>on Stock</w:t>
            </w:r>
          </w:p>
        </w:tc>
        <w:tc>
          <w:tcPr>
            <w:tcW w:w="12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Included in CAP</w:t>
            </w:r>
          </w:p>
        </w:tc>
      </w:tr>
      <w:tr>
        <w:trPr>
          <w:trHeight w:val="213"/>
        </w:trPr>
        <w:tc>
          <w:tcPr>
            <w:tcW w:w="1280" w:type="dxa"/>
            <w:vAlign w:val="bottom"/>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8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3.5</w:t>
            </w:r>
          </w:p>
        </w:tc>
        <w:tc>
          <w:tcPr>
            <w:tcW w:w="1420" w:type="dxa"/>
            <w:vAlign w:val="bottom"/>
            <w:shd w:val="clear" w:color="auto" w:fill="DFDEEE"/>
          </w:tcPr>
          <w:p>
            <w:pPr>
              <w:jc w:val="right"/>
              <w:ind w:right="31"/>
              <w:spacing w:after="0"/>
              <w:rPr>
                <w:sz w:val="20"/>
                <w:szCs w:val="20"/>
                <w:color w:val="auto"/>
              </w:rPr>
            </w:pPr>
            <w:r>
              <w:rPr>
                <w:rFonts w:ascii="Arial" w:cs="Arial" w:eastAsia="Arial" w:hAnsi="Arial"/>
                <w:sz w:val="14"/>
                <w:szCs w:val="14"/>
                <w:color w:val="auto"/>
              </w:rPr>
              <w:t>(1.4)</w:t>
            </w:r>
          </w:p>
        </w:tc>
        <w:tc>
          <w:tcPr>
            <w:tcW w:w="1300" w:type="dxa"/>
            <w:vAlign w:val="bottom"/>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shd w:val="clear" w:color="auto" w:fill="DFDEEE"/>
          </w:tcPr>
          <w:p>
            <w:pPr>
              <w:jc w:val="center"/>
              <w:ind w:left="891"/>
              <w:spacing w:after="0"/>
              <w:rPr>
                <w:sz w:val="20"/>
                <w:szCs w:val="20"/>
                <w:color w:val="auto"/>
              </w:rPr>
            </w:pPr>
            <w:r>
              <w:rPr>
                <w:rFonts w:ascii="Arial" w:cs="Arial" w:eastAsia="Arial" w:hAnsi="Arial"/>
                <w:sz w:val="14"/>
                <w:szCs w:val="14"/>
                <w:color w:val="auto"/>
              </w:rPr>
              <w:t>(0.8)</w:t>
            </w:r>
          </w:p>
        </w:tc>
        <w:tc>
          <w:tcPr>
            <w:tcW w:w="1340" w:type="dxa"/>
            <w:vAlign w:val="bottom"/>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DFDEEE"/>
          </w:tcPr>
          <w:p>
            <w:pPr>
              <w:jc w:val="right"/>
              <w:ind w:right="130"/>
              <w:spacing w:after="0"/>
              <w:rPr>
                <w:sz w:val="20"/>
                <w:szCs w:val="20"/>
                <w:color w:val="auto"/>
              </w:rPr>
            </w:pPr>
            <w:r>
              <w:rPr>
                <w:rFonts w:ascii="Arial" w:cs="Arial" w:eastAsia="Arial" w:hAnsi="Arial"/>
                <w:sz w:val="14"/>
                <w:szCs w:val="14"/>
                <w:color w:val="auto"/>
              </w:rPr>
              <w:t>0.2</w:t>
            </w:r>
          </w:p>
        </w:tc>
        <w:tc>
          <w:tcPr>
            <w:tcW w:w="126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1.5</w:t>
            </w:r>
          </w:p>
        </w:tc>
      </w:tr>
      <w:tr>
        <w:trPr>
          <w:trHeight w:val="215"/>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5.6</w:t>
            </w:r>
          </w:p>
        </w:tc>
        <w:tc>
          <w:tcPr>
            <w:tcW w:w="1420" w:type="dxa"/>
            <w:vAlign w:val="bottom"/>
            <w:tcBorders>
              <w:bottom w:val="single" w:sz="8" w:color="BCBEC0"/>
            </w:tcBorders>
          </w:tcPr>
          <w:p>
            <w:pPr>
              <w:jc w:val="right"/>
              <w:ind w:right="71"/>
              <w:spacing w:after="0"/>
              <w:rPr>
                <w:sz w:val="20"/>
                <w:szCs w:val="20"/>
                <w:color w:val="auto"/>
              </w:rPr>
            </w:pPr>
            <w:r>
              <w:rPr>
                <w:rFonts w:ascii="Arial" w:cs="Arial" w:eastAsia="Arial" w:hAnsi="Arial"/>
                <w:sz w:val="14"/>
                <w:szCs w:val="14"/>
                <w:color w:val="auto"/>
              </w:rPr>
              <w:t>2.2</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911"/>
              <w:spacing w:after="0"/>
              <w:rPr>
                <w:sz w:val="20"/>
                <w:szCs w:val="20"/>
                <w:color w:val="auto"/>
              </w:rPr>
            </w:pPr>
            <w:r>
              <w:rPr>
                <w:rFonts w:ascii="Arial" w:cs="Arial" w:eastAsia="Arial" w:hAnsi="Arial"/>
                <w:sz w:val="14"/>
                <w:szCs w:val="14"/>
                <w:color w:val="auto"/>
              </w:rPr>
              <w:t>1.2</w:t>
            </w:r>
          </w:p>
        </w:tc>
        <w:tc>
          <w:tcPr>
            <w:tcW w:w="1340" w:type="dxa"/>
            <w:vAlign w:val="bottom"/>
            <w:tcBorders>
              <w:bottom w:val="single" w:sz="8" w:color="BCBEC0"/>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9.1</w:t>
            </w: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5.0</w:t>
            </w:r>
          </w:p>
        </w:tc>
        <w:tc>
          <w:tcPr>
            <w:tcW w:w="1420" w:type="dxa"/>
            <w:vAlign w:val="bottom"/>
            <w:tcBorders>
              <w:bottom w:val="single" w:sz="8" w:color="BCBEC0"/>
            </w:tcBorders>
            <w:shd w:val="clear" w:color="auto" w:fill="DFDEEE"/>
          </w:tcPr>
          <w:p>
            <w:pPr>
              <w:jc w:val="right"/>
              <w:ind w:right="71"/>
              <w:spacing w:after="0"/>
              <w:rPr>
                <w:sz w:val="20"/>
                <w:szCs w:val="20"/>
                <w:color w:val="auto"/>
              </w:rPr>
            </w:pPr>
            <w:r>
              <w:rPr>
                <w:rFonts w:ascii="Arial" w:cs="Arial" w:eastAsia="Arial" w:hAnsi="Arial"/>
                <w:sz w:val="14"/>
                <w:szCs w:val="14"/>
                <w:color w:val="auto"/>
              </w:rPr>
              <w:t>1.0</w:t>
            </w:r>
          </w:p>
        </w:tc>
        <w:tc>
          <w:tcPr>
            <w:tcW w:w="13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0.2</w:t>
            </w:r>
          </w:p>
        </w:tc>
        <w:tc>
          <w:tcPr>
            <w:tcW w:w="1420" w:type="dxa"/>
            <w:vAlign w:val="bottom"/>
            <w:tcBorders>
              <w:bottom w:val="single" w:sz="8" w:color="BCBEC0"/>
            </w:tcBorders>
            <w:shd w:val="clear" w:color="auto" w:fill="DFDEEE"/>
          </w:tcPr>
          <w:p>
            <w:pPr>
              <w:jc w:val="center"/>
              <w:ind w:left="911"/>
              <w:spacing w:after="0"/>
              <w:rPr>
                <w:sz w:val="20"/>
                <w:szCs w:val="20"/>
                <w:color w:val="auto"/>
              </w:rPr>
            </w:pPr>
            <w:r>
              <w:rPr>
                <w:rFonts w:ascii="Arial" w:cs="Arial" w:eastAsia="Arial" w:hAnsi="Arial"/>
                <w:sz w:val="14"/>
                <w:szCs w:val="14"/>
                <w:color w:val="auto"/>
              </w:rPr>
              <w:t>0.7</w:t>
            </w:r>
          </w:p>
        </w:tc>
        <w:tc>
          <w:tcPr>
            <w:tcW w:w="1340" w:type="dxa"/>
            <w:vAlign w:val="bottom"/>
            <w:tcBorders>
              <w:bottom w:val="single" w:sz="8" w:color="BCBEC0"/>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7.0</w:t>
            </w:r>
          </w:p>
        </w:tc>
      </w:tr>
      <w:tr>
        <w:trPr>
          <w:trHeight w:val="210"/>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2.4</w:t>
            </w:r>
          </w:p>
        </w:tc>
        <w:tc>
          <w:tcPr>
            <w:tcW w:w="1420" w:type="dxa"/>
            <w:vAlign w:val="bottom"/>
            <w:tcBorders>
              <w:bottom w:val="single" w:sz="8" w:color="BCBEC0"/>
            </w:tcBorders>
          </w:tcPr>
          <w:p>
            <w:pPr>
              <w:jc w:val="right"/>
              <w:ind w:right="31"/>
              <w:spacing w:after="0"/>
              <w:rPr>
                <w:sz w:val="20"/>
                <w:szCs w:val="20"/>
                <w:color w:val="auto"/>
              </w:rPr>
            </w:pPr>
            <w:r>
              <w:rPr>
                <w:rFonts w:ascii="Arial" w:cs="Arial" w:eastAsia="Arial" w:hAnsi="Arial"/>
                <w:sz w:val="14"/>
                <w:szCs w:val="14"/>
                <w:color w:val="auto"/>
              </w:rPr>
              <w:t>(0.5)</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891"/>
              <w:spacing w:after="0"/>
              <w:rPr>
                <w:sz w:val="20"/>
                <w:szCs w:val="20"/>
                <w:color w:val="auto"/>
              </w:rPr>
            </w:pPr>
            <w:r>
              <w:rPr>
                <w:rFonts w:ascii="Arial" w:cs="Arial" w:eastAsia="Arial" w:hAnsi="Arial"/>
                <w:sz w:val="14"/>
                <w:szCs w:val="14"/>
                <w:color w:val="auto"/>
              </w:rPr>
              <w:t>(0.1)</w:t>
            </w:r>
          </w:p>
        </w:tc>
        <w:tc>
          <w:tcPr>
            <w:tcW w:w="13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0.3</w:t>
            </w:r>
          </w:p>
        </w:tc>
      </w:tr>
    </w:tbl>
    <w:p>
      <w:pPr>
        <w:spacing w:after="0" w:line="153" w:lineRule="exact"/>
        <w:rPr>
          <w:sz w:val="20"/>
          <w:szCs w:val="20"/>
          <w:color w:val="auto"/>
        </w:rPr>
      </w:pPr>
    </w:p>
    <w:p>
      <w:pPr>
        <w:ind w:left="260" w:right="20"/>
        <w:spacing w:after="0" w:line="273" w:lineRule="auto"/>
        <w:rPr>
          <w:sz w:val="20"/>
          <w:szCs w:val="20"/>
          <w:color w:val="auto"/>
        </w:rPr>
      </w:pPr>
      <w:r>
        <w:rPr>
          <w:rFonts w:ascii="Arial" w:cs="Arial" w:eastAsia="Arial" w:hAnsi="Arial"/>
          <w:sz w:val="14"/>
          <w:szCs w:val="14"/>
          <w:color w:val="auto"/>
        </w:rPr>
        <w:t>In 2023, the fair value of grants slightly decreased. In 2022 and 2021, the fair value of the grants awarded in the respective years increased at the end of the year due to the growth in stock price, which is a key driver of the amount of, and change in, CAP year-over-year. The grant date aggregate fair value of the grants awarded in 2020 was higher compared to the fair value at the end of the year due to the decrease in stock price.</w:t>
      </w:r>
    </w:p>
    <w:p>
      <w:pPr>
        <w:spacing w:after="0" w:line="45" w:lineRule="exact"/>
        <w:rPr>
          <w:sz w:val="20"/>
          <w:szCs w:val="20"/>
          <w:color w:val="auto"/>
        </w:rPr>
      </w:pPr>
    </w:p>
    <w:p>
      <w:pPr>
        <w:ind w:left="260" w:right="140"/>
        <w:spacing w:after="0" w:line="273" w:lineRule="auto"/>
        <w:rPr>
          <w:sz w:val="20"/>
          <w:szCs w:val="20"/>
          <w:color w:val="auto"/>
        </w:rPr>
      </w:pPr>
      <w:r>
        <w:rPr>
          <w:rFonts w:ascii="Arial" w:cs="Arial" w:eastAsia="Arial" w:hAnsi="Arial"/>
          <w:sz w:val="14"/>
          <w:szCs w:val="14"/>
          <w:color w:val="auto"/>
          <w:highlight w:val="white"/>
        </w:rPr>
        <w:t xml:space="preserve">The </w:t>
      </w:r>
      <w:r>
        <w:rPr>
          <w:rFonts w:ascii="Arial" w:cs="Arial" w:eastAsia="Arial" w:hAnsi="Arial"/>
          <w:sz w:val="14"/>
          <w:szCs w:val="14"/>
          <w:color w:val="auto"/>
        </w:rPr>
        <w:t>Company’s relative TSR and operational metrics score determine the number of performance shares that vest for each three-year cycle, ranging from 0% to 200% for</w:t>
      </w:r>
      <w:r>
        <w:rPr>
          <w:rFonts w:ascii="Arial" w:cs="Arial" w:eastAsia="Arial" w:hAnsi="Arial"/>
          <w:sz w:val="14"/>
          <w:szCs w:val="14"/>
          <w:color w:val="auto"/>
          <w:highlight w:val="white"/>
        </w:rPr>
        <w:t xml:space="preserve"> </w:t>
      </w:r>
      <w:r>
        <w:rPr>
          <w:rFonts w:ascii="Arial" w:cs="Arial" w:eastAsia="Arial" w:hAnsi="Arial"/>
          <w:sz w:val="14"/>
          <w:szCs w:val="14"/>
          <w:color w:val="auto"/>
        </w:rPr>
        <w:t>the 2023, 2022 and 2021 RPSR grants, and 0% to 150% for the RPSR grants awarded in 2020, 2019 and 2018. The executive RPSR performance scores were 141%, 135%, 122% and 105%, in 2023, 2022, 2021, and 2020, respectively, which contributed to the incremental change in CAP year-over-year, along with the change in stock price.</w:t>
      </w:r>
    </w:p>
    <w:p>
      <w:pPr>
        <w:spacing w:after="0" w:line="207" w:lineRule="exact"/>
        <w:rPr>
          <w:sz w:val="20"/>
          <w:szCs w:val="20"/>
          <w:color w:val="auto"/>
        </w:rPr>
      </w:pPr>
    </w:p>
    <w:p>
      <w:pPr>
        <w:ind w:left="260" w:right="180"/>
        <w:spacing w:after="0" w:line="305" w:lineRule="auto"/>
        <w:rPr>
          <w:sz w:val="20"/>
          <w:szCs w:val="20"/>
          <w:color w:val="auto"/>
        </w:rPr>
      </w:pPr>
      <w:r>
        <w:rPr>
          <w:rFonts w:ascii="Arial" w:cs="Arial" w:eastAsia="Arial" w:hAnsi="Arial"/>
          <w:sz w:val="14"/>
          <w:szCs w:val="14"/>
          <w:color w:val="auto"/>
        </w:rPr>
        <w:t>Mr. Bedingfield terminated his employment in 2020 and was not retirement eligible. He forfeited nearly $8M in equity value. The average non-PEO NEO CAP in 2020 was greatly impacted by the forfeited awards. Additional details included in footnote seven.</w:t>
      </w:r>
    </w:p>
    <w:p>
      <w:pPr>
        <w:spacing w:after="0" w:line="9" w:lineRule="exact"/>
        <w:rPr>
          <w:sz w:val="20"/>
          <w:szCs w:val="20"/>
          <w:color w:val="auto"/>
        </w:rPr>
      </w:pPr>
    </w:p>
    <w:p>
      <w:pPr>
        <w:ind w:left="220" w:hanging="212"/>
        <w:spacing w:after="0"/>
        <w:tabs>
          <w:tab w:leader="none" w:pos="2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TSR has been calculated in the same manner as under S-K 402(v)(2)(iv).</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Standard &amp; Poor’s (S&amp;P) Aerospace and Defense (A&amp;D) Index as disclosed in the Company’s Annual Report on Form 10-K, filed on January 25, 2024.</w:t>
      </w:r>
    </w:p>
    <w:p>
      <w:pPr>
        <w:spacing w:after="0" w:line="82" w:lineRule="exact"/>
        <w:rPr>
          <w:rFonts w:ascii="Arial" w:cs="Arial" w:eastAsia="Arial" w:hAnsi="Arial"/>
          <w:sz w:val="14"/>
          <w:szCs w:val="14"/>
          <w:color w:val="auto"/>
        </w:rPr>
      </w:pPr>
    </w:p>
    <w:p>
      <w:pPr>
        <w:ind w:left="260" w:hanging="252"/>
        <w:spacing w:after="0" w:line="280" w:lineRule="auto"/>
        <w:tabs>
          <w:tab w:leader="none" w:pos="21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Adjusted Cash Flow from Operations*, as defined on page 116, is the Company Selected Measure (CSM), linking performance for the most recently completed fiscal year to CAP for the PEO and non-PEO NEOs. The selected measure focuses on cash generation for strategy execution and enables management to make capital investment decisions that support long-term profitable growth. For more information, including how the measure is calculated, see “Appendix A - Use of Non-GAAP Financial Measures” on page 116.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16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89" w:name="page90"/>
    <w:bookmarkEnd w:id="89"/>
    <w:p>
      <w:pPr>
        <w:jc w:val="right"/>
        <w:ind w:right="20"/>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40" w:hanging="252"/>
        <w:spacing w:after="0" w:line="273" w:lineRule="auto"/>
        <w:tabs>
          <w:tab w:leader="none" w:pos="217" w:val="left"/>
        </w:tabs>
        <w:numPr>
          <w:ilvl w:val="0"/>
          <w:numId w:val="166"/>
        </w:numPr>
        <w:rPr>
          <w:rFonts w:ascii="Arial" w:cs="Arial" w:eastAsia="Arial" w:hAnsi="Arial"/>
          <w:sz w:val="14"/>
          <w:szCs w:val="14"/>
          <w:color w:val="auto"/>
        </w:rPr>
      </w:pPr>
      <w:r>
        <w:rPr>
          <w:rFonts w:ascii="Arial" w:cs="Arial" w:eastAsia="Arial" w:hAnsi="Arial"/>
          <w:sz w:val="14"/>
          <w:szCs w:val="14"/>
          <w:color w:val="auto"/>
        </w:rPr>
        <w:t>Mr. Bedingfield was the Corporate Vice President and Chief Financial Officer in 2019. He stepped down from his position effective February 17, 2020 and left the Company February 21, 2020. On February 6, 2020 the Company filed a Form 8-K which included, as an exhibit, the Separation Agreement with Mr. Bedingfield. A significant portion of Mr. Bedingfield's LTI awards were forfeited upon termination, amounting in a loss of about $8M. With Mr. Bedingfield excluded, the average CAP for non-PEO NEOs is $4.5M.</w:t>
      </w:r>
    </w:p>
    <w:p>
      <w:pPr>
        <w:spacing w:after="0" w:line="374" w:lineRule="exact"/>
        <w:rPr>
          <w:sz w:val="20"/>
          <w:szCs w:val="20"/>
          <w:color w:val="auto"/>
        </w:rPr>
      </w:pPr>
    </w:p>
    <w:p>
      <w:pPr>
        <w:spacing w:after="0"/>
        <w:rPr>
          <w:sz w:val="20"/>
          <w:szCs w:val="20"/>
          <w:color w:val="auto"/>
        </w:rPr>
      </w:pPr>
      <w:r>
        <w:rPr>
          <w:rFonts w:ascii="Arial" w:cs="Arial" w:eastAsia="Arial" w:hAnsi="Arial"/>
          <w:sz w:val="23"/>
          <w:szCs w:val="23"/>
          <w:color w:val="auto"/>
        </w:rPr>
        <w:t>Tabular List of Performance Measures</w:t>
      </w:r>
    </w:p>
    <w:p>
      <w:pPr>
        <w:spacing w:after="0" w:line="10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2023, the greatest impact on the compensation of our PEO and non-PEO NEOs was from the Company's LTI plan, particularly our performance against the metrics for our RPSRs, which comprise 70% of the LTI award and approximately half of the total direct compensation for our PEO and non-PEO NEOs. The RPSR metrics reflect the Company’s continued emphasis on operational performance directly impacted by management decisions and behaviors, and are set to motivate and reward the PEO and non-PEO NEOs to achieve our long-term objectives. The metrics reinforce the link between the Company's interests and the interests of our shareholders. For more detail, see the “Key Components of Our Executive Compensation Programs” section. These performance measures align to the Company’s “Compensation Philosophy and Objectives” as defined in the Compensation Discussion &amp; Analysis, on page 50.</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addition, absolute TSR, which reflects our Company's stock value, is another important measure because it has a significant impact on our executives' required CAP calculation. It is important to note, if absolute TSR is negative, the relative TSR (rTSR) RPSR metric is capped at 100%. Lastly, Adjusted Cash Flow from Operations*, the CSM, focuses on generating cash for strategy execution and enables leaders to make capital investment decisions that support long-term growth. The metric is an important driver for assessing the Company's AIP performance.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These key financial performance measures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72390</wp:posOffset>
            </wp:positionV>
            <wp:extent cx="8255"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8890" cy="274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72390</wp:posOffset>
            </wp:positionV>
            <wp:extent cx="8255" cy="1289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12890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Borders>
              <w:bottom w:val="single" w:sz="8" w:color="00249C"/>
            </w:tcBorders>
          </w:tcPr>
          <w:p>
            <w:pPr>
              <w:jc w:val="center"/>
              <w:ind w:right="1509"/>
              <w:spacing w:after="0"/>
              <w:rPr>
                <w:sz w:val="20"/>
                <w:szCs w:val="20"/>
                <w:color w:val="auto"/>
              </w:rPr>
            </w:pPr>
            <w:r>
              <w:rPr>
                <w:rFonts w:ascii="Arial" w:cs="Arial" w:eastAsia="Arial" w:hAnsi="Arial"/>
                <w:sz w:val="13"/>
                <w:szCs w:val="13"/>
                <w:b w:val="1"/>
                <w:bCs w:val="1"/>
                <w:color w:val="auto"/>
                <w:w w:val="96"/>
              </w:rPr>
              <w:t>Performance Measures</w:t>
            </w:r>
          </w:p>
        </w:tc>
        <w:tc>
          <w:tcPr>
            <w:tcW w:w="2920" w:type="dxa"/>
            <w:vAlign w:val="bottom"/>
            <w:tcBorders>
              <w:bottom w:val="single" w:sz="8" w:color="00249C"/>
            </w:tcBorders>
          </w:tcPr>
          <w:p>
            <w:pPr>
              <w:jc w:val="center"/>
              <w:ind w:right="1530"/>
              <w:spacing w:after="0"/>
              <w:rPr>
                <w:sz w:val="20"/>
                <w:szCs w:val="20"/>
                <w:color w:val="auto"/>
              </w:rPr>
            </w:pPr>
            <w:r>
              <w:rPr>
                <w:rFonts w:ascii="Arial" w:cs="Arial" w:eastAsia="Arial" w:hAnsi="Arial"/>
                <w:sz w:val="13"/>
                <w:szCs w:val="13"/>
                <w:b w:val="1"/>
                <w:bCs w:val="1"/>
                <w:color w:val="auto"/>
                <w:w w:val="92"/>
              </w:rPr>
              <w:t>Type</w:t>
            </w:r>
          </w:p>
        </w:tc>
        <w:tc>
          <w:tcPr>
            <w:tcW w:w="20" w:type="dxa"/>
            <w:vAlign w:val="bottom"/>
            <w:tcBorders>
              <w:bottom w:val="single" w:sz="8" w:color="00249C"/>
            </w:tcBorders>
          </w:tcPr>
          <w:p>
            <w:pPr>
              <w:spacing w:after="0"/>
              <w:rPr>
                <w:sz w:val="15"/>
                <w:szCs w:val="15"/>
                <w:color w:val="auto"/>
              </w:rPr>
            </w:pPr>
          </w:p>
        </w:tc>
      </w:tr>
      <w:tr>
        <w:trPr>
          <w:trHeight w:val="218"/>
        </w:trPr>
        <w:tc>
          <w:tcPr>
            <w:tcW w:w="8320" w:type="dxa"/>
            <w:vAlign w:val="bottom"/>
            <w:tcBorders>
              <w:bottom w:val="single" w:sz="8" w:color="DFDEEE"/>
            </w:tcBorders>
            <w:shd w:val="clear" w:color="auto" w:fill="DFDEEE"/>
          </w:tcPr>
          <w:p>
            <w:pPr>
              <w:jc w:val="center"/>
              <w:ind w:right="1509"/>
              <w:spacing w:after="0"/>
              <w:rPr>
                <w:sz w:val="20"/>
                <w:szCs w:val="20"/>
                <w:color w:val="auto"/>
              </w:rPr>
            </w:pPr>
            <w:r>
              <w:rPr>
                <w:rFonts w:ascii="Arial" w:cs="Arial" w:eastAsia="Arial" w:hAnsi="Arial"/>
                <w:sz w:val="14"/>
                <w:szCs w:val="14"/>
                <w:color w:val="auto"/>
              </w:rPr>
              <w:t>Adjusted Cumulative FCF*</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8"/>
                <w:szCs w:val="18"/>
                <w:color w:val="auto"/>
              </w:rPr>
            </w:pPr>
          </w:p>
        </w:tc>
      </w:tr>
      <w:tr>
        <w:trPr>
          <w:trHeight w:val="188"/>
        </w:trPr>
        <w:tc>
          <w:tcPr>
            <w:tcW w:w="8320" w:type="dxa"/>
            <w:vAlign w:val="bottom"/>
            <w:tcBorders>
              <w:top w:val="single" w:sz="8" w:color="BCBEC0"/>
            </w:tcBorders>
          </w:tcPr>
          <w:p>
            <w:pPr>
              <w:jc w:val="center"/>
              <w:ind w:right="1529"/>
              <w:spacing w:after="0"/>
              <w:rPr>
                <w:sz w:val="20"/>
                <w:szCs w:val="20"/>
                <w:color w:val="auto"/>
              </w:rPr>
            </w:pPr>
            <w:r>
              <w:rPr>
                <w:rFonts w:ascii="Arial" w:cs="Arial" w:eastAsia="Arial" w:hAnsi="Arial"/>
                <w:sz w:val="14"/>
                <w:szCs w:val="14"/>
                <w:color w:val="auto"/>
              </w:rPr>
              <w:t>Relative TSR</w:t>
            </w:r>
          </w:p>
        </w:tc>
        <w:tc>
          <w:tcPr>
            <w:tcW w:w="2920" w:type="dxa"/>
            <w:vAlign w:val="bottom"/>
            <w:tcBorders>
              <w:top w:val="single" w:sz="8" w:color="BCBEC0"/>
            </w:tcBorders>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6"/>
                <w:szCs w:val="16"/>
                <w:color w:val="auto"/>
              </w:rPr>
            </w:pPr>
          </w:p>
        </w:tc>
      </w:tr>
      <w:tr>
        <w:trPr>
          <w:trHeight w:val="22"/>
        </w:trPr>
        <w:tc>
          <w:tcPr>
            <w:tcW w:w="8320" w:type="dxa"/>
            <w:vAlign w:val="bottom"/>
            <w:tcBorders>
              <w:bottom w:val="single" w:sz="8" w:color="BCBEC0"/>
            </w:tcBorders>
          </w:tcPr>
          <w:p>
            <w:pPr>
              <w:spacing w:after="0" w:line="20" w:lineRule="exact"/>
              <w:rPr>
                <w:sz w:val="1"/>
                <w:szCs w:val="1"/>
                <w:color w:val="auto"/>
              </w:rPr>
            </w:pPr>
          </w:p>
        </w:tc>
        <w:tc>
          <w:tcPr>
            <w:tcW w:w="2920" w:type="dxa"/>
            <w:vAlign w:val="bottom"/>
            <w:tcBorders>
              <w:bottom w:val="single" w:sz="8" w:color="BCBE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320" w:type="dxa"/>
            <w:vAlign w:val="bottom"/>
            <w:tcBorders>
              <w:bottom w:val="single" w:sz="8" w:color="DFDEEE"/>
            </w:tcBorders>
            <w:shd w:val="clear" w:color="auto" w:fill="DFDEEE"/>
          </w:tcPr>
          <w:p>
            <w:pPr>
              <w:jc w:val="center"/>
              <w:ind w:right="1509"/>
              <w:spacing w:after="0"/>
              <w:rPr>
                <w:sz w:val="20"/>
                <w:szCs w:val="20"/>
                <w:color w:val="auto"/>
              </w:rPr>
            </w:pPr>
            <w:r>
              <w:rPr>
                <w:rFonts w:ascii="Arial" w:cs="Arial" w:eastAsia="Arial" w:hAnsi="Arial"/>
                <w:sz w:val="14"/>
                <w:szCs w:val="14"/>
                <w:color w:val="auto"/>
              </w:rPr>
              <w:t>Return on Invested Capital* (ROIC)</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8"/>
                <w:szCs w:val="18"/>
                <w:color w:val="auto"/>
              </w:rPr>
            </w:pPr>
          </w:p>
        </w:tc>
      </w:tr>
      <w:tr>
        <w:trPr>
          <w:trHeight w:val="188"/>
        </w:trPr>
        <w:tc>
          <w:tcPr>
            <w:tcW w:w="8320" w:type="dxa"/>
            <w:vAlign w:val="bottom"/>
            <w:tcBorders>
              <w:top w:val="single" w:sz="8" w:color="BCBEC0"/>
            </w:tcBorders>
          </w:tcPr>
          <w:p>
            <w:pPr>
              <w:jc w:val="center"/>
              <w:ind w:right="1529"/>
              <w:spacing w:after="0"/>
              <w:rPr>
                <w:sz w:val="20"/>
                <w:szCs w:val="20"/>
                <w:color w:val="auto"/>
              </w:rPr>
            </w:pPr>
            <w:r>
              <w:rPr>
                <w:rFonts w:ascii="Arial" w:cs="Arial" w:eastAsia="Arial" w:hAnsi="Arial"/>
                <w:sz w:val="14"/>
                <w:szCs w:val="14"/>
                <w:color w:val="auto"/>
              </w:rPr>
              <w:t>Absolute TSR</w:t>
            </w:r>
          </w:p>
        </w:tc>
        <w:tc>
          <w:tcPr>
            <w:tcW w:w="2920" w:type="dxa"/>
            <w:vAlign w:val="bottom"/>
            <w:tcBorders>
              <w:top w:val="single" w:sz="8" w:color="BCBEC0"/>
            </w:tcBorders>
          </w:tcPr>
          <w:p>
            <w:pPr>
              <w:jc w:val="center"/>
              <w:ind w:right="1530"/>
              <w:spacing w:after="0"/>
              <w:rPr>
                <w:sz w:val="20"/>
                <w:szCs w:val="20"/>
                <w:color w:val="auto"/>
              </w:rPr>
            </w:pPr>
            <w:r>
              <w:rPr>
                <w:rFonts w:ascii="Arial" w:cs="Arial" w:eastAsia="Arial" w:hAnsi="Arial"/>
                <w:sz w:val="14"/>
                <w:szCs w:val="14"/>
                <w:color w:val="auto"/>
              </w:rPr>
              <w:t>Value of LTI</w:t>
            </w:r>
          </w:p>
        </w:tc>
        <w:tc>
          <w:tcPr>
            <w:tcW w:w="20" w:type="dxa"/>
            <w:vAlign w:val="bottom"/>
          </w:tcPr>
          <w:p>
            <w:pPr>
              <w:spacing w:after="0"/>
              <w:rPr>
                <w:sz w:val="16"/>
                <w:szCs w:val="16"/>
                <w:color w:val="auto"/>
              </w:rPr>
            </w:pPr>
          </w:p>
        </w:tc>
      </w:tr>
      <w:tr>
        <w:trPr>
          <w:trHeight w:val="22"/>
        </w:trPr>
        <w:tc>
          <w:tcPr>
            <w:tcW w:w="8320" w:type="dxa"/>
            <w:vAlign w:val="bottom"/>
            <w:tcBorders>
              <w:bottom w:val="single" w:sz="8" w:color="BCBEC0"/>
            </w:tcBorders>
          </w:tcPr>
          <w:p>
            <w:pPr>
              <w:spacing w:after="0" w:line="20" w:lineRule="exact"/>
              <w:rPr>
                <w:sz w:val="1"/>
                <w:szCs w:val="1"/>
                <w:color w:val="auto"/>
              </w:rPr>
            </w:pPr>
          </w:p>
        </w:tc>
        <w:tc>
          <w:tcPr>
            <w:tcW w:w="2920" w:type="dxa"/>
            <w:vAlign w:val="bottom"/>
            <w:tcBorders>
              <w:bottom w:val="single" w:sz="8" w:color="BCBE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8320" w:type="dxa"/>
            <w:vAlign w:val="bottom"/>
            <w:tcBorders>
              <w:bottom w:val="single" w:sz="8" w:color="DFDEEE"/>
            </w:tcBorders>
            <w:shd w:val="clear" w:color="auto" w:fill="DFDEEE"/>
          </w:tcPr>
          <w:p>
            <w:pPr>
              <w:jc w:val="center"/>
              <w:ind w:right="1529"/>
              <w:spacing w:after="0"/>
              <w:rPr>
                <w:sz w:val="20"/>
                <w:szCs w:val="20"/>
                <w:color w:val="auto"/>
              </w:rPr>
            </w:pPr>
            <w:r>
              <w:rPr>
                <w:rFonts w:ascii="Arial" w:cs="Arial" w:eastAsia="Arial" w:hAnsi="Arial"/>
                <w:sz w:val="14"/>
                <w:szCs w:val="14"/>
                <w:color w:val="auto"/>
              </w:rPr>
              <w:t>Adjusted Cash Flow from Operations*</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CSM/AIP Metric</w:t>
            </w:r>
          </w:p>
        </w:tc>
        <w:tc>
          <w:tcPr>
            <w:tcW w:w="20" w:type="dxa"/>
            <w:vAlign w:val="bottom"/>
          </w:tcPr>
          <w:p>
            <w:pPr>
              <w:spacing w:after="0"/>
              <w:rPr>
                <w:sz w:val="18"/>
                <w:szCs w:val="18"/>
                <w:color w:val="auto"/>
              </w:rPr>
            </w:pPr>
          </w:p>
        </w:tc>
      </w:tr>
      <w:tr>
        <w:trPr>
          <w:trHeight w:val="323"/>
        </w:trPr>
        <w:tc>
          <w:tcPr>
            <w:tcW w:w="8320" w:type="dxa"/>
            <w:vAlign w:val="bottom"/>
            <w:tcBorders>
              <w:top w:val="single" w:sz="8" w:color="BCBEC0"/>
            </w:tcBorders>
          </w:tcPr>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tc>
        <w:tc>
          <w:tcPr>
            <w:tcW w:w="2920" w:type="dxa"/>
            <w:vAlign w:val="bottom"/>
            <w:tcBorders>
              <w:top w:val="single" w:sz="8" w:color="BCBEC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8890"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rPr>
        <w:t>Relationship Between CAP and Financial Performance Measures</w:t>
      </w:r>
    </w:p>
    <w:p>
      <w:pPr>
        <w:spacing w:after="0" w:line="117"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As shown in the chart below, the Company’s three-year cumulative TSR outperformed the companies included in the S&amp;P A&amp;D Index. The PEO and other non-PEO NEOs’ CAP amounts are aligned with the Company’s TSR. This is due primarily to the Company’s use of equity incentives, which are tied directly to stock price in addition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57785</wp:posOffset>
            </wp:positionV>
            <wp:extent cx="4937760" cy="254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377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Cash Flow from Operations* was selected as the CSM to focus on an annual metric, per SEC guidance. This metric emphasizes the importance of generating cash for strategy execution and enables management to make capital investment decisions, which were impacted by pension reimbursements in 2023 and 2022, as well as tax legislation in 2022. Since it has a stronger focus on our annual performance rather than long-term performance, the impact of Adjusted Cash Flow from Operations* on CAP is moderate compared to the LTI plan metrics.</w:t>
      </w:r>
    </w:p>
    <w:p>
      <w:pPr>
        <w:spacing w:after="0" w:line="7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While the Company is required to include net income as a metric in the Pay Versus Performance table, we do not believe the metric is an appropriate selection for analyzing CAP, as defined by the SEC. Net income is not used to measure compensation due to the non-operational impacts of the annual mark-to-market pension and OPB adjustments, which include actuarial gains and losses that can vary significantly from year to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36195</wp:posOffset>
            </wp:positionV>
            <wp:extent cx="4937760" cy="254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377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16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91" w:name="page92"/>
    <w:bookmarkEnd w:id="91"/>
    <w:p>
      <w:pPr>
        <w:spacing w:after="0"/>
        <w:rPr>
          <w:sz w:val="20"/>
          <w:szCs w:val="20"/>
          <w:color w:val="auto"/>
        </w:rPr>
      </w:pPr>
      <w:r>
        <w:rPr>
          <w:rFonts w:ascii="Arial" w:cs="Arial" w:eastAsia="Arial" w:hAnsi="Arial"/>
          <w:sz w:val="43"/>
          <w:szCs w:val="43"/>
          <w:b w:val="1"/>
          <w:bCs w:val="1"/>
          <w:color w:val="29378D"/>
        </w:rPr>
        <w:t>Equity Compensation Plan Information</w:t>
      </w:r>
    </w:p>
    <w:p>
      <w:pPr>
        <w:spacing w:after="0" w:line="200" w:lineRule="exact"/>
        <w:rPr>
          <w:sz w:val="20"/>
          <w:szCs w:val="20"/>
          <w:color w:val="auto"/>
        </w:rPr>
      </w:pPr>
    </w:p>
    <w:p>
      <w:pPr>
        <w:spacing w:after="0" w:line="26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currently maintain two equity compensation plans: the 2011 Plan and the 1993 Stock Plan for Non-Employee Directors, as amended (1993 Directors Plan). Each of these plans has been approved by our shareholders.</w:t>
      </w:r>
    </w:p>
    <w:p>
      <w:pPr>
        <w:spacing w:after="0" w:line="33"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following table sets forth the number of shares of our common stock to be issued upon payout of outstanding awards and the number of shares remaining available for future award grants under these equity compensation plans as of December 31, 2023.</w:t>
      </w:r>
    </w:p>
    <w:p>
      <w:pPr>
        <w:sectPr>
          <w:pgSz w:w="11900" w:h="16838" w:orient="portrait"/>
          <w:cols w:equalWidth="0" w:num="1">
            <w:col w:w="11240"/>
          </w:cols>
          <w:pgMar w:left="320" w:top="1298" w:right="339" w:bottom="1440" w:gutter="0" w:footer="0" w:header="0"/>
        </w:sectPr>
      </w:pPr>
    </w:p>
    <w:p>
      <w:pPr>
        <w:spacing w:after="0" w:line="84"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Number of shares of</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common stock to be</w:t>
      </w:r>
    </w:p>
    <w:p>
      <w:pPr>
        <w:jc w:val="right"/>
        <w:ind w:right="20"/>
        <w:spacing w:after="0"/>
        <w:rPr>
          <w:sz w:val="20"/>
          <w:szCs w:val="20"/>
          <w:color w:val="auto"/>
        </w:rPr>
      </w:pPr>
      <w:r>
        <w:rPr>
          <w:rFonts w:ascii="Arial" w:cs="Arial" w:eastAsia="Arial" w:hAnsi="Arial"/>
          <w:sz w:val="13"/>
          <w:szCs w:val="13"/>
          <w:b w:val="1"/>
          <w:bCs w:val="1"/>
          <w:color w:val="auto"/>
        </w:rPr>
        <w:t>issued upon exercise</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of outstanding options and</w:t>
      </w:r>
    </w:p>
    <w:p>
      <w:pPr>
        <w:jc w:val="right"/>
        <w:ind w:right="20"/>
        <w:spacing w:after="0"/>
        <w:rPr>
          <w:sz w:val="20"/>
          <w:szCs w:val="20"/>
          <w:color w:val="auto"/>
        </w:rPr>
      </w:pPr>
      <w:r>
        <w:rPr>
          <w:rFonts w:ascii="Arial" w:cs="Arial" w:eastAsia="Arial" w:hAnsi="Arial"/>
          <w:sz w:val="13"/>
          <w:szCs w:val="13"/>
          <w:b w:val="1"/>
          <w:bCs w:val="1"/>
          <w:color w:val="auto"/>
        </w:rPr>
        <w:t>payout of outstanding</w:t>
      </w:r>
    </w:p>
    <w:p>
      <w:pPr>
        <w:jc w:val="right"/>
        <w:ind w:right="20"/>
        <w:spacing w:after="0" w:line="194" w:lineRule="auto"/>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(1)</w:t>
      </w:r>
    </w:p>
    <w:p>
      <w:pPr>
        <w:ind w:left="20"/>
        <w:spacing w:after="0"/>
        <w:tabs>
          <w:tab w:leader="none" w:pos="5680" w:val="left"/>
        </w:tabs>
        <w:rPr>
          <w:sz w:val="20"/>
          <w:szCs w:val="20"/>
          <w:color w:val="auto"/>
        </w:rPr>
      </w:pPr>
      <w:r>
        <w:rPr>
          <w:rFonts w:ascii="Arial" w:cs="Arial" w:eastAsia="Arial" w:hAnsi="Arial"/>
          <w:sz w:val="13"/>
          <w:szCs w:val="13"/>
          <w:b w:val="1"/>
          <w:bCs w:val="1"/>
          <w:color w:val="auto"/>
        </w:rPr>
        <w:t>Plan category</w:t>
      </w:r>
      <w:r>
        <w:rPr>
          <w:sz w:val="20"/>
          <w:szCs w:val="20"/>
          <w:color w:val="auto"/>
        </w:rPr>
        <w:tab/>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Number of shares of</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common stock remaining</w:t>
            </w:r>
          </w:p>
        </w:tc>
        <w:tc>
          <w:tcPr>
            <w:tcW w:w="0" w:type="dxa"/>
            <w:vAlign w:val="bottom"/>
          </w:tcPr>
          <w:p>
            <w:pPr>
              <w:spacing w:after="0"/>
              <w:rPr>
                <w:sz w:val="1"/>
                <w:szCs w:val="1"/>
                <w:color w:val="auto"/>
              </w:rPr>
            </w:pPr>
          </w:p>
        </w:tc>
      </w:tr>
      <w:tr>
        <w:trPr>
          <w:trHeight w:val="162"/>
        </w:trPr>
        <w:tc>
          <w:tcPr>
            <w:tcW w:w="1800" w:type="dxa"/>
            <w:vAlign w:val="bottom"/>
            <w:vMerge w:val="restart"/>
          </w:tcPr>
          <w:p>
            <w:pPr>
              <w:jc w:val="right"/>
              <w:ind w:right="437"/>
              <w:spacing w:after="0"/>
              <w:rPr>
                <w:sz w:val="20"/>
                <w:szCs w:val="20"/>
                <w:color w:val="auto"/>
              </w:rPr>
            </w:pPr>
            <w:r>
              <w:rPr>
                <w:rFonts w:ascii="Arial" w:cs="Arial" w:eastAsia="Arial" w:hAnsi="Arial"/>
                <w:sz w:val="13"/>
                <w:szCs w:val="13"/>
                <w:b w:val="1"/>
                <w:bCs w:val="1"/>
                <w:color w:val="auto"/>
              </w:rPr>
              <w:t>Weighted-average</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available for future issuance</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2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1800" w:type="dxa"/>
            <w:vAlign w:val="bottom"/>
          </w:tcPr>
          <w:p>
            <w:pPr>
              <w:jc w:val="right"/>
              <w:ind w:right="437"/>
              <w:spacing w:after="0"/>
              <w:rPr>
                <w:sz w:val="20"/>
                <w:szCs w:val="20"/>
                <w:color w:val="auto"/>
              </w:rPr>
            </w:pPr>
            <w:r>
              <w:rPr>
                <w:rFonts w:ascii="Arial" w:cs="Arial" w:eastAsia="Arial" w:hAnsi="Arial"/>
                <w:sz w:val="13"/>
                <w:szCs w:val="13"/>
                <w:b w:val="1"/>
                <w:bCs w:val="1"/>
                <w:color w:val="auto"/>
              </w:rPr>
              <w:t>exercise price of</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(excluding shares reflected in the</w:t>
            </w:r>
          </w:p>
        </w:tc>
        <w:tc>
          <w:tcPr>
            <w:tcW w:w="0" w:type="dxa"/>
            <w:vAlign w:val="bottom"/>
          </w:tcPr>
          <w:p>
            <w:pPr>
              <w:spacing w:after="0"/>
              <w:rPr>
                <w:sz w:val="1"/>
                <w:szCs w:val="1"/>
                <w:color w:val="auto"/>
              </w:rPr>
            </w:pPr>
          </w:p>
        </w:tc>
      </w:tr>
      <w:tr>
        <w:trPr>
          <w:trHeight w:val="162"/>
        </w:trPr>
        <w:tc>
          <w:tcPr>
            <w:tcW w:w="1800" w:type="dxa"/>
            <w:vAlign w:val="bottom"/>
          </w:tcPr>
          <w:p>
            <w:pPr>
              <w:jc w:val="right"/>
              <w:ind w:right="437"/>
              <w:spacing w:after="0" w:line="162" w:lineRule="exact"/>
              <w:rPr>
                <w:sz w:val="20"/>
                <w:szCs w:val="20"/>
                <w:color w:val="auto"/>
              </w:rPr>
            </w:pPr>
            <w:r>
              <w:rPr>
                <w:rFonts w:ascii="Arial" w:cs="Arial" w:eastAsia="Arial" w:hAnsi="Arial"/>
                <w:sz w:val="13"/>
                <w:szCs w:val="13"/>
                <w:b w:val="1"/>
                <w:bCs w:val="1"/>
                <w:color w:val="auto"/>
                <w:w w:val="92"/>
              </w:rPr>
              <w:t>outstanding options</w:t>
            </w:r>
            <w:r>
              <w:rPr>
                <w:rFonts w:ascii="Arial" w:cs="Arial" w:eastAsia="Arial" w:hAnsi="Arial"/>
                <w:sz w:val="16"/>
                <w:szCs w:val="16"/>
                <w:b w:val="1"/>
                <w:bCs w:val="1"/>
                <w:color w:val="auto"/>
                <w:w w:val="92"/>
                <w:vertAlign w:val="superscript"/>
              </w:rPr>
              <w:t>(2)</w:t>
            </w:r>
          </w:p>
        </w:tc>
        <w:tc>
          <w:tcPr>
            <w:tcW w:w="252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first column)</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72"/>
        </w:trPr>
        <w:tc>
          <w:tcPr>
            <w:tcW w:w="1800" w:type="dxa"/>
            <w:vAlign w:val="bottom"/>
          </w:tcPr>
          <w:p>
            <w:pPr>
              <w:jc w:val="right"/>
              <w:ind w:right="437"/>
              <w:spacing w:after="0"/>
              <w:rPr>
                <w:sz w:val="20"/>
                <w:szCs w:val="20"/>
                <w:color w:val="auto"/>
              </w:rPr>
            </w:pPr>
            <w:r>
              <w:rPr>
                <w:rFonts w:ascii="Arial" w:cs="Arial" w:eastAsia="Arial" w:hAnsi="Arial"/>
                <w:sz w:val="13"/>
                <w:szCs w:val="13"/>
                <w:b w:val="1"/>
                <w:bCs w:val="1"/>
                <w:color w:val="auto"/>
              </w:rPr>
              <w:t>($)</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2">
            <w:col w:w="5860" w:space="720"/>
            <w:col w:w="4660"/>
          </w:cols>
          <w:pgMar w:left="320" w:top="129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900" w:type="dxa"/>
            <w:vAlign w:val="bottom"/>
          </w:tcPr>
          <w:p>
            <w:pPr>
              <w:ind w:left="20"/>
              <w:spacing w:after="0"/>
              <w:rPr>
                <w:sz w:val="20"/>
                <w:szCs w:val="20"/>
                <w:color w:val="auto"/>
              </w:rPr>
            </w:pPr>
            <w:r>
              <w:rPr>
                <w:rFonts w:ascii="Arial" w:cs="Arial" w:eastAsia="Arial" w:hAnsi="Arial"/>
                <w:sz w:val="16"/>
                <w:szCs w:val="16"/>
                <w:color w:val="auto"/>
              </w:rPr>
              <w:t>Equity compensation plans approved</w:t>
            </w:r>
          </w:p>
        </w:tc>
        <w:tc>
          <w:tcPr>
            <w:tcW w:w="2840" w:type="dxa"/>
            <w:vAlign w:val="bottom"/>
          </w:tcPr>
          <w:p>
            <w:pPr>
              <w:jc w:val="right"/>
              <w:ind w:right="819"/>
              <w:spacing w:after="0"/>
              <w:rPr>
                <w:sz w:val="20"/>
                <w:szCs w:val="20"/>
                <w:color w:val="auto"/>
              </w:rPr>
            </w:pPr>
            <w:r>
              <w:rPr>
                <w:rFonts w:ascii="Arial" w:cs="Arial" w:eastAsia="Arial" w:hAnsi="Arial"/>
                <w:sz w:val="16"/>
                <w:szCs w:val="16"/>
                <w:color w:val="auto"/>
              </w:rPr>
              <w:t>1,105,287</w:t>
            </w:r>
          </w:p>
        </w:tc>
        <w:tc>
          <w:tcPr>
            <w:tcW w:w="2300" w:type="dxa"/>
            <w:vAlign w:val="bottom"/>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Pr>
          <w:p>
            <w:pPr>
              <w:jc w:val="right"/>
              <w:spacing w:after="0"/>
              <w:rPr>
                <w:sz w:val="20"/>
                <w:szCs w:val="20"/>
                <w:color w:val="auto"/>
              </w:rPr>
            </w:pPr>
            <w:r>
              <w:rPr>
                <w:rFonts w:ascii="Arial" w:cs="Arial" w:eastAsia="Arial" w:hAnsi="Arial"/>
                <w:sz w:val="16"/>
                <w:szCs w:val="16"/>
                <w:color w:val="auto"/>
              </w:rPr>
              <w:t>4,354,180</w:t>
            </w:r>
          </w:p>
        </w:tc>
        <w:tc>
          <w:tcPr>
            <w:tcW w:w="320" w:type="dxa"/>
            <w:vAlign w:val="bottom"/>
          </w:tcPr>
          <w:p>
            <w:pPr>
              <w:spacing w:after="0"/>
              <w:rPr>
                <w:sz w:val="16"/>
                <w:szCs w:val="16"/>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by shareholders</w:t>
            </w: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9"/>
        </w:trPr>
        <w:tc>
          <w:tcPr>
            <w:tcW w:w="3900" w:type="dxa"/>
            <w:vAlign w:val="bottom"/>
            <w:tcBorders>
              <w:bottom w:val="single" w:sz="8" w:color="BCBEC0"/>
            </w:tcBorders>
          </w:tcPr>
          <w:p>
            <w:pPr>
              <w:spacing w:after="0"/>
              <w:rPr>
                <w:sz w:val="2"/>
                <w:szCs w:val="2"/>
                <w:color w:val="auto"/>
              </w:rPr>
            </w:pPr>
          </w:p>
        </w:tc>
        <w:tc>
          <w:tcPr>
            <w:tcW w:w="2840" w:type="dxa"/>
            <w:vAlign w:val="bottom"/>
            <w:tcBorders>
              <w:bottom w:val="single" w:sz="8" w:color="BCBEC0"/>
            </w:tcBorders>
          </w:tcPr>
          <w:p>
            <w:pPr>
              <w:spacing w:after="0"/>
              <w:rPr>
                <w:sz w:val="2"/>
                <w:szCs w:val="2"/>
                <w:color w:val="auto"/>
              </w:rPr>
            </w:pPr>
          </w:p>
        </w:tc>
        <w:tc>
          <w:tcPr>
            <w:tcW w:w="2300" w:type="dxa"/>
            <w:vAlign w:val="bottom"/>
            <w:tcBorders>
              <w:bottom w:val="single" w:sz="8" w:color="BCBEC0"/>
            </w:tcBorders>
          </w:tcPr>
          <w:p>
            <w:pPr>
              <w:spacing w:after="0"/>
              <w:rPr>
                <w:sz w:val="2"/>
                <w:szCs w:val="2"/>
                <w:color w:val="auto"/>
              </w:rPr>
            </w:pPr>
          </w:p>
        </w:tc>
        <w:tc>
          <w:tcPr>
            <w:tcW w:w="188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195"/>
        </w:trPr>
        <w:tc>
          <w:tcPr>
            <w:tcW w:w="3900" w:type="dxa"/>
            <w:vAlign w:val="bottom"/>
          </w:tcPr>
          <w:p>
            <w:pPr>
              <w:ind w:left="20"/>
              <w:spacing w:after="0"/>
              <w:rPr>
                <w:sz w:val="20"/>
                <w:szCs w:val="20"/>
                <w:color w:val="auto"/>
              </w:rPr>
            </w:pPr>
            <w:r>
              <w:rPr>
                <w:rFonts w:ascii="Arial" w:cs="Arial" w:eastAsia="Arial" w:hAnsi="Arial"/>
                <w:sz w:val="16"/>
                <w:szCs w:val="16"/>
                <w:color w:val="auto"/>
              </w:rPr>
              <w:t>Equity compensation plans not</w:t>
            </w:r>
          </w:p>
        </w:tc>
        <w:tc>
          <w:tcPr>
            <w:tcW w:w="2840" w:type="dxa"/>
            <w:vAlign w:val="bottom"/>
          </w:tcPr>
          <w:p>
            <w:pPr>
              <w:jc w:val="right"/>
              <w:ind w:right="819"/>
              <w:spacing w:after="0"/>
              <w:rPr>
                <w:sz w:val="20"/>
                <w:szCs w:val="20"/>
                <w:color w:val="auto"/>
              </w:rPr>
            </w:pPr>
            <w:r>
              <w:rPr>
                <w:rFonts w:ascii="Arial" w:cs="Arial" w:eastAsia="Arial" w:hAnsi="Arial"/>
                <w:sz w:val="16"/>
                <w:szCs w:val="16"/>
                <w:color w:val="auto"/>
              </w:rPr>
              <w:t>N/A</w:t>
            </w:r>
          </w:p>
        </w:tc>
        <w:tc>
          <w:tcPr>
            <w:tcW w:w="2300" w:type="dxa"/>
            <w:vAlign w:val="bottom"/>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Pr>
          <w:p>
            <w:pPr>
              <w:jc w:val="right"/>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6"/>
                <w:szCs w:val="16"/>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approved by shareholders</w:t>
            </w: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9"/>
        </w:trPr>
        <w:tc>
          <w:tcPr>
            <w:tcW w:w="3900" w:type="dxa"/>
            <w:vAlign w:val="bottom"/>
            <w:tcBorders>
              <w:bottom w:val="single" w:sz="8" w:color="BCBEC0"/>
            </w:tcBorders>
          </w:tcPr>
          <w:p>
            <w:pPr>
              <w:spacing w:after="0"/>
              <w:rPr>
                <w:sz w:val="2"/>
                <w:szCs w:val="2"/>
                <w:color w:val="auto"/>
              </w:rPr>
            </w:pPr>
          </w:p>
        </w:tc>
        <w:tc>
          <w:tcPr>
            <w:tcW w:w="2840" w:type="dxa"/>
            <w:vAlign w:val="bottom"/>
            <w:tcBorders>
              <w:bottom w:val="single" w:sz="8" w:color="BCBEC0"/>
            </w:tcBorders>
          </w:tcPr>
          <w:p>
            <w:pPr>
              <w:spacing w:after="0"/>
              <w:rPr>
                <w:sz w:val="2"/>
                <w:szCs w:val="2"/>
                <w:color w:val="auto"/>
              </w:rPr>
            </w:pPr>
          </w:p>
        </w:tc>
        <w:tc>
          <w:tcPr>
            <w:tcW w:w="2300" w:type="dxa"/>
            <w:vAlign w:val="bottom"/>
            <w:tcBorders>
              <w:bottom w:val="single" w:sz="8" w:color="BCBEC0"/>
            </w:tcBorders>
          </w:tcPr>
          <w:p>
            <w:pPr>
              <w:spacing w:after="0"/>
              <w:rPr>
                <w:sz w:val="2"/>
                <w:szCs w:val="2"/>
                <w:color w:val="auto"/>
              </w:rPr>
            </w:pPr>
          </w:p>
        </w:tc>
        <w:tc>
          <w:tcPr>
            <w:tcW w:w="188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3"/>
        </w:trPr>
        <w:tc>
          <w:tcPr>
            <w:tcW w:w="3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auto"/>
              </w:rPr>
              <w:t>Total</w:t>
            </w:r>
          </w:p>
        </w:tc>
        <w:tc>
          <w:tcPr>
            <w:tcW w:w="2840" w:type="dxa"/>
            <w:vAlign w:val="bottom"/>
            <w:tcBorders>
              <w:bottom w:val="single" w:sz="8" w:color="BCBEC0"/>
            </w:tcBorders>
          </w:tcPr>
          <w:p>
            <w:pPr>
              <w:jc w:val="right"/>
              <w:ind w:right="819"/>
              <w:spacing w:after="0"/>
              <w:rPr>
                <w:sz w:val="20"/>
                <w:szCs w:val="20"/>
                <w:color w:val="auto"/>
              </w:rPr>
            </w:pPr>
            <w:r>
              <w:rPr>
                <w:rFonts w:ascii="Arial" w:cs="Arial" w:eastAsia="Arial" w:hAnsi="Arial"/>
                <w:sz w:val="16"/>
                <w:szCs w:val="16"/>
                <w:color w:val="auto"/>
              </w:rPr>
              <w:t>1,105,287</w:t>
            </w:r>
          </w:p>
        </w:tc>
        <w:tc>
          <w:tcPr>
            <w:tcW w:w="2300" w:type="dxa"/>
            <w:vAlign w:val="bottom"/>
            <w:tcBorders>
              <w:bottom w:val="single" w:sz="8" w:color="BCBEC0"/>
            </w:tcBorders>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4,354,180</w:t>
            </w:r>
          </w:p>
        </w:tc>
        <w:tc>
          <w:tcPr>
            <w:tcW w:w="320" w:type="dxa"/>
            <w:vAlign w:val="bottom"/>
            <w:tcBorders>
              <w:bottom w:val="single" w:sz="8" w:color="BCBEC0"/>
            </w:tcBorders>
          </w:tcPr>
          <w:p>
            <w:pPr>
              <w:jc w:val="right"/>
              <w:ind w:right="127"/>
              <w:spacing w:after="0"/>
              <w:rPr>
                <w:sz w:val="20"/>
                <w:szCs w:val="20"/>
                <w:color w:val="auto"/>
              </w:rPr>
            </w:pPr>
            <w:r>
              <w:rPr>
                <w:rFonts w:ascii="Arial" w:cs="Arial" w:eastAsia="Arial" w:hAnsi="Arial"/>
                <w:sz w:val="11"/>
                <w:szCs w:val="11"/>
                <w:color w:val="auto"/>
                <w:w w:val="88"/>
              </w:rPr>
              <w:t>(4)</w:t>
            </w:r>
          </w:p>
        </w:tc>
      </w:tr>
    </w:tbl>
    <w:p>
      <w:pPr>
        <w:spacing w:after="0" w:line="139" w:lineRule="exact"/>
        <w:rPr>
          <w:sz w:val="20"/>
          <w:szCs w:val="20"/>
          <w:color w:val="auto"/>
        </w:rPr>
      </w:pPr>
    </w:p>
    <w:p>
      <w:pPr>
        <w:ind w:left="260" w:right="60" w:hanging="252"/>
        <w:spacing w:after="0" w:line="256"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This number includes 499,159 shares that were subject to outstanding stock awards granted under the 2011 Plan, 250,941 awards earned at year end but pending distribution subject to final performance adjustments, 67,582 shares subject to outstanding stock units credited under the 2011 Plan and 1993 Directors Plan, and additional performance shares of 287,605, which reflect the number of shares deliverable under payment of outstanding restricted performance stock rights, assuming maximum performance criteria have been achieved.</w:t>
      </w:r>
    </w:p>
    <w:p>
      <w:pPr>
        <w:spacing w:after="0" w:line="42" w:lineRule="exact"/>
        <w:rPr>
          <w:rFonts w:ascii="Arial" w:cs="Arial" w:eastAsia="Arial" w:hAnsi="Arial"/>
          <w:sz w:val="14"/>
          <w:szCs w:val="14"/>
          <w:color w:val="auto"/>
        </w:rPr>
      </w:pPr>
    </w:p>
    <w:p>
      <w:pPr>
        <w:ind w:left="260" w:hanging="252"/>
        <w:spacing w:after="0"/>
        <w:tabs>
          <w:tab w:leader="none" w:pos="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There were no options outstanding as of December 31, 2023.</w:t>
      </w:r>
    </w:p>
    <w:p>
      <w:pPr>
        <w:spacing w:after="0" w:line="68" w:lineRule="exact"/>
        <w:rPr>
          <w:rFonts w:ascii="Arial" w:cs="Arial" w:eastAsia="Arial" w:hAnsi="Arial"/>
          <w:sz w:val="14"/>
          <w:szCs w:val="14"/>
          <w:color w:val="auto"/>
        </w:rPr>
      </w:pPr>
    </w:p>
    <w:p>
      <w:pPr>
        <w:ind w:left="260" w:right="260" w:hanging="252"/>
        <w:spacing w:after="0" w:line="251"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Of the aggregate number of shares that remained available for future issuance, 4,354,180 were available under the 2011 Plan as of December 31, 2023. No new awards may be granted under the 1993 Directors Plan.</w:t>
      </w:r>
    </w:p>
    <w:p>
      <w:pPr>
        <w:spacing w:after="0" w:line="1" w:lineRule="exact"/>
        <w:rPr>
          <w:rFonts w:ascii="Arial" w:cs="Arial" w:eastAsia="Arial" w:hAnsi="Arial"/>
          <w:sz w:val="14"/>
          <w:szCs w:val="14"/>
          <w:color w:val="auto"/>
        </w:rPr>
      </w:pPr>
    </w:p>
    <w:p>
      <w:pPr>
        <w:ind w:left="260" w:right="240" w:hanging="252"/>
        <w:spacing w:after="0" w:line="264"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After giving effect to our February 2024 awards, the number of shares of common stock remaining available for future issuance would be 3,978,120 (assuming maximum payout of such awards).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92" w:name="page93"/>
    <w:bookmarkEnd w:id="92"/>
    <w:p>
      <w:pPr>
        <w:ind w:right="2560"/>
        <w:spacing w:after="0" w:line="297" w:lineRule="auto"/>
        <w:rPr>
          <w:sz w:val="20"/>
          <w:szCs w:val="20"/>
          <w:color w:val="auto"/>
        </w:rPr>
      </w:pPr>
      <w:r>
        <w:rPr>
          <w:rFonts w:ascii="Arial" w:cs="Arial" w:eastAsia="Arial" w:hAnsi="Arial"/>
          <w:sz w:val="43"/>
          <w:szCs w:val="43"/>
          <w:b w:val="1"/>
          <w:bCs w:val="1"/>
          <w:color w:val="29378D"/>
        </w:rPr>
        <w:t>Proposal 3: Ratification of Appointment of Independent Auditor</w:t>
      </w:r>
    </w:p>
    <w:p>
      <w:pPr>
        <w:spacing w:after="0" w:line="2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2024. Deloitte served as our independent auditor for 2023,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The Audit and Risk Committee is responsible for reviewing and pre-approving audit and non-audit services and related fees for the independent auditor. In addition, the Audit and Risk Committee, at least annually, reviews and evaluates with management and our internal auditors Deloitte’s performance. The Audit and Risk Committee also reviews the performance of Deloitte’s lead audit partner, and the Audit and Risk Committee and its Chair oversee the rotation of Deloitte’s lead audit partner and are involved in the selection and approval of the lead audit partner. The lead audit partner rotates every five years in accordance with regulatory requirements.</w:t>
      </w:r>
    </w:p>
    <w:p>
      <w:pPr>
        <w:spacing w:after="0" w:line="69"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149465" cy="3600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 and All Other Fees</w:t>
      </w:r>
    </w:p>
    <w:p>
      <w:pPr>
        <w:spacing w:after="0" w:line="134" w:lineRule="exact"/>
        <w:rPr>
          <w:sz w:val="20"/>
          <w:szCs w:val="20"/>
          <w:color w:val="auto"/>
        </w:rPr>
      </w:pPr>
    </w:p>
    <w:p>
      <w:pPr>
        <w:jc w:val="both"/>
        <w:ind w:right="460"/>
        <w:spacing w:after="0" w:line="275" w:lineRule="auto"/>
        <w:rPr>
          <w:sz w:val="20"/>
          <w:szCs w:val="20"/>
          <w:color w:val="auto"/>
        </w:rPr>
      </w:pPr>
      <w:r>
        <w:rPr>
          <w:rFonts w:ascii="Arial" w:cs="Arial" w:eastAsia="Arial" w:hAnsi="Arial"/>
          <w:sz w:val="16"/>
          <w:szCs w:val="16"/>
          <w:color w:val="auto"/>
        </w:rPr>
        <w:t>The following table summarizes aggregate fees incurred for professional audit services for the audit of the Company’s consolidated financial statement audits for the years ended December 31, 2023 and 2022, and fees billed for other services in fiscal years 2023 and 2022, in each case by Deloitte, the member firms of Deloitte Touche Tohmatsu Limited and their respective affiliates: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r>
      <w:tr>
        <w:trPr>
          <w:trHeight w:val="22"/>
        </w:trPr>
        <w:tc>
          <w:tcPr>
            <w:tcW w:w="4860" w:type="dxa"/>
            <w:vAlign w:val="bottom"/>
            <w:tcBorders>
              <w:bottom w:val="single" w:sz="8" w:color="29378D"/>
            </w:tcBorders>
          </w:tcPr>
          <w:p>
            <w:pPr>
              <w:spacing w:after="0" w:line="20" w:lineRule="exact"/>
              <w:rPr>
                <w:sz w:val="1"/>
                <w:szCs w:val="1"/>
                <w:color w:val="auto"/>
              </w:rPr>
            </w:pPr>
          </w:p>
        </w:tc>
        <w:tc>
          <w:tcPr>
            <w:tcW w:w="3620" w:type="dxa"/>
            <w:vAlign w:val="bottom"/>
            <w:tcBorders>
              <w:bottom w:val="single" w:sz="8" w:color="29378D"/>
            </w:tcBorders>
          </w:tcPr>
          <w:p>
            <w:pPr>
              <w:spacing w:after="0" w:line="20" w:lineRule="exact"/>
              <w:rPr>
                <w:sz w:val="1"/>
                <w:szCs w:val="1"/>
                <w:color w:val="auto"/>
              </w:rPr>
            </w:pPr>
          </w:p>
        </w:tc>
        <w:tc>
          <w:tcPr>
            <w:tcW w:w="1220" w:type="dxa"/>
            <w:vAlign w:val="bottom"/>
            <w:tcBorders>
              <w:bottom w:val="single" w:sz="8" w:color="29378D"/>
            </w:tcBorders>
          </w:tcPr>
          <w:p>
            <w:pPr>
              <w:spacing w:after="0" w:line="20" w:lineRule="exact"/>
              <w:rPr>
                <w:sz w:val="1"/>
                <w:szCs w:val="1"/>
                <w:color w:val="auto"/>
              </w:rPr>
            </w:pPr>
          </w:p>
        </w:tc>
        <w:tc>
          <w:tcPr>
            <w:tcW w:w="440" w:type="dxa"/>
            <w:vAlign w:val="bottom"/>
            <w:tcBorders>
              <w:bottom w:val="single" w:sz="8" w:color="29378D"/>
            </w:tcBorders>
          </w:tcPr>
          <w:p>
            <w:pPr>
              <w:spacing w:after="0" w:line="20" w:lineRule="exact"/>
              <w:rPr>
                <w:sz w:val="1"/>
                <w:szCs w:val="1"/>
                <w:color w:val="auto"/>
              </w:rPr>
            </w:pPr>
          </w:p>
        </w:tc>
        <w:tc>
          <w:tcPr>
            <w:tcW w:w="1100" w:type="dxa"/>
            <w:vAlign w:val="bottom"/>
            <w:tcBorders>
              <w:bottom w:val="single" w:sz="8" w:color="29378D"/>
            </w:tcBorders>
          </w:tcPr>
          <w:p>
            <w:pPr>
              <w:spacing w:after="0" w:line="20" w:lineRule="exact"/>
              <w:rPr>
                <w:sz w:val="1"/>
                <w:szCs w:val="1"/>
                <w:color w:val="auto"/>
              </w:rPr>
            </w:pPr>
          </w:p>
        </w:tc>
      </w:tr>
      <w:tr>
        <w:trPr>
          <w:trHeight w:val="263"/>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6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21,144,000</w:t>
            </w:r>
          </w:p>
        </w:tc>
        <w:tc>
          <w:tcPr>
            <w:tcW w:w="44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20,067,000</w:t>
            </w:r>
          </w:p>
        </w:tc>
      </w:tr>
      <w:tr>
        <w:trPr>
          <w:trHeight w:val="264"/>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620" w:type="dxa"/>
            <w:vAlign w:val="bottom"/>
            <w:tcBorders>
              <w:bottom w:val="single" w:sz="8" w:color="BCBEC0"/>
            </w:tcBorders>
          </w:tcPr>
          <w:p>
            <w:pPr>
              <w:spacing w:after="0"/>
              <w:rPr>
                <w:sz w:val="22"/>
                <w:szCs w:val="22"/>
                <w:color w:val="auto"/>
              </w:rPr>
            </w:pP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BCBEC0"/>
            </w:tcBorders>
          </w:tcPr>
          <w:p>
            <w:pPr>
              <w:spacing w:after="0"/>
              <w:rPr>
                <w:sz w:val="22"/>
                <w:szCs w:val="22"/>
                <w:color w:val="auto"/>
              </w:rPr>
            </w:pP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w:t>
            </w:r>
          </w:p>
        </w:tc>
      </w:tr>
      <w:tr>
        <w:trPr>
          <w:trHeight w:val="263"/>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Tax-Related Fees</w:t>
            </w:r>
            <w:r>
              <w:rPr>
                <w:rFonts w:ascii="Arial" w:cs="Arial" w:eastAsia="Arial" w:hAnsi="Arial"/>
                <w:sz w:val="21"/>
                <w:szCs w:val="21"/>
                <w:color w:val="auto"/>
                <w:vertAlign w:val="superscript"/>
              </w:rPr>
              <w:t>(3)</w:t>
            </w:r>
          </w:p>
        </w:tc>
        <w:tc>
          <w:tcPr>
            <w:tcW w:w="3620" w:type="dxa"/>
            <w:vAlign w:val="bottom"/>
            <w:tcBorders>
              <w:bottom w:val="single" w:sz="8" w:color="BCBEC0"/>
            </w:tcBorders>
          </w:tcPr>
          <w:p>
            <w:pPr>
              <w:spacing w:after="0"/>
              <w:rPr>
                <w:sz w:val="22"/>
                <w:szCs w:val="22"/>
                <w:color w:val="auto"/>
              </w:rPr>
            </w:pP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363,000</w:t>
            </w:r>
          </w:p>
        </w:tc>
        <w:tc>
          <w:tcPr>
            <w:tcW w:w="440" w:type="dxa"/>
            <w:vAlign w:val="bottom"/>
            <w:tcBorders>
              <w:bottom w:val="single" w:sz="8" w:color="BCBEC0"/>
            </w:tcBorders>
          </w:tcPr>
          <w:p>
            <w:pPr>
              <w:spacing w:after="0"/>
              <w:rPr>
                <w:sz w:val="22"/>
                <w:szCs w:val="22"/>
                <w:color w:val="auto"/>
              </w:rPr>
            </w:pP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382,000</w:t>
            </w:r>
          </w:p>
        </w:tc>
      </w:tr>
      <w:tr>
        <w:trPr>
          <w:trHeight w:val="208"/>
        </w:trPr>
        <w:tc>
          <w:tcPr>
            <w:tcW w:w="486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362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8"/>
        </w:trPr>
        <w:tc>
          <w:tcPr>
            <w:tcW w:w="4860" w:type="dxa"/>
            <w:vAlign w:val="bottom"/>
            <w:tcBorders>
              <w:bottom w:val="single" w:sz="8" w:color="BCBEC0"/>
            </w:tcBorders>
          </w:tcPr>
          <w:p>
            <w:pPr>
              <w:spacing w:after="0"/>
              <w:rPr>
                <w:sz w:val="2"/>
                <w:szCs w:val="2"/>
                <w:color w:val="auto"/>
              </w:rPr>
            </w:pPr>
          </w:p>
        </w:tc>
        <w:tc>
          <w:tcPr>
            <w:tcW w:w="3620" w:type="dxa"/>
            <w:vAlign w:val="bottom"/>
            <w:tcBorders>
              <w:bottom w:val="single" w:sz="8" w:color="BCBEC0"/>
            </w:tcBorders>
          </w:tcPr>
          <w:p>
            <w:pPr>
              <w:spacing w:after="0"/>
              <w:rPr>
                <w:sz w:val="2"/>
                <w:szCs w:val="2"/>
                <w:color w:val="auto"/>
              </w:rPr>
            </w:pPr>
          </w:p>
        </w:tc>
        <w:tc>
          <w:tcPr>
            <w:tcW w:w="1220" w:type="dxa"/>
            <w:vAlign w:val="bottom"/>
            <w:tcBorders>
              <w:bottom w:val="single" w:sz="8" w:color="BCBEC0"/>
            </w:tcBorders>
          </w:tcPr>
          <w:p>
            <w:pPr>
              <w:spacing w:after="0"/>
              <w:rPr>
                <w:sz w:val="2"/>
                <w:szCs w:val="2"/>
                <w:color w:val="auto"/>
              </w:rPr>
            </w:pPr>
          </w:p>
        </w:tc>
        <w:tc>
          <w:tcPr>
            <w:tcW w:w="44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3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21,507,000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20,449,000</w:t>
            </w:r>
          </w:p>
        </w:tc>
      </w:tr>
      <w:tr>
        <w:trPr>
          <w:trHeight w:val="28"/>
        </w:trPr>
        <w:tc>
          <w:tcPr>
            <w:tcW w:w="4860" w:type="dxa"/>
            <w:vAlign w:val="bottom"/>
            <w:tcBorders>
              <w:bottom w:val="single" w:sz="8" w:color="BCBEC0"/>
            </w:tcBorders>
          </w:tcPr>
          <w:p>
            <w:pPr>
              <w:spacing w:after="0"/>
              <w:rPr>
                <w:sz w:val="2"/>
                <w:szCs w:val="2"/>
                <w:color w:val="auto"/>
              </w:rPr>
            </w:pPr>
          </w:p>
        </w:tc>
        <w:tc>
          <w:tcPr>
            <w:tcW w:w="3620" w:type="dxa"/>
            <w:vAlign w:val="bottom"/>
            <w:tcBorders>
              <w:bottom w:val="single" w:sz="8" w:color="BCBEC0"/>
            </w:tcBorders>
          </w:tcPr>
          <w:p>
            <w:pPr>
              <w:spacing w:after="0"/>
              <w:rPr>
                <w:sz w:val="2"/>
                <w:szCs w:val="2"/>
                <w:color w:val="auto"/>
              </w:rPr>
            </w:pPr>
          </w:p>
        </w:tc>
        <w:tc>
          <w:tcPr>
            <w:tcW w:w="1220" w:type="dxa"/>
            <w:vAlign w:val="bottom"/>
            <w:tcBorders>
              <w:bottom w:val="single" w:sz="8" w:color="BCBEC0"/>
            </w:tcBorders>
          </w:tcPr>
          <w:p>
            <w:pPr>
              <w:spacing w:after="0"/>
              <w:rPr>
                <w:sz w:val="2"/>
                <w:szCs w:val="2"/>
                <w:color w:val="auto"/>
              </w:rPr>
            </w:pPr>
          </w:p>
        </w:tc>
        <w:tc>
          <w:tcPr>
            <w:tcW w:w="44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r>
    </w:tbl>
    <w:p>
      <w:pPr>
        <w:spacing w:after="0" w:line="139" w:lineRule="exact"/>
        <w:rPr>
          <w:sz w:val="20"/>
          <w:szCs w:val="20"/>
          <w:color w:val="auto"/>
        </w:rPr>
      </w:pPr>
    </w:p>
    <w:p>
      <w:pPr>
        <w:ind w:left="260" w:right="40" w:hanging="252"/>
        <w:spacing w:after="0" w:line="247" w:lineRule="auto"/>
        <w:tabs>
          <w:tab w:leader="none" w:pos="258"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Audit fees for 2023 and 2022 reflect fees of $18,960,000 and $18,085,000, respectively, for the consolidated financial statement audits and include the audit of internal controls pursuant to Section 404 of the Sarbanes-Oxley Act of 2002. Audit fees for 2023 and 2022 also include $1,925,000 and $1,908,000, respectively, for foreign statutory audits. Fees for foreign statutory audits are reported in the year in which the audits are performed. For example, foreign statutory audit fees reported in 2023 relate to audits of the Company’s foreign entities for the fiscal year ended 2022. The remaining 2023 audit fees primarily relate to audit services associated with the Company’s Form 8-K filing in connection with its debt offering in February 2023, the Company’s Form S-3 filing in March 2023, and the Company’s Form S-8 filing in July 2023.</w:t>
      </w:r>
    </w:p>
    <w:p>
      <w:pPr>
        <w:spacing w:after="0" w:line="200" w:lineRule="exact"/>
        <w:rPr>
          <w:sz w:val="20"/>
          <w:szCs w:val="20"/>
          <w:color w:val="auto"/>
        </w:rPr>
      </w:pPr>
    </w:p>
    <w:p>
      <w:pPr>
        <w:spacing w:after="0" w:line="376" w:lineRule="exact"/>
        <w:rPr>
          <w:sz w:val="20"/>
          <w:szCs w:val="20"/>
          <w:color w:val="auto"/>
        </w:rPr>
      </w:pPr>
    </w:p>
    <w:p>
      <w:pPr>
        <w:ind w:left="520" w:hanging="494"/>
        <w:spacing w:after="0"/>
        <w:tabs>
          <w:tab w:leader="none" w:pos="520" w:val="left"/>
        </w:tabs>
        <w:numPr>
          <w:ilvl w:val="0"/>
          <w:numId w:val="17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Proposal 3: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right="120" w:hanging="252"/>
        <w:spacing w:after="0" w:line="248" w:lineRule="auto"/>
        <w:tabs>
          <w:tab w:leader="none" w:pos="258"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Audit-related fees reflect fees for services that are reasonably related to the performance of the audit or review of the Company’s financial statements. There were no additional audit-related fees in 2023 or 2022. Audit-related fees exclude fees related to benefit plan audits, which are paid for by the plans, that totaled $1,496,000 for 2023 and $1,419,000 for 2022.</w:t>
      </w:r>
    </w:p>
    <w:p>
      <w:pPr>
        <w:ind w:left="260" w:right="40" w:hanging="252"/>
        <w:spacing w:after="0" w:line="264" w:lineRule="auto"/>
        <w:tabs>
          <w:tab w:leader="none" w:pos="258"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Tax-related fees during 2023 and 2022 reflect fees of $363,000 and $382,000, respectively, for services concerning foreign income tax compliance, foreign Value Added Tax compliance and other tax matters.</w:t>
      </w:r>
    </w:p>
    <w:p>
      <w:pPr>
        <w:spacing w:after="0" w:line="272" w:lineRule="exact"/>
        <w:rPr>
          <w:sz w:val="20"/>
          <w:szCs w:val="20"/>
          <w:color w:val="auto"/>
        </w:rPr>
      </w:pPr>
    </w:p>
    <w:p>
      <w:pPr>
        <w:ind w:right="1560"/>
        <w:spacing w:after="0" w:line="291" w:lineRule="auto"/>
        <w:rPr>
          <w:sz w:val="20"/>
          <w:szCs w:val="20"/>
          <w:color w:val="auto"/>
        </w:rPr>
      </w:pPr>
      <w:r>
        <w:rPr>
          <w:rFonts w:ascii="Arial" w:cs="Arial" w:eastAsia="Arial" w:hAnsi="Arial"/>
          <w:sz w:val="32"/>
          <w:szCs w:val="32"/>
          <w:b w:val="1"/>
          <w:bCs w:val="1"/>
          <w:color w:val="auto"/>
        </w:rPr>
        <w:t>Policy on Audit and Risk Committee Pre-Approval of Audit and Permissible Non-Audit Services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 million to the Chair of the Audit and Risk Committee.</w:t>
      </w:r>
    </w:p>
    <w:p>
      <w:pPr>
        <w:spacing w:after="0" w:line="56"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The decisions of the Chair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spacing w:after="0" w:line="7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Audit and Risk Committee approved all audit and non-audit services provided by Deloitte, the member firms of Deloitte Touche Tohmatsu Limited and their respective affiliates during 2023 and 2022, in each case before being engaged to provide those services.</w:t>
      </w: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and Risk Committee Report</w:t>
      </w:r>
    </w:p>
    <w:p>
      <w:pPr>
        <w:spacing w:after="0" w:line="148"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spacing w:after="0" w:line="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61"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connection with the preparation of the Company’s financial statements as of and for the year ended December 31, 2023, the Audit and Risk Committee reviewed and discussed the audited financial statements with the Company’s Chief Executive Officer, Chief Financial Officer, Chief Accounting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2023.</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Proposal 3: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Based on the Audit and Risk Committee’s review and discussions described in this report, the Audit and Risk Committee recommended to the Board of Directors and the Board of Directors approved that the audited financial statements for the year ended December 31, 2023 be included in the Company’s Annual Report on Form 10-K for the year ended December 31, 2023 for filing with the SEC. The Audit and Risk Committee also reappointed Deloitte to serve as the Company’s independent auditor for 2024, and requested that this appointment be submitted to shareholders for ratification at the 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RISK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Thomas M. Schoewe,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Marianne C. Brown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Ann M. Fudge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Kimberly A. Ross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James S. Turley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Mark A. Welsh III</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hanging="494"/>
        <w:spacing w:after="0"/>
        <w:tabs>
          <w:tab w:leader="none" w:pos="520" w:val="left"/>
        </w:tabs>
        <w:numPr>
          <w:ilvl w:val="0"/>
          <w:numId w:val="17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38" w:right="639" w:bottom="1440" w:gutter="0" w:footer="0" w:header="0"/>
        </w:sectPr>
      </w:pPr>
    </w:p>
    <w:bookmarkStart w:id="95" w:name="page96"/>
    <w:bookmarkEnd w:id="95"/>
    <w:p>
      <w:pPr>
        <w:ind w:right="400"/>
        <w:spacing w:after="0" w:line="266" w:lineRule="auto"/>
        <w:rPr>
          <w:sz w:val="20"/>
          <w:szCs w:val="20"/>
          <w:color w:val="auto"/>
        </w:rPr>
      </w:pPr>
      <w:r>
        <w:rPr>
          <w:rFonts w:ascii="Arial" w:cs="Arial" w:eastAsia="Arial" w:hAnsi="Arial"/>
          <w:sz w:val="43"/>
          <w:szCs w:val="43"/>
          <w:b w:val="1"/>
          <w:bCs w:val="1"/>
          <w:color w:val="29378D"/>
        </w:rPr>
        <w:t>Proposal 4: Elimination of Personal Liability of Officers for Monetary Damages for Breach of Certain Fiduciary Duties as Permitted by Delaware Law</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March 2024, the Board of Directors (Board) approved and declared advisable an amendment (Amendment) to our Amended and Restated Certificate of Incorporation (Certificate of Incorporation) to provide for the elimination of personal liability of certain officers for monetary damages for breach of certain fiduciary duties as an officer, to the extent permitted by the Delaware General Corporation Law (DGCL). We are asking shareholders to approve this Amendment, as set forth in the form attached as Exhibit A to this Proxy Statement, with proposed deletions reflected by “strike-through” text and proposed additions reflected by “underline” text.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Our Certificate of Incorporation currently contains a provision in Article Fifteenth eliminating the monetary liability of directors to the fullest extent permitted by Section 102(b)(7) of the DGCL. Effective August 2022, Section 102(b)(7) of the DGCL was amended to allow Delaware corporations to include in their certificates of incorporation provisions limiting the monetary liability of the following officers for breach of the duty of care in certain actions: (1) a corporation’s president, chief executive officer, chief operating officer, chief financial officer, chief legal officer, controller, treasurer or chief accounting officer;</w:t>
      </w:r>
    </w:p>
    <w:p>
      <w:pPr>
        <w:ind w:right="280" w:firstLine="8"/>
        <w:spacing w:after="0" w:line="248" w:lineRule="auto"/>
        <w:tabs>
          <w:tab w:leader="none" w:pos="24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individual identified in the corporation’s SEC filings as one of its most highly compensated officers; and (3) an individual who, by written agreement with the corporation, has consented to be identified as an officer for purposes of Delaware’s long-arm jurisdiction statute.</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permitted by Section 102(b)(7) of the DGCL, the Amendment would only limit the monetary liability of these officers for breaches of the fiduciary duty of care in any direct claim, but consistent with Section 102(b)(7) of the DGCL, as currently in effect, would not limit monetary liability of these officers in any action brought by or in the right of the Company, such as derivative claims by shareholders on behalf of the Company for breach of the fiduciary duty of care. Further, like the provision limiting monetary liability of directors, the Amendment would (1) not limit the monetary liability of these officers for any breach of</w:t>
      </w:r>
    </w:p>
    <w:p>
      <w:pPr>
        <w:jc w:val="both"/>
        <w:spacing w:after="0" w:line="220" w:lineRule="auto"/>
        <w:rPr>
          <w:sz w:val="20"/>
          <w:szCs w:val="20"/>
          <w:color w:val="auto"/>
        </w:rPr>
      </w:pPr>
      <w:r>
        <w:rPr>
          <w:rFonts w:ascii="Arial" w:cs="Arial" w:eastAsia="Arial" w:hAnsi="Arial"/>
          <w:sz w:val="16"/>
          <w:szCs w:val="16"/>
          <w:color w:val="auto"/>
        </w:rPr>
        <w:t>the fiduciary duty of loyalty to the Company or its shareholders, any acts or omissions not in good faith or which involve intentional misconduct or a knowing violation of the law, or any transaction from which the officer derived an improper personal benefit, and (2) provide that, if the DGCL is amended in the future</w:t>
      </w:r>
    </w:p>
    <w:p>
      <w:pPr>
        <w:jc w:val="both"/>
        <w:spacing w:after="0" w:line="248" w:lineRule="auto"/>
        <w:rPr>
          <w:sz w:val="20"/>
          <w:szCs w:val="20"/>
          <w:color w:val="auto"/>
        </w:rPr>
      </w:pPr>
      <w:r>
        <w:rPr>
          <w:rFonts w:ascii="Arial" w:cs="Arial" w:eastAsia="Arial" w:hAnsi="Arial"/>
          <w:sz w:val="16"/>
          <w:szCs w:val="16"/>
          <w:color w:val="auto"/>
        </w:rPr>
        <w:t>to authorize further limitation of the liability of officers, then the monetary liability of these officers will be limited to the fullest extent permitted by the DGCL, as so amended.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Amendment Further Enhances the Company's Ability to Attract and Retain Key Officers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After careful deliberation, including a review of recent corporate governance trends and evolving best practices, the Board determined that it is in the best</w:t>
      </w:r>
    </w:p>
    <w:p>
      <w:pPr>
        <w:spacing w:after="0" w:line="8"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interest of the Company and our shareholders to approve the Amendment so that exculpatory protection from certain monetary liabilities is available to our officers to the fullest extent permitted by Section 102(b)(7) of the DGCL. In the absence of such protection, qualified officers might be deterred from serving</w:t>
      </w:r>
    </w:p>
    <w:p>
      <w:pPr>
        <w:spacing w:after="0"/>
        <w:rPr>
          <w:sz w:val="20"/>
          <w:szCs w:val="20"/>
          <w:color w:val="auto"/>
        </w:rPr>
      </w:pPr>
      <w:r>
        <w:rPr>
          <w:rFonts w:ascii="Arial" w:cs="Arial" w:eastAsia="Arial" w:hAnsi="Arial"/>
          <w:sz w:val="16"/>
          <w:szCs w:val="16"/>
          <w:color w:val="auto"/>
        </w:rPr>
        <w:t>as officers or from making business decisions as officers that involve risk, due to potential exposure to personal monetary liability for business decisions.</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Board is committed to ensuring that our officers and directors are appropriately protected, consistent with applicable law and our values, when acting on behalf, and in the best interest, of our Company and shareholders. Taking into account (1) that the Amendment, which aligns with exculpation provisions applicable to our directors, will further enhance the Company’s ability to attract and retain key officers by mitigating the risk of certain personal financial</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claims that could arise in an individual’s capacity as an officer while also potentially reducing future litigation costs associated with frivolous lawsuits; (2) the narrow types of claims for which officers’ monetary liability would be limited under the Amendment (similar to the limitations of liability already provided to</w:t>
      </w:r>
    </w:p>
    <w:p>
      <w:pPr>
        <w:jc w:val="both"/>
        <w:spacing w:after="0" w:line="248" w:lineRule="auto"/>
        <w:rPr>
          <w:sz w:val="20"/>
          <w:szCs w:val="20"/>
          <w:color w:val="auto"/>
        </w:rPr>
      </w:pPr>
      <w:r>
        <w:rPr>
          <w:rFonts w:ascii="Arial" w:cs="Arial" w:eastAsia="Arial" w:hAnsi="Arial"/>
          <w:sz w:val="16"/>
          <w:szCs w:val="16"/>
          <w:color w:val="auto"/>
        </w:rPr>
        <w:t>directors) and (3) a review of recent corporate governance trends and evolving best practices, the Board determined that it is in the best interests of the Company and our shareholders to adopt the Amendment.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Process for Approval of Proposed Amendment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If shareholders approve the Amendment at the Annual Meeting, we intend to file with the Secretary of State of the State of Delaware a certificate of</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amendment to our Certificate of Incorporation that reflects the Amendment shown on Exhibit A, which will be effective upon filing. Shareholder approval of the Amendment shown on Exhibit A also will be deemed to</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93</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Proposal 4: Elimination of Personal Liability of Officers for Monetary Damages for Breach of Certain Fiduciary Duties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constitute the approval of the filing of the certificate of amendment. The Board retains the discretion to abandon the Amendment and not implement it at any time before it becomes effective, even if it is approved by shareholders. The description of the Amendment to our Certificate of Incorporation set forth in this Proxy Statement is qualified in its entirety by reference to the actual provisions set forth in Exhibit A. We urge you to read this Exhibit carefully.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voting power of the outstanding shares of common stock is required to approve this proposal and the Amendment.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have the same effect as votes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49465" cy="3600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 w:hanging="494"/>
        <w:spacing w:after="0"/>
        <w:tabs>
          <w:tab w:leader="none" w:pos="520" w:val="left"/>
        </w:tabs>
        <w:numPr>
          <w:ilvl w:val="0"/>
          <w:numId w:val="17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ind w:right="960"/>
        <w:spacing w:after="0" w:line="298" w:lineRule="auto"/>
        <w:rPr>
          <w:sz w:val="20"/>
          <w:szCs w:val="20"/>
          <w:color w:val="auto"/>
        </w:rPr>
      </w:pPr>
      <w:r>
        <w:rPr>
          <w:rFonts w:ascii="Arial" w:cs="Arial" w:eastAsia="Arial" w:hAnsi="Arial"/>
          <w:sz w:val="43"/>
          <w:szCs w:val="43"/>
          <w:b w:val="1"/>
          <w:bCs w:val="1"/>
          <w:color w:val="29378D"/>
        </w:rPr>
        <w:t>Proposal 5: Approval of 2024 Long-Term Incentive Stock Plan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 March 2024, the Board approved the Northrop Grumman 2024 Long-Term Incentive Stock Plan (the “2024 Plan”). The 2024 Plan is intended to continue</w:t>
      </w:r>
    </w:p>
    <w:p>
      <w:pPr>
        <w:spacing w:after="0" w:line="8" w:lineRule="exact"/>
        <w:rPr>
          <w:sz w:val="20"/>
          <w:szCs w:val="20"/>
          <w:color w:val="auto"/>
        </w:rPr>
      </w:pPr>
    </w:p>
    <w:p>
      <w:pPr>
        <w:ind w:right="340"/>
        <w:spacing w:after="0" w:line="220" w:lineRule="auto"/>
        <w:rPr>
          <w:sz w:val="20"/>
          <w:szCs w:val="20"/>
          <w:color w:val="auto"/>
        </w:rPr>
      </w:pPr>
      <w:r>
        <w:rPr>
          <w:rFonts w:ascii="Arial" w:cs="Arial" w:eastAsia="Arial" w:hAnsi="Arial"/>
          <w:sz w:val="16"/>
          <w:szCs w:val="16"/>
          <w:color w:val="auto"/>
        </w:rPr>
        <w:t>our long-term incentive compensation program, currently implemented under the Northrop Grumman 2011 Long-Term Incentive Stock Plan (as amended from time to time, the “2011 Plan”), which is set to expire in 2025. We are asking shareholders to approve this plan, as set forth in Exhibit B to this Proxy</w:t>
      </w:r>
    </w:p>
    <w:p>
      <w:pPr>
        <w:ind w:right="320"/>
        <w:spacing w:after="0" w:line="248" w:lineRule="auto"/>
        <w:rPr>
          <w:sz w:val="20"/>
          <w:szCs w:val="20"/>
          <w:color w:val="auto"/>
        </w:rPr>
      </w:pPr>
      <w:r>
        <w:rPr>
          <w:rFonts w:ascii="Arial" w:cs="Arial" w:eastAsia="Arial" w:hAnsi="Arial"/>
          <w:sz w:val="16"/>
          <w:szCs w:val="16"/>
          <w:color w:val="auto"/>
        </w:rPr>
        <w:t>Statement. Upon shareholder approval of the 2024 Plan (“Effective Time”), no further grants will be made under the 2011 Plan. Beginning March 1, 2024, new awards under the 2011 Plan (if any) will be deducted from the number of shares authorized for issuance under the 2024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of the 2024 Plan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2024 Plan establishes the total number of shares authorized for issuance under new awards at 5,750,000 (plus a number of shares equal to the number</w:t>
      </w:r>
    </w:p>
    <w:p>
      <w:pPr>
        <w:spacing w:after="0" w:line="8"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of shares subject to outstanding equity awards as of the Effective Time under the 2011 Plan which are subsequently cancelled, terminated, forfeited, or otherwise expire or are settled in cash, less new awards under the 2011 Plan (if any) made on or after March 1, 2024). It authorizes Northrop Grumman to</w:t>
      </w:r>
    </w:p>
    <w:p>
      <w:pPr>
        <w:ind w:right="40"/>
        <w:spacing w:after="0" w:line="236" w:lineRule="auto"/>
        <w:rPr>
          <w:sz w:val="20"/>
          <w:szCs w:val="20"/>
          <w:color w:val="auto"/>
        </w:rPr>
      </w:pPr>
      <w:r>
        <w:rPr>
          <w:rFonts w:ascii="Arial" w:cs="Arial" w:eastAsia="Arial" w:hAnsi="Arial"/>
          <w:sz w:val="16"/>
          <w:szCs w:val="16"/>
          <w:color w:val="auto"/>
        </w:rPr>
        <w:t>grant equity-based awards, including awards that are denominated in or can be settled in shares of the Company’s common stock, and performance-based awards that are denominated in or can be settled only in cash. The 2024 Plan is an important tool for attracting, retaining, and motivating key employees and non-employee directors. Equity-based awards are a foundational part of our executive compensation philosophy and objectives, as discussed in the Compensation Discussion &amp; Analysis on page 50, and our compensation of directors as discussed on page 45.</w:t>
      </w:r>
    </w:p>
    <w:p>
      <w:pPr>
        <w:spacing w:after="0" w:line="205" w:lineRule="exact"/>
        <w:rPr>
          <w:sz w:val="20"/>
          <w:szCs w:val="20"/>
          <w:color w:val="auto"/>
        </w:rPr>
      </w:pPr>
    </w:p>
    <w:p>
      <w:pPr>
        <w:ind w:right="200"/>
        <w:spacing w:after="0" w:line="230" w:lineRule="auto"/>
        <w:rPr>
          <w:sz w:val="20"/>
          <w:szCs w:val="20"/>
          <w:color w:val="auto"/>
        </w:rPr>
      </w:pPr>
      <w:r>
        <w:rPr>
          <w:rFonts w:ascii="Arial" w:cs="Arial" w:eastAsia="Arial" w:hAnsi="Arial"/>
          <w:sz w:val="16"/>
          <w:szCs w:val="16"/>
          <w:color w:val="auto"/>
        </w:rPr>
        <w:t>The 2024 Plan is a key component of our compensation program and includes important provisions aligned with shareholder interests and aimed at enhancing shareholder value. A description of key features of the 2024 Plan is attached as Appendix B to this Proxy Statement and incorporated herein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reference, which description is qualified in its entirety by the full text of the 2024 Plan that is attached as Exhibit B to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FOR the Northrop Grumman 2024 Long-Term Incentive Stock Plan:</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9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WHAT’S IN THE PLAN</w:t>
            </w:r>
          </w:p>
        </w:tc>
        <w:tc>
          <w:tcPr>
            <w:tcW w:w="52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WHAT’S NOT IN THE PLAN</w:t>
            </w:r>
          </w:p>
        </w:tc>
        <w:tc>
          <w:tcPr>
            <w:tcW w:w="0" w:type="dxa"/>
            <w:vAlign w:val="bottom"/>
          </w:tcPr>
          <w:p>
            <w:pPr>
              <w:spacing w:after="0"/>
              <w:rPr>
                <w:sz w:val="1"/>
                <w:szCs w:val="1"/>
                <w:color w:val="auto"/>
              </w:rPr>
            </w:pPr>
          </w:p>
        </w:tc>
      </w:tr>
      <w:tr>
        <w:trPr>
          <w:trHeight w:val="384"/>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The plan is administered by the Compensation and</w:t>
            </w:r>
          </w:p>
        </w:tc>
        <w:tc>
          <w:tcPr>
            <w:tcW w:w="120" w:type="dxa"/>
            <w:vAlign w:val="bottom"/>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No “evergreen” provision. </w:t>
            </w:r>
            <w:r>
              <w:rPr>
                <w:rFonts w:ascii="Arial" w:cs="Arial" w:eastAsia="Arial" w:hAnsi="Arial"/>
                <w:sz w:val="16"/>
                <w:szCs w:val="16"/>
                <w:color w:val="auto"/>
              </w:rPr>
              <w:t>The plan does not contain an “evergreen”</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Human Capital Committee of the Board composed of non-employee directors.</w:t>
            </w:r>
          </w:p>
        </w:tc>
        <w:tc>
          <w:tcPr>
            <w:tcW w:w="120" w:type="dxa"/>
            <w:vAlign w:val="bottom"/>
          </w:tcPr>
          <w:p>
            <w:pPr>
              <w:spacing w:after="0"/>
              <w:rPr>
                <w:sz w:val="15"/>
                <w:szCs w:val="15"/>
                <w:color w:val="auto"/>
              </w:rPr>
            </w:pPr>
          </w:p>
        </w:tc>
        <w:tc>
          <w:tcPr>
            <w:tcW w:w="51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feature that automatically replenishes the share reserve. The plan</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Awards under the plan require a minimum of one-</w:t>
            </w:r>
          </w:p>
        </w:tc>
        <w:tc>
          <w:tcPr>
            <w:tcW w:w="120" w:type="dxa"/>
            <w:vAlign w:val="bottom"/>
          </w:tcPr>
          <w:p>
            <w:pPr>
              <w:spacing w:after="0"/>
              <w:rPr>
                <w:sz w:val="16"/>
                <w:szCs w:val="16"/>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requires shareholder approval to increase the share reserve.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year vesting period, subject to certain exceptions.</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ind w:left="40"/>
              <w:spacing w:after="0" w:line="175" w:lineRule="exact"/>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 xml:space="preserve">Limits on share recycling. </w:t>
            </w:r>
            <w:r>
              <w:rPr>
                <w:rFonts w:ascii="Arial" w:cs="Arial" w:eastAsia="Arial" w:hAnsi="Arial"/>
                <w:sz w:val="16"/>
                <w:szCs w:val="16"/>
                <w:color w:val="auto"/>
              </w:rPr>
              <w:t>Shares tendered or retained for tax withholding</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purposes or for payment of exercise price on option awards are not added back</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repricing of options or SARs. </w:t>
            </w:r>
            <w:r>
              <w:rPr>
                <w:rFonts w:ascii="Arial" w:cs="Arial" w:eastAsia="Arial" w:hAnsi="Arial"/>
                <w:sz w:val="16"/>
                <w:szCs w:val="16"/>
                <w:color w:val="auto"/>
              </w:rPr>
              <w:t>Any action that may constitute a</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100"/>
              <w:spacing w:after="0" w:line="163" w:lineRule="exact"/>
              <w:rPr>
                <w:sz w:val="20"/>
                <w:szCs w:val="20"/>
                <w:color w:val="auto"/>
              </w:rPr>
            </w:pPr>
            <w:r>
              <w:rPr>
                <w:rFonts w:ascii="Arial" w:cs="Arial" w:eastAsia="Arial" w:hAnsi="Arial"/>
                <w:sz w:val="16"/>
                <w:szCs w:val="16"/>
                <w:color w:val="auto"/>
              </w:rPr>
              <w:t>to the share reserve.</w:t>
            </w:r>
          </w:p>
        </w:tc>
        <w:tc>
          <w:tcPr>
            <w:tcW w:w="120" w:type="dxa"/>
            <w:vAlign w:val="bottom"/>
            <w:vMerge w:val="continue"/>
          </w:tcPr>
          <w:p>
            <w:pPr>
              <w:spacing w:after="0"/>
              <w:rPr>
                <w:sz w:val="14"/>
                <w:szCs w:val="14"/>
                <w:color w:val="auto"/>
              </w:rPr>
            </w:pPr>
          </w:p>
        </w:tc>
        <w:tc>
          <w:tcPr>
            <w:tcW w:w="5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Awards are subject to the Company’s Policy Regarding the</w:t>
            </w:r>
          </w:p>
        </w:tc>
        <w:tc>
          <w:tcPr>
            <w:tcW w:w="120" w:type="dxa"/>
            <w:vAlign w:val="bottom"/>
          </w:tcPr>
          <w:p>
            <w:pPr>
              <w:spacing w:after="0"/>
              <w:rPr>
                <w:sz w:val="11"/>
                <w:szCs w:val="11"/>
                <w:color w:val="auto"/>
              </w:rPr>
            </w:pPr>
          </w:p>
        </w:tc>
        <w:tc>
          <w:tcPr>
            <w:tcW w:w="51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repricing of stock options or SARs is prohibited under the plan,</w:t>
            </w: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vMerge w:val="continue"/>
          </w:tcPr>
          <w:p>
            <w:pPr>
              <w:spacing w:after="0"/>
              <w:rPr>
                <w:sz w:val="5"/>
                <w:szCs w:val="5"/>
                <w:color w:val="auto"/>
              </w:rPr>
            </w:pPr>
          </w:p>
        </w:tc>
        <w:tc>
          <w:tcPr>
            <w:tcW w:w="58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subject to certain adjustment provisions.</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Recoupment of Certain Incentive Compensation Payments (see page 68 of this</w:t>
            </w:r>
          </w:p>
        </w:tc>
        <w:tc>
          <w:tcPr>
            <w:tcW w:w="120" w:type="dxa"/>
            <w:vAlign w:val="bottom"/>
          </w:tcPr>
          <w:p>
            <w:pPr>
              <w:spacing w:after="0"/>
              <w:rPr>
                <w:sz w:val="15"/>
                <w:szCs w:val="15"/>
                <w:color w:val="auto"/>
              </w:rPr>
            </w:pPr>
          </w:p>
        </w:tc>
        <w:tc>
          <w:tcPr>
            <w:tcW w:w="5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Proxy Statement for more information regarding our Recoupment Policy).</w:t>
            </w:r>
          </w:p>
        </w:tc>
        <w:tc>
          <w:tcPr>
            <w:tcW w:w="120" w:type="dxa"/>
            <w:vAlign w:val="bottom"/>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ind w:left="40"/>
              <w:spacing w:after="0" w:line="175" w:lineRule="exact"/>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Limited Term</w:t>
            </w:r>
            <w:r>
              <w:rPr>
                <w:rFonts w:ascii="Arial" w:cs="Arial" w:eastAsia="Arial" w:hAnsi="Arial"/>
                <w:sz w:val="16"/>
                <w:szCs w:val="16"/>
                <w:color w:val="auto"/>
              </w:rPr>
              <w:t>. The plan is designed to continue to incentivize plan participants</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during its effective time period, not to exceed ten years.</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payments on pre-vesting dividends. </w:t>
            </w:r>
            <w:r>
              <w:rPr>
                <w:rFonts w:ascii="Arial" w:cs="Arial" w:eastAsia="Arial" w:hAnsi="Arial"/>
                <w:sz w:val="16"/>
                <w:szCs w:val="16"/>
                <w:color w:val="auto"/>
              </w:rPr>
              <w:t>No payment is made with</w:t>
            </w: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 xml:space="preserve">Annual limit on non-employee director compensation. </w:t>
            </w:r>
            <w:r>
              <w:rPr>
                <w:rFonts w:ascii="Arial" w:cs="Arial" w:eastAsia="Arial" w:hAnsi="Arial"/>
                <w:sz w:val="16"/>
                <w:szCs w:val="16"/>
                <w:color w:val="auto"/>
              </w:rPr>
              <w:t>The plan limits the</w:t>
            </w:r>
          </w:p>
        </w:tc>
        <w:tc>
          <w:tcPr>
            <w:tcW w:w="120" w:type="dxa"/>
            <w:vAlign w:val="bottom"/>
            <w:vMerge w:val="continue"/>
          </w:tcPr>
          <w:p>
            <w:pPr>
              <w:spacing w:after="0"/>
              <w:rPr>
                <w:sz w:val="4"/>
                <w:szCs w:val="4"/>
                <w:color w:val="auto"/>
              </w:rPr>
            </w:pPr>
          </w:p>
        </w:tc>
        <w:tc>
          <w:tcPr>
            <w:tcW w:w="5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vMerge w:val="continue"/>
          </w:tcPr>
          <w:p>
            <w:pPr>
              <w:spacing w:after="0"/>
              <w:rPr>
                <w:sz w:val="14"/>
                <w:szCs w:val="14"/>
                <w:color w:val="auto"/>
              </w:rPr>
            </w:pPr>
          </w:p>
        </w:tc>
        <w:tc>
          <w:tcPr>
            <w:tcW w:w="584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respect to dividends or dividend equivalent rights unless and to the</w:t>
            </w: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tcPr>
          <w:p>
            <w:pPr>
              <w:spacing w:after="0"/>
              <w:rPr>
                <w:sz w:val="11"/>
                <w:szCs w:val="11"/>
                <w:color w:val="auto"/>
              </w:rPr>
            </w:pPr>
          </w:p>
        </w:tc>
        <w:tc>
          <w:tcPr>
            <w:tcW w:w="584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5"/>
                <w:szCs w:val="15"/>
                <w:color w:val="auto"/>
              </w:rPr>
              <w:t>annual aggregate equity and cash compensation for non-employee directors to</w:t>
            </w:r>
          </w:p>
        </w:tc>
        <w:tc>
          <w:tcPr>
            <w:tcW w:w="120" w:type="dxa"/>
            <w:vAlign w:val="bottom"/>
          </w:tcPr>
          <w:p>
            <w:pPr>
              <w:spacing w:after="0"/>
              <w:rPr>
                <w:sz w:val="11"/>
                <w:szCs w:val="11"/>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extent that the related vesting conditions of the underlying award are</w:t>
            </w: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tcPr>
          <w:p>
            <w:pPr>
              <w:spacing w:after="0"/>
              <w:rPr>
                <w:sz w:val="5"/>
                <w:szCs w:val="5"/>
                <w:color w:val="auto"/>
              </w:rPr>
            </w:pPr>
          </w:p>
        </w:tc>
        <w:tc>
          <w:tcPr>
            <w:tcW w:w="5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$1,000,000 (or $2,000,000 for the first year of board service and for a chair or</w:t>
            </w:r>
          </w:p>
        </w:tc>
        <w:tc>
          <w:tcPr>
            <w:tcW w:w="120" w:type="dxa"/>
            <w:vAlign w:val="bottom"/>
          </w:tcPr>
          <w:p>
            <w:pPr>
              <w:spacing w:after="0"/>
              <w:rPr>
                <w:sz w:val="5"/>
                <w:szCs w:val="5"/>
                <w:color w:val="auto"/>
              </w:rPr>
            </w:pPr>
          </w:p>
        </w:tc>
        <w:tc>
          <w:tcPr>
            <w:tcW w:w="5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tcPr>
          <w:p>
            <w:pPr>
              <w:spacing w:after="0"/>
              <w:rPr>
                <w:sz w:val="10"/>
                <w:szCs w:val="10"/>
                <w:color w:val="auto"/>
              </w:rPr>
            </w:pPr>
          </w:p>
        </w:tc>
        <w:tc>
          <w:tcPr>
            <w:tcW w:w="58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satisfied.</w:t>
            </w:r>
          </w:p>
        </w:tc>
        <w:tc>
          <w:tcPr>
            <w:tcW w:w="0" w:type="dxa"/>
            <w:vAlign w:val="bottom"/>
          </w:tcPr>
          <w:p>
            <w:pPr>
              <w:spacing w:after="0"/>
              <w:rPr>
                <w:sz w:val="1"/>
                <w:szCs w:val="1"/>
                <w:color w:val="auto"/>
              </w:rPr>
            </w:pPr>
          </w:p>
        </w:tc>
      </w:tr>
      <w:tr>
        <w:trPr>
          <w:trHeight w:val="93"/>
        </w:trPr>
        <w:tc>
          <w:tcPr>
            <w:tcW w:w="140" w:type="dxa"/>
            <w:vAlign w:val="bottom"/>
            <w:tcBorders>
              <w:left w:val="single" w:sz="8" w:color="auto"/>
            </w:tcBorders>
          </w:tcPr>
          <w:p>
            <w:pPr>
              <w:spacing w:after="0"/>
              <w:rPr>
                <w:sz w:val="8"/>
                <w:szCs w:val="8"/>
                <w:color w:val="auto"/>
              </w:rPr>
            </w:pPr>
          </w:p>
        </w:tc>
        <w:tc>
          <w:tcPr>
            <w:tcW w:w="584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lead director); in 2023, non-employee directors received an annual cash</w:t>
            </w:r>
          </w:p>
        </w:tc>
        <w:tc>
          <w:tcPr>
            <w:tcW w:w="120" w:type="dxa"/>
            <w:vAlign w:val="bottom"/>
          </w:tcPr>
          <w:p>
            <w:pPr>
              <w:spacing w:after="0"/>
              <w:rPr>
                <w:sz w:val="8"/>
                <w:szCs w:val="8"/>
                <w:color w:val="auto"/>
              </w:rPr>
            </w:pPr>
          </w:p>
        </w:tc>
        <w:tc>
          <w:tcPr>
            <w:tcW w:w="5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40" w:type="dxa"/>
            <w:vAlign w:val="bottom"/>
            <w:tcBorders>
              <w:left w:val="single" w:sz="8" w:color="auto"/>
            </w:tcBorders>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retainer of $140,000 and an annual equity grant of $175,000 in deferred stock</w:t>
            </w:r>
          </w:p>
        </w:tc>
        <w:tc>
          <w:tcPr>
            <w:tcW w:w="120" w:type="dxa"/>
            <w:vAlign w:val="bottom"/>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units (see page 45 for more information regarding director compensation).</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CIC Double Trigger</w:t>
            </w:r>
            <w:r>
              <w:rPr>
                <w:rFonts w:ascii="Arial" w:cs="Arial" w:eastAsia="Arial" w:hAnsi="Arial"/>
                <w:sz w:val="16"/>
                <w:szCs w:val="16"/>
                <w:color w:val="auto"/>
              </w:rPr>
              <w:t>. The plan provides explicitly only for "double trigger",</w:t>
            </w:r>
          </w:p>
        </w:tc>
        <w:tc>
          <w:tcPr>
            <w:tcW w:w="120" w:type="dxa"/>
            <w:vAlign w:val="bottom"/>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No buy out. </w:t>
            </w:r>
            <w:r>
              <w:rPr>
                <w:rFonts w:ascii="Arial" w:cs="Arial" w:eastAsia="Arial" w:hAnsi="Arial"/>
                <w:sz w:val="16"/>
                <w:szCs w:val="16"/>
                <w:color w:val="auto"/>
              </w:rPr>
              <w:t>No underwater buyouts of SARs or stock options.</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meaning that vesting/ payment does not occur solely on a change in control,</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but rather also requires either the successor’s failure to assume the award or</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certain employment termination in connection with a change in control to trigger</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reload. </w:t>
            </w:r>
            <w:r>
              <w:rPr>
                <w:rFonts w:ascii="Arial" w:cs="Arial" w:eastAsia="Arial" w:hAnsi="Arial"/>
                <w:sz w:val="16"/>
                <w:szCs w:val="16"/>
                <w:color w:val="auto"/>
              </w:rPr>
              <w:t>No “options reloading” feature for any option or SAR</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100"/>
              <w:spacing w:after="0" w:line="163" w:lineRule="exact"/>
              <w:rPr>
                <w:sz w:val="20"/>
                <w:szCs w:val="20"/>
                <w:color w:val="auto"/>
              </w:rPr>
            </w:pPr>
            <w:r>
              <w:rPr>
                <w:rFonts w:ascii="Arial" w:cs="Arial" w:eastAsia="Arial" w:hAnsi="Arial"/>
                <w:sz w:val="16"/>
                <w:szCs w:val="16"/>
                <w:color w:val="auto"/>
              </w:rPr>
              <w:t>vesting, exercise or payment.</w:t>
            </w:r>
          </w:p>
        </w:tc>
        <w:tc>
          <w:tcPr>
            <w:tcW w:w="120" w:type="dxa"/>
            <w:vAlign w:val="bottom"/>
            <w:vMerge w:val="continue"/>
          </w:tcPr>
          <w:p>
            <w:pPr>
              <w:spacing w:after="0"/>
              <w:rPr>
                <w:sz w:val="14"/>
                <w:szCs w:val="14"/>
                <w:color w:val="auto"/>
              </w:rPr>
            </w:pPr>
          </w:p>
        </w:tc>
        <w:tc>
          <w:tcPr>
            <w:tcW w:w="5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Borders>
              <w:left w:val="single" w:sz="8" w:color="auto"/>
            </w:tcBorders>
          </w:tcPr>
          <w:p>
            <w:pPr>
              <w:spacing w:after="0"/>
              <w:rPr>
                <w:sz w:val="12"/>
                <w:szCs w:val="12"/>
                <w:color w:val="auto"/>
              </w:rPr>
            </w:pPr>
          </w:p>
        </w:tc>
        <w:tc>
          <w:tcPr>
            <w:tcW w:w="5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6"/>
                <w:szCs w:val="16"/>
                <w:color w:val="auto"/>
              </w:rPr>
              <w:t>granted under the plan. In other words, option grants cannot have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reload features that would provide for a new grant of options in an</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amount equal to the shares tendered to satisfy the exercise price of</w:t>
            </w:r>
          </w:p>
        </w:tc>
        <w:tc>
          <w:tcPr>
            <w:tcW w:w="0" w:type="dxa"/>
            <w:vAlign w:val="bottom"/>
          </w:tcPr>
          <w:p>
            <w:pPr>
              <w:spacing w:after="0"/>
              <w:rPr>
                <w:sz w:val="1"/>
                <w:szCs w:val="1"/>
                <w:color w:val="auto"/>
              </w:rPr>
            </w:pPr>
          </w:p>
        </w:tc>
      </w:tr>
      <w:tr>
        <w:trPr>
          <w:trHeight w:val="224"/>
        </w:trPr>
        <w:tc>
          <w:tcPr>
            <w:tcW w:w="140" w:type="dxa"/>
            <w:vAlign w:val="bottom"/>
            <w:tcBorders>
              <w:left w:val="single" w:sz="8" w:color="auto"/>
              <w:bottom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 existing option.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Proposal 5: Approval of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Considerations</w:t>
      </w:r>
    </w:p>
    <w:p>
      <w:pPr>
        <w:spacing w:after="0" w:line="235"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When approving the 2024 Plan, the Board and Compensation and Human Capital Committee considered, among other issues, dilution, burn rate and overhang measurements:</w:t>
      </w:r>
    </w:p>
    <w:p>
      <w:pPr>
        <w:spacing w:after="0" w:line="170" w:lineRule="exact"/>
        <w:rPr>
          <w:sz w:val="20"/>
          <w:szCs w:val="20"/>
          <w:color w:val="auto"/>
        </w:rPr>
      </w:pPr>
    </w:p>
    <w:p>
      <w:pPr>
        <w:jc w:val="both"/>
        <w:ind w:left="660" w:right="60" w:hanging="324"/>
        <w:spacing w:after="0" w:line="234" w:lineRule="auto"/>
        <w:rPr>
          <w:sz w:val="20"/>
          <w:szCs w:val="20"/>
          <w:color w:val="auto"/>
        </w:rPr>
      </w:pPr>
      <w:r>
        <w:rPr>
          <w:rFonts w:ascii="Arial" w:cs="Arial" w:eastAsia="Arial" w:hAnsi="Arial"/>
          <w:sz w:val="16"/>
          <w:szCs w:val="16"/>
          <w:color w:val="auto"/>
        </w:rPr>
        <w:t>– If the 2024 Plan is approved, 5,750,000 shares will be available for new awards (subject to certain adjustments). As of March 1, 2024, a total of 3,978,120 shares of common stock remained available for new awards under the 2011 Plan. Beginning March 1, 2024, new awards under the 2011 Plan (if any) will be deducted from the number of shares authorized for issuance under the 2024 Plan. Upon shareholder approval of the 2024 Plan (“Effective Time”), no further grants will be made under the 2011 Plan.</w:t>
      </w:r>
    </w:p>
    <w:p>
      <w:pPr>
        <w:ind w:left="660" w:right="20" w:hanging="324"/>
        <w:spacing w:after="0" w:line="223" w:lineRule="auto"/>
        <w:rPr>
          <w:sz w:val="20"/>
          <w:szCs w:val="20"/>
          <w:color w:val="auto"/>
        </w:rPr>
      </w:pPr>
      <w:r>
        <w:rPr>
          <w:rFonts w:ascii="Arial" w:cs="Arial" w:eastAsia="Arial" w:hAnsi="Arial"/>
          <w:sz w:val="16"/>
          <w:szCs w:val="16"/>
          <w:color w:val="auto"/>
        </w:rPr>
        <w:t>– If the 2024 Plan had been approved on March 1, 2024, the Company’s total potential dilution in respect of the 2024 Plan would have been 3.88% as of that date. Potential dilution, for this purpose, is calculated as the total number of shares available for issuance under the 2024 Plan, divided by total common shares outstanding at the time of the calculation.</w:t>
      </w:r>
    </w:p>
    <w:p>
      <w:pPr>
        <w:ind w:left="660" w:hanging="324"/>
        <w:spacing w:after="0" w:line="226" w:lineRule="auto"/>
        <w:rPr>
          <w:sz w:val="20"/>
          <w:szCs w:val="20"/>
          <w:color w:val="auto"/>
        </w:rPr>
      </w:pPr>
      <w:r>
        <w:rPr>
          <w:rFonts w:ascii="Arial" w:cs="Arial" w:eastAsia="Arial" w:hAnsi="Arial"/>
          <w:sz w:val="16"/>
          <w:szCs w:val="16"/>
          <w:color w:val="auto"/>
        </w:rPr>
        <w:t>– The 2024 Plan provides for forfeited, terminated, cancelled or otherwise expiring awards under the 2011 Plan to be available for issuance under the 2024 Plan, less new awards under the 2011 Plan (if any) made on or after March 1, 2024. As of March 1, 2024, outstanding share awards under the 2011 Plan were (i) unvested time-based awards in the form of restricted stock unit grants to executives and independent directors of the Board covering 219,448 shares of common stock and (ii) unvested performance-based awards in the form of restricted performance stock units to executives covering 437,737 shares of common stock (assuming, for this purpose, the target level of performance were achieved with respect to any performance-based vesting criteria). To the extent outstanding awards are forfeited or settle below target, such shares will be available for new awards under the 2024 Plan. The Company has not issued stock options since 2011. No options or SARs are outstanding under the 2011 Plan.</w:t>
      </w:r>
    </w:p>
    <w:p>
      <w:pPr>
        <w:spacing w:after="0" w:line="2" w:lineRule="exact"/>
        <w:rPr>
          <w:sz w:val="20"/>
          <w:szCs w:val="20"/>
          <w:color w:val="auto"/>
        </w:rPr>
      </w:pPr>
    </w:p>
    <w:p>
      <w:pPr>
        <w:ind w:left="660" w:hanging="324"/>
        <w:spacing w:after="0" w:line="224" w:lineRule="auto"/>
        <w:rPr>
          <w:sz w:val="20"/>
          <w:szCs w:val="20"/>
          <w:color w:val="auto"/>
        </w:rPr>
      </w:pPr>
      <w:r>
        <w:rPr>
          <w:rFonts w:ascii="Arial" w:cs="Arial" w:eastAsia="Arial" w:hAnsi="Arial"/>
          <w:sz w:val="16"/>
          <w:szCs w:val="16"/>
          <w:color w:val="auto"/>
        </w:rPr>
        <w:t>– The Company’s annual burn rate under the 2011 Plan for 2023 was 0.15%. Burn rate shows how rapidly a company is depleting its shares reserved for equity compensation plans and is defined for any year as the number of shares granted under the Company’s equity incentive plans during the year divided by the basic weighted average number of common shares outstanding. The Company’s average annual burn rate for the years 2021 to 2023 was 0.17%.</w:t>
      </w:r>
    </w:p>
    <w:p>
      <w:pPr>
        <w:spacing w:after="0" w:line="1" w:lineRule="exact"/>
        <w:rPr>
          <w:sz w:val="20"/>
          <w:szCs w:val="20"/>
          <w:color w:val="auto"/>
        </w:rPr>
      </w:pPr>
    </w:p>
    <w:p>
      <w:pPr>
        <w:ind w:left="660" w:right="100" w:hanging="324"/>
        <w:spacing w:after="0" w:line="228" w:lineRule="auto"/>
        <w:rPr>
          <w:sz w:val="20"/>
          <w:szCs w:val="20"/>
          <w:color w:val="auto"/>
        </w:rPr>
      </w:pPr>
      <w:r>
        <w:rPr>
          <w:rFonts w:ascii="Arial" w:cs="Arial" w:eastAsia="Arial" w:hAnsi="Arial"/>
          <w:sz w:val="16"/>
          <w:szCs w:val="16"/>
          <w:color w:val="auto"/>
        </w:rPr>
        <w:t>– Our overhang as of March 1, 2024 was 3.17%. If the 2024 Plan had been approved on March 1, 2024, our overhang as that date would have been 4.37%. Overhang is calculated as the number of shares subject to equity awards outstanding but not exercised or settled, plus number of shares available to be granted, divided by total common shares outstanding.</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number of shares of common stock outstanding as of March 1, 2024 was 148,200,063.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Treatment of Awards Under the 2024 Plan</w:t>
      </w:r>
    </w:p>
    <w:p>
      <w:pPr>
        <w:spacing w:after="0" w:line="235"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color w:val="auto"/>
        </w:rPr>
        <w:t>The following is a summary of the United States federal income tax consequences that generally will arise with respect to awards granted under the 2024 Plan. This summary is based on the federal tax laws in effect as of the date of this proxy statement. In addition, this summary assumes that all awards are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exempt from, or comply with, the rules under Section 409A of the Code regarding nonqualified deferred compensation. Changes to these laws could alter the tax consequences described below.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tax consequences of awards authorized for issuance under the 2024 depend on the types of awards granted. Generally, the tax consequences would be as follows for the following types of awards.</w:t>
      </w:r>
    </w:p>
    <w:p>
      <w:pPr>
        <w:spacing w:after="0" w:line="19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will not have income upon the grant of an incentive stock option. Also, except as described below, a participant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w:t>
      </w:r>
    </w:p>
    <w:p>
      <w:pPr>
        <w:spacing w:after="0" w:line="2" w:lineRule="exact"/>
        <w:rPr>
          <w:sz w:val="20"/>
          <w:szCs w:val="20"/>
          <w:color w:val="auto"/>
        </w:rPr>
      </w:pPr>
    </w:p>
    <w:p>
      <w:pPr>
        <w:ind w:right="280"/>
        <w:spacing w:after="0" w:line="235" w:lineRule="auto"/>
        <w:rPr>
          <w:sz w:val="20"/>
          <w:szCs w:val="20"/>
          <w:color w:val="auto"/>
        </w:rPr>
      </w:pPr>
      <w:r>
        <w:rPr>
          <w:rFonts w:ascii="Arial" w:cs="Arial" w:eastAsia="Arial" w:hAnsi="Arial"/>
          <w:sz w:val="16"/>
          <w:szCs w:val="16"/>
          <w:color w:val="auto"/>
        </w:rPr>
        <w:t>stock option. If the participant has not been so employed during that time, then the participant will be taxed as described below under “Nonqualified Stock Options.” The exercise of an incentive stock option may subject the participant to the alternative minimum tax.</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w:t>
      </w:r>
    </w:p>
    <w:p>
      <w:pPr>
        <w:ind w:right="40"/>
        <w:spacing w:after="0" w:line="220" w:lineRule="auto"/>
        <w:rPr>
          <w:sz w:val="20"/>
          <w:szCs w:val="20"/>
          <w:color w:val="auto"/>
        </w:rPr>
      </w:pPr>
      <w:r>
        <w:rPr>
          <w:rFonts w:ascii="Arial" w:cs="Arial" w:eastAsia="Arial" w:hAnsi="Arial"/>
          <w:sz w:val="16"/>
          <w:szCs w:val="16"/>
          <w:color w:val="auto"/>
        </w:rPr>
        <w:t>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w:t>
      </w:r>
    </w:p>
    <w:p>
      <w:pPr>
        <w:spacing w:after="0"/>
        <w:rPr>
          <w:sz w:val="20"/>
          <w:szCs w:val="20"/>
          <w:color w:val="auto"/>
        </w:rPr>
      </w:pPr>
      <w:r>
        <w:rPr>
          <w:rFonts w:ascii="Arial" w:cs="Arial" w:eastAsia="Arial" w:hAnsi="Arial"/>
          <w:sz w:val="16"/>
          <w:szCs w:val="16"/>
          <w:color w:val="auto"/>
        </w:rPr>
        <w:t>the participant held the stock for more than one year and otherwise will be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17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Proposal 5: Approval of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participant will not have income upon the grant of a nonqualified stock option. A participant will have compensation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exercise of a nonqualified stock option equal to the value of the stock on the day the participant exercised the stock option less the exercise price.</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w:t>
      </w:r>
    </w:p>
    <w:p>
      <w:pPr>
        <w:spacing w:after="0" w:line="229" w:lineRule="auto"/>
        <w:rPr>
          <w:sz w:val="20"/>
          <w:szCs w:val="20"/>
          <w:color w:val="auto"/>
        </w:rPr>
      </w:pPr>
      <w:r>
        <w:rPr>
          <w:rFonts w:ascii="Arial" w:cs="Arial" w:eastAsia="Arial" w:hAnsi="Arial"/>
          <w:sz w:val="16"/>
          <w:szCs w:val="16"/>
          <w:color w:val="auto"/>
        </w:rPr>
        <w:t>short-term.</w:t>
      </w:r>
    </w:p>
    <w:p>
      <w:pPr>
        <w:ind w:right="100"/>
        <w:spacing w:after="0" w:line="23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have income upon the grant of a SAR. A participant generally will recognize compensation income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92"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participant will not have income upon the grant of restricted stock unless an election under Section 83(b) of the Code is made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w:t>
      </w:r>
    </w:p>
    <w:p>
      <w:pPr>
        <w:ind w:right="60"/>
        <w:spacing w:after="0" w:line="235" w:lineRule="auto"/>
        <w:rPr>
          <w:sz w:val="20"/>
          <w:szCs w:val="20"/>
          <w:color w:val="auto"/>
        </w:rPr>
      </w:pPr>
      <w:r>
        <w:rPr>
          <w:rFonts w:ascii="Arial" w:cs="Arial" w:eastAsia="Arial" w:hAnsi="Arial"/>
          <w:sz w:val="16"/>
          <w:szCs w:val="16"/>
          <w:color w:val="auto"/>
        </w:rPr>
        <w:t>equal to the sales proceeds less the value of the stock on the vesting date. Any capital gain or loss will be long-term if the participant held the stock for more than one year and otherwise will be short-term.</w:t>
      </w:r>
    </w:p>
    <w:p>
      <w:pPr>
        <w:spacing w:after="0" w:line="20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have income upon the grant of an RSU. A participant is not permitted to make a Section 83(b) election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91"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tax consequences associated with any other stock-based award granted under the 2024 Plan will vary depending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03"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i w:val="1"/>
          <w:iCs w:val="1"/>
          <w:color w:val="auto"/>
        </w:rPr>
        <w:t xml:space="preserve">Tax Consequences to the Company. </w:t>
      </w:r>
      <w:r>
        <w:rPr>
          <w:rFonts w:ascii="Arial" w:cs="Arial" w:eastAsia="Arial" w:hAnsi="Arial"/>
          <w:sz w:val="16"/>
          <w:szCs w:val="16"/>
          <w:color w:val="auto"/>
        </w:rPr>
        <w:t>There will be no tax consequences to the Company except that the Company will be entitled to a deduction when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has compensation income, subject to the limitations of Section 162(m)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Benefits under the 2024 Plan</w:t>
      </w:r>
    </w:p>
    <w:p>
      <w:pPr>
        <w:spacing w:after="0" w:line="2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amount and form of awards to eligible participants under the 2024 Plan in any year is determined at the discretion of the Compensation and Human Capital Committee and the Board. Therefore, future benefits under the 2024 Plan are discretionary and not determinable at this time, and we cannot include a table that reflects such future awards.</w:t>
      </w:r>
      <w:r>
        <w:rPr>
          <w:rFonts w:ascii="Arial" w:cs="Arial" w:eastAsia="Arial" w:hAnsi="Arial"/>
          <w:sz w:val="21"/>
          <w:szCs w:val="21"/>
          <w:color w:val="auto"/>
          <w:vertAlign w:val="superscript"/>
        </w:rPr>
        <w:t>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the Board of Directors unanimously recommends the shareholders approve the 2024 Plan.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34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Approval of this proposal requires the affirmative vote of a majority of the votes cast on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149465" cy="3600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17145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8"/>
        <w:spacing w:after="0" w:line="245" w:lineRule="auto"/>
        <w:tabs>
          <w:tab w:leader="none" w:pos="103" w:val="left"/>
        </w:tabs>
        <w:numPr>
          <w:ilvl w:val="0"/>
          <w:numId w:val="177"/>
        </w:numPr>
        <w:rPr>
          <w:rFonts w:ascii="Arial" w:cs="Arial" w:eastAsia="Arial" w:hAnsi="Arial"/>
          <w:sz w:val="21"/>
          <w:szCs w:val="21"/>
          <w:color w:val="auto"/>
          <w:vertAlign w:val="superscript"/>
        </w:rPr>
      </w:pPr>
      <w:r>
        <w:rPr>
          <w:rFonts w:ascii="Arial" w:cs="Arial" w:eastAsia="Arial" w:hAnsi="Arial"/>
          <w:sz w:val="16"/>
          <w:szCs w:val="16"/>
          <w:color w:val="auto"/>
        </w:rPr>
        <w:t>Information about awards granted under the 2011 Plan in fiscal year 2023 to the Named Executive Officers can be found under the “Grants of Plan-Based Awards” table on page 73 of this Proxy Statement. Information regarding grants in fiscal year 2023 to non-employee directors can be found under the “Director Compensation” table on page 47 of this Proxy Statement, as well as a discussion of annual equity grants to each non-employee director pursuant to The Northrop Grumman Equity Grant Program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43"/>
          <w:szCs w:val="43"/>
          <w:b w:val="1"/>
          <w:bCs w:val="1"/>
          <w:color w:val="29378D"/>
        </w:rPr>
        <w:t>Proposal 6: Shareholder Proposal</w:t>
      </w:r>
    </w:p>
    <w:p>
      <w:pPr>
        <w:spacing w:after="0" w:line="200" w:lineRule="exact"/>
        <w:rPr>
          <w:sz w:val="20"/>
          <w:szCs w:val="20"/>
          <w:color w:val="auto"/>
        </w:rPr>
      </w:pP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School Sisters of Notre Dame Cooperative Investment Fund, 8410 Charles Valley Court, Suite F, Baltimore, MD 21204, a beneficial owner of common stock of the Company with a value of at least $2,000, has stated its intent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32"/>
          <w:szCs w:val="32"/>
          <w:b w:val="1"/>
          <w:bCs w:val="1"/>
          <w:color w:val="auto"/>
        </w:rPr>
        <w:t>Proposal 6: Shareholder Proposal to Annually Conduct an Evaluation and Issue a Report Describing the Alignment of the Company’s Political Activities with Its Human Rights Policy</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Shareholders request the Board of Directors annually conduct an evaluation and issue a public report, at reasonable cost and omitting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describing the alignment of its political activities (including direct and indirect lobbying and political and electioneering expenditures) with its Human Rights Policy. The report should list and explain instances of misalignment, and state whether and how the identified incongruencies have or will be addressed.</w:t>
      </w:r>
    </w:p>
    <w:p>
      <w:pPr>
        <w:spacing w:after="0" w:line="60"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Northrop Grumman (Northrop), in its Human Rights Policy, states its “deep respect for individuals and human rights” and recognizes the UN</w:t>
      </w:r>
      <w:r>
        <w:rPr>
          <w:rFonts w:ascii="Arial" w:cs="Arial" w:eastAsia="Arial" w:hAnsi="Arial"/>
          <w:sz w:val="16"/>
          <w:szCs w:val="16"/>
          <w:b w:val="1"/>
          <w:bCs w:val="1"/>
          <w:color w:val="auto"/>
        </w:rPr>
        <w:t xml:space="preserve"> </w:t>
      </w:r>
      <w:r>
        <w:rPr>
          <w:rFonts w:ascii="Arial" w:cs="Arial" w:eastAsia="Arial" w:hAnsi="Arial"/>
          <w:sz w:val="16"/>
          <w:szCs w:val="16"/>
          <w:color w:val="auto"/>
        </w:rPr>
        <w:t>Guiding Principles on Business and Human Rights as important guidance for companies to meet their human rights responsibilities. However, Northrop’s political activities suggest it actively lobbies, makes political contributions, and otherwise pushes for government sales of its defense products and services to customers linked to irremediable human rights impacts, especially in conflict-affected and high-risk areas.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Engaging in political activities misaligned with its Human Rights Policy presents material legal, reputational, regulatory, and litigation risks to the Company.</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Shareholders lack sufficient disclosure to analyze whether there is alignment with the Company’s stated policies.</w:t>
      </w:r>
    </w:p>
    <w:p>
      <w:pPr>
        <w:spacing w:after="0" w:line="86"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Northrop has high-risk business activities in the areas of controversial arms trade, military training, nuclear weapons, and border militarization.</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Investors lack assurance Northrop’s political activities are not encouraging sales of products that present significant human rights risks. In October 2023, Northrop’s CEO stated Northrop is “working closely” with its customers, of which the US government is the largest, to “navigate the fiscal pressures they see to ensure our programs remain well supported.”</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Northrop’s influence can be seen in its $13.3 billion nuclear missile contract awarded in 2020 by the Air Force.</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Nuclear weapons are illegal under international law due to their indiscriminate and disproportionate impacts on civilians.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Before the contract was approved, Northrop lobbied against an amendment which would have required the Pentagon explore alternatives to these missiles.</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The Company currently has $81 billion in outstanding nuclear contracts.</w:t>
      </w:r>
      <w:r>
        <w:rPr>
          <w:rFonts w:ascii="Arial" w:cs="Arial" w:eastAsia="Arial" w:hAnsi="Arial"/>
          <w:sz w:val="21"/>
          <w:szCs w:val="21"/>
          <w:color w:val="auto"/>
          <w:vertAlign w:val="superscript"/>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_________________________________</w:t>
      </w:r>
    </w:p>
    <w:p>
      <w:pPr>
        <w:spacing w:after="0" w:line="38" w:lineRule="exact"/>
        <w:rPr>
          <w:sz w:val="20"/>
          <w:szCs w:val="20"/>
          <w:color w:val="auto"/>
        </w:rPr>
      </w:pPr>
    </w:p>
    <w:p>
      <w:pPr>
        <w:ind w:left="260" w:hanging="252"/>
        <w:spacing w:after="0"/>
        <w:tabs>
          <w:tab w:leader="none" w:pos="260" w:val="left"/>
        </w:tabs>
        <w:numPr>
          <w:ilvl w:val="0"/>
          <w:numId w:val="178"/>
        </w:numPr>
        <w:rPr>
          <w:rFonts w:ascii="Arial" w:cs="Arial" w:eastAsia="Arial" w:hAnsi="Arial"/>
          <w:sz w:val="21"/>
          <w:szCs w:val="21"/>
          <w:color w:val="auto"/>
          <w:vertAlign w:val="superscript"/>
        </w:rPr>
      </w:pPr>
      <w:r>
        <w:rPr>
          <w:rFonts w:ascii="Arial" w:cs="Arial" w:eastAsia="Arial" w:hAnsi="Arial"/>
          <w:sz w:val="14"/>
          <w:szCs w:val="14"/>
          <w:color w:val="auto"/>
        </w:rPr>
        <w:t>https://www.opensecrets.org/news/reports/capitalizing-on-conflict/yemen-case-study</w:t>
      </w:r>
    </w:p>
    <w:p>
      <w:pPr>
        <w:spacing w:after="0" w:line="2"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21"/>
          <w:szCs w:val="21"/>
          <w:color w:val="auto"/>
          <w:vertAlign w:val="superscript"/>
        </w:rPr>
      </w:pPr>
      <w:r>
        <w:rPr>
          <w:rFonts w:ascii="Arial" w:cs="Arial" w:eastAsia="Arial" w:hAnsi="Arial"/>
          <w:sz w:val="14"/>
          <w:szCs w:val="14"/>
          <w:color w:val="auto"/>
        </w:rPr>
        <w:t>https://www.sec.gov/Archives/edgar/data/1636143/000121465923005876/b424231px14a6g.htm</w:t>
      </w:r>
    </w:p>
    <w:p>
      <w:pPr>
        <w:spacing w:after="0" w:line="2"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21"/>
          <w:szCs w:val="21"/>
          <w:color w:val="auto"/>
          <w:vertAlign w:val="superscript"/>
        </w:rPr>
      </w:pPr>
      <w:r>
        <w:rPr>
          <w:rFonts w:ascii="Arial" w:cs="Arial" w:eastAsia="Arial" w:hAnsi="Arial"/>
          <w:sz w:val="14"/>
          <w:szCs w:val="14"/>
          <w:color w:val="auto"/>
        </w:rPr>
        <w:t>https://investigate.afsc.org/company/northrop-grumman</w:t>
      </w:r>
    </w:p>
    <w:p>
      <w:pPr>
        <w:spacing w:after="0" w:line="2" w:lineRule="exact"/>
        <w:rPr>
          <w:sz w:val="20"/>
          <w:szCs w:val="20"/>
          <w:color w:val="auto"/>
        </w:rPr>
      </w:pPr>
    </w:p>
    <w:p>
      <w:pPr>
        <w:ind w:left="260" w:hanging="252"/>
        <w:spacing w:after="0"/>
        <w:tabs>
          <w:tab w:leader="none" w:pos="260" w:val="left"/>
        </w:tabs>
        <w:numPr>
          <w:ilvl w:val="0"/>
          <w:numId w:val="181"/>
        </w:numPr>
        <w:rPr>
          <w:rFonts w:ascii="Arial" w:cs="Arial" w:eastAsia="Arial" w:hAnsi="Arial"/>
          <w:sz w:val="21"/>
          <w:szCs w:val="21"/>
          <w:color w:val="auto"/>
          <w:vertAlign w:val="superscript"/>
        </w:rPr>
      </w:pPr>
      <w:r>
        <w:rPr>
          <w:rFonts w:ascii="Arial" w:cs="Arial" w:eastAsia="Arial" w:hAnsi="Arial"/>
          <w:sz w:val="14"/>
          <w:szCs w:val="14"/>
          <w:color w:val="auto"/>
        </w:rPr>
        <w:t>https://seekingalpha.com/article/4643929-northrop-grumman-corporation-noc-q3-2023-earnings-call-transcript</w:t>
      </w:r>
    </w:p>
    <w:p>
      <w:pPr>
        <w:spacing w:after="0" w:line="53" w:lineRule="exact"/>
        <w:rPr>
          <w:sz w:val="20"/>
          <w:szCs w:val="20"/>
          <w:color w:val="auto"/>
        </w:rPr>
      </w:pPr>
    </w:p>
    <w:p>
      <w:pPr>
        <w:ind w:left="260" w:right="1220" w:hanging="252"/>
        <w:spacing w:after="0" w:line="218" w:lineRule="auto"/>
        <w:tabs>
          <w:tab w:leader="none" w:pos="248" w:val="left"/>
        </w:tabs>
        <w:numPr>
          <w:ilvl w:val="0"/>
          <w:numId w:val="182"/>
        </w:numPr>
        <w:rPr>
          <w:rFonts w:ascii="Arial" w:cs="Arial" w:eastAsia="Arial" w:hAnsi="Arial"/>
          <w:sz w:val="21"/>
          <w:szCs w:val="21"/>
          <w:color w:val="auto"/>
          <w:vertAlign w:val="superscript"/>
        </w:rPr>
      </w:pPr>
      <w:r>
        <w:rPr>
          <w:rFonts w:ascii="Arial" w:cs="Arial" w:eastAsia="Arial" w:hAnsi="Arial"/>
          <w:sz w:val="14"/>
          <w:szCs w:val="14"/>
          <w:color w:val="auto"/>
        </w:rPr>
        <w:t>https://news.northropgrumman.com/news/releases/northrop-grumman-awarded-contract-to-replace-aging-icbm-system#:~:text=8%2C%202020%20%E2%80%93%20Northrop%20Grumman%20Corporation,Ground%20Based%20Strategic%20Deterrent%20(GBSD)</w:t>
      </w:r>
    </w:p>
    <w:p>
      <w:pPr>
        <w:spacing w:after="0" w:line="2" w:lineRule="exact"/>
        <w:rPr>
          <w:sz w:val="20"/>
          <w:szCs w:val="20"/>
          <w:color w:val="auto"/>
        </w:rPr>
      </w:pPr>
    </w:p>
    <w:p>
      <w:pPr>
        <w:ind w:left="260" w:hanging="252"/>
        <w:spacing w:after="0"/>
        <w:tabs>
          <w:tab w:leader="none" w:pos="260" w:val="left"/>
        </w:tabs>
        <w:numPr>
          <w:ilvl w:val="0"/>
          <w:numId w:val="183"/>
        </w:numPr>
        <w:rPr>
          <w:rFonts w:ascii="Arial" w:cs="Arial" w:eastAsia="Arial" w:hAnsi="Arial"/>
          <w:sz w:val="21"/>
          <w:szCs w:val="21"/>
          <w:color w:val="auto"/>
          <w:vertAlign w:val="superscript"/>
        </w:rPr>
      </w:pPr>
      <w:r>
        <w:rPr>
          <w:rFonts w:ascii="Arial" w:cs="Arial" w:eastAsia="Arial" w:hAnsi="Arial"/>
          <w:sz w:val="14"/>
          <w:szCs w:val="14"/>
          <w:color w:val="auto"/>
        </w:rPr>
        <w:t>https://treaties.un.org/doc/Treaties/2017/07/20170707%2003-42%20PM/Ch_XXVl_9.pdf</w:t>
      </w:r>
    </w:p>
    <w:p>
      <w:pPr>
        <w:spacing w:after="0" w:line="2" w:lineRule="exact"/>
        <w:rPr>
          <w:sz w:val="20"/>
          <w:szCs w:val="20"/>
          <w:color w:val="auto"/>
        </w:rPr>
      </w:pPr>
    </w:p>
    <w:p>
      <w:pPr>
        <w:ind w:left="260" w:hanging="252"/>
        <w:spacing w:after="0"/>
        <w:tabs>
          <w:tab w:leader="none" w:pos="260" w:val="left"/>
        </w:tabs>
        <w:numPr>
          <w:ilvl w:val="0"/>
          <w:numId w:val="184"/>
        </w:numPr>
        <w:rPr>
          <w:rFonts w:ascii="Arial" w:cs="Arial" w:eastAsia="Arial" w:hAnsi="Arial"/>
          <w:sz w:val="21"/>
          <w:szCs w:val="21"/>
          <w:color w:val="auto"/>
          <w:vertAlign w:val="superscript"/>
        </w:rPr>
      </w:pPr>
      <w:r>
        <w:rPr>
          <w:rFonts w:ascii="Arial" w:cs="Arial" w:eastAsia="Arial" w:hAnsi="Arial"/>
          <w:sz w:val="14"/>
          <w:szCs w:val="14"/>
          <w:color w:val="auto"/>
        </w:rPr>
        <w:t>https://www.armscontrol.org/act/2021-05/features/inside-icbm-lobby-special-interests-national-interest</w:t>
      </w:r>
    </w:p>
    <w:p>
      <w:pPr>
        <w:spacing w:after="0" w:line="2" w:lineRule="exact"/>
        <w:rPr>
          <w:sz w:val="20"/>
          <w:szCs w:val="20"/>
          <w:color w:val="auto"/>
        </w:rPr>
      </w:pPr>
    </w:p>
    <w:p>
      <w:pPr>
        <w:ind w:left="260" w:hanging="252"/>
        <w:spacing w:after="0"/>
        <w:tabs>
          <w:tab w:leader="none" w:pos="260" w:val="left"/>
        </w:tabs>
        <w:numPr>
          <w:ilvl w:val="0"/>
          <w:numId w:val="185"/>
        </w:numPr>
        <w:rPr>
          <w:rFonts w:ascii="Arial" w:cs="Arial" w:eastAsia="Arial" w:hAnsi="Arial"/>
          <w:sz w:val="21"/>
          <w:szCs w:val="21"/>
          <w:color w:val="auto"/>
          <w:vertAlign w:val="superscript"/>
        </w:rPr>
      </w:pPr>
      <w:r>
        <w:rPr>
          <w:rFonts w:ascii="Arial" w:cs="Arial" w:eastAsia="Arial" w:hAnsi="Arial"/>
          <w:sz w:val="14"/>
          <w:szCs w:val="14"/>
          <w:color w:val="auto"/>
        </w:rPr>
        <w:t>https://assets.nationbuilder.com/ican/pages/3785/attachments/original/1686495965/ICAN_Spending_Report_2023_sm.pdf?1686495965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18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209" w:lineRule="auto"/>
        <w:rPr>
          <w:sz w:val="20"/>
          <w:szCs w:val="20"/>
          <w:color w:val="auto"/>
        </w:rPr>
      </w:pPr>
      <w:r>
        <w:rPr>
          <w:rFonts w:ascii="Arial" w:cs="Arial" w:eastAsia="Arial" w:hAnsi="Arial"/>
          <w:sz w:val="16"/>
          <w:szCs w:val="16"/>
          <w:color w:val="auto"/>
        </w:rPr>
        <w:t>In 2022, Northrop spent nearly $11 million on federal lobbying.</w:t>
      </w:r>
      <w:r>
        <w:rPr>
          <w:rFonts w:ascii="Arial" w:cs="Arial" w:eastAsia="Arial" w:hAnsi="Arial"/>
          <w:sz w:val="21"/>
          <w:szCs w:val="21"/>
          <w:color w:val="auto"/>
          <w:vertAlign w:val="superscript"/>
        </w:rPr>
        <w:t>9</w:t>
      </w:r>
      <w:r>
        <w:rPr>
          <w:rFonts w:ascii="Arial" w:cs="Arial" w:eastAsia="Arial" w:hAnsi="Arial"/>
          <w:sz w:val="16"/>
          <w:szCs w:val="16"/>
          <w:color w:val="auto"/>
        </w:rPr>
        <w:t xml:space="preserve"> Investors lack disclosure on these lobbying activities, particularly how they align with the Company’s Human Rights Policy.</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The UN has criticized the “symbiotic relationship” between governments and defense contractors, “which can cause States to approve arms exports despite genuine human rights risks that should prevent them.”</w:t>
      </w:r>
      <w:r>
        <w:rPr>
          <w:rFonts w:ascii="Arial" w:cs="Arial" w:eastAsia="Arial" w:hAnsi="Arial"/>
          <w:sz w:val="21"/>
          <w:szCs w:val="21"/>
          <w:color w:val="auto"/>
          <w:vertAlign w:val="superscript"/>
        </w:rPr>
        <w:t>11</w:t>
      </w:r>
      <w:r>
        <w:rPr>
          <w:rFonts w:ascii="Arial" w:cs="Arial" w:eastAsia="Arial" w:hAnsi="Arial"/>
          <w:sz w:val="16"/>
          <w:szCs w:val="16"/>
          <w:color w:val="auto"/>
        </w:rPr>
        <w:t xml:space="preserve"> Additionally, Northrop’s significant contributions to think tanks, such as the Center for a New American Security, lack transparency.</w:t>
      </w:r>
      <w:r>
        <w:rPr>
          <w:rFonts w:ascii="Arial" w:cs="Arial" w:eastAsia="Arial" w:hAnsi="Arial"/>
          <w:sz w:val="21"/>
          <w:szCs w:val="21"/>
          <w:color w:val="auto"/>
          <w:vertAlign w:val="superscript"/>
        </w:rPr>
        <w:t>12</w:t>
      </w:r>
      <w:r>
        <w:rPr>
          <w:rFonts w:ascii="Arial" w:cs="Arial" w:eastAsia="Arial" w:hAnsi="Arial"/>
          <w:sz w:val="16"/>
          <w:szCs w:val="16"/>
          <w:color w:val="auto"/>
        </w:rPr>
        <w:t xml:space="preserve"> A recent report published that Northrop donated at least $1.6 million in 2022 to think tanks that cover nuclear weapons.</w:t>
      </w:r>
      <w:r>
        <w:rPr>
          <w:rFonts w:ascii="Arial" w:cs="Arial" w:eastAsia="Arial" w:hAnsi="Arial"/>
          <w:sz w:val="21"/>
          <w:szCs w:val="21"/>
          <w:color w:val="auto"/>
          <w:vertAlign w:val="superscript"/>
        </w:rPr>
        <w:t>13</w:t>
      </w:r>
    </w:p>
    <w:p>
      <w:pPr>
        <w:spacing w:after="0" w:line="29"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Although Northrop commits to declining business opportunities with clients, “regardless whether it is legally permissible,” if human rights risks are “unacceptable,”</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its political activities appear misaligned with its human rights commitments. Establishing clear policies and reporting on misalignment is critical to mitigating material risks that harm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_________________________________</w:t>
      </w:r>
    </w:p>
    <w:p>
      <w:pPr>
        <w:spacing w:after="0" w:line="24" w:lineRule="exact"/>
        <w:rPr>
          <w:sz w:val="20"/>
          <w:szCs w:val="20"/>
          <w:color w:val="auto"/>
        </w:rPr>
      </w:pPr>
    </w:p>
    <w:p>
      <w:pPr>
        <w:ind w:left="260" w:hanging="252"/>
        <w:spacing w:after="0"/>
        <w:tabs>
          <w:tab w:leader="none" w:pos="260" w:val="left"/>
        </w:tabs>
        <w:numPr>
          <w:ilvl w:val="0"/>
          <w:numId w:val="187"/>
        </w:numPr>
        <w:rPr>
          <w:rFonts w:ascii="Arial" w:cs="Arial" w:eastAsia="Arial" w:hAnsi="Arial"/>
          <w:sz w:val="21"/>
          <w:szCs w:val="21"/>
          <w:color w:val="auto"/>
          <w:vertAlign w:val="superscript"/>
        </w:rPr>
      </w:pPr>
      <w:r>
        <w:rPr>
          <w:rFonts w:ascii="Arial" w:cs="Arial" w:eastAsia="Arial" w:hAnsi="Arial"/>
          <w:sz w:val="14"/>
          <w:szCs w:val="14"/>
          <w:color w:val="auto"/>
        </w:rPr>
        <w:t>https://www.opensecrets.org/orgs/northrop-grumman/summary?id=D000000170</w:t>
      </w:r>
    </w:p>
    <w:p>
      <w:pPr>
        <w:spacing w:after="0" w:line="15" w:lineRule="exact"/>
        <w:rPr>
          <w:sz w:val="20"/>
          <w:szCs w:val="20"/>
          <w:color w:val="auto"/>
        </w:rPr>
      </w:pPr>
    </w:p>
    <w:p>
      <w:pPr>
        <w:ind w:left="240" w:hanging="232"/>
        <w:spacing w:after="0"/>
        <w:tabs>
          <w:tab w:leader="none" w:pos="240" w:val="left"/>
        </w:tabs>
        <w:numPr>
          <w:ilvl w:val="0"/>
          <w:numId w:val="188"/>
        </w:numPr>
        <w:rPr>
          <w:rFonts w:ascii="Arial" w:cs="Arial" w:eastAsia="Arial" w:hAnsi="Arial"/>
          <w:sz w:val="21"/>
          <w:szCs w:val="21"/>
          <w:color w:val="auto"/>
          <w:vertAlign w:val="superscript"/>
        </w:rPr>
      </w:pPr>
      <w:r>
        <w:rPr>
          <w:rFonts w:ascii="Arial" w:cs="Arial" w:eastAsia="Arial" w:hAnsi="Arial"/>
          <w:sz w:val="14"/>
          <w:szCs w:val="14"/>
          <w:color w:val="auto"/>
        </w:rPr>
        <w:t>https://www.opensecrets.org/orgs/northrop-grumman/congressional-committees?id=D000000170</w:t>
      </w:r>
    </w:p>
    <w:p>
      <w:pPr>
        <w:spacing w:after="0" w:line="63" w:lineRule="exact"/>
        <w:rPr>
          <w:rFonts w:ascii="Arial" w:cs="Arial" w:eastAsia="Arial" w:hAnsi="Arial"/>
          <w:sz w:val="21"/>
          <w:szCs w:val="21"/>
          <w:color w:val="auto"/>
          <w:vertAlign w:val="superscript"/>
        </w:rPr>
      </w:pPr>
    </w:p>
    <w:p>
      <w:pPr>
        <w:ind w:left="240" w:hanging="232"/>
        <w:spacing w:after="0" w:line="187"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https://www.ohchr.org/sites/default/files/2022-08/BHR-Arms-sector-info-note.pdf</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https://3ba8a190-62da-4c98-86d2-893079d87083.usrfiles.com/ugd/3ba8a1_c7e3bfc7723d4021b54cbc145ae3f5eb.pdf</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https://assets.nationbuilder.com/ican/pages/3785/attachments/original/1686495965/ICAN_Spending_Report_2023_sm.pdf?1686495965</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https://www.northropgrumman.com/corporate-responsibility/northrop-grumman-human-rights-policy/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80"/>
        <w:spacing w:after="0"/>
        <w:tabs>
          <w:tab w:leader="none" w:pos="1104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 Statement in Opposition to Proposal 6</w:t>
      </w:r>
    </w:p>
    <w:p>
      <w:pPr>
        <w:spacing w:after="0" w:line="1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Board of Directors has carefully considered Proposal 6 and, for the reasons summarized below, unanimously recommends a vote against Proposal 6. The Board has determined that the action requested by the shareholder proposal is neither necessary nor in the best interests of Northrop Grumman or our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1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Proponents again are asking the Board annually to “conduct an evaluation and issue a public report describing the alignment of its political activities … with its Human Rights Policy,” and, in particular, listing “instances of misalignment.” Our shareholders overwhelmingly rejected a similar proposal at our 2023 Annual Meeting with approximately 20% support.</w:t>
      </w:r>
    </w:p>
    <w:p>
      <w:pPr>
        <w:spacing w:after="0" w:line="7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Proponents continue to suggest that the Company’s political activities are not aligned with, or in support of, the Company’s values and objectives, and that the best way to correct this is for our shareholders to seek an annual report to “list and explain instances of misalignment, and state whether and how the identified incongruencies have or will be addressed.” The Board continues to believe there is no such “misalignment” to evaluate and report.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is dedicated to advancing human rights and to transparency to enable shareholders to understand the nature and extent of our efforts.</w:t>
      </w:r>
    </w:p>
    <w:p>
      <w:pPr>
        <w:spacing w:after="0" w:line="113" w:lineRule="exact"/>
        <w:rPr>
          <w:sz w:val="20"/>
          <w:szCs w:val="20"/>
          <w:color w:val="auto"/>
        </w:rPr>
      </w:pPr>
    </w:p>
    <w:p>
      <w:pPr>
        <w:ind w:left="160" w:hanging="152"/>
        <w:spacing w:after="0"/>
        <w:tabs>
          <w:tab w:leader="none" w:pos="160"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are deeply committed to advancing human rights as reflected in our Human Rights Policy</w:t>
      </w:r>
    </w:p>
    <w:p>
      <w:pPr>
        <w:spacing w:after="0" w:line="113" w:lineRule="exact"/>
        <w:rPr>
          <w:rFonts w:ascii="Arial" w:cs="Arial" w:eastAsia="Arial" w:hAnsi="Arial"/>
          <w:sz w:val="16"/>
          <w:szCs w:val="16"/>
          <w:color w:val="29378D"/>
        </w:rPr>
      </w:pPr>
    </w:p>
    <w:p>
      <w:pPr>
        <w:ind w:left="200" w:hanging="192"/>
        <w:spacing w:after="0" w:line="304" w:lineRule="auto"/>
        <w:tabs>
          <w:tab w:leader="none" w:pos="157"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conduct political activities in a manner fully consistent with our values and applicable laws and the Policy Committee of our Board provides oversight of such activities to support long-term, sustainable growth in the interest of our shareholders</w:t>
      </w:r>
    </w:p>
    <w:p>
      <w:pPr>
        <w:spacing w:after="0" w:line="33" w:lineRule="exact"/>
        <w:rPr>
          <w:rFonts w:ascii="Arial" w:cs="Arial" w:eastAsia="Arial" w:hAnsi="Arial"/>
          <w:sz w:val="16"/>
          <w:szCs w:val="16"/>
          <w:color w:val="29378D"/>
        </w:rPr>
      </w:pPr>
    </w:p>
    <w:p>
      <w:pPr>
        <w:ind w:left="200" w:right="700" w:hanging="192"/>
        <w:spacing w:after="0" w:line="304" w:lineRule="auto"/>
        <w:tabs>
          <w:tab w:leader="none" w:pos="157"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support broad transparency, including as it relates to both human rights and our political activities and have a strong track-record of providing transparent disclosure regarding our political activities</w:t>
      </w:r>
    </w:p>
    <w:p>
      <w:pPr>
        <w:spacing w:after="0" w:line="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Proponents again seem to take issue with the fact that the Company has contracts that support the nuclear triad. We continue to believe these programs are important to our country’s national security, providing a deterrent to would-be aggressors. We believe also that these efforts enhance the safety of our country and allies and help enable the continued success of our Company to the benefit of our shareholders. We do not believe they are misaligned with our commitment to human rights; to the contrary, we believe they are an important deterrent to those who may seek to deny human rights.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believe strongly in advancing human rights and have a robust Human Rights Policy in support of this commitment.</w:t>
      </w:r>
    </w:p>
    <w:p>
      <w:pPr>
        <w:spacing w:after="0" w:line="11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We have a robust Human Rights Policy that builds on our values and commitment to human rights and details various elements of our approach to protecting and advancing human rights, including:</w:t>
      </w:r>
    </w:p>
    <w:p>
      <w:pPr>
        <w:spacing w:after="0" w:line="61" w:lineRule="exact"/>
        <w:rPr>
          <w:sz w:val="20"/>
          <w:szCs w:val="20"/>
          <w:color w:val="auto"/>
        </w:rPr>
      </w:pPr>
    </w:p>
    <w:p>
      <w:pPr>
        <w:ind w:left="200" w:right="12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People: We treat employees, suppliers, partners, customers and competitors with dignity and respect, protecting and progressing their human rights. We respect and embrace differences and believe that differing viewpoints enable us to think more broadly and allow us collectively to better serve our customers and communities.</w:t>
      </w:r>
    </w:p>
    <w:p>
      <w:pPr>
        <w:spacing w:after="0" w:line="56" w:lineRule="exact"/>
        <w:rPr>
          <w:rFonts w:ascii="Arial" w:cs="Arial" w:eastAsia="Arial" w:hAnsi="Arial"/>
          <w:sz w:val="16"/>
          <w:szCs w:val="16"/>
          <w:color w:val="29378D"/>
        </w:rPr>
      </w:pPr>
    </w:p>
    <w:p>
      <w:pPr>
        <w:ind w:left="200" w:right="18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Supply Chain: We are committed to high standards of ethical and business conduct as it relates to the procurement of goods and services. We treat our suppliers with respect and integrity. And we require our suppliers to conduct themselves similarly, in a manner consistent with our values and our Standards of Business Conduct for Suppliers and Other Trading Partners.</w:t>
      </w:r>
    </w:p>
    <w:p>
      <w:pPr>
        <w:spacing w:after="0" w:line="56" w:lineRule="exact"/>
        <w:rPr>
          <w:rFonts w:ascii="Arial" w:cs="Arial" w:eastAsia="Arial" w:hAnsi="Arial"/>
          <w:sz w:val="16"/>
          <w:szCs w:val="16"/>
          <w:color w:val="29378D"/>
        </w:rPr>
      </w:pPr>
    </w:p>
    <w:p>
      <w:pPr>
        <w:ind w:left="200" w:right="80" w:hanging="192"/>
        <w:spacing w:after="0" w:line="26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Programs and Products: We are committed to high standards of ethical and business conduct as it relates to the development of our products, and to how and where we provide goods and services. We consider potential risks, including risks to human rights at different stages through the life cycle of a product. We are mindful of potential unintended uses of our products. We have robust processes to help ensure the Company does not do business in countries, or sell products to customers, that are not properly approved by the government and consistent with U.S. law and our values.</w:t>
      </w:r>
    </w:p>
    <w:p>
      <w:pPr>
        <w:spacing w:after="0" w:line="78" w:lineRule="exact"/>
        <w:rPr>
          <w:rFonts w:ascii="Arial" w:cs="Arial" w:eastAsia="Arial" w:hAnsi="Arial"/>
          <w:sz w:val="16"/>
          <w:szCs w:val="16"/>
          <w:color w:val="29378D"/>
        </w:rPr>
      </w:pPr>
    </w:p>
    <w:p>
      <w:pPr>
        <w:ind w:left="200" w:hanging="192"/>
        <w:spacing w:after="0" w:line="286"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Communities: We invest in our communities, including providing funding and support to a wide range of local, national and international causes across the globe.</w:t>
      </w:r>
    </w:p>
    <w:p>
      <w:pPr>
        <w:spacing w:after="0" w:line="47" w:lineRule="exact"/>
        <w:rPr>
          <w:rFonts w:ascii="Arial" w:cs="Arial" w:eastAsia="Arial" w:hAnsi="Arial"/>
          <w:sz w:val="16"/>
          <w:szCs w:val="16"/>
          <w:color w:val="29378D"/>
        </w:rPr>
      </w:pPr>
    </w:p>
    <w:p>
      <w:pPr>
        <w:ind w:left="20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The Environment: We conduct our operations in an environmentally responsible manner, in compliance with all applicable legal requirements and Company-imposed objectives. We establish various specific environmental goals and monitor and report on our progress against them. We are committed to sustainability.</w:t>
      </w:r>
    </w:p>
    <w:p>
      <w:pPr>
        <w:spacing w:after="0" w:line="69" w:lineRule="exact"/>
        <w:rPr>
          <w:rFonts w:ascii="Arial" w:cs="Arial" w:eastAsia="Arial" w:hAnsi="Arial"/>
          <w:sz w:val="16"/>
          <w:szCs w:val="16"/>
          <w:color w:val="29378D"/>
        </w:rPr>
      </w:pPr>
    </w:p>
    <w:p>
      <w:pPr>
        <w:ind w:left="160" w:hanging="152"/>
        <w:spacing w:after="0"/>
        <w:tabs>
          <w:tab w:leader="none" w:pos="160"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Commitment to Integrity: We are committed to acting with integrity, which lies at the core of our culture.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494"/>
        <w:spacing w:after="0"/>
        <w:tabs>
          <w:tab w:leader="none" w:pos="520" w:val="left"/>
        </w:tabs>
        <w:numPr>
          <w:ilvl w:val="0"/>
          <w:numId w:val="19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are committed to high standards of ethical and business conduct, consistent with our values, including with respect to human rights, in our provision of goods and services to our customers. Our broad portfolio is aligned to support national security priorities in furtherance of the long-term success of our Company to the benefit of our shareholders. We regularly evaluate our portfolio and, from time to time, we may determine that certain opportunities present undue risks to the Company or others, including risks related to human rights concerns, and elect to exit or not pursue certain business in light of such risks. For example, in January 2024 the Company announced that it had completed its production contract and was no longer producing depleted uranium ammunition.</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Our commitment to human rights is also discussed and more fully described in our Human Rights Report which is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 The Policy Committee of the Board reviews and provides oversight of the Company’s policies supporting human rights and receives a report at least annually on the Company’s Human Rights Working Group.</w:t>
      </w:r>
    </w:p>
    <w:p>
      <w:pPr>
        <w:spacing w:after="0" w:line="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Our political activities are in accordance with all applicable laws and our high standards of ethics and integrity; these activities are overseen by the Policy Committee of the Board.</w:t>
      </w:r>
    </w:p>
    <w:p>
      <w:pPr>
        <w:spacing w:after="0" w:line="3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engage in the democratic process in various ways, and express views on certain issues of public policy that impact our Company. As noted above, we undertake political activities consistent with all applicable laws, our values and our standards of ethics and integrity both 1) directly, from Company funds, and 2) by our employees, through their contributions to our voluntary, nonpartisan employee political action committee, the Employees of Northrop Grumman Political Action Committee (ENGPAC). Our political activities are managed by the Chief Strategy and Development Officer, who reports directly to the Chief Executive Officer. In addition, the Policy Committee reviews the Company’s government relations strategy and provides oversight of the Company’s policies and practices with respect to political contributions. The Policy Committee, which reviews both the government relations strategy and the Company policies supporting human rights, is best positioned to ensure our activities in both areas are aligned.</w:t>
      </w:r>
    </w:p>
    <w:p>
      <w:pPr>
        <w:spacing w:after="0" w:line="6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support transparency, including as it relates to both human rights and our political activities, to enable shareholders and other stakeholders to know what we do.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transparency into our political activities, and fully comply with all public disclosure requirements. Specifically:</w:t>
      </w:r>
    </w:p>
    <w:p>
      <w:pPr>
        <w:spacing w:after="0" w:line="113" w:lineRule="exact"/>
        <w:rPr>
          <w:sz w:val="20"/>
          <w:szCs w:val="20"/>
          <w:color w:val="auto"/>
        </w:rPr>
      </w:pPr>
    </w:p>
    <w:p>
      <w:pPr>
        <w:ind w:left="200" w:right="380" w:hanging="192"/>
        <w:spacing w:after="0" w:line="304"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We provide information and insight into our political activities on our website, and we update this information, including as a result of prior shareholder engagement.</w:t>
      </w:r>
    </w:p>
    <w:p>
      <w:pPr>
        <w:spacing w:after="0" w:line="33" w:lineRule="exact"/>
        <w:rPr>
          <w:rFonts w:ascii="Arial" w:cs="Arial" w:eastAsia="Arial" w:hAnsi="Arial"/>
          <w:sz w:val="16"/>
          <w:szCs w:val="16"/>
          <w:color w:val="29378D"/>
        </w:rPr>
      </w:pPr>
    </w:p>
    <w:p>
      <w:pPr>
        <w:ind w:left="200" w:right="20" w:hanging="192"/>
        <w:spacing w:after="0" w:line="265"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We file quarterly activity reports in compliance with the Lobbying Disclosure Act and Honest Leadership and Open Government Act. These reports, which are filed with the Clerk of the U.S. House of Representatives and the Secretary of the U.S. Senate, are posted on the House and Senate websites and are accessible to the public. We file similar reports when required at the state level. Consultants who lobby on behalf of the Company are required to adhere to these disclosure requirements as well.</w:t>
      </w:r>
    </w:p>
    <w:p>
      <w:pPr>
        <w:spacing w:after="0" w:line="78" w:lineRule="exact"/>
        <w:rPr>
          <w:rFonts w:ascii="Arial" w:cs="Arial" w:eastAsia="Arial" w:hAnsi="Arial"/>
          <w:sz w:val="16"/>
          <w:szCs w:val="16"/>
          <w:color w:val="29378D"/>
        </w:rPr>
      </w:pPr>
    </w:p>
    <w:p>
      <w:pPr>
        <w:ind w:left="200" w:right="20" w:hanging="192"/>
        <w:spacing w:after="0" w:line="266"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Contributions made by Northrop Grumman employees through ENGPAC are fully and publicly disclosed both through public filings and on our website. We also disclose on our website trade associations to which the Company paid $25,000 or more in annual dues, including the portion of such dues that we understand are used for non-deductible purposes.</w:t>
      </w:r>
    </w:p>
    <w:p>
      <w:pPr>
        <w:spacing w:after="0" w:line="77"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We do not believe the action recommended by the proponents will enhance the Company’s ability to advance human rights or improve the Company’s political activities.</w:t>
      </w:r>
    </w:p>
    <w:p>
      <w:pPr>
        <w:spacing w:after="0" w:line="4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As discussed above, we conduct our political activities consistent and in alignment with our values and our commitment to human rights, supporting the Company and our shareholders. And we continue to support broad transparency into the Company’s human rights program and political expenditures and contributions, and, as noted above, provide detailed information into these expenses. Indeed, we are proud to have been recognized by the Center for Political Accountability (CPA) and the Zicklin Center for Business Ethics Research for our transparency, policies and strong disclosure practices related to political expenditures. The Zicklin Index measures electoral spending transparency among the largest corporations in the U.S. We were one of 18 companies to receive a 100% score in the CPA-Zicklin Index in 2023 and have received a 100% score for the last five years, recognizing our longstanding commitment to transparency.</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However, we do not believe it is necessary, practical or constructive to attempt to report specifically on any instances in which the proponents might conclude that a political activity is somehow “misaligned” with their perspective on our Human Rights Policy. We do not believe there would be any instances of misalignment to report, or that such a report would enhance our Human Rights Policy or the effectiveness of the Company’s political activities.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Board does not believe the shareholder proposal is in the best interest of the Company or its shareholders, and unanimously recommends a vote against the proposal.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40575" cy="4114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00249C"/>
        </w:rPr>
        <w:t>“AGAINST”</w:t>
      </w:r>
      <w:r>
        <w:rPr>
          <w:rFonts w:ascii="Arial" w:cs="Arial" w:eastAsia="Arial" w:hAnsi="Arial"/>
          <w:sz w:val="14"/>
          <w:szCs w:val="14"/>
          <w:b w:val="1"/>
          <w:bCs w:val="1"/>
          <w:color w:val="auto"/>
        </w:rPr>
        <w:t xml:space="preserve"> PROPOSAL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 w:hanging="494"/>
        <w:spacing w:after="0"/>
        <w:tabs>
          <w:tab w:leader="none" w:pos="520" w:val="left"/>
        </w:tabs>
        <w:numPr>
          <w:ilvl w:val="0"/>
          <w:numId w:val="19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8" w:right="519" w:bottom="1440" w:gutter="0" w:footer="0" w:header="0"/>
        </w:sectPr>
      </w:pPr>
    </w:p>
    <w:bookmarkStart w:id="105" w:name="page106"/>
    <w:bookmarkEnd w:id="105"/>
    <w:p>
      <w:pPr>
        <w:spacing w:after="0"/>
        <w:rPr>
          <w:sz w:val="20"/>
          <w:szCs w:val="20"/>
          <w:color w:val="auto"/>
        </w:rPr>
      </w:pPr>
      <w:r>
        <w:rPr>
          <w:rFonts w:ascii="Arial" w:cs="Arial" w:eastAsia="Arial" w:hAnsi="Arial"/>
          <w:sz w:val="43"/>
          <w:szCs w:val="43"/>
          <w:b w:val="1"/>
          <w:bCs w:val="1"/>
          <w:color w:val="29378D"/>
        </w:rPr>
        <w:t>Proposal 7: Shareholder Proposal</w:t>
      </w:r>
    </w:p>
    <w:p>
      <w:pPr>
        <w:spacing w:after="0" w:line="200" w:lineRule="exact"/>
        <w:rPr>
          <w:sz w:val="20"/>
          <w:szCs w:val="20"/>
          <w:color w:val="auto"/>
        </w:rPr>
      </w:pPr>
    </w:p>
    <w:p>
      <w:pPr>
        <w:spacing w:after="0" w:line="26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Mr. John Chevedden, 2215 Nelson Avenue, No. 205, Redondo Beach, California 90278, a beneficial owner of 10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79" w:lineRule="exact"/>
        <w:rPr>
          <w:sz w:val="20"/>
          <w:szCs w:val="20"/>
          <w:color w:val="auto"/>
        </w:rPr>
      </w:pPr>
    </w:p>
    <w:p>
      <w:pPr>
        <w:ind w:right="280"/>
        <w:spacing w:after="0" w:line="307" w:lineRule="auto"/>
        <w:rPr>
          <w:sz w:val="20"/>
          <w:szCs w:val="20"/>
          <w:color w:val="auto"/>
        </w:rPr>
      </w:pPr>
      <w:r>
        <w:rPr>
          <w:rFonts w:ascii="Arial" w:cs="Arial" w:eastAsia="Arial" w:hAnsi="Arial"/>
          <w:sz w:val="32"/>
          <w:szCs w:val="32"/>
          <w:b w:val="1"/>
          <w:bCs w:val="1"/>
          <w:color w:val="auto"/>
        </w:rPr>
        <w:t>Proposal 7: Shareholder Proposal to Provide for an Independent Board Chair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7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166370</wp:posOffset>
            </wp:positionV>
            <wp:extent cx="2451735" cy="4546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517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Whenever possible, the Chairman of the Board shall be an Independent Director.</w:t>
      </w: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The Board has the discretion to select a Temporary Chairman of the Board who is not an Independent Director to serve while the Board is seeking an Independent Chairman of the Board on an accelerated basis.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It is a best practice to adopt this policy soon. However this policy could be phased in when there is a contract renewal for our current CEO or for the next CEO transition.</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roles of Chairman and CEO are fundamentally different and should be held by 2 directors, a CEO and a Chairman who is completely independent of the CEO and our company. The job of the CEO is to manage the company. The job of the Chairman is to oversee the CEO.</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This proposal is important to Northrop Grumman because Northrop Grumman has given the 2 most important jobs in the Company, CEO and Chairman, to one person. Supposedly to counter balance this concentration of power Northrop Grumman has a so-called lead director, Ms. Madeleine Kleiner.</w:t>
      </w:r>
    </w:p>
    <w:p>
      <w:pPr>
        <w:spacing w:after="0" w:line="18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Due to the limited information on the qualifications of NOC directors, that applies to all NOC directors, shareholders do not have ample information on whether Ms. Kleiner is qualified.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What can be gleaned from the limited annual meeting proxy information is that Ms. Kleiner does not appear to have had a day job for 16-years or since 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Kleiner was age 56. And the only directorships of note ever involve Jack in the Box and golf.</w:t>
      </w:r>
    </w:p>
    <w:p>
      <w:pPr>
        <w:spacing w:after="0" w:line="219" w:lineRule="exact"/>
        <w:rPr>
          <w:sz w:val="20"/>
          <w:szCs w:val="20"/>
          <w:color w:val="auto"/>
        </w:rPr>
      </w:pPr>
    </w:p>
    <w:p>
      <w:pPr>
        <w:jc w:val="both"/>
        <w:ind w:right="360"/>
        <w:spacing w:after="0" w:line="248" w:lineRule="auto"/>
        <w:rPr>
          <w:sz w:val="20"/>
          <w:szCs w:val="20"/>
          <w:color w:val="auto"/>
        </w:rPr>
      </w:pPr>
      <w:r>
        <w:rPr>
          <w:rFonts w:ascii="Arial" w:cs="Arial" w:eastAsia="Arial" w:hAnsi="Arial"/>
          <w:sz w:val="16"/>
          <w:szCs w:val="16"/>
          <w:color w:val="auto"/>
        </w:rPr>
        <w:t>This proposal topic received more than 39%-support at the 2023 NOC annual meeting. More than 39%-support is significant because it takes a lot more conviction for a shareholder to vote for this proposal ― based on the merits ― than to simply follow the party line from the NOC Board of Directors. The 39%-support is up from 29%-support for this proposal topic at the 2013 NOC annual meeting.</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Please vote yes: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Independent Board Chairman — Proposal 7</w:t>
      </w:r>
    </w:p>
    <w:p>
      <w:pPr>
        <w:sectPr>
          <w:pgSz w:w="11900" w:h="16838" w:orient="portrait"/>
          <w:cols w:equalWidth="0" w:num="1">
            <w:col w:w="11220"/>
          </w:cols>
          <w:pgMar w:left="320" w:top="12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280"/>
        <w:spacing w:after="0"/>
        <w:tabs>
          <w:tab w:leader="none" w:pos="109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Proposal 7: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 Statement in Opposition to Proposal 7</w:t>
      </w:r>
    </w:p>
    <w:p>
      <w:pPr>
        <w:spacing w:after="0" w:line="2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of Directors continues to oppose this proposal. Our shareholders have previously considered similar independent chair proposals and declined to provide majority support to such proposals six times since 2012, most recently at our 2023 Annual Meeting.</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is committed to strong and effective leadership and governance, including independent oversight, and believes the Company and its shareholders are best served when the Board retains the flexibility to utilize its experience, knowledge and judgment, informed by ongoing input from our shareholders, to determine which director is best suited to serve as Chair and as Lead Independent Director in light of the facts and circumstances at the time. This proposal would deprive the Board of critical flexibility at any given time to determine the most effective leadership structure to serve the interests of the Company and its shareholders, considering the full breadth of circumstances, as discussed below.</w:t>
      </w:r>
    </w:p>
    <w:p>
      <w:pPr>
        <w:spacing w:after="0" w:line="8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Under our Bylaws and Principles of Corporate Governance, the Board has the authority to determine whether the positions of Chair and Chief Executive Officer should be held by the same or different persons, and re-evaluates and makes this determination at least annually. The Board has the flexibility to consider what is best for the Company and its shareholders, in light of all facts and circumstances known to the Board at the time. The Board has exercised this authority previously both to nominate independent Chairs and to nominate the CEO as Chair, depending on the circumstances and the needs of the Company. For example, the Board selected a director who was not a CEO to serve as Chair during a period of leadership transition in 2019 when Ms. Warden first assumed the role of CEO.</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considers a wide range of factors when determining the most effective leadership structure for the Board. These factors include:</w:t>
      </w:r>
    </w:p>
    <w:p>
      <w:pPr>
        <w:spacing w:after="0" w:line="129" w:lineRule="exact"/>
        <w:rPr>
          <w:sz w:val="20"/>
          <w:szCs w:val="20"/>
          <w:color w:val="auto"/>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role of the Board and the responsibilities of the Lead Independent Director and the Chair;</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experience and capabilities of the directors and the management team;</w:t>
      </w:r>
    </w:p>
    <w:p>
      <w:pPr>
        <w:spacing w:after="0" w:line="125"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strategic and other challenges and opportunities facing the Company, both at the time and in the near future;</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evolving environment in which we operate and the requirements on management and the Board;</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security, geopolitical and macroeconomic environments;</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relationships with our largest customers, appropriators and regulators;</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confidence shareholders have in the Company’s leadership;</w:t>
      </w:r>
    </w:p>
    <w:p>
      <w:pPr>
        <w:spacing w:after="0" w:line="125"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importance of presenting one leadership voice to our customers in the U.S. and globally; and</w:t>
      </w:r>
    </w:p>
    <w:p>
      <w:pPr>
        <w:spacing w:after="0" w:line="149" w:lineRule="exact"/>
        <w:rPr>
          <w:rFonts w:ascii="Arial" w:cs="Arial" w:eastAsia="Arial" w:hAnsi="Arial"/>
          <w:sz w:val="22"/>
          <w:szCs w:val="22"/>
          <w:color w:val="29378D"/>
        </w:rPr>
      </w:pPr>
    </w:p>
    <w:p>
      <w:pPr>
        <w:ind w:left="200" w:right="660" w:hanging="192"/>
        <w:spacing w:after="0" w:line="229" w:lineRule="auto"/>
        <w:tabs>
          <w:tab w:leader="none" w:pos="135"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importance of promoting a clear, unified strategic vision for the Company, assuring that strategies adopted by the Board are well-positioned for execution by management.</w:t>
      </w:r>
    </w:p>
    <w:p>
      <w:pPr>
        <w:spacing w:after="0" w:line="8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Following the 2023 Annual Meeting in May 2023, the Board again concluded that the Company would be best served by having Ms. Warden, our Chief Executive Officer, continue to serve as Chair and Ms. Kleiner continue to serve as Lead Independent Director. The Board believes this is the most appropriate leadership structure for the Company at this time. Ms. Warden’s deep understanding of the Company (including its risks and opportunities, and our customers), coupled with her broad experience with industry and matters of corporate governance (gained through, for example, her leadership roles with other companies and organizations), enables her to provide strong and effective Board leadership. This leadership structure, coupled with a strong Lead Independent Director, reflects what the Board understands to be both shareholder and customer confidence, and it positions the Company to succeed in today’s rapidly changing environment – with innovation, digital transformation, financial acumen, a global strategy, and a focus on performance, people, technology, culture and long-term value creation for our shareholders. The Company also engages with shareholders on this issue as part of our regular outreach and shareholder engagement efforts.</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Bylaws and Principles of Corporate Governance require the Board to designate a Lead Independent Director from among them when the Chair is not independent. Ms. Kleiner first assumed this role in December 2022. Having served as a Director since 2008, she is intimately familiar with the Company, the oversight role of the Board, and issues of corporate governance and risk management. She has served on the Audit and Risk Committee, the Compensation and Human Capital Committee and served as Chair of the Nominating and Corporate Governance Committee from 2015 to 2022. During 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19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Proposal 7: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tenure as a director, including as Lead Independent Director, Ms. Kleiner has engaged with investors and demonstrated strong leadership skills, independent thinking and a deep understanding of our business and our shareholders’ interests.</w:t>
      </w:r>
    </w:p>
    <w:p>
      <w:pPr>
        <w:spacing w:after="0" w:line="6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Principles of Corporate Governance explicitly prescribe a strong role for our Lead Independent Director, describing in detail significant responsibilities with respect to the operation and functioning of the Board and reflecting our commitment to robust corporate governance. Among other roles, the Lead Independent Director is charged with calling, establishing the agenda for, and chairing meetings of, the independent directors, and approves the schedule of Board and committee meetings to assure there is significant opportunity for the Board to consider properly all necessary agenda items. The Lead Independent Director also meets with shareholders, and works closely with the Chair to provide independent oversight and ensure the Board effectively meets its responsibilities. The Lead Independent Director also meets at least annually with each director individually to both review their performance and the performance of the Board as a whole and leads the annual evaluation of the Chair and CEO. Additionally, the Lead Independent Director works closely with the Chair to facilitate succession planning and management development. For a more detailed discussion of the duties of the Lead Independent Director, see "Corporate Governance — Board Leadership Structure — Lead Independent Director” in this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consists entirely of independent directors, other than Ms. Warden, and continues to exercise a strong, independent oversight function (including</w:t>
      </w:r>
    </w:p>
    <w:p>
      <w:pPr>
        <w:spacing w:after="0" w:line="7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through Board committees which are comprised entirely of independent directors). At each Board meeting, there is a scheduled session of the independent directors, led by the Lead Independent Director (if the Chair is not independent). And, among other roles, the independent directors elect the CEO, approve her or his annual compensation, provide performance feedback and direction, and oversee a robust succession planning process. The Board does not believe the Chair must always be an independent director to ensure that the Board operates effectively to serve the interests of the Company and its shareholders.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Board believes that the Company’s balanced and flexible corporate governance structure, including a Lead Independent Director with well-defined, comprehensive and meaningful duties, and strong corporate governance practices, make it not only unnecessary, but ill-advised to adopt a policy that would mandate that the Chair be an independent director. The Board believes that adopting such a rule would deprive the Board of the flexibility to act in the best interest of the Company and its shareholders in selecting the director it believes is best suited to serve as Chair of the Board.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40575" cy="4114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00249C"/>
        </w:rPr>
        <w:t>“AGAINST”</w:t>
      </w:r>
      <w:r>
        <w:rPr>
          <w:rFonts w:ascii="Arial" w:cs="Arial" w:eastAsia="Arial" w:hAnsi="Arial"/>
          <w:sz w:val="14"/>
          <w:szCs w:val="14"/>
          <w:b w:val="1"/>
          <w:bCs w:val="1"/>
          <w:color w:val="auto"/>
        </w:rPr>
        <w:t xml:space="preserve"> PROPOSAL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ind w:right="1540"/>
        <w:spacing w:after="0" w:line="298" w:lineRule="auto"/>
        <w:rPr>
          <w:sz w:val="20"/>
          <w:szCs w:val="20"/>
          <w:color w:val="auto"/>
        </w:rPr>
      </w:pPr>
      <w:r>
        <w:rPr>
          <w:rFonts w:ascii="Arial" w:cs="Arial" w:eastAsia="Arial" w:hAnsi="Arial"/>
          <w:sz w:val="43"/>
          <w:szCs w:val="43"/>
          <w:b w:val="1"/>
          <w:bCs w:val="1"/>
          <w:color w:val="29378D"/>
        </w:rPr>
        <w:t>Transactions with Related Persons and Control Persons</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Related Person Transactions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 The policy provides for related person transactions to be reviewed in advance and approved or ratified, as applicable, by the Board of Directors, the Nominating and Corporate Governance Committee or the Chair of the Nominating and Corporate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61" w:lineRule="exact"/>
        <w:rPr>
          <w:sz w:val="20"/>
          <w:szCs w:val="20"/>
          <w:color w:val="auto"/>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any of our directors, nominees for director or executive officers;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any person who is known to be the beneficial owner of more than 5% of our common stock; or</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 immediate family member of any such persons.</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Under exceptional circumstances, if a related person transaction has not been approved in advance, the Nominating and Corporate Governance Committee will recommend to the Board of Directors such action as the Nominating and Corporate Governance Committee deems appropriate, including ratification, amendment or termination of the transaction.</w:t>
      </w:r>
    </w:p>
    <w:p>
      <w:pPr>
        <w:spacing w:after="0" w:line="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policy requires each director and executive officer to complete an annual questionnaire to identify his or her related interests and to notify the Corporate Secretary of any changes in their information.</w:t>
      </w:r>
    </w:p>
    <w:p>
      <w:pPr>
        <w:spacing w:after="0" w:line="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the ordinary course of business and in connection with various subcontractor agreements, the Company makes payments to and receives payments from CACI International Inc. The spouse of our Corporate Vice President and Chief Human Resources Officer, Ann Addison, who served as an executive officer for part of 2023, is the President and Chief Executive Officer and a member of the Board of Directors of CACI. In 2023, the Company made payments to CACI of approximately $54.3 million and received payments from CACI of approximately $742.7 thousand.</w:t>
      </w:r>
    </w:p>
    <w:p>
      <w:pPr>
        <w:spacing w:after="0" w:line="6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State Street Corporation (State Street), acting in various fiduciary capacities, filed a Schedule 13G/A with the SEC reporting that as of December 31, 2023,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2023, those State Street subsidiaries received approximately $6.4 million for such services, all of which was paid by the plan trusts.</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BlackRock, Inc. (BlackRock) filed a Schedule 13G/A with the SEC reporting that as of December 31, 2023, BlackRock and certain of its subsidiaries collectively were the beneficial owners of more than 5% of our outstanding common stock. A subsidiary of BlackRock provides investment management services for certain assets within various Northrop Grumman defined benefit plan trusts. During 2023, the trusts paid that BlackRock subsidiary approximately $128,000 for such services.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Indemnification Agreements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19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of the Company or any other entity at our request, provided however, that the indemnitee acted in good faith and in a manner reasonably believed to be in the best interests of our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0" w:name="page111"/>
    <w:bookmarkEnd w:id="110"/>
    <w:p>
      <w:pPr>
        <w:spacing w:after="0"/>
        <w:rPr>
          <w:sz w:val="20"/>
          <w:szCs w:val="20"/>
          <w:color w:val="auto"/>
        </w:rPr>
      </w:pPr>
      <w:r>
        <w:rPr>
          <w:rFonts w:ascii="Arial" w:cs="Arial" w:eastAsia="Arial" w:hAnsi="Arial"/>
          <w:sz w:val="43"/>
          <w:szCs w:val="43"/>
          <w:b w:val="1"/>
          <w:bCs w:val="1"/>
          <w:color w:val="29378D"/>
        </w:rPr>
        <w:t>Voting Securities and Principal Holders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Ownership of Certain Beneficial Holders</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following entities beneficially owned, to the best of our knowledge, more than five percent of the outstanding common stock as of the dates indicated in the footnotes below. All information shown is based on information reported by the filer on a Schedule 13G filed with the SEC on the dates indicated in the footnotes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3980" w:type="dxa"/>
            <w:vAlign w:val="bottom"/>
          </w:tcPr>
          <w:p>
            <w:pPr>
              <w:jc w:val="right"/>
              <w:spacing w:after="0"/>
              <w:rPr>
                <w:sz w:val="20"/>
                <w:szCs w:val="20"/>
                <w:color w:val="auto"/>
              </w:rPr>
            </w:pPr>
            <w:r>
              <w:rPr>
                <w:rFonts w:ascii="Arial" w:cs="Arial" w:eastAsia="Arial" w:hAnsi="Arial"/>
                <w:sz w:val="13"/>
                <w:szCs w:val="13"/>
                <w:b w:val="1"/>
                <w:bCs w:val="1"/>
                <w:color w:val="auto"/>
              </w:rPr>
              <w:t>Amount and Nature of</w:t>
            </w:r>
          </w:p>
        </w:tc>
        <w:tc>
          <w:tcPr>
            <w:tcW w:w="5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Beneficial Ownership of</w:t>
            </w:r>
          </w:p>
        </w:tc>
        <w:tc>
          <w:tcPr>
            <w:tcW w:w="5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586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77"/>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3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860" w:type="dxa"/>
            <w:vAlign w:val="bottom"/>
            <w:vMerge w:val="continue"/>
          </w:tcPr>
          <w:p>
            <w:pPr>
              <w:spacing w:after="0"/>
              <w:rPr>
                <w:sz w:val="8"/>
                <w:szCs w:val="8"/>
                <w:color w:val="auto"/>
              </w:rPr>
            </w:pPr>
          </w:p>
        </w:tc>
        <w:tc>
          <w:tcPr>
            <w:tcW w:w="39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5860" w:type="dxa"/>
            <w:vAlign w:val="bottom"/>
            <w:tcBorders>
              <w:bottom w:val="single" w:sz="8" w:color="29378D"/>
            </w:tcBorders>
          </w:tcPr>
          <w:p>
            <w:pPr>
              <w:spacing w:after="0" w:line="20" w:lineRule="exact"/>
              <w:rPr>
                <w:sz w:val="1"/>
                <w:szCs w:val="1"/>
                <w:color w:val="auto"/>
              </w:rPr>
            </w:pPr>
          </w:p>
        </w:tc>
        <w:tc>
          <w:tcPr>
            <w:tcW w:w="3980" w:type="dxa"/>
            <w:vAlign w:val="bottom"/>
            <w:tcBorders>
              <w:bottom w:val="single" w:sz="8" w:color="29378D"/>
            </w:tcBorders>
          </w:tcPr>
          <w:p>
            <w:pPr>
              <w:spacing w:after="0" w:line="20" w:lineRule="exact"/>
              <w:rPr>
                <w:sz w:val="1"/>
                <w:szCs w:val="1"/>
                <w:color w:val="auto"/>
              </w:rPr>
            </w:pPr>
          </w:p>
        </w:tc>
        <w:tc>
          <w:tcPr>
            <w:tcW w:w="52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State Street Corporation</w:t>
            </w:r>
          </w:p>
        </w:tc>
        <w:tc>
          <w:tcPr>
            <w:tcW w:w="3980" w:type="dxa"/>
            <w:vAlign w:val="bottom"/>
          </w:tcPr>
          <w:p>
            <w:pPr>
              <w:jc w:val="right"/>
              <w:spacing w:after="0"/>
              <w:rPr>
                <w:sz w:val="20"/>
                <w:szCs w:val="20"/>
                <w:color w:val="auto"/>
              </w:rPr>
            </w:pPr>
            <w:r>
              <w:rPr>
                <w:rFonts w:ascii="Arial" w:cs="Arial" w:eastAsia="Arial" w:hAnsi="Arial"/>
                <w:sz w:val="16"/>
                <w:szCs w:val="16"/>
                <w:color w:val="auto"/>
              </w:rPr>
              <w:t>13,860,192</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1 Congress Street, Suite 1, Boston, MA 02114</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The Vanguard Group</w:t>
            </w:r>
          </w:p>
        </w:tc>
        <w:tc>
          <w:tcPr>
            <w:tcW w:w="3980" w:type="dxa"/>
            <w:vAlign w:val="bottom"/>
          </w:tcPr>
          <w:p>
            <w:pPr>
              <w:jc w:val="right"/>
              <w:spacing w:after="0"/>
              <w:rPr>
                <w:sz w:val="20"/>
                <w:szCs w:val="20"/>
                <w:color w:val="auto"/>
              </w:rPr>
            </w:pPr>
            <w:r>
              <w:rPr>
                <w:rFonts w:ascii="Arial" w:cs="Arial" w:eastAsia="Arial" w:hAnsi="Arial"/>
                <w:sz w:val="16"/>
                <w:szCs w:val="16"/>
                <w:color w:val="auto"/>
              </w:rPr>
              <w:t>12,107,227</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100 Vanguard Blvd., Malvern, PA 19355</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Capital International Investors</w:t>
            </w:r>
          </w:p>
        </w:tc>
        <w:tc>
          <w:tcPr>
            <w:tcW w:w="3980" w:type="dxa"/>
            <w:vAlign w:val="bottom"/>
          </w:tcPr>
          <w:p>
            <w:pPr>
              <w:jc w:val="right"/>
              <w:spacing w:after="0"/>
              <w:rPr>
                <w:sz w:val="20"/>
                <w:szCs w:val="20"/>
                <w:color w:val="auto"/>
              </w:rPr>
            </w:pPr>
            <w:r>
              <w:rPr>
                <w:rFonts w:ascii="Arial" w:cs="Arial" w:eastAsia="Arial" w:hAnsi="Arial"/>
                <w:sz w:val="16"/>
                <w:szCs w:val="16"/>
                <w:color w:val="auto"/>
              </w:rPr>
              <w:t>11,463,371</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(3)</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333 South Hope Street, 55th Floor,</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Los Angeles, CA 90071</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3980" w:type="dxa"/>
            <w:vAlign w:val="bottom"/>
          </w:tcPr>
          <w:p>
            <w:pPr>
              <w:jc w:val="right"/>
              <w:spacing w:after="0"/>
              <w:rPr>
                <w:sz w:val="20"/>
                <w:szCs w:val="20"/>
                <w:color w:val="auto"/>
              </w:rPr>
            </w:pPr>
            <w:r>
              <w:rPr>
                <w:rFonts w:ascii="Arial" w:cs="Arial" w:eastAsia="Arial" w:hAnsi="Arial"/>
                <w:sz w:val="16"/>
                <w:szCs w:val="16"/>
                <w:color w:val="auto"/>
              </w:rPr>
              <w:t>9,492,177</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New York, NY 10001</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20" w:hanging="252"/>
        <w:spacing w:after="0" w:line="26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in a Schedule 13G/A jointly filed with the SEC on January 30, 2024 by State Street Corporation (State Street) and State Street’s subsidiaries State Street Bank and Trust Company (State Street Bank) and State Street Global Advisors Trust Company (State Street Global). According to State Street, as of December 31, 2023, it had shared voting power over 11,565,443 shares and shared dispositive power over 13,854,855 shares. According to State Street Bank, as of December 31, 2023, it beneficially owned 8,355,658 shares and had shared voting power over 8,355,658 shares and shared dispositive power over 0 shares. According to State Street Global, as of December 31, 2023, it beneficially owned 11,969,908 shares and had shared voting power over 1,460,684 shares and shared dispositive power over 11,969,408 shares. These totals include 8,355,658 shares held as of December 31, 2023 in the Defined Contribution Plans Master Trust for the Northrop Grumman Savings Plan and the Northrop Grumman Financial Security and Savings Program, for which State Street Bank acts as trustee and State Street Global acts as investment manager.</w:t>
      </w:r>
    </w:p>
    <w:p>
      <w:pPr>
        <w:spacing w:after="0" w:line="38" w:lineRule="exact"/>
        <w:rPr>
          <w:rFonts w:ascii="Arial" w:cs="Arial" w:eastAsia="Arial" w:hAnsi="Arial"/>
          <w:sz w:val="14"/>
          <w:szCs w:val="14"/>
          <w:color w:val="auto"/>
        </w:rPr>
      </w:pPr>
    </w:p>
    <w:p>
      <w:pPr>
        <w:ind w:left="260" w:right="160" w:hanging="252"/>
        <w:spacing w:after="0" w:line="30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The Vanguard Group (Vanguard) in a Schedule 13G/A filed with the SEC on February 13, 2024. According to Vanguard, as of December 29, 2023, Vanguard had shared voting power over 163,649 shares, sole dispositive power over 11,537,000 shares and shared dispositive power over 570,227 shares.</w:t>
      </w:r>
    </w:p>
    <w:p>
      <w:pPr>
        <w:spacing w:after="0" w:line="9" w:lineRule="exact"/>
        <w:rPr>
          <w:rFonts w:ascii="Arial" w:cs="Arial" w:eastAsia="Arial" w:hAnsi="Arial"/>
          <w:sz w:val="14"/>
          <w:szCs w:val="14"/>
          <w:color w:val="auto"/>
        </w:rPr>
      </w:pPr>
    </w:p>
    <w:p>
      <w:pPr>
        <w:ind w:left="260" w:right="20" w:hanging="252"/>
        <w:spacing w:after="0" w:line="283"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Capital International Investors (Capital International), a division of Capital Research and Management Company, in a Schedule 13G/A filed with the SEC on February 9, 2024. According to Capital International, as of December 29, 2023, Capital International had sole voting power over 11,385,526 shares and sole dispositive power over 11,463,371 shares.</w:t>
      </w:r>
    </w:p>
    <w:p>
      <w:pPr>
        <w:spacing w:after="0" w:line="24" w:lineRule="exact"/>
        <w:rPr>
          <w:rFonts w:ascii="Arial" w:cs="Arial" w:eastAsia="Arial" w:hAnsi="Arial"/>
          <w:sz w:val="14"/>
          <w:szCs w:val="14"/>
          <w:color w:val="auto"/>
        </w:rPr>
      </w:pPr>
    </w:p>
    <w:p>
      <w:pPr>
        <w:ind w:left="260" w:right="200" w:hanging="252"/>
        <w:spacing w:after="0" w:line="30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BlackRock, Inc. (BlackRock) in a Schedule 13G/A filed with the SEC on January 29, 2024. According to BlackRock, as of December 31, 2023, BlackRock had sole voting power over 8,832,043 shares and sole dispositive power over 9,492,177 shares.</w:t>
      </w:r>
    </w:p>
    <w:p>
      <w:pPr>
        <w:spacing w:after="0" w:line="200" w:lineRule="exact"/>
        <w:rPr>
          <w:sz w:val="20"/>
          <w:szCs w:val="20"/>
          <w:color w:val="auto"/>
        </w:rPr>
      </w:pPr>
    </w:p>
    <w:p>
      <w:pPr>
        <w:spacing w:after="0" w:line="390" w:lineRule="exact"/>
        <w:rPr>
          <w:sz w:val="20"/>
          <w:szCs w:val="20"/>
          <w:color w:val="auto"/>
        </w:rPr>
      </w:pPr>
    </w:p>
    <w:p>
      <w:pPr>
        <w:ind w:left="520" w:hanging="494"/>
        <w:spacing w:after="0"/>
        <w:tabs>
          <w:tab w:leader="none" w:pos="520" w:val="left"/>
        </w:tabs>
        <w:numPr>
          <w:ilvl w:val="0"/>
          <w:numId w:val="19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11" w:name="page112"/>
    <w:bookmarkEnd w:id="111"/>
    <w:p>
      <w:pPr>
        <w:ind w:left="8560"/>
        <w:spacing w:after="0"/>
        <w:rPr>
          <w:sz w:val="20"/>
          <w:szCs w:val="20"/>
          <w:color w:val="auto"/>
        </w:rPr>
      </w:pPr>
      <w:r>
        <w:rPr>
          <w:rFonts w:ascii="Arial" w:cs="Arial" w:eastAsia="Arial" w:hAnsi="Arial"/>
          <w:sz w:val="14"/>
          <w:szCs w:val="14"/>
          <w:b w:val="1"/>
          <w:bCs w:val="1"/>
          <w:color w:val="auto"/>
        </w:rPr>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Ownership of Officers and Directors</w:t>
      </w:r>
    </w:p>
    <w:p>
      <w:pPr>
        <w:spacing w:after="0" w:line="1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following table shows beneficial ownership of our common stock as of March 15, 2024 by each of our current directors, our named executive officers and all directors and executive officers as a group. As of March 15, 2024, there were 148,169,657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880" w:type="dxa"/>
            <w:vAlign w:val="bottom"/>
          </w:tcPr>
          <w:p>
            <w:pPr>
              <w:jc w:val="right"/>
              <w:ind w:right="201"/>
              <w:spacing w:after="0"/>
              <w:rPr>
                <w:sz w:val="20"/>
                <w:szCs w:val="20"/>
                <w:color w:val="auto"/>
              </w:rPr>
            </w:pPr>
            <w:r>
              <w:rPr>
                <w:rFonts w:ascii="Arial" w:cs="Arial" w:eastAsia="Arial" w:hAnsi="Arial"/>
                <w:sz w:val="13"/>
                <w:szCs w:val="13"/>
                <w:b w:val="1"/>
                <w:bCs w:val="1"/>
                <w:color w:val="auto"/>
              </w:rPr>
              <w:t>Shares of</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8"/>
        </w:trPr>
        <w:tc>
          <w:tcPr>
            <w:tcW w:w="5800" w:type="dxa"/>
            <w:vAlign w:val="bottom"/>
          </w:tcPr>
          <w:p>
            <w:pPr>
              <w:spacing w:after="0"/>
              <w:rPr>
                <w:sz w:val="12"/>
                <w:szCs w:val="12"/>
                <w:color w:val="auto"/>
              </w:rPr>
            </w:pPr>
          </w:p>
        </w:tc>
        <w:tc>
          <w:tcPr>
            <w:tcW w:w="2880" w:type="dxa"/>
            <w:vAlign w:val="bottom"/>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tcPr>
          <w:p>
            <w:pPr>
              <w:jc w:val="right"/>
              <w:ind w:right="161"/>
              <w:spacing w:after="0"/>
              <w:rPr>
                <w:sz w:val="20"/>
                <w:szCs w:val="20"/>
                <w:color w:val="auto"/>
              </w:rPr>
            </w:pPr>
            <w:r>
              <w:rPr>
                <w:rFonts w:ascii="Arial" w:cs="Arial" w:eastAsia="Arial" w:hAnsi="Arial"/>
                <w:sz w:val="13"/>
                <w:szCs w:val="13"/>
                <w:b w:val="1"/>
                <w:bCs w:val="1"/>
                <w:color w:val="auto"/>
              </w:rPr>
              <w:t>Share</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93"/>
        </w:trPr>
        <w:tc>
          <w:tcPr>
            <w:tcW w:w="5800" w:type="dxa"/>
            <w:vAlign w:val="bottom"/>
            <w:tcBorders>
              <w:bottom w:val="single" w:sz="8" w:color="29378D"/>
            </w:tcBorders>
          </w:tcPr>
          <w:p>
            <w:pPr>
              <w:spacing w:after="0"/>
              <w:rPr>
                <w:sz w:val="16"/>
                <w:szCs w:val="16"/>
                <w:color w:val="auto"/>
              </w:rPr>
            </w:pPr>
          </w:p>
        </w:tc>
        <w:tc>
          <w:tcPr>
            <w:tcW w:w="2880" w:type="dxa"/>
            <w:vAlign w:val="bottom"/>
            <w:tcBorders>
              <w:bottom w:val="single" w:sz="8" w:color="29378D"/>
            </w:tcBorders>
          </w:tcPr>
          <w:p>
            <w:pPr>
              <w:jc w:val="right"/>
              <w:ind w:right="201"/>
              <w:spacing w:after="0"/>
              <w:rPr>
                <w:sz w:val="20"/>
                <w:szCs w:val="20"/>
                <w:color w:val="auto"/>
              </w:rPr>
            </w:pPr>
            <w:r>
              <w:rPr>
                <w:rFonts w:ascii="Arial" w:cs="Arial" w:eastAsia="Arial" w:hAnsi="Arial"/>
                <w:sz w:val="13"/>
                <w:szCs w:val="13"/>
                <w:b w:val="1"/>
                <w:bCs w:val="1"/>
                <w:color w:val="auto"/>
              </w:rPr>
              <w:t>Beneficially Owned</w:t>
            </w:r>
          </w:p>
        </w:tc>
        <w:tc>
          <w:tcPr>
            <w:tcW w:w="1340" w:type="dxa"/>
            <w:vAlign w:val="bottom"/>
            <w:tcBorders>
              <w:bottom w:val="single" w:sz="8" w:color="29378D"/>
            </w:tcBorders>
          </w:tcPr>
          <w:p>
            <w:pPr>
              <w:jc w:val="right"/>
              <w:ind w:right="161"/>
              <w:spacing w:after="0"/>
              <w:rPr>
                <w:sz w:val="20"/>
                <w:szCs w:val="20"/>
                <w:color w:val="auto"/>
              </w:rPr>
            </w:pPr>
            <w:r>
              <w:rPr>
                <w:rFonts w:ascii="Arial" w:cs="Arial" w:eastAsia="Arial" w:hAnsi="Arial"/>
                <w:sz w:val="13"/>
                <w:szCs w:val="13"/>
                <w:b w:val="1"/>
                <w:bCs w:val="1"/>
                <w:color w:val="auto"/>
              </w:rPr>
              <w:t>Equivalents</w:t>
            </w:r>
            <w:r>
              <w:rPr>
                <w:rFonts w:ascii="Arial" w:cs="Arial" w:eastAsia="Arial" w:hAnsi="Arial"/>
                <w:sz w:val="16"/>
                <w:szCs w:val="16"/>
                <w:b w:val="1"/>
                <w:bCs w:val="1"/>
                <w:color w:val="auto"/>
                <w:vertAlign w:val="superscript"/>
              </w:rPr>
              <w:t>(1)</w:t>
            </w:r>
          </w:p>
        </w:tc>
        <w:tc>
          <w:tcPr>
            <w:tcW w:w="90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29378D"/>
            </w:tcBorders>
          </w:tcPr>
          <w:p>
            <w:pPr>
              <w:spacing w:after="0"/>
              <w:rPr>
                <w:sz w:val="16"/>
                <w:szCs w:val="16"/>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David P. Abney</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1,303</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398</w:t>
            </w:r>
          </w:p>
        </w:tc>
        <w:tc>
          <w:tcPr>
            <w:tcW w:w="900" w:type="dxa"/>
            <w:vAlign w:val="bottom"/>
          </w:tcPr>
          <w:p>
            <w:pPr>
              <w:jc w:val="right"/>
              <w:spacing w:after="0"/>
              <w:rPr>
                <w:sz w:val="20"/>
                <w:szCs w:val="20"/>
                <w:color w:val="auto"/>
              </w:rPr>
            </w:pPr>
            <w:r>
              <w:rPr>
                <w:rFonts w:ascii="Arial" w:cs="Arial" w:eastAsia="Arial" w:hAnsi="Arial"/>
                <w:sz w:val="16"/>
                <w:szCs w:val="16"/>
                <w:color w:val="auto"/>
              </w:rPr>
              <w:t>1,701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Marianne C. Brown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9,182</w:t>
            </w:r>
          </w:p>
        </w:tc>
        <w:tc>
          <w:tcPr>
            <w:tcW w:w="900" w:type="dxa"/>
            <w:vAlign w:val="bottom"/>
          </w:tcPr>
          <w:p>
            <w:pPr>
              <w:jc w:val="right"/>
              <w:spacing w:after="0"/>
              <w:rPr>
                <w:sz w:val="20"/>
                <w:szCs w:val="20"/>
                <w:color w:val="auto"/>
              </w:rPr>
            </w:pPr>
            <w:r>
              <w:rPr>
                <w:rFonts w:ascii="Arial" w:cs="Arial" w:eastAsia="Arial" w:hAnsi="Arial"/>
                <w:sz w:val="16"/>
                <w:szCs w:val="16"/>
                <w:color w:val="auto"/>
              </w:rPr>
              <w:t>9,182</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6B6B6"/>
            </w:tcBorders>
          </w:tcPr>
          <w:p>
            <w:pPr>
              <w:spacing w:after="0" w:line="20" w:lineRule="exact"/>
              <w:rPr>
                <w:sz w:val="1"/>
                <w:szCs w:val="1"/>
                <w:color w:val="auto"/>
              </w:rPr>
            </w:pPr>
          </w:p>
        </w:tc>
        <w:tc>
          <w:tcPr>
            <w:tcW w:w="2880" w:type="dxa"/>
            <w:vAlign w:val="bottom"/>
            <w:tcBorders>
              <w:bottom w:val="single" w:sz="8" w:color="B6B6B6"/>
            </w:tcBorders>
          </w:tcPr>
          <w:p>
            <w:pPr>
              <w:spacing w:after="0" w:line="20" w:lineRule="exact"/>
              <w:rPr>
                <w:sz w:val="1"/>
                <w:szCs w:val="1"/>
                <w:color w:val="auto"/>
              </w:rPr>
            </w:pPr>
          </w:p>
        </w:tc>
        <w:tc>
          <w:tcPr>
            <w:tcW w:w="13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Ann M. Fudge</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1,178</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3,783</w:t>
            </w:r>
          </w:p>
        </w:tc>
        <w:tc>
          <w:tcPr>
            <w:tcW w:w="900" w:type="dxa"/>
            <w:vAlign w:val="bottom"/>
          </w:tcPr>
          <w:p>
            <w:pPr>
              <w:jc w:val="right"/>
              <w:spacing w:after="0"/>
              <w:rPr>
                <w:sz w:val="20"/>
                <w:szCs w:val="20"/>
                <w:color w:val="auto"/>
              </w:rPr>
            </w:pPr>
            <w:r>
              <w:rPr>
                <w:rFonts w:ascii="Arial" w:cs="Arial" w:eastAsia="Arial" w:hAnsi="Arial"/>
                <w:sz w:val="16"/>
                <w:szCs w:val="16"/>
                <w:color w:val="auto"/>
              </w:rPr>
              <w:t>4,961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Madeleine A. Kleiner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19,894</w:t>
            </w:r>
          </w:p>
        </w:tc>
        <w:tc>
          <w:tcPr>
            <w:tcW w:w="900" w:type="dxa"/>
            <w:vAlign w:val="bottom"/>
          </w:tcPr>
          <w:p>
            <w:pPr>
              <w:jc w:val="right"/>
              <w:spacing w:after="0"/>
              <w:rPr>
                <w:sz w:val="20"/>
                <w:szCs w:val="20"/>
                <w:color w:val="auto"/>
              </w:rPr>
            </w:pPr>
            <w:r>
              <w:rPr>
                <w:rFonts w:ascii="Arial" w:cs="Arial" w:eastAsia="Arial" w:hAnsi="Arial"/>
                <w:sz w:val="16"/>
                <w:szCs w:val="16"/>
                <w:color w:val="auto"/>
              </w:rPr>
              <w:t>19,894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Arvind Krishna</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886</w:t>
            </w: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Graham N. Robinson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1,359</w:t>
            </w:r>
          </w:p>
        </w:tc>
        <w:tc>
          <w:tcPr>
            <w:tcW w:w="900" w:type="dxa"/>
            <w:vAlign w:val="bottom"/>
          </w:tcPr>
          <w:p>
            <w:pPr>
              <w:jc w:val="right"/>
              <w:spacing w:after="0"/>
              <w:rPr>
                <w:sz w:val="20"/>
                <w:szCs w:val="20"/>
                <w:color w:val="auto"/>
              </w:rPr>
            </w:pPr>
            <w:r>
              <w:rPr>
                <w:rFonts w:ascii="Arial" w:cs="Arial" w:eastAsia="Arial" w:hAnsi="Arial"/>
                <w:sz w:val="16"/>
                <w:szCs w:val="16"/>
                <w:color w:val="auto"/>
              </w:rPr>
              <w:t>1,359</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Kimberly A. Ross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468</w:t>
            </w:r>
          </w:p>
        </w:tc>
        <w:tc>
          <w:tcPr>
            <w:tcW w:w="900" w:type="dxa"/>
            <w:vAlign w:val="bottom"/>
          </w:tcPr>
          <w:p>
            <w:pPr>
              <w:jc w:val="right"/>
              <w:spacing w:after="0"/>
              <w:rPr>
                <w:sz w:val="20"/>
                <w:szCs w:val="20"/>
                <w:color w:val="auto"/>
              </w:rPr>
            </w:pPr>
            <w:r>
              <w:rPr>
                <w:rFonts w:ascii="Arial" w:cs="Arial" w:eastAsia="Arial" w:hAnsi="Arial"/>
                <w:sz w:val="16"/>
                <w:szCs w:val="16"/>
                <w:color w:val="auto"/>
              </w:rPr>
              <w:t>468</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Gary Roughead</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10,721</w:t>
            </w:r>
          </w:p>
        </w:tc>
        <w:tc>
          <w:tcPr>
            <w:tcW w:w="900" w:type="dxa"/>
            <w:vAlign w:val="bottom"/>
          </w:tcPr>
          <w:p>
            <w:pPr>
              <w:jc w:val="right"/>
              <w:spacing w:after="0"/>
              <w:rPr>
                <w:sz w:val="20"/>
                <w:szCs w:val="20"/>
                <w:color w:val="auto"/>
              </w:rPr>
            </w:pPr>
            <w:r>
              <w:rPr>
                <w:rFonts w:ascii="Arial" w:cs="Arial" w:eastAsia="Arial" w:hAnsi="Arial"/>
                <w:sz w:val="16"/>
                <w:szCs w:val="16"/>
                <w:color w:val="auto"/>
              </w:rPr>
              <w:t>10,721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Thomas M. Schoewe</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3,160</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12,044</w:t>
            </w:r>
          </w:p>
        </w:tc>
        <w:tc>
          <w:tcPr>
            <w:tcW w:w="900" w:type="dxa"/>
            <w:vAlign w:val="bottom"/>
          </w:tcPr>
          <w:p>
            <w:pPr>
              <w:jc w:val="right"/>
              <w:spacing w:after="0"/>
              <w:rPr>
                <w:sz w:val="20"/>
                <w:szCs w:val="20"/>
                <w:color w:val="auto"/>
              </w:rPr>
            </w:pPr>
            <w:r>
              <w:rPr>
                <w:rFonts w:ascii="Arial" w:cs="Arial" w:eastAsia="Arial" w:hAnsi="Arial"/>
                <w:sz w:val="16"/>
                <w:szCs w:val="16"/>
                <w:color w:val="auto"/>
              </w:rPr>
              <w:t>15,204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James S. Turley</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635</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4,813</w:t>
            </w:r>
          </w:p>
        </w:tc>
        <w:tc>
          <w:tcPr>
            <w:tcW w:w="900" w:type="dxa"/>
            <w:vAlign w:val="bottom"/>
          </w:tcPr>
          <w:p>
            <w:pPr>
              <w:jc w:val="right"/>
              <w:spacing w:after="0"/>
              <w:rPr>
                <w:sz w:val="20"/>
                <w:szCs w:val="20"/>
                <w:color w:val="auto"/>
              </w:rPr>
            </w:pPr>
            <w:r>
              <w:rPr>
                <w:rFonts w:ascii="Arial" w:cs="Arial" w:eastAsia="Arial" w:hAnsi="Arial"/>
                <w:sz w:val="16"/>
                <w:szCs w:val="16"/>
                <w:color w:val="auto"/>
              </w:rPr>
              <w:t>5,448</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Mark A. Welsh III</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3,913</w:t>
            </w:r>
          </w:p>
        </w:tc>
        <w:tc>
          <w:tcPr>
            <w:tcW w:w="900" w:type="dxa"/>
            <w:vAlign w:val="bottom"/>
          </w:tcPr>
          <w:p>
            <w:pPr>
              <w:jc w:val="right"/>
              <w:spacing w:after="0"/>
              <w:rPr>
                <w:sz w:val="20"/>
                <w:szCs w:val="20"/>
                <w:color w:val="auto"/>
              </w:rPr>
            </w:pPr>
            <w:r>
              <w:rPr>
                <w:rFonts w:ascii="Arial" w:cs="Arial" w:eastAsia="Arial" w:hAnsi="Arial"/>
                <w:sz w:val="16"/>
                <w:szCs w:val="16"/>
                <w:color w:val="auto"/>
              </w:rPr>
              <w:t>3,913</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Mary A. Winston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78</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398</w:t>
            </w:r>
          </w:p>
        </w:tc>
        <w:tc>
          <w:tcPr>
            <w:tcW w:w="900" w:type="dxa"/>
            <w:vAlign w:val="bottom"/>
          </w:tcPr>
          <w:p>
            <w:pPr>
              <w:jc w:val="right"/>
              <w:spacing w:after="0"/>
              <w:rPr>
                <w:sz w:val="20"/>
                <w:szCs w:val="20"/>
                <w:color w:val="auto"/>
              </w:rPr>
            </w:pPr>
            <w:r>
              <w:rPr>
                <w:rFonts w:ascii="Arial" w:cs="Arial" w:eastAsia="Arial" w:hAnsi="Arial"/>
                <w:sz w:val="16"/>
                <w:szCs w:val="16"/>
                <w:color w:val="auto"/>
              </w:rPr>
              <w:t>476</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Named Executive Officers</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7"/>
        </w:trPr>
        <w:tc>
          <w:tcPr>
            <w:tcW w:w="5800" w:type="dxa"/>
            <w:vAlign w:val="bottom"/>
            <w:tcBorders>
              <w:bottom w:val="single" w:sz="8" w:color="BCBEC0"/>
            </w:tcBorders>
          </w:tcPr>
          <w:p>
            <w:pPr>
              <w:ind w:left="160"/>
              <w:spacing w:after="0" w:line="237" w:lineRule="exact"/>
              <w:rPr>
                <w:sz w:val="20"/>
                <w:szCs w:val="20"/>
                <w:color w:val="auto"/>
              </w:rPr>
            </w:pPr>
            <w:r>
              <w:rPr>
                <w:rFonts w:ascii="Arial" w:cs="Arial" w:eastAsia="Arial" w:hAnsi="Arial"/>
                <w:sz w:val="16"/>
                <w:szCs w:val="16"/>
                <w:b w:val="1"/>
                <w:bCs w:val="1"/>
                <w:color w:val="29378D"/>
              </w:rPr>
              <w:t>Kathy J. Warden</w:t>
            </w:r>
            <w:r>
              <w:rPr>
                <w:rFonts w:ascii="Arial" w:cs="Arial" w:eastAsia="Arial" w:hAnsi="Arial"/>
                <w:sz w:val="21"/>
                <w:szCs w:val="21"/>
                <w:b w:val="1"/>
                <w:bCs w:val="1"/>
                <w:color w:val="29378D"/>
                <w:vertAlign w:val="superscript"/>
              </w:rPr>
              <w:t>(2)</w:t>
            </w:r>
          </w:p>
        </w:tc>
        <w:tc>
          <w:tcPr>
            <w:tcW w:w="2880" w:type="dxa"/>
            <w:vAlign w:val="bottom"/>
            <w:tcBorders>
              <w:bottom w:val="single" w:sz="8" w:color="BCBEC0"/>
            </w:tcBorders>
          </w:tcPr>
          <w:p>
            <w:pPr>
              <w:jc w:val="right"/>
              <w:ind w:right="261"/>
              <w:spacing w:after="0"/>
              <w:rPr>
                <w:sz w:val="20"/>
                <w:szCs w:val="20"/>
                <w:color w:val="auto"/>
              </w:rPr>
            </w:pPr>
            <w:r>
              <w:rPr>
                <w:rFonts w:ascii="Arial" w:cs="Arial" w:eastAsia="Arial" w:hAnsi="Arial"/>
                <w:sz w:val="16"/>
                <w:szCs w:val="16"/>
                <w:color w:val="auto"/>
              </w:rPr>
              <w:t>194,840</w:t>
            </w:r>
          </w:p>
        </w:tc>
        <w:tc>
          <w:tcPr>
            <w:tcW w:w="1340" w:type="dxa"/>
            <w:vAlign w:val="bottom"/>
            <w:tcBorders>
              <w:bottom w:val="single" w:sz="8" w:color="BCBEC0"/>
            </w:tcBorders>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194,840</w:t>
            </w:r>
          </w:p>
        </w:tc>
        <w:tc>
          <w:tcPr>
            <w:tcW w:w="320" w:type="dxa"/>
            <w:vAlign w:val="bottom"/>
            <w:tcBorders>
              <w:bottom w:val="single" w:sz="8" w:color="BCBEC0"/>
            </w:tcBorders>
          </w:tcPr>
          <w:p>
            <w:pPr>
              <w:spacing w:after="0"/>
              <w:rPr>
                <w:sz w:val="20"/>
                <w:szCs w:val="20"/>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David F. Keffer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16,640</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16,640</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Roshan S. Roeder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1,576</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108</w:t>
            </w:r>
          </w:p>
        </w:tc>
        <w:tc>
          <w:tcPr>
            <w:tcW w:w="900" w:type="dxa"/>
            <w:vAlign w:val="bottom"/>
          </w:tcPr>
          <w:p>
            <w:pPr>
              <w:jc w:val="right"/>
              <w:spacing w:after="0"/>
              <w:rPr>
                <w:sz w:val="20"/>
                <w:szCs w:val="20"/>
                <w:color w:val="auto"/>
              </w:rPr>
            </w:pPr>
            <w:r>
              <w:rPr>
                <w:rFonts w:ascii="Arial" w:cs="Arial" w:eastAsia="Arial" w:hAnsi="Arial"/>
                <w:sz w:val="16"/>
                <w:szCs w:val="16"/>
                <w:color w:val="auto"/>
              </w:rPr>
              <w:t>1,684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6B6B6"/>
            </w:tcBorders>
          </w:tcPr>
          <w:p>
            <w:pPr>
              <w:spacing w:after="0" w:line="20" w:lineRule="exact"/>
              <w:rPr>
                <w:sz w:val="1"/>
                <w:szCs w:val="1"/>
                <w:color w:val="auto"/>
              </w:rPr>
            </w:pPr>
          </w:p>
        </w:tc>
        <w:tc>
          <w:tcPr>
            <w:tcW w:w="2880" w:type="dxa"/>
            <w:vAlign w:val="bottom"/>
            <w:tcBorders>
              <w:bottom w:val="single" w:sz="8" w:color="B6B6B6"/>
            </w:tcBorders>
          </w:tcPr>
          <w:p>
            <w:pPr>
              <w:spacing w:after="0" w:line="20" w:lineRule="exact"/>
              <w:rPr>
                <w:sz w:val="1"/>
                <w:szCs w:val="1"/>
                <w:color w:val="auto"/>
              </w:rPr>
            </w:pPr>
          </w:p>
        </w:tc>
        <w:tc>
          <w:tcPr>
            <w:tcW w:w="13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Mark A. Caylor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16,432</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38</w:t>
            </w:r>
          </w:p>
        </w:tc>
        <w:tc>
          <w:tcPr>
            <w:tcW w:w="900" w:type="dxa"/>
            <w:vAlign w:val="bottom"/>
          </w:tcPr>
          <w:p>
            <w:pPr>
              <w:jc w:val="right"/>
              <w:spacing w:after="0"/>
              <w:rPr>
                <w:sz w:val="20"/>
                <w:szCs w:val="20"/>
                <w:color w:val="auto"/>
              </w:rPr>
            </w:pPr>
            <w:r>
              <w:rPr>
                <w:rFonts w:ascii="Arial" w:cs="Arial" w:eastAsia="Arial" w:hAnsi="Arial"/>
                <w:sz w:val="16"/>
                <w:szCs w:val="16"/>
                <w:color w:val="auto"/>
              </w:rPr>
              <w:t>16,470</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Thomas H. Jones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9,533</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9,533</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Other Executive Officers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9,542</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9,542</w:t>
            </w: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0"/>
        </w:trPr>
        <w:tc>
          <w:tcPr>
            <w:tcW w:w="580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All Directors and Executive Officers as a Group (20 persons)</w:t>
            </w:r>
          </w:p>
        </w:tc>
        <w:tc>
          <w:tcPr>
            <w:tcW w:w="2880" w:type="dxa"/>
            <w:vAlign w:val="bottom"/>
            <w:tcBorders>
              <w:bottom w:val="single" w:sz="8" w:color="BCBEC0"/>
            </w:tcBorders>
          </w:tcPr>
          <w:p>
            <w:pPr>
              <w:jc w:val="right"/>
              <w:ind w:right="261"/>
              <w:spacing w:after="0"/>
              <w:rPr>
                <w:sz w:val="20"/>
                <w:szCs w:val="20"/>
                <w:color w:val="auto"/>
              </w:rPr>
            </w:pPr>
            <w:r>
              <w:rPr>
                <w:rFonts w:ascii="Arial" w:cs="Arial" w:eastAsia="Arial" w:hAnsi="Arial"/>
                <w:sz w:val="16"/>
                <w:szCs w:val="16"/>
                <w:color w:val="auto"/>
              </w:rPr>
              <w:t>254,917</w:t>
            </w:r>
          </w:p>
        </w:tc>
        <w:tc>
          <w:tcPr>
            <w:tcW w:w="1340" w:type="dxa"/>
            <w:vAlign w:val="bottom"/>
            <w:tcBorders>
              <w:bottom w:val="single" w:sz="8" w:color="BCBEC0"/>
            </w:tcBorders>
          </w:tcPr>
          <w:p>
            <w:pPr>
              <w:jc w:val="right"/>
              <w:ind w:right="221"/>
              <w:spacing w:after="0"/>
              <w:rPr>
                <w:sz w:val="20"/>
                <w:szCs w:val="20"/>
                <w:color w:val="auto"/>
              </w:rPr>
            </w:pPr>
            <w:r>
              <w:rPr>
                <w:rFonts w:ascii="Arial" w:cs="Arial" w:eastAsia="Arial" w:hAnsi="Arial"/>
                <w:sz w:val="16"/>
                <w:szCs w:val="16"/>
                <w:color w:val="auto"/>
              </w:rPr>
              <w:t>68,005</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322,922</w:t>
            </w:r>
          </w:p>
        </w:tc>
        <w:tc>
          <w:tcPr>
            <w:tcW w:w="320" w:type="dxa"/>
            <w:vAlign w:val="bottom"/>
            <w:tcBorders>
              <w:bottom w:val="single" w:sz="8" w:color="BCBEC0"/>
            </w:tcBorders>
          </w:tcPr>
          <w:p>
            <w:pPr>
              <w:jc w:val="right"/>
              <w:ind w:right="127"/>
              <w:spacing w:after="0"/>
              <w:rPr>
                <w:sz w:val="20"/>
                <w:szCs w:val="20"/>
                <w:color w:val="auto"/>
              </w:rPr>
            </w:pPr>
            <w:r>
              <w:rPr>
                <w:rFonts w:ascii="Arial" w:cs="Arial" w:eastAsia="Arial" w:hAnsi="Arial"/>
                <w:sz w:val="11"/>
                <w:szCs w:val="11"/>
                <w:color w:val="auto"/>
                <w:w w:val="88"/>
              </w:rPr>
              <w:t>(3)</w:t>
            </w:r>
          </w:p>
        </w:tc>
      </w:tr>
    </w:tbl>
    <w:p>
      <w:pPr>
        <w:spacing w:after="0" w:line="153" w:lineRule="exact"/>
        <w:rPr>
          <w:sz w:val="20"/>
          <w:szCs w:val="20"/>
          <w:color w:val="auto"/>
        </w:rPr>
      </w:pPr>
    </w:p>
    <w:p>
      <w:pPr>
        <w:ind w:left="260" w:hanging="252"/>
        <w:spacing w:after="0" w:line="283" w:lineRule="auto"/>
        <w:tabs>
          <w:tab w:leader="none" w:pos="25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24" w:lineRule="exact"/>
        <w:rPr>
          <w:rFonts w:ascii="Arial" w:cs="Arial" w:eastAsia="Arial" w:hAnsi="Arial"/>
          <w:sz w:val="14"/>
          <w:szCs w:val="14"/>
          <w:color w:val="auto"/>
        </w:rPr>
      </w:pPr>
    </w:p>
    <w:p>
      <w:pPr>
        <w:ind w:left="260" w:hanging="252"/>
        <w:spacing w:after="0"/>
        <w:tabs>
          <w:tab w:leader="none" w:pos="26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Ms. Warden also serves on the Company’s Board of Directors.</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Total represents 0.22% of the outstanding common stock as of March 15,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2" w:name="page113"/>
    <w:bookmarkEnd w:id="112"/>
    <w:p>
      <w:pPr>
        <w:ind w:right="4920"/>
        <w:spacing w:after="0" w:line="297" w:lineRule="auto"/>
        <w:rPr>
          <w:sz w:val="20"/>
          <w:szCs w:val="20"/>
          <w:color w:val="auto"/>
        </w:rPr>
      </w:pPr>
      <w:r>
        <w:rPr>
          <w:rFonts w:ascii="Arial" w:cs="Arial" w:eastAsia="Arial" w:hAnsi="Arial"/>
          <w:sz w:val="43"/>
          <w:szCs w:val="43"/>
          <w:b w:val="1"/>
          <w:bCs w:val="1"/>
          <w:color w:val="29378D"/>
        </w:rPr>
        <w:t>Questions and Answers About the Annual Meeting</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attend the Annual Meeting?</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 xml:space="preserve">The Annual Meeting will be held exclusively online via live webcast at </w:t>
      </w:r>
      <w:r>
        <w:rPr>
          <w:rFonts w:ascii="Arial" w:cs="Arial" w:eastAsia="Arial" w:hAnsi="Arial"/>
          <w:sz w:val="16"/>
          <w:szCs w:val="16"/>
          <w:i w:val="1"/>
          <w:iCs w:val="1"/>
          <w:color w:val="auto"/>
        </w:rPr>
        <w:t>virtualshareholdermeeting.com/NOC2024</w:t>
      </w:r>
      <w:r>
        <w:rPr>
          <w:rFonts w:ascii="Arial" w:cs="Arial" w:eastAsia="Arial" w:hAnsi="Arial"/>
          <w:sz w:val="16"/>
          <w:szCs w:val="16"/>
          <w:color w:val="auto"/>
        </w:rPr>
        <w:t xml:space="preserve"> on May 15, 2024. To be admitted to the Annual Meeting via the website, shareholders must enter the 16-digit voting control number found on their proxy card, voting instruction form, notice of internet availability of proxy materials, or email notification. You may begin to log into the website beginning at 7:45 AM Eastern Daylight Time. The meeting will begin promptly at 8:00 AM Eastern Daylight Time. If you encounter any technical difficulties, please call the number posted to the online webcast (it will be available starting at 7:45 AM Eastern Daylight Time and remain available for the duration of the meeting). We will disclose additional details about the Annual Meeting or changes to the process on the Investor Relations section of our website (w</w:t>
      </w:r>
      <w:r>
        <w:rPr>
          <w:rFonts w:ascii="Arial" w:cs="Arial" w:eastAsia="Arial" w:hAnsi="Arial"/>
          <w:sz w:val="16"/>
          <w:szCs w:val="16"/>
          <w:i w:val="1"/>
          <w:iCs w:val="1"/>
          <w:color w:val="auto"/>
        </w:rPr>
        <w:t>ww.northropgrumman.com</w:t>
      </w:r>
      <w:r>
        <w:rPr>
          <w:rFonts w:ascii="Arial" w:cs="Arial" w:eastAsia="Arial" w:hAnsi="Arial"/>
          <w:sz w:val="16"/>
          <w:szCs w:val="16"/>
          <w:color w:val="auto"/>
        </w:rPr>
        <w:t>) and/or in a public filing with the Securities and Exchange Commission (SEC),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Why did I receive a “Notice of Internet Availability of Proxy Materials” but not a full set of proxy materials?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3, 2024, we mailed a “Notice of Internet Availability of Proxy Materials” to participating shareholders, containing instructions on how to access the proxy materials.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Who is entitled to vote at the Annual Meeting?</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You may vote your shares of our common stock if you owned your shares as of the close of business on March 19, 2024 (Record Date). As of the Record Date, there were 148,140,169 shares of our common stock outstanding. You may cast one vote for each share of common stock you hold as of the Record Date on all matters presented.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many votes must be present to hold the Annual Meeting?</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presence virtually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can I receive a paper copy of the proxy materials?</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Will I have an opportunity to ask questions before or during the Annual Meeting?</w:t>
      </w:r>
    </w:p>
    <w:p>
      <w:pPr>
        <w:spacing w:after="0" w:line="11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Shareholders entitled to vote will be able to submit questions relevant to the business of the meeting during the meeting via </w:t>
      </w:r>
      <w:r>
        <w:rPr>
          <w:rFonts w:ascii="Arial" w:cs="Arial" w:eastAsia="Arial" w:hAnsi="Arial"/>
          <w:sz w:val="16"/>
          <w:szCs w:val="16"/>
          <w:i w:val="1"/>
          <w:iCs w:val="1"/>
          <w:color w:val="auto"/>
        </w:rPr>
        <w:t xml:space="preserve">virtualshareholdermeeting.com/NOC2024 </w:t>
      </w:r>
      <w:r>
        <w:rPr>
          <w:rFonts w:ascii="Arial" w:cs="Arial" w:eastAsia="Arial" w:hAnsi="Arial"/>
          <w:sz w:val="16"/>
          <w:szCs w:val="16"/>
          <w:color w:val="auto"/>
        </w:rPr>
        <w:t>by typing the question into the "Ask a Question" box and clicking “Submit.” In order to ask a question,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will need to have a valid voting control number. You may also submit a question in advance of the meeting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logging in with the 16-digit voting control number found on your proxy card, voting instruction form, notice of internet availability of proxy materials, or email notification. Once you are past the login screen, click on “Questions for Management,” type in your question and click “Submit.” All questions should relate to the official business of the meeting, and management and shareholder proposals in particular. Management will seek to answer questions at the relevant time, when the proposal or matter is up for consideration.</w:t>
      </w:r>
    </w:p>
    <w:p>
      <w:pPr>
        <w:spacing w:after="0" w:line="200" w:lineRule="exact"/>
        <w:rPr>
          <w:sz w:val="20"/>
          <w:szCs w:val="20"/>
          <w:color w:val="auto"/>
        </w:rPr>
      </w:pPr>
    </w:p>
    <w:p>
      <w:pPr>
        <w:spacing w:after="0" w:line="375" w:lineRule="exact"/>
        <w:rPr>
          <w:sz w:val="20"/>
          <w:szCs w:val="20"/>
          <w:color w:val="auto"/>
        </w:rPr>
      </w:pPr>
    </w:p>
    <w:p>
      <w:pPr>
        <w:ind w:left="520" w:hanging="494"/>
        <w:spacing w:after="0"/>
        <w:tabs>
          <w:tab w:leader="none" w:pos="520" w:val="left"/>
        </w:tabs>
        <w:numPr>
          <w:ilvl w:val="0"/>
          <w:numId w:val="20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What am I being asked to vote on and what are the Board of Directors’ recommendations?</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lists the proposals scheduled to be voted on, the vote required for approval of each proposal and the effect of abstentions and broker non-votes: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Proposal</w:t>
            </w: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Board</w:t>
            </w:r>
          </w:p>
        </w:tc>
        <w:tc>
          <w:tcPr>
            <w:tcW w:w="1740" w:type="dxa"/>
            <w:vAlign w:val="bottom"/>
          </w:tcPr>
          <w:p>
            <w:pPr>
              <w:ind w:left="360"/>
              <w:spacing w:after="0"/>
              <w:rPr>
                <w:sz w:val="20"/>
                <w:szCs w:val="20"/>
                <w:color w:val="auto"/>
              </w:rPr>
            </w:pPr>
            <w:r>
              <w:rPr>
                <w:rFonts w:ascii="Arial" w:cs="Arial" w:eastAsia="Arial" w:hAnsi="Arial"/>
                <w:sz w:val="13"/>
                <w:szCs w:val="13"/>
                <w:b w:val="1"/>
                <w:bCs w:val="1"/>
                <w:color w:val="auto"/>
              </w:rPr>
              <w:t>Vote</w:t>
            </w:r>
          </w:p>
        </w:tc>
        <w:tc>
          <w:tcPr>
            <w:tcW w:w="12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Abstentions</w:t>
            </w:r>
          </w:p>
        </w:tc>
        <w:tc>
          <w:tcPr>
            <w:tcW w:w="1320" w:type="dxa"/>
            <w:vAlign w:val="bottom"/>
          </w:tcPr>
          <w:p>
            <w:pPr>
              <w:ind w:left="160"/>
              <w:spacing w:after="0"/>
              <w:rPr>
                <w:sz w:val="20"/>
                <w:szCs w:val="20"/>
                <w:color w:val="auto"/>
              </w:rPr>
            </w:pPr>
            <w:r>
              <w:rPr>
                <w:rFonts w:ascii="Arial" w:cs="Arial" w:eastAsia="Arial" w:hAnsi="Arial"/>
                <w:sz w:val="13"/>
                <w:szCs w:val="13"/>
                <w:b w:val="1"/>
                <w:bCs w:val="1"/>
                <w:color w:val="auto"/>
              </w:rPr>
              <w:t>Broker</w:t>
            </w:r>
          </w:p>
        </w:tc>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Unmarked</w:t>
            </w:r>
          </w:p>
        </w:tc>
        <w:tc>
          <w:tcPr>
            <w:tcW w:w="0" w:type="dxa"/>
            <w:vAlign w:val="bottom"/>
          </w:tcPr>
          <w:p>
            <w:pPr>
              <w:spacing w:after="0"/>
              <w:rPr>
                <w:sz w:val="1"/>
                <w:szCs w:val="1"/>
                <w:color w:val="auto"/>
              </w:rPr>
            </w:pPr>
          </w:p>
        </w:tc>
      </w:tr>
      <w:tr>
        <w:trPr>
          <w:trHeight w:val="176"/>
        </w:trPr>
        <w:tc>
          <w:tcPr>
            <w:tcW w:w="3840" w:type="dxa"/>
            <w:vAlign w:val="bottom"/>
            <w:tcBorders>
              <w:bottom w:val="single" w:sz="8" w:color="29378D"/>
            </w:tcBorders>
            <w:vMerge w:val="continue"/>
          </w:tcPr>
          <w:p>
            <w:pPr>
              <w:spacing w:after="0"/>
              <w:rPr>
                <w:sz w:val="15"/>
                <w:szCs w:val="15"/>
                <w:color w:val="auto"/>
              </w:rPr>
            </w:pPr>
          </w:p>
        </w:tc>
        <w:tc>
          <w:tcPr>
            <w:tcW w:w="1500" w:type="dxa"/>
            <w:vAlign w:val="bottom"/>
            <w:tcBorders>
              <w:bottom w:val="single" w:sz="8" w:color="29378D"/>
            </w:tcBorders>
          </w:tcPr>
          <w:p>
            <w:pPr>
              <w:ind w:left="60"/>
              <w:spacing w:after="0"/>
              <w:rPr>
                <w:sz w:val="20"/>
                <w:szCs w:val="20"/>
                <w:color w:val="auto"/>
              </w:rPr>
            </w:pPr>
            <w:r>
              <w:rPr>
                <w:rFonts w:ascii="Arial" w:cs="Arial" w:eastAsia="Arial" w:hAnsi="Arial"/>
                <w:sz w:val="13"/>
                <w:szCs w:val="13"/>
                <w:b w:val="1"/>
                <w:bCs w:val="1"/>
                <w:color w:val="auto"/>
              </w:rPr>
              <w:t>Recommendation</w:t>
            </w:r>
          </w:p>
        </w:tc>
        <w:tc>
          <w:tcPr>
            <w:tcW w:w="1740" w:type="dxa"/>
            <w:vAlign w:val="bottom"/>
            <w:tcBorders>
              <w:bottom w:val="single" w:sz="8" w:color="29378D"/>
            </w:tcBorders>
          </w:tcPr>
          <w:p>
            <w:pPr>
              <w:ind w:left="360"/>
              <w:spacing w:after="0"/>
              <w:rPr>
                <w:sz w:val="20"/>
                <w:szCs w:val="20"/>
                <w:color w:val="auto"/>
              </w:rPr>
            </w:pPr>
            <w:r>
              <w:rPr>
                <w:rFonts w:ascii="Arial" w:cs="Arial" w:eastAsia="Arial" w:hAnsi="Arial"/>
                <w:sz w:val="13"/>
                <w:szCs w:val="13"/>
                <w:b w:val="1"/>
                <w:bCs w:val="1"/>
                <w:color w:val="auto"/>
              </w:rPr>
              <w:t>Required</w:t>
            </w:r>
          </w:p>
        </w:tc>
        <w:tc>
          <w:tcPr>
            <w:tcW w:w="1260" w:type="dxa"/>
            <w:vAlign w:val="bottom"/>
            <w:tcBorders>
              <w:bottom w:val="single" w:sz="8" w:color="29378D"/>
            </w:tcBorders>
            <w:vMerge w:val="continue"/>
          </w:tcPr>
          <w:p>
            <w:pPr>
              <w:spacing w:after="0"/>
              <w:rPr>
                <w:sz w:val="15"/>
                <w:szCs w:val="15"/>
                <w:color w:val="auto"/>
              </w:rPr>
            </w:pPr>
          </w:p>
        </w:tc>
        <w:tc>
          <w:tcPr>
            <w:tcW w:w="1320" w:type="dxa"/>
            <w:vAlign w:val="bottom"/>
            <w:tcBorders>
              <w:bottom w:val="single" w:sz="8" w:color="29378D"/>
            </w:tcBorders>
          </w:tcPr>
          <w:p>
            <w:pPr>
              <w:ind w:left="160"/>
              <w:spacing w:after="0"/>
              <w:rPr>
                <w:sz w:val="20"/>
                <w:szCs w:val="20"/>
                <w:color w:val="auto"/>
              </w:rPr>
            </w:pPr>
            <w:r>
              <w:rPr>
                <w:rFonts w:ascii="Arial" w:cs="Arial" w:eastAsia="Arial" w:hAnsi="Arial"/>
                <w:sz w:val="13"/>
                <w:szCs w:val="13"/>
                <w:b w:val="1"/>
                <w:bCs w:val="1"/>
                <w:color w:val="auto"/>
              </w:rPr>
              <w:t>Non-Votes</w:t>
            </w:r>
          </w:p>
        </w:tc>
        <w:tc>
          <w:tcPr>
            <w:tcW w:w="1580" w:type="dxa"/>
            <w:vAlign w:val="bottom"/>
            <w:tcBorders>
              <w:bottom w:val="single" w:sz="8" w:color="29378D"/>
            </w:tcBorders>
          </w:tcPr>
          <w:p>
            <w:pPr>
              <w:ind w:left="80"/>
              <w:spacing w:after="0"/>
              <w:rPr>
                <w:sz w:val="20"/>
                <w:szCs w:val="20"/>
                <w:color w:val="auto"/>
              </w:rPr>
            </w:pPr>
            <w:r>
              <w:rPr>
                <w:rFonts w:ascii="Arial" w:cs="Arial" w:eastAsia="Arial" w:hAnsi="Arial"/>
                <w:sz w:val="13"/>
                <w:szCs w:val="13"/>
                <w:b w:val="1"/>
                <w:bCs w:val="1"/>
                <w:color w:val="auto"/>
              </w:rPr>
              <w:t>Proxy Cards</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Election of Directors</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1)</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 xml:space="preserve">Advisory Vote on Compensation of Named Executive </w:t>
            </w: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color w:val="auto"/>
              </w:rPr>
              <w:t>Officers</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2)</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color w:val="auto"/>
              </w:rPr>
              <w:t>Ratification of Appointment of Independent Auditor</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Brokers have</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3)</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Arial" w:cs="Arial" w:eastAsia="Arial" w:hAnsi="Arial"/>
                <w:sz w:val="16"/>
                <w:szCs w:val="16"/>
                <w:color w:val="auto"/>
              </w:rPr>
              <w:t>discretion to</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BCBEC0"/>
            </w:tcBorders>
          </w:tcPr>
          <w:p>
            <w:pPr>
              <w:spacing w:after="0"/>
              <w:rPr>
                <w:sz w:val="19"/>
                <w:szCs w:val="19"/>
                <w:color w:val="auto"/>
              </w:rPr>
            </w:pP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vote</w:t>
            </w: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20"/>
              <w:spacing w:after="0"/>
              <w:rPr>
                <w:sz w:val="20"/>
                <w:szCs w:val="20"/>
                <w:color w:val="auto"/>
              </w:rPr>
            </w:pPr>
            <w:r>
              <w:rPr>
                <w:rFonts w:ascii="Arial" w:cs="Arial" w:eastAsia="Arial" w:hAnsi="Arial"/>
                <w:sz w:val="16"/>
                <w:szCs w:val="16"/>
                <w:color w:val="auto"/>
              </w:rPr>
              <w:t>Elimination of Personal Liability of Officers for</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voting</w:t>
            </w:r>
          </w:p>
        </w:tc>
        <w:tc>
          <w:tcPr>
            <w:tcW w:w="1260" w:type="dxa"/>
            <w:vAlign w:val="bottom"/>
          </w:tcPr>
          <w:p>
            <w:pPr>
              <w:ind w:left="40"/>
              <w:spacing w:after="0"/>
              <w:rPr>
                <w:sz w:val="20"/>
                <w:szCs w:val="20"/>
                <w:color w:val="auto"/>
              </w:rPr>
            </w:pPr>
            <w:r>
              <w:rPr>
                <w:rFonts w:ascii="Arial" w:cs="Arial" w:eastAsia="Arial" w:hAnsi="Arial"/>
                <w:sz w:val="16"/>
                <w:szCs w:val="16"/>
                <w:color w:val="auto"/>
              </w:rPr>
              <w:t>Effect of voting</w:t>
            </w:r>
          </w:p>
        </w:tc>
        <w:tc>
          <w:tcPr>
            <w:tcW w:w="1320" w:type="dxa"/>
            <w:vAlign w:val="bottom"/>
          </w:tcPr>
          <w:p>
            <w:pPr>
              <w:ind w:left="160"/>
              <w:spacing w:after="0"/>
              <w:rPr>
                <w:sz w:val="20"/>
                <w:szCs w:val="20"/>
                <w:color w:val="auto"/>
              </w:rPr>
            </w:pPr>
            <w:r>
              <w:rPr>
                <w:rFonts w:ascii="Arial" w:cs="Arial" w:eastAsia="Arial" w:hAnsi="Arial"/>
                <w:sz w:val="16"/>
                <w:szCs w:val="16"/>
                <w:color w:val="auto"/>
              </w:rPr>
              <w:t>Effect of voting</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Monetary Damages for Breach of Certain Fiduciary</w:t>
            </w:r>
          </w:p>
        </w:tc>
        <w:tc>
          <w:tcPr>
            <w:tcW w:w="1500" w:type="dxa"/>
            <w:vAlign w:val="bottom"/>
          </w:tcPr>
          <w:p>
            <w:pPr>
              <w:spacing w:after="0"/>
              <w:rPr>
                <w:sz w:val="18"/>
                <w:szCs w:val="18"/>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power of</w:t>
            </w:r>
          </w:p>
        </w:tc>
        <w:tc>
          <w:tcPr>
            <w:tcW w:w="1260" w:type="dxa"/>
            <w:vAlign w:val="bottom"/>
          </w:tcPr>
          <w:p>
            <w:pPr>
              <w:ind w:left="40"/>
              <w:spacing w:after="0"/>
              <w:rPr>
                <w:sz w:val="20"/>
                <w:szCs w:val="20"/>
                <w:color w:val="auto"/>
              </w:rPr>
            </w:pPr>
            <w:r>
              <w:rPr>
                <w:rFonts w:ascii="Arial" w:cs="Arial" w:eastAsia="Arial" w:hAnsi="Arial"/>
                <w:sz w:val="16"/>
                <w:szCs w:val="16"/>
                <w:color w:val="auto"/>
              </w:rPr>
              <w:t>"AGAINST"</w:t>
            </w:r>
          </w:p>
        </w:tc>
        <w:tc>
          <w:tcPr>
            <w:tcW w:w="1320" w:type="dxa"/>
            <w:vAlign w:val="bottom"/>
          </w:tcPr>
          <w:p>
            <w:pPr>
              <w:ind w:left="160"/>
              <w:spacing w:after="0"/>
              <w:rPr>
                <w:sz w:val="20"/>
                <w:szCs w:val="20"/>
                <w:color w:val="auto"/>
              </w:rPr>
            </w:pPr>
            <w:r>
              <w:rPr>
                <w:rFonts w:ascii="Arial" w:cs="Arial" w:eastAsia="Arial" w:hAnsi="Arial"/>
                <w:sz w:val="16"/>
                <w:szCs w:val="16"/>
                <w:color w:val="auto"/>
              </w:rPr>
              <w:t>"AGAINST"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Duties as Permitted by Delaware Law</w:t>
            </w:r>
          </w:p>
        </w:tc>
        <w:tc>
          <w:tcPr>
            <w:tcW w:w="1500" w:type="dxa"/>
            <w:vAlign w:val="bottom"/>
          </w:tcPr>
          <w:p>
            <w:pPr>
              <w:spacing w:after="0"/>
              <w:rPr>
                <w:sz w:val="17"/>
                <w:szCs w:val="17"/>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outstanding</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4)</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shares of common</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BCBEC0"/>
            </w:tcBorders>
          </w:tcPr>
          <w:p>
            <w:pPr>
              <w:spacing w:after="0"/>
              <w:rPr>
                <w:sz w:val="19"/>
                <w:szCs w:val="19"/>
                <w:color w:val="auto"/>
              </w:rPr>
            </w:pP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stock</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Approval of 2024 Long-Term Incentive Stock Plan</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5)</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Shareholder Proposal to Annually Conduct an</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AGAINST</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color w:val="auto"/>
              </w:rPr>
              <w:t>Evaluation and Issue a Report Describing the</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Alignment of the Company’s Political Activities With</w:t>
            </w:r>
          </w:p>
        </w:tc>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5" w:lineRule="exact"/>
              <w:rPr>
                <w:sz w:val="20"/>
                <w:szCs w:val="20"/>
                <w:color w:val="auto"/>
              </w:rPr>
            </w:pPr>
            <w:r>
              <w:rPr>
                <w:rFonts w:ascii="Arial" w:cs="Arial" w:eastAsia="Arial" w:hAnsi="Arial"/>
                <w:sz w:val="16"/>
                <w:szCs w:val="16"/>
                <w:color w:val="auto"/>
              </w:rPr>
              <w:t>Its Human Rights Policy</w:t>
            </w:r>
          </w:p>
        </w:tc>
        <w:tc>
          <w:tcPr>
            <w:tcW w:w="1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6)</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Shareholder Proposal to Provide for an Independent</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AGAINST</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75"/>
        </w:trPr>
        <w:tc>
          <w:tcPr>
            <w:tcW w:w="3840" w:type="dxa"/>
            <w:vAlign w:val="bottom"/>
          </w:tcPr>
          <w:p>
            <w:pPr>
              <w:ind w:left="20"/>
              <w:spacing w:after="0" w:line="175" w:lineRule="exact"/>
              <w:rPr>
                <w:sz w:val="20"/>
                <w:szCs w:val="20"/>
                <w:color w:val="auto"/>
              </w:rPr>
            </w:pPr>
            <w:r>
              <w:rPr>
                <w:rFonts w:ascii="Arial" w:cs="Arial" w:eastAsia="Arial" w:hAnsi="Arial"/>
                <w:sz w:val="16"/>
                <w:szCs w:val="16"/>
                <w:color w:val="auto"/>
              </w:rPr>
              <w:t>Board Chair</w:t>
            </w:r>
          </w:p>
        </w:tc>
        <w:tc>
          <w:tcPr>
            <w:tcW w:w="1500" w:type="dxa"/>
            <w:vAlign w:val="bottom"/>
          </w:tcPr>
          <w:p>
            <w:pPr>
              <w:spacing w:after="0"/>
              <w:rPr>
                <w:sz w:val="15"/>
                <w:szCs w:val="15"/>
                <w:color w:val="auto"/>
              </w:rPr>
            </w:pPr>
          </w:p>
        </w:tc>
        <w:tc>
          <w:tcPr>
            <w:tcW w:w="1740" w:type="dxa"/>
            <w:vAlign w:val="bottom"/>
          </w:tcPr>
          <w:p>
            <w:pPr>
              <w:ind w:left="360"/>
              <w:spacing w:after="0" w:line="175" w:lineRule="exact"/>
              <w:rPr>
                <w:sz w:val="20"/>
                <w:szCs w:val="20"/>
                <w:color w:val="auto"/>
              </w:rPr>
            </w:pPr>
            <w:r>
              <w:rPr>
                <w:rFonts w:ascii="Arial" w:cs="Arial" w:eastAsia="Arial" w:hAnsi="Arial"/>
                <w:sz w:val="16"/>
                <w:szCs w:val="16"/>
                <w:color w:val="auto"/>
              </w:rPr>
              <w:t>cast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7)</w:t>
            </w: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40" w:type="dxa"/>
            <w:vAlign w:val="bottom"/>
            <w:tcBorders>
              <w:bottom w:val="single" w:sz="8" w:color="BCBEC0"/>
            </w:tcBorders>
          </w:tcPr>
          <w:p>
            <w:pPr>
              <w:spacing w:after="0" w:line="20" w:lineRule="exact"/>
              <w:rPr>
                <w:sz w:val="1"/>
                <w:szCs w:val="1"/>
                <w:color w:val="auto"/>
              </w:rPr>
            </w:pPr>
          </w:p>
        </w:tc>
        <w:tc>
          <w:tcPr>
            <w:tcW w:w="1500" w:type="dxa"/>
            <w:vAlign w:val="bottom"/>
            <w:tcBorders>
              <w:bottom w:val="single" w:sz="8" w:color="BCBEC0"/>
            </w:tcBorders>
          </w:tcPr>
          <w:p>
            <w:pPr>
              <w:spacing w:after="0" w:line="20" w:lineRule="exact"/>
              <w:rPr>
                <w:sz w:val="1"/>
                <w:szCs w:val="1"/>
                <w:color w:val="auto"/>
              </w:rPr>
            </w:pPr>
          </w:p>
        </w:tc>
        <w:tc>
          <w:tcPr>
            <w:tcW w:w="1740" w:type="dxa"/>
            <w:vAlign w:val="bottom"/>
            <w:tcBorders>
              <w:bottom w:val="single" w:sz="8" w:color="BCBEC0"/>
            </w:tcBorders>
          </w:tcPr>
          <w:p>
            <w:pPr>
              <w:spacing w:after="0" w:line="20" w:lineRule="exact"/>
              <w:rPr>
                <w:sz w:val="1"/>
                <w:szCs w:val="1"/>
                <w:color w:val="auto"/>
              </w:rPr>
            </w:pPr>
          </w:p>
        </w:tc>
        <w:tc>
          <w:tcPr>
            <w:tcW w:w="126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What is a broker non-vote?</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w:t>
      </w:r>
    </w:p>
    <w:p>
      <w:pPr>
        <w:spacing w:after="0" w:line="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However, NYSE Rule 452 defines various matters as “non-routine,” and brokers who have not received instructions from their clients do not have discretion to vote their client’s shares on such “non-routine” matters, resulting in a “broker non-vote.”</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the management proposals to eliminate personal liability of officers for monetary damages for breach of certain fiduciary duties and to approve the 2024 Long-Term Incentive Stock Plan or the shareholder proposals, in which case a broker non-vote will occur and your shares will not be voted on these matters.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if they are registered directly in my name?</w:t>
      </w:r>
    </w:p>
    <w:p>
      <w:pPr>
        <w:spacing w:after="0" w:line="13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If your shares are registered directly in your name with our transfer agent, Computershare Trust Company, N.A. (Computershare), you are considered the “registered shareholder” of those shares, and you may vote by proxy prior to the Annual Meeting, as discussed below, or you may vote online during the Annual Meeting. Shares represented by a properly executed proxy will be voted at the Annual Meeting in accordance with the shareholder’s instructions. If no instructions 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r>
      <w:tr>
        <w:trPr>
          <w:trHeight w:val="306"/>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auto"/>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 xml:space="preserve">given, the shares will be voted according to the recommendations of the Board. Registered shareholders may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view this Proxy Statement and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3854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on the internet, as well as view the documents, by logging on to</w:t>
            </w:r>
          </w:p>
        </w:tc>
        <w:tc>
          <w:tcPr>
            <w:tcW w:w="0" w:type="dxa"/>
            <w:vAlign w:val="bottom"/>
          </w:tcPr>
          <w:p>
            <w:pPr>
              <w:spacing w:after="0"/>
              <w:rPr>
                <w:sz w:val="1"/>
                <w:szCs w:val="1"/>
                <w:color w:val="auto"/>
              </w:rPr>
            </w:pPr>
          </w:p>
        </w:tc>
      </w:tr>
      <w:tr>
        <w:trPr>
          <w:trHeight w:val="203"/>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INTERNET</w:t>
            </w:r>
          </w:p>
        </w:tc>
        <w:tc>
          <w:tcPr>
            <w:tcW w:w="8800" w:type="dxa"/>
            <w:vAlign w:val="bottom"/>
          </w:tcPr>
          <w:p>
            <w:pPr>
              <w:ind w:left="300"/>
              <w:spacing w:after="0"/>
              <w:rPr>
                <w:sz w:val="20"/>
                <w:szCs w:val="20"/>
                <w:color w:val="auto"/>
              </w:rPr>
            </w:pP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following the instructions given. You will need the control number included in your proxy card,</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voting instruction form or notice.</w:t>
            </w:r>
          </w:p>
        </w:tc>
        <w:tc>
          <w:tcPr>
            <w:tcW w:w="0" w:type="dxa"/>
            <w:vAlign w:val="bottom"/>
          </w:tcPr>
          <w:p>
            <w:pPr>
              <w:spacing w:after="0"/>
              <w:rPr>
                <w:sz w:val="1"/>
                <w:szCs w:val="1"/>
                <w:color w:val="auto"/>
              </w:rPr>
            </w:pPr>
          </w:p>
        </w:tc>
      </w:tr>
      <w:tr>
        <w:trPr>
          <w:trHeight w:val="43"/>
        </w:trPr>
        <w:tc>
          <w:tcPr>
            <w:tcW w:w="2440" w:type="dxa"/>
            <w:vAlign w:val="bottom"/>
            <w:tcBorders>
              <w:bottom w:val="single" w:sz="8" w:color="BCBEC0"/>
            </w:tcBorders>
          </w:tcPr>
          <w:p>
            <w:pPr>
              <w:spacing w:after="0"/>
              <w:rPr>
                <w:sz w:val="3"/>
                <w:szCs w:val="3"/>
                <w:color w:val="auto"/>
              </w:rPr>
            </w:pPr>
          </w:p>
        </w:tc>
        <w:tc>
          <w:tcPr>
            <w:tcW w:w="88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440" w:type="dxa"/>
            <w:vAlign w:val="bottom"/>
            <w:vMerge w:val="restart"/>
          </w:tcPr>
          <w:p>
            <w:pPr>
              <w:ind w:left="1040"/>
              <w:spacing w:after="0"/>
              <w:rPr>
                <w:sz w:val="20"/>
                <w:szCs w:val="20"/>
                <w:color w:val="auto"/>
              </w:rPr>
            </w:pPr>
            <w:r>
              <w:rPr>
                <w:rFonts w:ascii="Arial" w:cs="Arial" w:eastAsia="Arial" w:hAnsi="Arial"/>
                <w:sz w:val="14"/>
                <w:szCs w:val="14"/>
                <w:b w:val="1"/>
                <w:bCs w:val="1"/>
                <w:color w:val="29378D"/>
              </w:rPr>
              <w:t>BY TELEPHONE</w:t>
            </w: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by calling 800-690-6903 (toll-free) with a touch-tone telephone and following the</w:t>
            </w:r>
          </w:p>
        </w:tc>
        <w:tc>
          <w:tcPr>
            <w:tcW w:w="0" w:type="dxa"/>
            <w:vAlign w:val="bottom"/>
          </w:tcPr>
          <w:p>
            <w:pPr>
              <w:spacing w:after="0"/>
              <w:rPr>
                <w:sz w:val="1"/>
                <w:szCs w:val="1"/>
                <w:color w:val="auto"/>
              </w:rPr>
            </w:pPr>
          </w:p>
        </w:tc>
      </w:tr>
      <w:tr>
        <w:trPr>
          <w:trHeight w:val="134"/>
        </w:trPr>
        <w:tc>
          <w:tcPr>
            <w:tcW w:w="2440" w:type="dxa"/>
            <w:vAlign w:val="bottom"/>
            <w:vMerge w:val="continue"/>
          </w:tcPr>
          <w:p>
            <w:pPr>
              <w:spacing w:after="0"/>
              <w:rPr>
                <w:sz w:val="11"/>
                <w:szCs w:val="11"/>
                <w:color w:val="auto"/>
              </w:rPr>
            </w:pPr>
          </w:p>
        </w:tc>
        <w:tc>
          <w:tcPr>
            <w:tcW w:w="8800" w:type="dxa"/>
            <w:vAlign w:val="bottom"/>
            <w:vMerge w:val="restart"/>
          </w:tcPr>
          <w:p>
            <w:pPr>
              <w:ind w:left="300"/>
              <w:spacing w:after="0"/>
              <w:rPr>
                <w:sz w:val="20"/>
                <w:szCs w:val="20"/>
                <w:color w:val="auto"/>
              </w:rPr>
            </w:pPr>
            <w:r>
              <w:rPr>
                <w:rFonts w:ascii="Arial" w:cs="Arial" w:eastAsia="Arial" w:hAnsi="Arial"/>
                <w:sz w:val="16"/>
                <w:szCs w:val="16"/>
                <w:color w:val="auto"/>
              </w:rPr>
              <w:t>recorded instructions. You will need the control number included in your proxy card, voting instruction form or notice.</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440" w:type="dxa"/>
            <w:vAlign w:val="bottom"/>
            <w:tcBorders>
              <w:bottom w:val="single" w:sz="8" w:color="BCBEC0"/>
            </w:tcBorders>
          </w:tcPr>
          <w:p>
            <w:pPr>
              <w:spacing w:after="0"/>
              <w:rPr>
                <w:sz w:val="13"/>
                <w:szCs w:val="13"/>
                <w:color w:val="auto"/>
              </w:rPr>
            </w:pPr>
          </w:p>
        </w:tc>
        <w:tc>
          <w:tcPr>
            <w:tcW w:w="8800" w:type="dxa"/>
            <w:vAlign w:val="bottom"/>
            <w:tcBorders>
              <w:bottom w:val="single" w:sz="8" w:color="BCBEC0"/>
            </w:tcBorders>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QR CODE</w:t>
            </w: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by scanning the QR code on their proxy card or notice with their mobile device.</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BCBEC0"/>
            </w:tcBorders>
          </w:tcPr>
          <w:p>
            <w:pPr>
              <w:spacing w:after="0"/>
              <w:rPr>
                <w:sz w:val="18"/>
                <w:szCs w:val="18"/>
                <w:color w:val="auto"/>
              </w:rPr>
            </w:pPr>
          </w:p>
        </w:tc>
        <w:tc>
          <w:tcPr>
            <w:tcW w:w="88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must request a paper copy of the proxy materials to receive a proxy card and may vote by</w:t>
            </w:r>
          </w:p>
        </w:tc>
        <w:tc>
          <w:tcPr>
            <w:tcW w:w="0" w:type="dxa"/>
            <w:vAlign w:val="bottom"/>
          </w:tcPr>
          <w:p>
            <w:pPr>
              <w:spacing w:after="0"/>
              <w:rPr>
                <w:sz w:val="1"/>
                <w:szCs w:val="1"/>
                <w:color w:val="auto"/>
              </w:rPr>
            </w:pPr>
          </w:p>
        </w:tc>
      </w:tr>
      <w:tr>
        <w:trPr>
          <w:trHeight w:val="203"/>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MAIL</w:t>
            </w:r>
          </w:p>
        </w:tc>
        <w:tc>
          <w:tcPr>
            <w:tcW w:w="8800" w:type="dxa"/>
            <w:vAlign w:val="bottom"/>
          </w:tcPr>
          <w:p>
            <w:pPr>
              <w:ind w:left="300"/>
              <w:spacing w:after="0"/>
              <w:rPr>
                <w:sz w:val="20"/>
                <w:szCs w:val="20"/>
                <w:color w:val="auto"/>
              </w:rPr>
            </w:pPr>
            <w:r>
              <w:rPr>
                <w:rFonts w:ascii="Arial" w:cs="Arial" w:eastAsia="Arial" w:hAnsi="Arial"/>
                <w:sz w:val="16"/>
                <w:szCs w:val="16"/>
                <w:color w:val="auto"/>
              </w:rPr>
              <w:t>marking the voting instructions on the proxy card and following the instructions given for mailing. A paper copy of the</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 xml:space="preserve">proxy materials may be obtained by logging on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following the instructions given.</w:t>
            </w:r>
          </w:p>
        </w:tc>
        <w:tc>
          <w:tcPr>
            <w:tcW w:w="0" w:type="dxa"/>
            <w:vAlign w:val="bottom"/>
          </w:tcPr>
          <w:p>
            <w:pPr>
              <w:spacing w:after="0"/>
              <w:rPr>
                <w:sz w:val="1"/>
                <w:szCs w:val="1"/>
                <w:color w:val="auto"/>
              </w:rPr>
            </w:pPr>
          </w:p>
        </w:tc>
      </w:tr>
      <w:tr>
        <w:trPr>
          <w:trHeight w:val="43"/>
        </w:trPr>
        <w:tc>
          <w:tcPr>
            <w:tcW w:w="2440" w:type="dxa"/>
            <w:vAlign w:val="bottom"/>
            <w:tcBorders>
              <w:bottom w:val="single" w:sz="8" w:color="BCBEC0"/>
            </w:tcBorders>
          </w:tcPr>
          <w:p>
            <w:pPr>
              <w:spacing w:after="0"/>
              <w:rPr>
                <w:sz w:val="3"/>
                <w:szCs w:val="3"/>
                <w:color w:val="auto"/>
              </w:rPr>
            </w:pPr>
          </w:p>
        </w:tc>
        <w:tc>
          <w:tcPr>
            <w:tcW w:w="88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-1294130</wp:posOffset>
            </wp:positionV>
            <wp:extent cx="377190" cy="17830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77190" cy="1783080"/>
                    </a:xfrm>
                    <a:prstGeom prst="rect">
                      <a:avLst/>
                    </a:prstGeom>
                    <a:noFill/>
                  </pic:spPr>
                </pic:pic>
              </a:graphicData>
            </a:graphic>
          </wp:anchor>
        </w:drawing>
      </w:r>
    </w:p>
    <w:p>
      <w:pPr>
        <w:spacing w:after="0" w:line="101" w:lineRule="exact"/>
        <w:rPr>
          <w:sz w:val="20"/>
          <w:szCs w:val="20"/>
          <w:color w:val="auto"/>
        </w:rPr>
      </w:pPr>
    </w:p>
    <w:p>
      <w:pPr>
        <w:ind w:left="1040" w:right="240" w:firstLine="1701"/>
        <w:spacing w:after="0" w:line="180" w:lineRule="auto"/>
        <w:rPr>
          <w:sz w:val="20"/>
          <w:szCs w:val="20"/>
          <w:color w:val="auto"/>
        </w:rPr>
      </w:pPr>
      <w:r>
        <w:rPr>
          <w:rFonts w:ascii="Arial" w:cs="Arial" w:eastAsia="Arial" w:hAnsi="Arial"/>
          <w:sz w:val="13"/>
          <w:szCs w:val="13"/>
          <w:color w:val="auto"/>
        </w:rPr>
        <w:t xml:space="preserve">Registered shareholders may vote during the Annual Meeting online at </w:t>
      </w:r>
      <w:r>
        <w:rPr>
          <w:rFonts w:ascii="Arial" w:cs="Arial" w:eastAsia="Arial" w:hAnsi="Arial"/>
          <w:sz w:val="13"/>
          <w:szCs w:val="13"/>
          <w:i w:val="1"/>
          <w:iCs w:val="1"/>
          <w:color w:val="auto"/>
        </w:rPr>
        <w:t>virtualshareholdermeeting.com/NOC2024</w:t>
      </w:r>
      <w:r>
        <w:rPr>
          <w:rFonts w:ascii="Arial" w:cs="Arial" w:eastAsia="Arial" w:hAnsi="Arial"/>
          <w:sz w:val="13"/>
          <w:szCs w:val="13"/>
          <w:color w:val="auto"/>
        </w:rPr>
        <w:t xml:space="preserve">. If </w:t>
      </w:r>
      <w:r>
        <w:rPr>
          <w:rFonts w:ascii="Arial" w:cs="Arial" w:eastAsia="Arial" w:hAnsi="Arial"/>
          <w:sz w:val="22"/>
          <w:szCs w:val="22"/>
          <w:b w:val="1"/>
          <w:bCs w:val="1"/>
          <w:color w:val="29378D"/>
          <w:vertAlign w:val="superscript"/>
        </w:rPr>
        <w:t>DURING THE ANNUAL</w:t>
      </w:r>
      <w:r>
        <w:rPr>
          <w:rFonts w:ascii="Arial" w:cs="Arial" w:eastAsia="Arial" w:hAnsi="Arial"/>
          <w:sz w:val="13"/>
          <w:szCs w:val="13"/>
          <w:color w:val="auto"/>
        </w:rPr>
        <w:t xml:space="preserve"> you have already voted online, by telephone, by QR code or by mail, your vote during the Annual Meeting will</w:t>
      </w:r>
    </w:p>
    <w:p>
      <w:pPr>
        <w:ind w:left="1040"/>
        <w:spacing w:after="0" w:line="183" w:lineRule="auto"/>
        <w:rPr>
          <w:sz w:val="20"/>
          <w:szCs w:val="20"/>
          <w:color w:val="auto"/>
        </w:rPr>
      </w:pPr>
      <w:r>
        <w:rPr>
          <w:rFonts w:ascii="Arial" w:cs="Arial" w:eastAsia="Arial" w:hAnsi="Arial"/>
          <w:sz w:val="12"/>
          <w:szCs w:val="12"/>
          <w:b w:val="1"/>
          <w:bCs w:val="1"/>
          <w:color w:val="29378D"/>
        </w:rPr>
        <w:t>MEETING</w:t>
      </w:r>
    </w:p>
    <w:p>
      <w:pPr>
        <w:ind w:left="2740"/>
        <w:spacing w:after="0"/>
        <w:rPr>
          <w:sz w:val="20"/>
          <w:szCs w:val="20"/>
          <w:color w:val="auto"/>
        </w:rPr>
      </w:pPr>
      <w:r>
        <w:rPr>
          <w:rFonts w:ascii="Arial" w:cs="Arial" w:eastAsia="Arial" w:hAnsi="Arial"/>
          <w:sz w:val="16"/>
          <w:szCs w:val="16"/>
          <w:color w:val="auto"/>
        </w:rPr>
        <w:t>supersede your earlier vote.</w:t>
      </w:r>
    </w:p>
    <w:p>
      <w:pPr>
        <w:spacing w:after="0" w:line="32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voting during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if they are held by a bank, broker or other nominee?</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Beneficial owners who hold shares in “street name” may revoke a proxy or change a vote by submitting a new, later-dated voting instruction form, contacting the bank, broker or other nominee or by voting during the Annual Meeting. If the notice of internet availability of our proxy materials or voting instruction form that you received does not indicate that you may vote your shares through the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website, you should contact your bank, broker, or other nominee (preferably at least five days before the meeting) and obtain your 16-digit control number that will allow you to attend, participate in, and vote at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held under a Northrop Grumman savings plan?</w:t>
      </w:r>
    </w:p>
    <w:p>
      <w:pPr>
        <w:spacing w:after="0" w:line="13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6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12, 2024 in order to be used by the plan Trustee or Voting Manager to determine the votes cast with respect to plan shares.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494"/>
        <w:spacing w:after="0"/>
        <w:tabs>
          <w:tab w:leader="none" w:pos="520" w:val="left"/>
        </w:tabs>
        <w:numPr>
          <w:ilvl w:val="0"/>
          <w:numId w:val="20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5" w:name="page116"/>
    <w:bookmarkEnd w:id="115"/>
    <w:p>
      <w:pPr>
        <w:spacing w:after="0"/>
        <w:rPr>
          <w:sz w:val="20"/>
          <w:szCs w:val="20"/>
          <w:color w:val="auto"/>
        </w:rPr>
      </w:pPr>
      <w:r>
        <w:rPr>
          <w:rFonts w:ascii="Arial" w:cs="Arial" w:eastAsia="Arial" w:hAnsi="Arial"/>
          <w:sz w:val="43"/>
          <w:szCs w:val="43"/>
          <w:b w:val="1"/>
          <w:bCs w:val="1"/>
          <w:color w:val="29378D"/>
        </w:rPr>
        <w:t>Miscellaneous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on Other Matters</w:t>
      </w:r>
    </w:p>
    <w:p>
      <w:pPr>
        <w:spacing w:after="0" w:line="1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Northrop Grumman Corporation, 2980 Fairview Park Drive, Falls Church, Virginia 22042. Our Bylaws are also available in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 If any other business properly comes before the Annual Meeting, the shares represented by proxies will be voted in accordance with the judgment of the persons authorized to vote them.</w:t>
      </w:r>
    </w:p>
    <w:p>
      <w:pPr>
        <w:spacing w:after="0" w:line="2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Proposals for the 2025 Annual Meeting</w:t>
      </w:r>
    </w:p>
    <w:p>
      <w:pPr>
        <w:spacing w:after="0" w:line="14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Any shareholder who intends to present a proposal at the 2025 Annual Meeting must deliver the proposal to the Corporate Secretary at </w:t>
      </w:r>
      <w:r>
        <w:rPr>
          <w:rFonts w:ascii="Arial" w:cs="Arial" w:eastAsia="Arial" w:hAnsi="Arial"/>
          <w:sz w:val="16"/>
          <w:szCs w:val="16"/>
          <w:b w:val="1"/>
          <w:bCs w:val="1"/>
          <w:i w:val="1"/>
          <w:iCs w:val="1"/>
          <w:color w:val="auto"/>
        </w:rPr>
        <w:t>Northrop Grumman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Corporation, 2980 Fairview Park Drive, Falls Church, Virginia 22042</w:t>
      </w:r>
      <w:r>
        <w:rPr>
          <w:rFonts w:ascii="Arial" w:cs="Arial" w:eastAsia="Arial" w:hAnsi="Arial"/>
          <w:sz w:val="16"/>
          <w:szCs w:val="16"/>
          <w:color w:val="auto"/>
        </w:rPr>
        <w:t>:</w:t>
      </w:r>
    </w:p>
    <w:p>
      <w:pPr>
        <w:spacing w:after="0" w:line="46" w:lineRule="exact"/>
        <w:rPr>
          <w:sz w:val="20"/>
          <w:szCs w:val="20"/>
          <w:color w:val="auto"/>
        </w:rPr>
      </w:pPr>
    </w:p>
    <w:p>
      <w:pPr>
        <w:ind w:left="200" w:right="80" w:hanging="192"/>
        <w:spacing w:after="0" w:line="286" w:lineRule="auto"/>
        <w:tabs>
          <w:tab w:leader="none" w:pos="143" w:val="left"/>
        </w:tabs>
        <w:numPr>
          <w:ilvl w:val="0"/>
          <w:numId w:val="203"/>
        </w:numPr>
        <w:rPr>
          <w:rFonts w:ascii="Arial" w:cs="Arial" w:eastAsia="Arial" w:hAnsi="Arial"/>
          <w:sz w:val="16"/>
          <w:szCs w:val="16"/>
          <w:b w:val="1"/>
          <w:bCs w:val="1"/>
          <w:color w:val="29378D"/>
        </w:rPr>
      </w:pPr>
      <w:r>
        <w:rPr>
          <w:rFonts w:ascii="Arial" w:cs="Arial" w:eastAsia="Arial" w:hAnsi="Arial"/>
          <w:sz w:val="16"/>
          <w:szCs w:val="16"/>
          <w:color w:val="auto"/>
        </w:rPr>
        <w:t>not later than December 4, 2024, if the proposal is submitted for inclusion in the Company’s proxy materials for that meeting pursuant to Rule 14a-8 under the Exchange Act; and</w:t>
      </w:r>
    </w:p>
    <w:p>
      <w:pPr>
        <w:spacing w:after="0" w:line="20" w:lineRule="exact"/>
        <w:rPr>
          <w:rFonts w:ascii="Arial" w:cs="Arial" w:eastAsia="Arial" w:hAnsi="Arial"/>
          <w:sz w:val="16"/>
          <w:szCs w:val="16"/>
          <w:b w:val="1"/>
          <w:bCs w:val="1"/>
          <w:color w:val="29378D"/>
        </w:rPr>
      </w:pPr>
    </w:p>
    <w:p>
      <w:pPr>
        <w:ind w:left="200" w:right="100" w:hanging="192"/>
        <w:spacing w:after="0" w:line="275" w:lineRule="auto"/>
        <w:tabs>
          <w:tab w:leader="none" w:pos="143" w:val="left"/>
        </w:tabs>
        <w:numPr>
          <w:ilvl w:val="0"/>
          <w:numId w:val="203"/>
        </w:numPr>
        <w:rPr>
          <w:rFonts w:ascii="Arial" w:cs="Arial" w:eastAsia="Arial" w:hAnsi="Arial"/>
          <w:sz w:val="16"/>
          <w:szCs w:val="16"/>
          <w:b w:val="1"/>
          <w:bCs w:val="1"/>
          <w:color w:val="00249C"/>
        </w:rPr>
      </w:pPr>
      <w:r>
        <w:rPr>
          <w:rFonts w:ascii="Arial" w:cs="Arial" w:eastAsia="Arial" w:hAnsi="Arial"/>
          <w:sz w:val="16"/>
          <w:szCs w:val="16"/>
          <w:color w:val="auto"/>
        </w:rPr>
        <w:t>not earlier than December 4, 2024 and not later than January 3, 2025, if the proposal is submitted pursuant to the Bylaws, but not pursuant to Rule 14a-8, in which case we are not required to include the proposal in our proxy materials. If the 2025 Annual Meeting is convened more than 30 days prior to or delayed by more than 30 days after the one-year anniversary of the Annual Meeting, our Bylaws provide different notice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Any shareholder who wishes to introduce a proposal should review our Bylaws and applicable proxy rules of the SEC.</w:t>
      </w:r>
    </w:p>
    <w:p>
      <w:pPr>
        <w:spacing w:after="0" w:line="313" w:lineRule="exact"/>
        <w:rPr>
          <w:sz w:val="20"/>
          <w:szCs w:val="20"/>
          <w:color w:val="auto"/>
        </w:rPr>
      </w:pPr>
    </w:p>
    <w:p>
      <w:pPr>
        <w:ind w:right="960"/>
        <w:spacing w:after="0" w:line="295" w:lineRule="auto"/>
        <w:rPr>
          <w:sz w:val="20"/>
          <w:szCs w:val="20"/>
          <w:color w:val="auto"/>
        </w:rPr>
      </w:pPr>
      <w:r>
        <w:rPr>
          <w:rFonts w:ascii="Arial" w:cs="Arial" w:eastAsia="Arial" w:hAnsi="Arial"/>
          <w:sz w:val="32"/>
          <w:szCs w:val="32"/>
          <w:b w:val="1"/>
          <w:bCs w:val="1"/>
          <w:color w:val="auto"/>
        </w:rPr>
        <w:t>Shareholder Nominations for Director Elections at the 2025 Annual Meeting</w:t>
      </w:r>
    </w:p>
    <w:p>
      <w:pPr>
        <w:spacing w:after="0" w:line="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Any shareholder who intends to nominate a person for election as a director at the 2025 Annual Meeting must deliver a notice of such nomination (along with certain other information required by our Bylaws) to the Corporate Secretary at </w:t>
      </w:r>
      <w:r>
        <w:rPr>
          <w:rFonts w:ascii="Arial" w:cs="Arial" w:eastAsia="Arial" w:hAnsi="Arial"/>
          <w:sz w:val="16"/>
          <w:szCs w:val="16"/>
          <w:b w:val="1"/>
          <w:bCs w:val="1"/>
          <w:i w:val="1"/>
          <w:iCs w:val="1"/>
          <w:color w:val="auto"/>
        </w:rPr>
        <w:t>Northrop Grumman Corporation, 2980 Fairview Park Drive, Falls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Church, Virginia 22042</w:t>
      </w:r>
      <w:r>
        <w:rPr>
          <w:rFonts w:ascii="Arial" w:cs="Arial" w:eastAsia="Arial" w:hAnsi="Arial"/>
          <w:sz w:val="16"/>
          <w:szCs w:val="16"/>
          <w:color w:val="auto"/>
        </w:rPr>
        <w:t>:</w:t>
      </w:r>
    </w:p>
    <w:p>
      <w:pPr>
        <w:spacing w:after="0" w:line="97" w:lineRule="exact"/>
        <w:rPr>
          <w:sz w:val="20"/>
          <w:szCs w:val="20"/>
          <w:color w:val="auto"/>
        </w:rPr>
      </w:pPr>
    </w:p>
    <w:p>
      <w:pPr>
        <w:jc w:val="both"/>
        <w:ind w:left="200" w:right="140" w:hanging="192"/>
        <w:spacing w:after="0" w:line="275" w:lineRule="auto"/>
        <w:tabs>
          <w:tab w:leader="none" w:pos="143" w:val="left"/>
        </w:tabs>
        <w:numPr>
          <w:ilvl w:val="0"/>
          <w:numId w:val="204"/>
        </w:numPr>
        <w:rPr>
          <w:rFonts w:ascii="Arial" w:cs="Arial" w:eastAsia="Arial" w:hAnsi="Arial"/>
          <w:sz w:val="16"/>
          <w:szCs w:val="16"/>
          <w:b w:val="1"/>
          <w:bCs w:val="1"/>
          <w:color w:val="29378D"/>
        </w:rPr>
      </w:pPr>
      <w:r>
        <w:rPr>
          <w:rFonts w:ascii="Arial" w:cs="Arial" w:eastAsia="Arial" w:hAnsi="Arial"/>
          <w:sz w:val="16"/>
          <w:szCs w:val="16"/>
          <w:color w:val="auto"/>
        </w:rPr>
        <w:t>not earlier than November 4, 2024 and not later than December 4, 2024,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29" w:lineRule="exact"/>
        <w:rPr>
          <w:rFonts w:ascii="Arial" w:cs="Arial" w:eastAsia="Arial" w:hAnsi="Arial"/>
          <w:sz w:val="16"/>
          <w:szCs w:val="16"/>
          <w:b w:val="1"/>
          <w:bCs w:val="1"/>
          <w:color w:val="29378D"/>
        </w:rPr>
      </w:pPr>
    </w:p>
    <w:p>
      <w:pPr>
        <w:ind w:left="200" w:right="100" w:hanging="192"/>
        <w:spacing w:after="0" w:line="265" w:lineRule="auto"/>
        <w:tabs>
          <w:tab w:leader="none" w:pos="143" w:val="left"/>
        </w:tabs>
        <w:numPr>
          <w:ilvl w:val="0"/>
          <w:numId w:val="204"/>
        </w:numPr>
        <w:rPr>
          <w:rFonts w:ascii="Arial" w:cs="Arial" w:eastAsia="Arial" w:hAnsi="Arial"/>
          <w:sz w:val="16"/>
          <w:szCs w:val="16"/>
          <w:b w:val="1"/>
          <w:bCs w:val="1"/>
          <w:color w:val="29378D"/>
        </w:rPr>
      </w:pPr>
      <w:r>
        <w:rPr>
          <w:rFonts w:ascii="Arial" w:cs="Arial" w:eastAsia="Arial" w:hAnsi="Arial"/>
          <w:sz w:val="16"/>
          <w:szCs w:val="16"/>
          <w:color w:val="auto"/>
        </w:rPr>
        <w:t>not earlier than December 4, 2024 and not later than January 3, 2025, if the nomination is submitted pursuant to the Bylaws, but not pursuant to our proxy access provision, in which case we are not required to include the nomination in our proxy materials (except as may be required in our proxy card pursuant to Rule 14a-19). If the 2025 Annual Meeting is convened more than 30 days prior to or delayed by more than 30 days after the one-year anniversary of the Annual Meeting, our Bylaws provide different notice requirements.</w:t>
      </w:r>
    </w:p>
    <w:p>
      <w:pPr>
        <w:spacing w:after="0" w:line="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Any shareholder who wishes to nominate a person for election as a director should review our Bylaws. In addition, shareholders who intend to solicit proxies in reliance on the SEC’s universal proxy rule for director nominees submitted under the advance notice requirements of our Bylaws must comply with the additional requirements of Rule 14a-19, including delivery of written notice that sets forth all information required by Rule 14a-19(b) under the Exchange Act.</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 Information</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Secretary at the following address and phone number: </w:t>
      </w:r>
      <w:r>
        <w:rPr>
          <w:rFonts w:ascii="Arial" w:cs="Arial" w:eastAsia="Arial" w:hAnsi="Arial"/>
          <w:sz w:val="16"/>
          <w:szCs w:val="16"/>
          <w:b w:val="1"/>
          <w:bCs w:val="1"/>
          <w:i w:val="1"/>
          <w:iCs w:val="1"/>
          <w:color w:val="auto"/>
        </w:rPr>
        <w:t>Northrop Grumman Corporation, 2980 Fairview Park Drive, Falls Church, Virginia 22042,</w:t>
      </w:r>
    </w:p>
    <w:p>
      <w:pPr>
        <w:spacing w:after="0" w:line="21" w:lineRule="exact"/>
        <w:rPr>
          <w:sz w:val="20"/>
          <w:szCs w:val="20"/>
          <w:color w:val="auto"/>
        </w:rPr>
      </w:pPr>
    </w:p>
    <w:p>
      <w:pPr>
        <w:ind w:firstLine="8"/>
        <w:spacing w:after="0" w:line="264" w:lineRule="auto"/>
        <w:tabs>
          <w:tab w:leader="none" w:pos="423" w:val="left"/>
        </w:tabs>
        <w:numPr>
          <w:ilvl w:val="0"/>
          <w:numId w:val="2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280-2900</w:t>
      </w:r>
      <w:r>
        <w:rPr>
          <w:rFonts w:ascii="Arial" w:cs="Arial" w:eastAsia="Arial" w:hAnsi="Arial"/>
          <w:sz w:val="16"/>
          <w:szCs w:val="16"/>
          <w:color w:val="auto"/>
        </w:rPr>
        <w:t>. To receive separate copies of the notice in the future, or if a shareholder is receiving multiple copies and would like to receive only one copy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household, the shareholder should contact his or her bank, broker or other nominee record holder, or may contact the Corporate Secretary at the above address or phone number.</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Cost of Soliciting Proxies</w:t>
      </w:r>
    </w:p>
    <w:p>
      <w:pPr>
        <w:spacing w:after="0" w:line="13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$22,500,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64"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Available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You may obtain a copy of the following corporate governance materials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11" w:lineRule="exact"/>
        <w:rPr>
          <w:sz w:val="20"/>
          <w:szCs w:val="20"/>
          <w:color w:val="auto"/>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Bylaws;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Principles of Corporate Governance;</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Standards of Business Conduct;</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Policy and Procedure Regarding Company Transactions with Related Persons;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Board Committee Charters.</w:t>
      </w:r>
    </w:p>
    <w:p>
      <w:pPr>
        <w:spacing w:after="0" w:line="113"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 xml:space="preserve">Copies of these documents are also available without charge to any shareholder upon written request to the Corporate Secretary, </w:t>
      </w:r>
      <w:r>
        <w:rPr>
          <w:rFonts w:ascii="Arial" w:cs="Arial" w:eastAsia="Arial" w:hAnsi="Arial"/>
          <w:sz w:val="16"/>
          <w:szCs w:val="16"/>
          <w:b w:val="1"/>
          <w:bCs w:val="1"/>
          <w:color w:val="auto"/>
        </w:rPr>
        <w:t>Northrop Grumman</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Corporation, 2980 Fairview Park Drive, Falls Church, Virginia 22042</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disclose amendments to provisions of our Standards of Business Conduct by posting amendments on our website.</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4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and Human Capital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and Human Capital Committee Report,” or those portions of the information included under the section entitled “Audit and Risk Committee Report” required by the SEC’s rules to be included therein, be “filed” with the SEC or, along with the information included under the section entitled ”Pay Versus Performance,” be deemed incorporated by reference into any of those prior filings or into any future filings made by the Company under those statutes, except to the extent we specifically incorporate these items by reference.</w:t>
      </w:r>
    </w:p>
    <w:p>
      <w:pPr>
        <w:spacing w:after="0" w:line="6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Web links throughout this document are provided for convenience only, and the content on the referenced websites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hanging="494"/>
        <w:spacing w:after="0"/>
        <w:tabs>
          <w:tab w:leader="none" w:pos="520" w:val="left"/>
        </w:tabs>
        <w:numPr>
          <w:ilvl w:val="0"/>
          <w:numId w:val="20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17" w:name="page118"/>
    <w:bookmarkEnd w:id="117"/>
    <w:p>
      <w:pPr>
        <w:ind w:left="10260"/>
        <w:spacing w:after="0"/>
        <w:rPr>
          <w:sz w:val="20"/>
          <w:szCs w:val="20"/>
          <w:color w:val="auto"/>
        </w:rPr>
      </w:pPr>
      <w:r>
        <w:rPr>
          <w:rFonts w:ascii="Arial" w:cs="Arial" w:eastAsia="Arial" w:hAnsi="Arial"/>
          <w:sz w:val="14"/>
          <w:szCs w:val="14"/>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April 3, 2024</w:t>
      </w:r>
    </w:p>
    <w:p>
      <w:pPr>
        <w:spacing w:after="0" w:line="11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NOTICE: THE COMPANY FILED AN ANNUAL REPORT ON FORM 10-K FOR THE YEAR ENDED DECEMBER 31, 2023 ON JANUARY 25, 2024. SHAREHOLDERS OF RECORD ON MARCH 19, 2024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44450</wp:posOffset>
            </wp:positionV>
            <wp:extent cx="1122680" cy="3600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226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29378D"/>
        </w:rPr>
        <w:t>Jennifer C. McGarey</w:t>
      </w:r>
    </w:p>
    <w:p>
      <w:pPr>
        <w:spacing w:after="0" w:line="21"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Corporate Vice President and Secretary</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8" w:name="page119"/>
    <w:bookmarkEnd w:id="118"/>
    <w:p>
      <w:pPr>
        <w:spacing w:after="0"/>
        <w:rPr>
          <w:sz w:val="20"/>
          <w:szCs w:val="20"/>
          <w:color w:val="auto"/>
        </w:rPr>
      </w:pPr>
      <w:r>
        <w:rPr>
          <w:rFonts w:ascii="Arial" w:cs="Arial" w:eastAsia="Arial" w:hAnsi="Arial"/>
          <w:sz w:val="43"/>
          <w:szCs w:val="43"/>
          <w:b w:val="1"/>
          <w:bCs w:val="1"/>
          <w:color w:val="29378D"/>
        </w:rPr>
        <w:t>Appendix A – Use of Non-GAAP Financial Measures</w:t>
      </w:r>
    </w:p>
    <w:p>
      <w:pPr>
        <w:spacing w:after="0" w:line="200" w:lineRule="exact"/>
        <w:rPr>
          <w:sz w:val="20"/>
          <w:szCs w:val="20"/>
          <w:color w:val="auto"/>
        </w:rPr>
      </w:pPr>
    </w:p>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119 to 121 of this Appendix A. Other companies, including companies in our industry, may define these measures differently or may utilize different non-GAAP financial measures, limiting the usefulness of those measures for comparative purposes between companies.</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Certain non-GAAP financial measures below are used as internal measures for performance-based compensation decisions, as further discussed in the “Key Components of Our Executive Compensation Programs” section of the Compensation Discussion and Analysis. The Compensation and Human Capital Committee has discretion to make adjustments to these measures in instances where the Company’s performance has been impacted by unforeseen or unusual events. For 2023, 2022 and 2021, the Compensation and Human Capital Committee adjusted the calculation of certain measures in order to exclude the impact of certain events or transactions that were not contemplated when the performance metrics were established.</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u w:val="single" w:color="auto"/>
          <w:color w:val="auto"/>
        </w:rPr>
        <w:t>Cash Flow Metrics</w:t>
      </w:r>
      <w:r>
        <w:rPr>
          <w:rFonts w:ascii="Arial" w:cs="Arial" w:eastAsia="Arial" w:hAnsi="Arial"/>
          <w:sz w:val="16"/>
          <w:szCs w:val="16"/>
          <w:color w:val="auto"/>
        </w:rPr>
        <w:t>: We use cash flow metrics as internal measures of financial performance and for performance based compensation decisions. We also</w:t>
      </w:r>
      <w:r>
        <w:rPr>
          <w:rFonts w:ascii="Arial" w:cs="Arial" w:eastAsia="Arial" w:hAnsi="Arial"/>
          <w:sz w:val="16"/>
          <w:szCs w:val="16"/>
          <w:b w:val="1"/>
          <w:bCs w:val="1"/>
          <w:color w:val="auto"/>
        </w:rPr>
        <w:t xml:space="preserve"> </w:t>
      </w:r>
      <w:r>
        <w:rPr>
          <w:rFonts w:ascii="Arial" w:cs="Arial" w:eastAsia="Arial" w:hAnsi="Arial"/>
          <w:sz w:val="16"/>
          <w:szCs w:val="16"/>
          <w:color w:val="auto"/>
        </w:rPr>
        <w:t>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 All cash flow metrics are reconciled below.</w:t>
      </w:r>
    </w:p>
    <w:p>
      <w:pPr>
        <w:spacing w:after="0" w:line="64" w:lineRule="exact"/>
        <w:rPr>
          <w:sz w:val="20"/>
          <w:szCs w:val="20"/>
          <w:color w:val="auto"/>
        </w:rPr>
      </w:pPr>
    </w:p>
    <w:p>
      <w:pPr>
        <w:ind w:left="200" w:right="480"/>
        <w:spacing w:after="0" w:line="286" w:lineRule="auto"/>
        <w:rPr>
          <w:sz w:val="20"/>
          <w:szCs w:val="20"/>
          <w:color w:val="auto"/>
        </w:rPr>
      </w:pPr>
      <w:r>
        <w:rPr>
          <w:rFonts w:ascii="Arial" w:cs="Arial" w:eastAsia="Arial" w:hAnsi="Arial"/>
          <w:sz w:val="16"/>
          <w:szCs w:val="16"/>
          <w:b w:val="1"/>
          <w:bCs w:val="1"/>
          <w:u w:val="single" w:color="auto"/>
          <w:color w:val="auto"/>
        </w:rPr>
        <w:t>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Net cash provided by operating activities, less capital expenditures. We use free cash flow as a key factor in our planning for,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of, acquisitions, the payment of dividends and stock repurchases.</w:t>
      </w:r>
    </w:p>
    <w:p>
      <w:pPr>
        <w:spacing w:after="0" w:line="61" w:lineRule="exact"/>
        <w:rPr>
          <w:sz w:val="20"/>
          <w:szCs w:val="20"/>
          <w:color w:val="auto"/>
        </w:rPr>
      </w:pPr>
    </w:p>
    <w:p>
      <w:pPr>
        <w:ind w:left="200" w:right="120"/>
        <w:spacing w:after="0" w:line="265" w:lineRule="auto"/>
        <w:rPr>
          <w:sz w:val="20"/>
          <w:szCs w:val="20"/>
          <w:color w:val="auto"/>
        </w:rPr>
      </w:pPr>
      <w:r>
        <w:rPr>
          <w:rFonts w:ascii="Arial" w:cs="Arial" w:eastAsia="Arial" w:hAnsi="Arial"/>
          <w:sz w:val="16"/>
          <w:szCs w:val="16"/>
          <w:b w:val="1"/>
          <w:bCs w:val="1"/>
          <w:u w:val="single" w:color="auto"/>
          <w:color w:val="auto"/>
        </w:rPr>
        <w:t>Adjusted Free Cash Flow (Adjusted FCF)</w:t>
      </w:r>
      <w:r>
        <w:rPr>
          <w:rFonts w:ascii="Arial" w:cs="Arial" w:eastAsia="Arial" w:hAnsi="Arial"/>
          <w:sz w:val="16"/>
          <w:szCs w:val="16"/>
          <w:color w:val="auto"/>
        </w:rPr>
        <w:t>: Net cash provided by operating activities, less capital expenditures, plus proceeds from the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to a customer (not otherwise included in net cash provided by or used in operating activities) and the after-tax impact of discretionary pension contributions, if any. Adjusted Free Cash Flow includes proceeds from the sale of equipment to a customer as proceeds were generated in a customer sales transaction. It also includes the after-tax impact of discretionary pension contributions for consistency and comparability of financial performance.</w:t>
      </w:r>
    </w:p>
    <w:p>
      <w:pPr>
        <w:spacing w:after="0" w:line="65" w:lineRule="exact"/>
        <w:rPr>
          <w:sz w:val="20"/>
          <w:szCs w:val="20"/>
          <w:color w:val="auto"/>
        </w:rPr>
      </w:pPr>
    </w:p>
    <w:p>
      <w:pPr>
        <w:ind w:left="200"/>
        <w:spacing w:after="0" w:line="261" w:lineRule="auto"/>
        <w:rPr>
          <w:sz w:val="20"/>
          <w:szCs w:val="20"/>
          <w:color w:val="auto"/>
        </w:rPr>
      </w:pPr>
      <w:r>
        <w:rPr>
          <w:rFonts w:ascii="Arial" w:cs="Arial" w:eastAsia="Arial" w:hAnsi="Arial"/>
          <w:sz w:val="16"/>
          <w:szCs w:val="16"/>
          <w:b w:val="1"/>
          <w:bCs w:val="1"/>
          <w:u w:val="single" w:color="auto"/>
          <w:color w:val="auto"/>
        </w:rPr>
        <w:t>Transaction-Adjusted 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Net cash provided by operating activities, less capital expenditures, plus proceeds from the sale of equipment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(not otherwise included in net cash provided by or used in operating activities), the after-tax impact of discretionary pension contributions, if any, and cash paid for federal and state taxes and transaction costs associated with the IT services divestiture. Transaction-Adjusted Free Cash Flow includes proceeds from the sale of equipment to a customer as such proceeds were generated in a customer sales transaction. It includes the after-tax impact of discretionary pension contributions and cash paid for federal and state taxes and transaction costs associated with the IT services divestiture for consistency and comparability of financial performance.</w:t>
      </w:r>
    </w:p>
    <w:p>
      <w:pPr>
        <w:spacing w:after="0" w:line="82"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b w:val="1"/>
          <w:bCs w:val="1"/>
          <w:u w:val="single" w:color="auto"/>
          <w:color w:val="auto"/>
        </w:rPr>
        <w:t>Transaction-Adjusted Free Cash Flow Before After-Tax Total Pension Funding</w:t>
      </w:r>
      <w:r>
        <w:rPr>
          <w:rFonts w:ascii="Arial" w:cs="Arial" w:eastAsia="Arial" w:hAnsi="Arial"/>
          <w:sz w:val="16"/>
          <w:szCs w:val="16"/>
          <w:color w:val="auto"/>
        </w:rPr>
        <w:t>: Transaction-Adjusted Free Cash Flow, as defined above,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after-tax impact of required pension funding, as approved by the Compensation and Human Capital Committee.</w:t>
      </w:r>
    </w:p>
    <w:p>
      <w:pPr>
        <w:spacing w:after="0" w:line="61" w:lineRule="exact"/>
        <w:rPr>
          <w:sz w:val="20"/>
          <w:szCs w:val="20"/>
          <w:color w:val="auto"/>
        </w:rPr>
      </w:pPr>
    </w:p>
    <w:p>
      <w:pPr>
        <w:ind w:left="200" w:right="60"/>
        <w:spacing w:after="0" w:line="258" w:lineRule="auto"/>
        <w:rPr>
          <w:sz w:val="20"/>
          <w:szCs w:val="20"/>
          <w:color w:val="auto"/>
        </w:rPr>
      </w:pPr>
      <w:r>
        <w:rPr>
          <w:rFonts w:ascii="Arial" w:cs="Arial" w:eastAsia="Arial" w:hAnsi="Arial"/>
          <w:sz w:val="16"/>
          <w:szCs w:val="16"/>
          <w:b w:val="1"/>
          <w:bCs w:val="1"/>
          <w:u w:val="single" w:color="auto"/>
          <w:color w:val="auto"/>
        </w:rPr>
        <w:t>Adjusted Cumulative Free Cash Flow (Adjusted Cumulative FCF)</w:t>
      </w:r>
      <w:r>
        <w:rPr>
          <w:rFonts w:ascii="Arial" w:cs="Arial" w:eastAsia="Arial" w:hAnsi="Arial"/>
          <w:sz w:val="16"/>
          <w:szCs w:val="16"/>
          <w:color w:val="auto"/>
        </w:rPr>
        <w:t>: The aggregate Transaction-Adjusted Free Cash Flow Before After-Tax Total</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Funding, as defined above, over a three-year period and after cash flow adjustments, as approved by the Compensation and Human Capital Committee, to adjust for unanticipated impacts to this measure for each three-year period since initial grant setting. Approved adjustments for the 2021 grant include the impact of plan-based differences in CAS pension reimbursements due to plan asset return experience, unanticipated cash expenditures on a Space Systems program due to international trade restrictions, and federal and state tax impacts associated with the sale of a minority investment in an international business.</w:t>
      </w:r>
    </w:p>
    <w:p>
      <w:pPr>
        <w:spacing w:after="0" w:line="82" w:lineRule="exact"/>
        <w:rPr>
          <w:sz w:val="20"/>
          <w:szCs w:val="20"/>
          <w:color w:val="auto"/>
        </w:rPr>
      </w:pPr>
    </w:p>
    <w:p>
      <w:pPr>
        <w:ind w:left="200" w:right="300"/>
        <w:spacing w:after="0" w:line="286" w:lineRule="auto"/>
        <w:rPr>
          <w:sz w:val="20"/>
          <w:szCs w:val="20"/>
          <w:color w:val="auto"/>
        </w:rPr>
      </w:pPr>
      <w:r>
        <w:rPr>
          <w:rFonts w:ascii="Arial" w:cs="Arial" w:eastAsia="Arial" w:hAnsi="Arial"/>
          <w:sz w:val="16"/>
          <w:szCs w:val="16"/>
          <w:b w:val="1"/>
          <w:bCs w:val="1"/>
          <w:u w:val="single" w:color="auto"/>
          <w:color w:val="auto"/>
        </w:rPr>
        <w:t>Adjusted Cash Flow from Operations</w:t>
      </w:r>
      <w:r>
        <w:rPr>
          <w:rFonts w:ascii="Arial" w:cs="Arial" w:eastAsia="Arial" w:hAnsi="Arial"/>
          <w:sz w:val="16"/>
          <w:szCs w:val="16"/>
          <w:color w:val="auto"/>
        </w:rPr>
        <w:t>: Net cash provided by operating activities, adjusted to include proceeds from sale of equipment to a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(not otherwise included in net cash provided by operating activities) and to exclude</w:t>
      </w:r>
    </w:p>
    <w:p>
      <w:pPr>
        <w:spacing w:after="0" w:line="200" w:lineRule="exact"/>
        <w:rPr>
          <w:sz w:val="20"/>
          <w:szCs w:val="20"/>
          <w:color w:val="auto"/>
        </w:rPr>
      </w:pPr>
    </w:p>
    <w:p>
      <w:pPr>
        <w:spacing w:after="0" w:line="338" w:lineRule="exact"/>
        <w:rPr>
          <w:sz w:val="20"/>
          <w:szCs w:val="20"/>
          <w:color w:val="auto"/>
        </w:rPr>
      </w:pPr>
    </w:p>
    <w:p>
      <w:pPr>
        <w:ind w:left="520" w:hanging="494"/>
        <w:spacing w:after="0"/>
        <w:tabs>
          <w:tab w:leader="none" w:pos="520" w:val="left"/>
        </w:tabs>
        <w:numPr>
          <w:ilvl w:val="0"/>
          <w:numId w:val="20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line="258" w:lineRule="auto"/>
        <w:rPr>
          <w:sz w:val="20"/>
          <w:szCs w:val="20"/>
          <w:color w:val="auto"/>
        </w:rPr>
      </w:pPr>
      <w:r>
        <w:rPr>
          <w:rFonts w:ascii="Arial" w:cs="Arial" w:eastAsia="Arial" w:hAnsi="Arial"/>
          <w:sz w:val="16"/>
          <w:szCs w:val="16"/>
          <w:color w:val="auto"/>
        </w:rPr>
        <w:t>transaction costs as well as federal and state income taxes associated with the IT services divestiture, the after-tax impact of discretionary pension contributions, if any, and other cash flow adjustments as approved by the Compensation and Human Capital Committee. Adjusted Cash Flow from Operations includes proceeds from the sale of equipment to a customer as such proceeds were generated in a customer sales transaction. It excludes the after-tax impact of discretionary pension contributions for consistency and comparability of financial performance. As approved by the Compensation and Human Capital Committee, the 2023 metric has been adjusted to exclude CAS pension recovery, cash received from certain federal and state tax settlements, and the federal and state tax impacts of the sale of a minority investment in an international business. As approved by the Compensation and Human Capital Committee, the 2022 metric has been adjusted to exclude CAS pension recovery, assumptions regarding tax legislation related to research credits at the time of grant setting, unanticipated costs related to a Space Systems program due to international trade restrictions, and certain delayed costs related to the IT services divestiture.</w:t>
      </w:r>
    </w:p>
    <w:p>
      <w:pPr>
        <w:spacing w:after="0" w:line="8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u w:val="single" w:color="auto"/>
          <w:color w:val="auto"/>
        </w:rPr>
        <w:t>Pension-Adjusted Metrics</w:t>
      </w:r>
      <w:r>
        <w:rPr>
          <w:rFonts w:ascii="Arial" w:cs="Arial" w:eastAsia="Arial" w:hAnsi="Arial"/>
          <w:sz w:val="16"/>
          <w:szCs w:val="16"/>
          <w:color w:val="auto"/>
        </w:rPr>
        <w:t>: For financial statement purposes, we account for our employee pension plans in accordance with GAAP (FAS). However,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w:t>
      </w:r>
    </w:p>
    <w:p>
      <w:pPr>
        <w:spacing w:after="0" w:line="6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net FAS/CAS operating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net FAS/CAS operating adjustment and net FAS (non-service) pension benefit. The following pension-adjusted measures may be useful to investors and other users of our financial statements in evaluating our performance based upon the pension costs charged to our contracts. All pension-adjusted metrics are reconciled below.</w:t>
      </w:r>
    </w:p>
    <w:p>
      <w:pPr>
        <w:spacing w:after="0" w:line="64" w:lineRule="exact"/>
        <w:rPr>
          <w:sz w:val="20"/>
          <w:szCs w:val="20"/>
          <w:color w:val="auto"/>
        </w:rPr>
      </w:pPr>
    </w:p>
    <w:p>
      <w:pPr>
        <w:ind w:left="200" w:right="100"/>
        <w:spacing w:after="0" w:line="265" w:lineRule="auto"/>
        <w:rPr>
          <w:sz w:val="20"/>
          <w:szCs w:val="20"/>
          <w:color w:val="auto"/>
        </w:rPr>
      </w:pPr>
      <w:r>
        <w:rPr>
          <w:rFonts w:ascii="Arial" w:cs="Arial" w:eastAsia="Arial" w:hAnsi="Arial"/>
          <w:sz w:val="16"/>
          <w:szCs w:val="16"/>
          <w:b w:val="1"/>
          <w:bCs w:val="1"/>
          <w:u w:val="single" w:color="auto"/>
          <w:color w:val="auto"/>
        </w:rPr>
        <w:t>Pension-Adjusted Operating Income</w:t>
      </w:r>
      <w:r>
        <w:rPr>
          <w:rFonts w:ascii="Arial" w:cs="Arial" w:eastAsia="Arial" w:hAnsi="Arial"/>
          <w:sz w:val="16"/>
          <w:szCs w:val="16"/>
          <w:color w:val="auto"/>
        </w:rPr>
        <w:t>: Operating income before the net FAS/CAS operating adjustment as defined above and excluding unallocated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 tax impacts reflected within unallocated corporate income (expense). As approved by the Compensation and Human Capital Committee, this metric has been adjusted to exclude a charge on the low-rate initial production phase of the B-21 program, Orbital ATK intangible asset amortization and property, plant and equipment (PP&amp;E) step-up depreciation and impacts related to the divestiture of a small international subsidiary.</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Pension-Adjusted Operating Margin (OM) Rate</w:t>
      </w:r>
      <w:r>
        <w:rPr>
          <w:rFonts w:ascii="Arial" w:cs="Arial" w:eastAsia="Arial" w:hAnsi="Arial"/>
          <w:sz w:val="16"/>
          <w:szCs w:val="16"/>
          <w:color w:val="auto"/>
        </w:rPr>
        <w:t>: Pension-Adjusted Operating Income as defined above, divided by sales.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u w:val="single" w:color="auto"/>
          <w:color w:val="auto"/>
        </w:rPr>
        <w:t>Segment Operating Income and Segment Operating Margin Rate:</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Operating Income and Segment Operating Margin Rate (Segment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68"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u w:val="single" w:color="auto"/>
          <w:color w:val="auto"/>
        </w:rPr>
        <w:t>Adjusted Segment 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Operating Income, as defined above, adjusted to exclude a charge on the low-rate initial production phase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B-21 program, as approved by the Compensation and Human Capital Committee.</w:t>
      </w:r>
    </w:p>
    <w:p>
      <w:pPr>
        <w:spacing w:after="0" w:line="3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u w:val="single" w:color="auto"/>
          <w:color w:val="auto"/>
        </w:rPr>
        <w:t>MTM-Adjusted Net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Net earnings excluding MTM expense and related tax impacts. This measure may be useful to investors and other users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6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u w:val="single" w:color="auto"/>
          <w:color w:val="auto"/>
        </w:rPr>
        <w:t>MTM-Adjusted EPS:</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earnings per share excluding the per share impact of MTM benefit (expense) and related tax impacts. This measure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u w:val="single" w:color="auto"/>
          <w:color w:val="auto"/>
        </w:rPr>
        <w:t>Transaction-Adjusted Net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Net earnings excluding impacts related to the company’s IT services divestiture, including the gain on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divestiture activity and pension and OPB actuarial gains and losses. This measure is also consistent with how management views the underlying performance of the business as the impact of the IT services divestiture and MTM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accounting is not considered in management’s assessment of the Company’s operating performance or in its determination of incentive compensation awards.</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u w:val="single" w:color="auto"/>
          <w:color w:val="auto"/>
        </w:rPr>
        <w:t>Transaction-Adjusted EPS:</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earnings per share excluding the per share impacts related to the Company’s IT services divestiture, including the gain</w:t>
      </w:r>
      <w:r>
        <w:rPr>
          <w:rFonts w:ascii="Arial" w:cs="Arial" w:eastAsia="Arial" w:hAnsi="Arial"/>
          <w:sz w:val="16"/>
          <w:szCs w:val="16"/>
          <w:b w:val="1"/>
          <w:bCs w:val="1"/>
          <w:color w:val="auto"/>
        </w:rPr>
        <w:t xml:space="preserve"> </w:t>
      </w:r>
      <w:r>
        <w:rPr>
          <w:rFonts w:ascii="Arial" w:cs="Arial" w:eastAsia="Arial" w:hAnsi="Arial"/>
          <w:sz w:val="16"/>
          <w:szCs w:val="16"/>
          <w:color w:val="auto"/>
        </w:rPr>
        <w:t>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per share by presenting the Company’s diluted earnings per share results before the non-operational impact of the IT services divestiture and pension and OPB actuarial gains and losses.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u w:val="single" w:color="auto"/>
          <w:color w:val="auto"/>
        </w:rPr>
        <w:t>Operating Return on Net Assets (Operating RONA)</w:t>
      </w:r>
      <w:r>
        <w:rPr>
          <w:rFonts w:ascii="Arial" w:cs="Arial" w:eastAsia="Arial" w:hAnsi="Arial"/>
          <w:sz w:val="16"/>
          <w:szCs w:val="16"/>
          <w:color w:val="auto"/>
        </w:rPr>
        <w:t>: Adjusted Net Operating Profit After-Tax (Adjusted NOPAT), as defined below, divided by the two-year</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of net operating assets. Net operating assets are defined as net total current assets, excluding cash and cash equivalents, less total current liabilities, excluding short-term debt, plus net PP&amp;E, adjusted for balance sheet items approved by the Compensation and Human Capital Committee. Approved balance sheet adjustments are comprised of impacts resulting from the charge on the low-rate initial production phase of the B-21 program, adjustments to working capital and net PP&amp;E associated with the IT services business in 2022 and 2023, plan-based differences in net taxes receivable, adjustments to exclude PP&amp;E impacts related to landlord-funded leasehold improvements related to a Space Systems real estate lease and unanticipated costs related to a Space Systems program due to international trade restrictions.</w:t>
      </w:r>
    </w:p>
    <w:p>
      <w:pPr>
        <w:spacing w:after="0" w:line="6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b w:val="1"/>
          <w:bCs w:val="1"/>
          <w:u w:val="single" w:color="auto"/>
          <w:color w:val="auto"/>
        </w:rPr>
        <w:t>Adjusted Net Operating Profit After-Tax (Adjusted NOPAT)</w:t>
      </w:r>
      <w:r>
        <w:rPr>
          <w:rFonts w:ascii="Arial" w:cs="Arial" w:eastAsia="Arial" w:hAnsi="Arial"/>
          <w:sz w:val="16"/>
          <w:szCs w:val="16"/>
          <w:color w:val="auto"/>
        </w:rPr>
        <w:t>: The after-tax sum of Segment Operating Income, as defined above, adjusted to exclude</w:t>
      </w:r>
      <w:r>
        <w:rPr>
          <w:rFonts w:ascii="Arial" w:cs="Arial" w:eastAsia="Arial" w:hAnsi="Arial"/>
          <w:sz w:val="16"/>
          <w:szCs w:val="16"/>
          <w:b w:val="1"/>
          <w:bCs w:val="1"/>
          <w:color w:val="auto"/>
        </w:rPr>
        <w:t xml:space="preserve"> </w:t>
      </w:r>
      <w:r>
        <w:rPr>
          <w:rFonts w:ascii="Arial" w:cs="Arial" w:eastAsia="Arial" w:hAnsi="Arial"/>
          <w:sz w:val="16"/>
          <w:szCs w:val="16"/>
          <w:color w:val="auto"/>
        </w:rPr>
        <w:t>intercompany eliminations, Orbital ATK intangible asset amortization and PP&amp;E step-up depreciation and other adjustments as approved by the Compensation and Human Capital Committee. Approved adjustments include a charge on the low-rate initial production phase of the B-21 program, unanticipated costs related to a Space Systems program due to international trade restrictions and plan-based differences in CAS reimbursements. Intercompany eliminations are excluded to evaluate the operational performance of the business segments, inclusive of intercompany activity.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Pension-Adjusted Net Operating Profit After-Tax (Pension-Adjusted NOPAT)</w:t>
      </w:r>
      <w:r>
        <w:rPr>
          <w:rFonts w:ascii="Arial" w:cs="Arial" w:eastAsia="Arial" w:hAnsi="Arial"/>
          <w:sz w:val="16"/>
          <w:szCs w:val="16"/>
          <w:color w:val="auto"/>
        </w:rPr>
        <w:t>: MTM Adjusted Net Earnings, as defined above, adjusted to exclude net</w:t>
      </w:r>
    </w:p>
    <w:p>
      <w:pPr>
        <w:spacing w:after="0" w:line="3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interest expense, Orbital ATK intangible asset amortization and PP&amp;E step-up depreciation and net FAS/CAS pension adjustment, as defined above, after taxes.</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u w:val="single" w:color="auto"/>
          <w:color w:val="auto"/>
        </w:rPr>
        <w:t>Return on Invested Capital (ROIC</w:t>
      </w:r>
      <w:r>
        <w:rPr>
          <w:rFonts w:ascii="Arial" w:cs="Arial" w:eastAsia="Arial" w:hAnsi="Arial"/>
          <w:sz w:val="16"/>
          <w:szCs w:val="16"/>
          <w:b w:val="1"/>
          <w:bCs w:val="1"/>
          <w:color w:val="auto"/>
        </w:rPr>
        <w:t>)</w:t>
      </w:r>
      <w:r>
        <w:rPr>
          <w:rFonts w:ascii="Arial" w:cs="Arial" w:eastAsia="Arial" w:hAnsi="Arial"/>
          <w:sz w:val="16"/>
          <w:szCs w:val="16"/>
          <w:color w:val="auto"/>
        </w:rPr>
        <w:t>: The three-year average of Pension-Adjusted NOPAT, as defined above, divided by the three-year average of invested</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as defined below.</w:t>
      </w:r>
    </w:p>
    <w:p>
      <w:pPr>
        <w:spacing w:after="0" w:line="4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u w:val="single" w:color="auto"/>
          <w:color w:val="auto"/>
        </w:rPr>
        <w:t>Invested Capital</w:t>
      </w:r>
      <w:r>
        <w:rPr>
          <w:rFonts w:ascii="Arial" w:cs="Arial" w:eastAsia="Arial" w:hAnsi="Arial"/>
          <w:sz w:val="16"/>
          <w:szCs w:val="16"/>
          <w:color w:val="auto"/>
        </w:rPr>
        <w:t>: Shareholder’s equity plus total long-term debt, net of cash and cash equivalents. As approved by the Compensation and Human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Invested Capital excludes the impact on retained earnings related to accumulated other comprehensive income (loss) (AOCI/(AOCL), cumulative MTM benefits (expenses) from 2021 onward, and the 2021 IT services divestiture, including the gain on sale of the business, associated federal and state income tax expenses, transaction costs, and the make-whole premium for early debt redemption.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494"/>
        <w:spacing w:after="0"/>
        <w:tabs>
          <w:tab w:leader="none" w:pos="520" w:val="left"/>
        </w:tabs>
        <w:numPr>
          <w:ilvl w:val="0"/>
          <w:numId w:val="20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Reconciliation of Non-GAAP Financial Measures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Arial" w:cs="Arial" w:eastAsia="Arial" w:hAnsi="Arial"/>
                <w:sz w:val="13"/>
                <w:szCs w:val="13"/>
                <w:b w:val="1"/>
                <w:bCs w:val="1"/>
                <w:color w:val="auto"/>
                <w:w w:val="98"/>
              </w:rPr>
              <w:t>Total Year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26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140" w:type="dxa"/>
            <w:vAlign w:val="bottom"/>
            <w:tcBorders>
              <w:bottom w:val="single" w:sz="8" w:color="29378D"/>
            </w:tcBorders>
          </w:tcPr>
          <w:p>
            <w:pPr>
              <w:spacing w:after="0" w:line="20" w:lineRule="exact"/>
              <w:rPr>
                <w:sz w:val="1"/>
                <w:szCs w:val="1"/>
                <w:color w:val="auto"/>
              </w:rPr>
            </w:pPr>
          </w:p>
        </w:tc>
        <w:tc>
          <w:tcPr>
            <w:tcW w:w="860" w:type="dxa"/>
            <w:vAlign w:val="bottom"/>
            <w:tcBorders>
              <w:bottom w:val="single" w:sz="8" w:color="29378D"/>
            </w:tcBorders>
          </w:tcPr>
          <w:p>
            <w:pPr>
              <w:spacing w:after="0" w:line="20" w:lineRule="exact"/>
              <w:rPr>
                <w:sz w:val="1"/>
                <w:szCs w:val="1"/>
                <w:color w:val="auto"/>
              </w:rPr>
            </w:pPr>
          </w:p>
        </w:tc>
        <w:tc>
          <w:tcPr>
            <w:tcW w:w="24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8140" w:type="dxa"/>
            <w:vAlign w:val="bottom"/>
            <w:tcBorders>
              <w:bottom w:val="single" w:sz="8" w:color="29378D"/>
            </w:tcBorders>
          </w:tcPr>
          <w:p>
            <w:pPr>
              <w:spacing w:after="0" w:line="20" w:lineRule="exact"/>
              <w:rPr>
                <w:sz w:val="1"/>
                <w:szCs w:val="1"/>
                <w:color w:val="auto"/>
              </w:rPr>
            </w:pPr>
          </w:p>
        </w:tc>
        <w:tc>
          <w:tcPr>
            <w:tcW w:w="26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140" w:type="dxa"/>
            <w:vAlign w:val="bottom"/>
            <w:tcBorders>
              <w:bottom w:val="single" w:sz="8" w:color="29378D"/>
            </w:tcBorders>
          </w:tcPr>
          <w:p>
            <w:pPr>
              <w:spacing w:after="0" w:line="20" w:lineRule="exact"/>
              <w:rPr>
                <w:sz w:val="1"/>
                <w:szCs w:val="1"/>
                <w:color w:val="auto"/>
              </w:rPr>
            </w:pPr>
          </w:p>
        </w:tc>
        <w:tc>
          <w:tcPr>
            <w:tcW w:w="860" w:type="dxa"/>
            <w:vAlign w:val="bottom"/>
            <w:tcBorders>
              <w:bottom w:val="single" w:sz="8" w:color="29378D"/>
            </w:tcBorders>
          </w:tcPr>
          <w:p>
            <w:pPr>
              <w:spacing w:after="0" w:line="20" w:lineRule="exact"/>
              <w:rPr>
                <w:sz w:val="1"/>
                <w:szCs w:val="1"/>
                <w:color w:val="auto"/>
              </w:rPr>
            </w:pPr>
          </w:p>
        </w:tc>
        <w:tc>
          <w:tcPr>
            <w:tcW w:w="24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1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 Metrics</w:t>
            </w:r>
          </w:p>
        </w:tc>
        <w:tc>
          <w:tcPr>
            <w:tcW w:w="260" w:type="dxa"/>
            <w:vAlign w:val="bottom"/>
            <w:tcBorders>
              <w:bottom w:val="single" w:sz="8" w:color="DBDBDB"/>
            </w:tcBorders>
          </w:tcPr>
          <w:p>
            <w:pPr>
              <w:spacing w:after="0"/>
              <w:rPr>
                <w:sz w:val="18"/>
                <w:szCs w:val="18"/>
                <w:color w:val="auto"/>
              </w:rPr>
            </w:pPr>
          </w:p>
        </w:tc>
        <w:tc>
          <w:tcPr>
            <w:tcW w:w="8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BDBDB"/>
            </w:tcBorders>
          </w:tcPr>
          <w:p>
            <w:pPr>
              <w:jc w:val="right"/>
              <w:ind w:right="9"/>
              <w:spacing w:after="0"/>
              <w:rPr>
                <w:sz w:val="20"/>
                <w:szCs w:val="20"/>
                <w:color w:val="auto"/>
              </w:rPr>
            </w:pPr>
            <w:r>
              <w:rPr>
                <w:rFonts w:ascii="Arial" w:cs="Arial" w:eastAsia="Arial" w:hAnsi="Arial"/>
                <w:sz w:val="14"/>
                <w:szCs w:val="14"/>
                <w:b w:val="1"/>
                <w:bCs w:val="1"/>
                <w:color w:val="auto"/>
              </w:rPr>
              <w:t>3,875</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2,901</w:t>
            </w:r>
          </w:p>
        </w:tc>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3,567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(1,775)</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(1,435)</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1,466</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2,152</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Proceeds from sale of equipment to a customer</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1,621</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2,236</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transaction costs</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federal and state taxes</w:t>
            </w:r>
          </w:p>
        </w:tc>
        <w:tc>
          <w:tcPr>
            <w:tcW w:w="260" w:type="dxa"/>
            <w:vAlign w:val="bottom"/>
            <w:tcBorders>
              <w:bottom w:val="single" w:sz="8" w:color="BCBEC0"/>
            </w:tcBorders>
          </w:tcPr>
          <w:p>
            <w:pPr>
              <w:spacing w:after="0"/>
              <w:rPr>
                <w:sz w:val="18"/>
                <w:szCs w:val="18"/>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8"/>
                <w:szCs w:val="18"/>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Transaction-Adjusted 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1,621</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3,060</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After-tax required pension contributions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Transaction-Adjusted Free Cash Flow Before After-Tax Total Pension Funding</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Approved adjustments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2"/>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Adjusted Cumulative Free Cash Flow</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7,320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3"/>
          </w:tcPr>
          <w:p>
            <w:pPr>
              <w:jc w:val="right"/>
              <w:ind w:right="728"/>
              <w:spacing w:after="0"/>
              <w:rPr>
                <w:sz w:val="20"/>
                <w:szCs w:val="20"/>
                <w:color w:val="auto"/>
              </w:rPr>
            </w:pPr>
            <w:r>
              <w:rPr>
                <w:rFonts w:ascii="Arial" w:cs="Arial" w:eastAsia="Arial" w:hAnsi="Arial"/>
                <w:sz w:val="13"/>
                <w:szCs w:val="13"/>
                <w:b w:val="1"/>
                <w:bCs w:val="1"/>
                <w:color w:val="auto"/>
              </w:rPr>
              <w:t>Total Year</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1040" w:type="dxa"/>
            <w:vAlign w:val="bottom"/>
            <w:tcBorders>
              <w:bottom w:val="single" w:sz="8" w:color="29378D"/>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509"/>
              <w:spacing w:after="0"/>
              <w:rPr>
                <w:sz w:val="20"/>
                <w:szCs w:val="20"/>
                <w:color w:val="auto"/>
              </w:rPr>
            </w:pPr>
            <w:r>
              <w:rPr>
                <w:rFonts w:ascii="Arial" w:cs="Arial" w:eastAsia="Arial" w:hAnsi="Arial"/>
                <w:sz w:val="13"/>
                <w:szCs w:val="13"/>
                <w:b w:val="1"/>
                <w:bCs w:val="1"/>
                <w:color w:val="auto"/>
              </w:rPr>
              <w:t>2023</w:t>
            </w:r>
          </w:p>
        </w:tc>
        <w:tc>
          <w:tcPr>
            <w:tcW w:w="940" w:type="dxa"/>
            <w:vAlign w:val="bottom"/>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5"/>
                <w:szCs w:val="15"/>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2"/>
        </w:trPr>
        <w:tc>
          <w:tcPr>
            <w:tcW w:w="6980" w:type="dxa"/>
            <w:vAlign w:val="bottom"/>
            <w:tcBorders>
              <w:bottom w:val="single" w:sz="8" w:color="BCBEC0"/>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b w:val="1"/>
                <w:bCs w:val="1"/>
                <w:color w:val="auto"/>
              </w:rPr>
              <w:t>3,875</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b w:val="1"/>
                <w:bCs w:val="1"/>
                <w:color w:val="auto"/>
              </w:rPr>
              <w:t>2,901</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b w:val="1"/>
                <w:bCs w:val="1"/>
                <w:color w:val="auto"/>
              </w:rPr>
              <w:t>3,567</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4,305</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Proceeds from sale of equipment to a customer</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155</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84</w:t>
            </w: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transaction costs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39</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federal and state taxes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785</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After-tax discretionary pension contributions</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EC0"/>
            </w:tcBorders>
          </w:tcPr>
          <w:p>
            <w:pPr>
              <w:spacing w:after="0"/>
              <w:rPr>
                <w:sz w:val="17"/>
                <w:szCs w:val="17"/>
                <w:color w:val="auto"/>
              </w:rPr>
            </w:pPr>
          </w:p>
        </w:tc>
        <w:tc>
          <w:tcPr>
            <w:tcW w:w="4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color w:val="auto"/>
              </w:rPr>
              <w:t>Approved cash flow adjustments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29"/>
              <w:spacing w:after="0"/>
              <w:rPr>
                <w:sz w:val="20"/>
                <w:szCs w:val="20"/>
                <w:color w:val="auto"/>
              </w:rPr>
            </w:pPr>
            <w:r>
              <w:rPr>
                <w:rFonts w:ascii="Arial" w:cs="Arial" w:eastAsia="Arial" w:hAnsi="Arial"/>
                <w:sz w:val="14"/>
                <w:szCs w:val="14"/>
                <w:color w:val="auto"/>
              </w:rPr>
              <w:t>(238)</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857</w:t>
            </w: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b w:val="1"/>
                <w:bCs w:val="1"/>
                <w:color w:val="auto"/>
              </w:rPr>
              <w:t>Adjusted Cash Flow from Operations</w:t>
            </w:r>
          </w:p>
        </w:tc>
        <w:tc>
          <w:tcPr>
            <w:tcW w:w="3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b w:val="1"/>
                <w:bCs w:val="1"/>
                <w:color w:val="auto"/>
              </w:rPr>
              <w:t>3,637</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b w:val="1"/>
                <w:bCs w:val="1"/>
                <w:color w:val="auto"/>
              </w:rPr>
              <w:t>3,913</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b w:val="1"/>
                <w:bCs w:val="1"/>
                <w:color w:val="auto"/>
              </w:rPr>
              <w:t>4,475</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5,135</w:t>
            </w:r>
          </w:p>
        </w:tc>
        <w:tc>
          <w:tcPr>
            <w:tcW w:w="0" w:type="dxa"/>
            <w:vAlign w:val="bottom"/>
          </w:tcPr>
          <w:p>
            <w:pPr>
              <w:spacing w:after="0"/>
              <w:rPr>
                <w:sz w:val="1"/>
                <w:szCs w:val="1"/>
                <w:color w:val="auto"/>
              </w:rPr>
            </w:pPr>
          </w:p>
        </w:tc>
      </w:tr>
      <w:tr>
        <w:trPr>
          <w:trHeight w:val="297"/>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center"/>
              <w:ind w:right="328"/>
              <w:spacing w:after="0"/>
              <w:rPr>
                <w:sz w:val="20"/>
                <w:szCs w:val="20"/>
                <w:color w:val="auto"/>
              </w:rPr>
            </w:pPr>
            <w:r>
              <w:rPr>
                <w:rFonts w:ascii="Arial" w:cs="Arial" w:eastAsia="Arial" w:hAnsi="Arial"/>
                <w:sz w:val="13"/>
                <w:szCs w:val="13"/>
                <w:b w:val="1"/>
                <w:bCs w:val="1"/>
                <w:color w:val="auto"/>
                <w:w w:val="95"/>
              </w:rPr>
              <w:t>Total Year</w:t>
            </w:r>
          </w:p>
        </w:tc>
        <w:tc>
          <w:tcPr>
            <w:tcW w:w="0" w:type="dxa"/>
            <w:vAlign w:val="bottom"/>
          </w:tcPr>
          <w:p>
            <w:pPr>
              <w:spacing w:after="0"/>
              <w:rPr>
                <w:sz w:val="1"/>
                <w:szCs w:val="1"/>
                <w:color w:val="auto"/>
              </w:rPr>
            </w:pPr>
          </w:p>
        </w:tc>
      </w:tr>
      <w:tr>
        <w:trPr>
          <w:trHeight w:val="22"/>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Pension-Adjusted Metrics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b w:val="1"/>
                <w:bCs w:val="1"/>
                <w:color w:val="auto"/>
              </w:rPr>
              <w:t>2,537</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Net FAS/CAS operating adjustment</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640" w:type="dxa"/>
            <w:vAlign w:val="bottom"/>
            <w:tcBorders>
              <w:bottom w:val="single" w:sz="8" w:color="BCBEC0"/>
            </w:tcBorders>
          </w:tcPr>
          <w:p>
            <w:pPr>
              <w:spacing w:after="0"/>
              <w:rPr>
                <w:sz w:val="17"/>
                <w:szCs w:val="17"/>
                <w:color w:val="auto"/>
              </w:rPr>
            </w:pPr>
          </w:p>
        </w:tc>
        <w:tc>
          <w:tcPr>
            <w:tcW w:w="400" w:type="dxa"/>
            <w:vAlign w:val="bottom"/>
            <w:tcBorders>
              <w:bottom w:val="single" w:sz="8" w:color="BCBEC0"/>
            </w:tcBorders>
          </w:tcPr>
          <w:p>
            <w:pPr>
              <w:spacing w:after="0"/>
              <w:rPr>
                <w:sz w:val="17"/>
                <w:szCs w:val="17"/>
                <w:color w:val="auto"/>
              </w:rPr>
            </w:pP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ind w:right="10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Unallocated state tax impacts reflected within unallocated income (expense)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Approved operating income adjustments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Pension-Adjusted Operating Income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b w:val="1"/>
                <w:bCs w:val="1"/>
                <w:color w:val="auto"/>
              </w:rPr>
              <w:t>4,093</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D1D3D4"/>
            </w:tcBorders>
          </w:tcPr>
          <w:p>
            <w:pPr>
              <w:ind w:left="140"/>
              <w:spacing w:after="0"/>
              <w:rPr>
                <w:sz w:val="20"/>
                <w:szCs w:val="20"/>
                <w:color w:val="auto"/>
              </w:rPr>
            </w:pPr>
            <w:r>
              <w:rPr>
                <w:rFonts w:ascii="Arial" w:cs="Arial" w:eastAsia="Arial" w:hAnsi="Arial"/>
                <w:sz w:val="14"/>
                <w:szCs w:val="14"/>
                <w:i w:val="1"/>
                <w:iCs w:val="1"/>
                <w:color w:val="auto"/>
              </w:rPr>
              <w:t>Pension-Adjusted OM Rate</w:t>
            </w:r>
          </w:p>
        </w:tc>
        <w:tc>
          <w:tcPr>
            <w:tcW w:w="300" w:type="dxa"/>
            <w:vAlign w:val="bottom"/>
            <w:tcBorders>
              <w:bottom w:val="single" w:sz="8" w:color="D1D3D4"/>
            </w:tcBorders>
          </w:tcPr>
          <w:p>
            <w:pPr>
              <w:spacing w:after="0"/>
              <w:rPr>
                <w:sz w:val="17"/>
                <w:szCs w:val="17"/>
                <w:color w:val="auto"/>
              </w:rPr>
            </w:pPr>
          </w:p>
        </w:tc>
        <w:tc>
          <w:tcPr>
            <w:tcW w:w="940" w:type="dxa"/>
            <w:vAlign w:val="bottom"/>
            <w:tcBorders>
              <w:bottom w:val="single" w:sz="8" w:color="D1D3D4"/>
            </w:tcBorders>
          </w:tcPr>
          <w:p>
            <w:pPr>
              <w:spacing w:after="0"/>
              <w:rPr>
                <w:sz w:val="17"/>
                <w:szCs w:val="17"/>
                <w:color w:val="auto"/>
              </w:rPr>
            </w:pPr>
          </w:p>
        </w:tc>
        <w:tc>
          <w:tcPr>
            <w:tcW w:w="940" w:type="dxa"/>
            <w:vAlign w:val="bottom"/>
            <w:tcBorders>
              <w:bottom w:val="single" w:sz="8" w:color="D1D3D4"/>
            </w:tcBorders>
          </w:tcPr>
          <w:p>
            <w:pPr>
              <w:spacing w:after="0"/>
              <w:rPr>
                <w:sz w:val="17"/>
                <w:szCs w:val="17"/>
                <w:color w:val="auto"/>
              </w:rPr>
            </w:pPr>
          </w:p>
        </w:tc>
        <w:tc>
          <w:tcPr>
            <w:tcW w:w="640" w:type="dxa"/>
            <w:vAlign w:val="bottom"/>
            <w:tcBorders>
              <w:bottom w:val="single" w:sz="8" w:color="D1D3D4"/>
            </w:tcBorders>
          </w:tcPr>
          <w:p>
            <w:pPr>
              <w:spacing w:after="0"/>
              <w:rPr>
                <w:sz w:val="17"/>
                <w:szCs w:val="17"/>
                <w:color w:val="auto"/>
              </w:rPr>
            </w:pPr>
          </w:p>
        </w:tc>
        <w:tc>
          <w:tcPr>
            <w:tcW w:w="400" w:type="dxa"/>
            <w:vAlign w:val="bottom"/>
            <w:tcBorders>
              <w:bottom w:val="single" w:sz="8" w:color="D1D3D4"/>
            </w:tcBorders>
          </w:tcPr>
          <w:p>
            <w:pPr>
              <w:spacing w:after="0"/>
              <w:rPr>
                <w:sz w:val="17"/>
                <w:szCs w:val="17"/>
                <w:color w:val="auto"/>
              </w:rPr>
            </w:pPr>
          </w:p>
        </w:tc>
        <w:tc>
          <w:tcPr>
            <w:tcW w:w="540" w:type="dxa"/>
            <w:vAlign w:val="bottom"/>
            <w:tcBorders>
              <w:bottom w:val="single" w:sz="8" w:color="D1D3D4"/>
            </w:tcBorders>
          </w:tcPr>
          <w:p>
            <w:pPr>
              <w:spacing w:after="0"/>
              <w:rPr>
                <w:sz w:val="17"/>
                <w:szCs w:val="17"/>
                <w:color w:val="auto"/>
              </w:rPr>
            </w:pPr>
          </w:p>
        </w:tc>
        <w:tc>
          <w:tcPr>
            <w:tcW w:w="500" w:type="dxa"/>
            <w:vAlign w:val="bottom"/>
            <w:tcBorders>
              <w:bottom w:val="single" w:sz="8" w:color="D1D3D4"/>
            </w:tcBorders>
          </w:tcPr>
          <w:p>
            <w:pPr>
              <w:jc w:val="right"/>
              <w:spacing w:after="0"/>
              <w:rPr>
                <w:sz w:val="20"/>
                <w:szCs w:val="20"/>
                <w:color w:val="auto"/>
              </w:rPr>
            </w:pPr>
            <w:r>
              <w:rPr>
                <w:rFonts w:ascii="Arial" w:cs="Arial" w:eastAsia="Arial" w:hAnsi="Arial"/>
                <w:sz w:val="14"/>
                <w:szCs w:val="14"/>
                <w:i w:val="1"/>
                <w:iCs w:val="1"/>
                <w:color w:val="auto"/>
              </w:rPr>
              <w:t>10.4 %</w:t>
            </w:r>
          </w:p>
        </w:tc>
        <w:tc>
          <w:tcPr>
            <w:tcW w:w="0" w:type="dxa"/>
            <w:vAlign w:val="bottom"/>
          </w:tcPr>
          <w:p>
            <w:pPr>
              <w:spacing w:after="0"/>
              <w:rPr>
                <w:sz w:val="1"/>
                <w:szCs w:val="1"/>
                <w:color w:val="auto"/>
              </w:rPr>
            </w:pPr>
          </w:p>
        </w:tc>
      </w:tr>
      <w:tr>
        <w:trPr>
          <w:trHeight w:val="95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color w:val="auto"/>
              </w:rPr>
              <w:t>2024 Proxy Statement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319"/>
        </w:trPr>
        <w:tc>
          <w:tcPr>
            <w:tcW w:w="6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Total Year</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9"/>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2022</w:t>
            </w:r>
          </w:p>
        </w:tc>
        <w:tc>
          <w:tcPr>
            <w:tcW w:w="420" w:type="dxa"/>
            <w:vAlign w:val="bottom"/>
          </w:tcPr>
          <w:p>
            <w:pPr>
              <w:spacing w:after="0"/>
              <w:rPr>
                <w:sz w:val="15"/>
                <w:szCs w:val="15"/>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20" w:type="dxa"/>
            <w:vAlign w:val="bottom"/>
            <w:tcBorders>
              <w:bottom w:val="single" w:sz="8" w:color="29378D"/>
            </w:tcBorders>
          </w:tcPr>
          <w:p>
            <w:pPr>
              <w:spacing w:after="0" w:line="20" w:lineRule="exact"/>
              <w:rPr>
                <w:sz w:val="1"/>
                <w:szCs w:val="1"/>
                <w:color w:val="auto"/>
              </w:rPr>
            </w:pP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242424"/>
              </w:rPr>
              <w:t>Sales</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39,290</w:t>
            </w:r>
          </w:p>
        </w:tc>
        <w:tc>
          <w:tcPr>
            <w:tcW w:w="28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36,602</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color w:val="auto"/>
              </w:rPr>
              <w:t>35,667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42424"/>
              </w:rPr>
              <w:t>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2,537</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b w:val="1"/>
                <w:bCs w:val="1"/>
                <w:color w:val="auto"/>
              </w:rPr>
              <w:t>3,601</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5,651</w:t>
            </w:r>
          </w:p>
        </w:tc>
        <w:tc>
          <w:tcPr>
            <w:tcW w:w="0" w:type="dxa"/>
            <w:vAlign w:val="bottom"/>
          </w:tcPr>
          <w:p>
            <w:pPr>
              <w:spacing w:after="0"/>
              <w:rPr>
                <w:sz w:val="1"/>
                <w:szCs w:val="1"/>
                <w:color w:val="auto"/>
              </w:rPr>
            </w:pPr>
          </w:p>
        </w:tc>
      </w:tr>
      <w:tr>
        <w:trPr>
          <w:trHeight w:val="24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i w:val="1"/>
                <w:iCs w:val="1"/>
                <w:color w:val="auto"/>
              </w:rPr>
              <w:t>Operating margin rate</w:t>
            </w:r>
          </w:p>
        </w:tc>
        <w:tc>
          <w:tcPr>
            <w:tcW w:w="160" w:type="dxa"/>
            <w:vAlign w:val="bottom"/>
            <w:tcBorders>
              <w:bottom w:val="single" w:sz="8" w:color="BCBEC0"/>
            </w:tcBorders>
          </w:tcPr>
          <w:p>
            <w:pPr>
              <w:spacing w:after="0"/>
              <w:rPr>
                <w:sz w:val="21"/>
                <w:szCs w:val="21"/>
                <w:color w:val="auto"/>
              </w:rPr>
            </w:pPr>
          </w:p>
        </w:tc>
        <w:tc>
          <w:tcPr>
            <w:tcW w:w="300" w:type="dxa"/>
            <w:vAlign w:val="bottom"/>
            <w:tcBorders>
              <w:bottom w:val="single" w:sz="8" w:color="BCBEC0"/>
            </w:tcBorders>
          </w:tcPr>
          <w:p>
            <w:pPr>
              <w:spacing w:after="0"/>
              <w:rPr>
                <w:sz w:val="21"/>
                <w:szCs w:val="21"/>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6.5 %</w:t>
            </w:r>
          </w:p>
        </w:tc>
        <w:tc>
          <w:tcPr>
            <w:tcW w:w="280" w:type="dxa"/>
            <w:vAlign w:val="bottom"/>
            <w:tcBorders>
              <w:bottom w:val="single" w:sz="8" w:color="BCBEC0"/>
            </w:tcBorders>
          </w:tcPr>
          <w:p>
            <w:pPr>
              <w:spacing w:after="0"/>
              <w:rPr>
                <w:sz w:val="21"/>
                <w:szCs w:val="21"/>
                <w:color w:val="auto"/>
              </w:rPr>
            </w:pPr>
          </w:p>
        </w:tc>
        <w:tc>
          <w:tcPr>
            <w:tcW w:w="1320" w:type="dxa"/>
            <w:vAlign w:val="bottom"/>
            <w:tcBorders>
              <w:bottom w:val="single" w:sz="8" w:color="BCBEC0"/>
            </w:tcBorders>
            <w:gridSpan w:val="2"/>
          </w:tcPr>
          <w:p>
            <w:pPr>
              <w:jc w:val="right"/>
              <w:ind w:right="268"/>
              <w:spacing w:after="0"/>
              <w:rPr>
                <w:sz w:val="20"/>
                <w:szCs w:val="20"/>
                <w:color w:val="auto"/>
              </w:rPr>
            </w:pPr>
            <w:r>
              <w:rPr>
                <w:rFonts w:ascii="Arial" w:cs="Arial" w:eastAsia="Arial" w:hAnsi="Arial"/>
                <w:sz w:val="14"/>
                <w:szCs w:val="14"/>
                <w:color w:val="auto"/>
              </w:rPr>
              <w:t>9.8 %</w:t>
            </w:r>
          </w:p>
        </w:tc>
        <w:tc>
          <w:tcPr>
            <w:tcW w:w="98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Reconciliation to 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Net FAS/CAS operating adjustment</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82</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200</w:t>
            </w:r>
          </w:p>
        </w:tc>
        <w:tc>
          <w:tcPr>
            <w:tcW w:w="420" w:type="dxa"/>
            <w:vAlign w:val="bottom"/>
            <w:tcBorders>
              <w:bottom w:val="single" w:sz="8" w:color="BCBEC0"/>
            </w:tcBorders>
          </w:tcPr>
          <w:p>
            <w:pPr>
              <w:spacing w:after="0"/>
              <w:rPr>
                <w:sz w:val="17"/>
                <w:szCs w:val="17"/>
                <w:color w:val="auto"/>
              </w:rPr>
            </w:pPr>
          </w:p>
        </w:tc>
        <w:tc>
          <w:tcPr>
            <w:tcW w:w="98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Unallocated corporate expense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141</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452</w:t>
            </w:r>
          </w:p>
        </w:tc>
        <w:tc>
          <w:tcPr>
            <w:tcW w:w="420" w:type="dxa"/>
            <w:vAlign w:val="bottom"/>
            <w:tcBorders>
              <w:bottom w:val="single" w:sz="8" w:color="BCBEC0"/>
            </w:tcBorders>
          </w:tcPr>
          <w:p>
            <w:pPr>
              <w:spacing w:after="0"/>
              <w:rPr>
                <w:sz w:val="18"/>
                <w:szCs w:val="18"/>
                <w:color w:val="auto"/>
              </w:rPr>
            </w:pPr>
          </w:p>
        </w:tc>
        <w:tc>
          <w:tcPr>
            <w:tcW w:w="98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2,760</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b w:val="1"/>
                <w:bCs w:val="1"/>
                <w:color w:val="auto"/>
              </w:rPr>
              <w:t>4,253</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4,217</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i w:val="1"/>
                <w:iCs w:val="1"/>
                <w:color w:val="auto"/>
              </w:rPr>
              <w:t>Segment Operating Margin Rate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i w:val="1"/>
                <w:iCs w:val="1"/>
                <w:color w:val="auto"/>
              </w:rPr>
              <w:t>7.0 %</w:t>
            </w:r>
          </w:p>
        </w:tc>
        <w:tc>
          <w:tcPr>
            <w:tcW w:w="280" w:type="dxa"/>
            <w:vAlign w:val="bottom"/>
            <w:tcBorders>
              <w:bottom w:val="single" w:sz="8" w:color="BCBEC0"/>
            </w:tcBorders>
          </w:tcPr>
          <w:p>
            <w:pPr>
              <w:spacing w:after="0"/>
              <w:rPr>
                <w:sz w:val="17"/>
                <w:szCs w:val="17"/>
                <w:color w:val="auto"/>
              </w:rPr>
            </w:pPr>
          </w:p>
        </w:tc>
        <w:tc>
          <w:tcPr>
            <w:tcW w:w="1320" w:type="dxa"/>
            <w:vAlign w:val="bottom"/>
            <w:tcBorders>
              <w:bottom w:val="single" w:sz="8" w:color="BCBEC0"/>
            </w:tcBorders>
            <w:gridSpan w:val="2"/>
          </w:tcPr>
          <w:p>
            <w:pPr>
              <w:jc w:val="right"/>
              <w:ind w:right="268"/>
              <w:spacing w:after="0"/>
              <w:rPr>
                <w:sz w:val="20"/>
                <w:szCs w:val="20"/>
                <w:color w:val="auto"/>
              </w:rPr>
            </w:pPr>
            <w:r>
              <w:rPr>
                <w:rFonts w:ascii="Arial" w:cs="Arial" w:eastAsia="Arial" w:hAnsi="Arial"/>
                <w:sz w:val="14"/>
                <w:szCs w:val="14"/>
                <w:i w:val="1"/>
                <w:iCs w:val="1"/>
                <w:color w:val="auto"/>
              </w:rPr>
              <w:t>11.6 %</w:t>
            </w:r>
          </w:p>
        </w:tc>
        <w:tc>
          <w:tcPr>
            <w:tcW w:w="98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i w:val="1"/>
                <w:iCs w:val="1"/>
                <w:color w:val="auto"/>
              </w:rPr>
              <w:t>11.8 %</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Reconciliation to Adjusted 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Approved Segment Operating Income adjustments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1,559</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spacing w:after="0"/>
              <w:rPr>
                <w:sz w:val="17"/>
                <w:szCs w:val="17"/>
                <w:color w:val="auto"/>
              </w:rPr>
            </w:pP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spacing w:after="0"/>
              <w:rPr>
                <w:sz w:val="17"/>
                <w:szCs w:val="17"/>
                <w:color w:val="auto"/>
              </w:rPr>
            </w:pPr>
          </w:p>
        </w:tc>
        <w:tc>
          <w:tcPr>
            <w:tcW w:w="20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Adjusted Segment 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4,319</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5"/>
              </w:rPr>
              <w:t>Total Year</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 except per share amounts)</w:t>
            </w:r>
          </w:p>
        </w:tc>
        <w:tc>
          <w:tcPr>
            <w:tcW w:w="160" w:type="dxa"/>
            <w:vAlign w:val="bottom"/>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89"/>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6"/>
              </w:rPr>
              <w:t>2022</w:t>
            </w:r>
          </w:p>
        </w:tc>
        <w:tc>
          <w:tcPr>
            <w:tcW w:w="420" w:type="dxa"/>
            <w:vAlign w:val="bottom"/>
          </w:tcPr>
          <w:p>
            <w:pPr>
              <w:spacing w:after="0"/>
              <w:rPr>
                <w:sz w:val="15"/>
                <w:szCs w:val="15"/>
                <w:color w:val="auto"/>
              </w:rPr>
            </w:pPr>
          </w:p>
        </w:tc>
        <w:tc>
          <w:tcPr>
            <w:tcW w:w="780" w:type="dxa"/>
            <w:vAlign w:val="bottom"/>
          </w:tcPr>
          <w:p>
            <w:pPr>
              <w:jc w:val="right"/>
              <w:ind w:right="389"/>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20" w:type="dxa"/>
            <w:vAlign w:val="bottom"/>
            <w:tcBorders>
              <w:bottom w:val="single" w:sz="8" w:color="29378D"/>
            </w:tcBorders>
          </w:tcPr>
          <w:p>
            <w:pPr>
              <w:spacing w:after="0" w:line="20" w:lineRule="exact"/>
              <w:rPr>
                <w:sz w:val="1"/>
                <w:szCs w:val="1"/>
                <w:color w:val="auto"/>
              </w:rPr>
            </w:pP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Net Earnings and Transaction-Adjusted EPS</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Net earnings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2,056</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4,896</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7,005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 expense (benefit)</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422</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(1,232)</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(2,355)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MTM-related deferred state tax (benefit) expense</w:t>
            </w:r>
            <w:r>
              <w:rPr>
                <w:rFonts w:ascii="Arial" w:cs="Arial" w:eastAsia="Arial" w:hAnsi="Arial"/>
                <w:sz w:val="18"/>
                <w:szCs w:val="18"/>
                <w:color w:val="auto"/>
                <w:vertAlign w:val="superscript"/>
              </w:rPr>
              <w:t>(1)</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65</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Federal tax (benefit) expense of items above</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MTM adjustment,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MTM-Adjusted Net Earnings</w:t>
            </w:r>
          </w:p>
        </w:tc>
        <w:tc>
          <w:tcPr>
            <w:tcW w:w="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2,372</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3,974</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Gain on sale of business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State tax impact</w:t>
            </w:r>
            <w:r>
              <w:rPr>
                <w:rFonts w:ascii="Arial" w:cs="Arial" w:eastAsia="Arial" w:hAnsi="Arial"/>
                <w:sz w:val="18"/>
                <w:szCs w:val="18"/>
                <w:color w:val="auto"/>
                <w:vertAlign w:val="superscript"/>
              </w:rPr>
              <w:t>(3)</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Transaction costs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Make-whole premium</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Federal tax impact of items above</w:t>
            </w:r>
            <w:r>
              <w:rPr>
                <w:rFonts w:ascii="Arial" w:cs="Arial" w:eastAsia="Arial" w:hAnsi="Arial"/>
                <w:sz w:val="18"/>
                <w:szCs w:val="18"/>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Transaction-adjustment,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Net Earnings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2,372</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3,974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Diluted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13.53</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31.47</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 (benefit) expense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2.78</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(7.92)</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MTM-related deferred state tax expense (benefit)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(0.14)</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0.42</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Federal tax expense (benefit) of items above</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per share</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MTM adjustment per share,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MTM-Adjusted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15.61</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25.54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Gain on sale of business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State tax</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impact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Transaction costs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Make-whole premium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Federal tax benefit of items above</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per share</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Transaction-adjustment, net of tax per share</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15.61</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25.54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hanging="494"/>
        <w:spacing w:after="0"/>
        <w:tabs>
          <w:tab w:leader="none" w:pos="520" w:val="left"/>
        </w:tabs>
        <w:numPr>
          <w:ilvl w:val="0"/>
          <w:numId w:val="21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3" w:name="page124"/>
    <w:bookmarkEnd w:id="123"/>
    <w:p>
      <w:pPr>
        <w:ind w:left="7700"/>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3"/>
                <w:szCs w:val="13"/>
                <w:b w:val="1"/>
                <w:bCs w:val="1"/>
                <w:color w:val="auto"/>
                <w:w w:val="95"/>
              </w:rPr>
              <w:t>Total Year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center"/>
              <w:ind w:left="670"/>
              <w:spacing w:after="0"/>
              <w:rPr>
                <w:sz w:val="20"/>
                <w:szCs w:val="20"/>
                <w:color w:val="auto"/>
              </w:rPr>
            </w:pPr>
            <w:r>
              <w:rPr>
                <w:rFonts w:ascii="Arial" w:cs="Arial" w:eastAsia="Arial" w:hAnsi="Arial"/>
                <w:sz w:val="13"/>
                <w:szCs w:val="13"/>
                <w:b w:val="1"/>
                <w:bCs w:val="1"/>
                <w:color w:val="auto"/>
                <w:w w:val="96"/>
              </w:rPr>
              <w:t>2023</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8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2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Operating RONA</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2,537</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Net FAS/CAS operating adjustment</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spacing w:after="0"/>
              <w:rPr>
                <w:sz w:val="17"/>
                <w:szCs w:val="17"/>
                <w:color w:val="auto"/>
              </w:rPr>
            </w:pP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Unallocated corporate expense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Segment Operating Income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2,760</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Intersegment eliminations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spacing w:after="0"/>
              <w:rPr>
                <w:sz w:val="17"/>
                <w:szCs w:val="17"/>
                <w:color w:val="auto"/>
              </w:rPr>
            </w:pP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Orbital ATK intangible asset amortization and PP&amp;E step-up depreciation</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Tax effect of items above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Approved NOPAT adjustments</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NOPAT</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3,814</w:t>
            </w: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3"/>
                <w:szCs w:val="13"/>
                <w:b w:val="1"/>
                <w:bCs w:val="1"/>
                <w:color w:val="auto"/>
                <w:w w:val="98"/>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ind w:right="550"/>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900" w:type="dxa"/>
            <w:vAlign w:val="bottom"/>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2"/>
        </w:trPr>
        <w:tc>
          <w:tcPr>
            <w:tcW w:w="828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Net Current Assets</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Total current assets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13,706</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12,488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Less: Cash</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color w:val="auto"/>
              </w:rPr>
              <w:t>(3,109)</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Total Current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10,597</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9,911</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Total current liabilities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11,942</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11,587</w:t>
            </w:r>
          </w:p>
        </w:tc>
        <w:tc>
          <w:tcPr>
            <w:tcW w:w="0" w:type="dxa"/>
            <w:vAlign w:val="bottom"/>
          </w:tcPr>
          <w:p>
            <w:pPr>
              <w:spacing w:after="0"/>
              <w:rPr>
                <w:sz w:val="1"/>
                <w:szCs w:val="1"/>
                <w:color w:val="auto"/>
              </w:rPr>
            </w:pPr>
          </w:p>
        </w:tc>
      </w:tr>
      <w:tr>
        <w:trPr>
          <w:trHeight w:val="313"/>
        </w:trPr>
        <w:tc>
          <w:tcPr>
            <w:tcW w:w="8280" w:type="dxa"/>
            <w:vAlign w:val="bottom"/>
          </w:tcPr>
          <w:p>
            <w:pPr>
              <w:ind w:left="140"/>
              <w:spacing w:after="0"/>
              <w:rPr>
                <w:sz w:val="20"/>
                <w:szCs w:val="20"/>
                <w:color w:val="auto"/>
              </w:rPr>
            </w:pPr>
            <w:r>
              <w:rPr>
                <w:rFonts w:ascii="Arial" w:cs="Arial" w:eastAsia="Arial" w:hAnsi="Arial"/>
                <w:sz w:val="14"/>
                <w:szCs w:val="14"/>
                <w:color w:val="auto"/>
              </w:rPr>
              <w:t>Less: Current maturity of LTD</w:t>
            </w:r>
          </w:p>
        </w:tc>
        <w:tc>
          <w:tcPr>
            <w:tcW w:w="540" w:type="dxa"/>
            <w:vAlign w:val="bottom"/>
          </w:tcPr>
          <w:p>
            <w:pPr>
              <w:spacing w:after="0"/>
              <w:rPr>
                <w:sz w:val="24"/>
                <w:szCs w:val="24"/>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4"/>
                <w:szCs w:val="14"/>
                <w:color w:val="auto"/>
              </w:rPr>
              <w:t>(70)</w:t>
            </w:r>
          </w:p>
        </w:tc>
        <w:tc>
          <w:tcPr>
            <w:tcW w:w="3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126"/>
        </w:trPr>
        <w:tc>
          <w:tcPr>
            <w:tcW w:w="8280" w:type="dxa"/>
            <w:vAlign w:val="bottom"/>
            <w:tcBorders>
              <w:bottom w:val="single" w:sz="8" w:color="BCBEC0"/>
            </w:tcBorders>
          </w:tcPr>
          <w:p>
            <w:pPr>
              <w:spacing w:after="0"/>
              <w:rPr>
                <w:sz w:val="10"/>
                <w:szCs w:val="10"/>
                <w:color w:val="auto"/>
              </w:rPr>
            </w:pPr>
          </w:p>
        </w:tc>
        <w:tc>
          <w:tcPr>
            <w:tcW w:w="540" w:type="dxa"/>
            <w:vAlign w:val="bottom"/>
            <w:tcBorders>
              <w:bottom w:val="single" w:sz="8" w:color="BCBEC0"/>
            </w:tcBorders>
          </w:tcPr>
          <w:p>
            <w:pPr>
              <w:spacing w:after="0"/>
              <w:rPr>
                <w:sz w:val="10"/>
                <w:szCs w:val="10"/>
                <w:color w:val="auto"/>
              </w:rPr>
            </w:pPr>
          </w:p>
        </w:tc>
        <w:tc>
          <w:tcPr>
            <w:tcW w:w="1140" w:type="dxa"/>
            <w:vAlign w:val="bottom"/>
            <w:tcBorders>
              <w:bottom w:val="single" w:sz="8" w:color="BCBEC0"/>
            </w:tcBorders>
            <w:vMerge w:val="continue"/>
          </w:tcPr>
          <w:p>
            <w:pPr>
              <w:spacing w:after="0"/>
              <w:rPr>
                <w:sz w:val="10"/>
                <w:szCs w:val="10"/>
                <w:color w:val="auto"/>
              </w:rPr>
            </w:pPr>
          </w:p>
        </w:tc>
        <w:tc>
          <w:tcPr>
            <w:tcW w:w="380" w:type="dxa"/>
            <w:vAlign w:val="bottom"/>
            <w:tcBorders>
              <w:bottom w:val="single" w:sz="8" w:color="BCBEC0"/>
            </w:tcBorders>
          </w:tcPr>
          <w:p>
            <w:pPr>
              <w:spacing w:after="0"/>
              <w:rPr>
                <w:sz w:val="10"/>
                <w:szCs w:val="10"/>
                <w:color w:val="auto"/>
              </w:rPr>
            </w:pPr>
          </w:p>
        </w:tc>
        <w:tc>
          <w:tcPr>
            <w:tcW w:w="900" w:type="dxa"/>
            <w:vAlign w:val="bottom"/>
            <w:tcBorders>
              <w:bottom w:val="single" w:sz="8" w:color="BCBE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Total Current Liabilities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11,872</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10,515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Net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b w:val="1"/>
                <w:bCs w:val="1"/>
                <w:color w:val="auto"/>
              </w:rPr>
              <w:t>(1,275)</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(604)</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Plus: PPE, net</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9,653</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8,378</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8,196</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Approved balance sheet adjustments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color w:val="auto"/>
              </w:rPr>
              <w:t>(674)</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7,704</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7,481</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Average Adjusted 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7,593</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RONA %</w:t>
            </w:r>
            <w:r>
              <w:rPr>
                <w:rFonts w:ascii="Arial" w:cs="Arial" w:eastAsia="Arial" w:hAnsi="Arial"/>
                <w:sz w:val="18"/>
                <w:szCs w:val="18"/>
                <w:b w:val="1"/>
                <w:bCs w:val="1"/>
                <w:color w:val="auto"/>
                <w:vertAlign w:val="superscript"/>
              </w:rPr>
              <w:t>(5)</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jc w:val="right"/>
              <w:ind w:right="90"/>
              <w:spacing w:after="0"/>
              <w:rPr>
                <w:sz w:val="20"/>
                <w:szCs w:val="20"/>
                <w:color w:val="auto"/>
              </w:rPr>
            </w:pPr>
            <w:r>
              <w:rPr>
                <w:rFonts w:ascii="Arial" w:cs="Arial" w:eastAsia="Arial" w:hAnsi="Arial"/>
                <w:sz w:val="14"/>
                <w:szCs w:val="14"/>
                <w:color w:val="auto"/>
              </w:rPr>
              <w:t>50.2 %</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40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MTM expense is expected to be deductible on our future state tax returns. The deferred state tax benefit was calculated using the Company’s blended state tax rate of 5.25% and included in Unallocated corporate (income) expense within operating income.</w:t>
      </w:r>
    </w:p>
    <w:p>
      <w:pPr>
        <w:spacing w:after="0" w:line="9" w:lineRule="exact"/>
        <w:rPr>
          <w:rFonts w:ascii="Arial" w:cs="Arial" w:eastAsia="Arial" w:hAnsi="Arial"/>
          <w:sz w:val="14"/>
          <w:szCs w:val="14"/>
          <w:color w:val="auto"/>
        </w:rPr>
      </w:pPr>
    </w:p>
    <w:p>
      <w:pPr>
        <w:ind w:left="260" w:right="10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federal tax impact in each period was calculated by subtracting the deferred state tax impact from MTM benefit (expense) and applying the 21 percent federal statutory rate.</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82" w:lineRule="exact"/>
        <w:rPr>
          <w:rFonts w:ascii="Arial" w:cs="Arial" w:eastAsia="Arial" w:hAnsi="Arial"/>
          <w:sz w:val="14"/>
          <w:szCs w:val="14"/>
          <w:color w:val="auto"/>
        </w:rPr>
      </w:pPr>
    </w:p>
    <w:p>
      <w:pPr>
        <w:ind w:left="260" w:right="6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federal tax impact was calculated by applying the 21 percent federal statutory rate to the adjustment items and includes $250 million of incremental tax expense related to $1.2 billion of nondeductible goodwill in the divested business.</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Operating RONA % is calculated as Adjusted NOPAT divided by the two-year average of Adjusted Net Operating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4" w:name="page125"/>
    <w:bookmarkEnd w:id="124"/>
    <w:p>
      <w:pPr>
        <w:ind w:right="180"/>
        <w:spacing w:after="0" w:line="297" w:lineRule="auto"/>
        <w:rPr>
          <w:sz w:val="20"/>
          <w:szCs w:val="20"/>
          <w:color w:val="auto"/>
        </w:rPr>
      </w:pPr>
      <w:r>
        <w:rPr>
          <w:rFonts w:ascii="Arial" w:cs="Arial" w:eastAsia="Arial" w:hAnsi="Arial"/>
          <w:sz w:val="43"/>
          <w:szCs w:val="43"/>
          <w:b w:val="1"/>
          <w:bCs w:val="1"/>
          <w:color w:val="29378D"/>
        </w:rPr>
        <w:t>Appendix B – Summary Description of the 2024 Long-Term Incentive Stock Plan</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Key features of the 2024 Plan are described below. This description is qualified in its entirety by the full text of the 2024 Plan, which is attached as Exhibit B to this Proxy Statement.</w:t>
      </w:r>
    </w:p>
    <w:p>
      <w:pPr>
        <w:spacing w:after="0" w:line="183"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2024 Plan is to promote the long-term success of our Company and to increase shareholder value by providing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selected employees with incentives to create excellent performance and to continue to serve our Company and its subsidiaries.</w:t>
      </w:r>
    </w:p>
    <w:p>
      <w:pPr>
        <w:spacing w:after="0" w:line="196"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The Compensation and Human Capital Committee (“Compensation Committee”) will administer the 2024 Plan and may delegate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make grants under the 2024 Plan to one or more committees of directors, provided that transactions in or involving awards intended to be exempt under Rule 16b-3 of the Securities Exchange Act of 1934, as amended, must be duly and timely authorized by the Board or a committee of non-employee directors. Any power of the Compensation Committee may also be exercised by the Board, except as otherwise required by applicable law. The</w:t>
      </w:r>
    </w:p>
    <w:p>
      <w:pPr>
        <w:ind w:right="220"/>
        <w:spacing w:after="0" w:line="220" w:lineRule="auto"/>
        <w:rPr>
          <w:sz w:val="20"/>
          <w:szCs w:val="20"/>
          <w:color w:val="auto"/>
        </w:rPr>
      </w:pPr>
      <w:r>
        <w:rPr>
          <w:rFonts w:ascii="Arial" w:cs="Arial" w:eastAsia="Arial" w:hAnsi="Arial"/>
          <w:sz w:val="16"/>
          <w:szCs w:val="16"/>
          <w:color w:val="auto"/>
        </w:rPr>
        <w:t>appropriate acting body, be it the Board of Directors, the Compensation Committee, or another authorized committee, is referred to in this summary as the “Committee.” The Committee has the full power to interpret and construe the 2024 Plan, to select participants, determine the form of awards and award</w:t>
      </w:r>
    </w:p>
    <w:p>
      <w:pPr>
        <w:spacing w:after="0"/>
        <w:rPr>
          <w:sz w:val="20"/>
          <w:szCs w:val="20"/>
          <w:color w:val="auto"/>
        </w:rPr>
      </w:pPr>
      <w:r>
        <w:rPr>
          <w:rFonts w:ascii="Arial" w:cs="Arial" w:eastAsia="Arial" w:hAnsi="Arial"/>
          <w:sz w:val="16"/>
          <w:szCs w:val="16"/>
          <w:color w:val="auto"/>
        </w:rPr>
        <w:t>agreements, grant awards, and to adopt guidelines and make determinations it may deem necessary or advisable for administration of the 2024 Plan.</w:t>
      </w:r>
    </w:p>
    <w:p>
      <w:pPr>
        <w:spacing w:after="0" w:line="219"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b w:val="1"/>
          <w:bCs w:val="1"/>
          <w:color w:val="auto"/>
        </w:rPr>
        <w:t>No Repricing</w:t>
      </w:r>
      <w:r>
        <w:rPr>
          <w:rFonts w:ascii="Arial" w:cs="Arial" w:eastAsia="Arial" w:hAnsi="Arial"/>
          <w:sz w:val="16"/>
          <w:szCs w:val="16"/>
          <w:color w:val="auto"/>
        </w:rPr>
        <w:t>. Without the approval of our shareholders, the Committee may not (i) amend an outstanding stock option or stock appreciation right (“SAR”)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 the exercise price or base price of the award; (ii) cancel, exchange, or surrender an outstanding stock option or SAR in exchange for cash or other awards at any time when the exercise price or base price of the stock option or SAR is above the fair market value of a share of common stock; (iii) cancel,</w:t>
      </w:r>
    </w:p>
    <w:p>
      <w:pPr>
        <w:spacing w:after="0" w:line="2" w:lineRule="exact"/>
        <w:rPr>
          <w:sz w:val="20"/>
          <w:szCs w:val="20"/>
          <w:color w:val="auto"/>
        </w:rPr>
      </w:pPr>
    </w:p>
    <w:p>
      <w:pPr>
        <w:ind w:right="80"/>
        <w:spacing w:after="0" w:line="220" w:lineRule="auto"/>
        <w:rPr>
          <w:sz w:val="20"/>
          <w:szCs w:val="20"/>
          <w:color w:val="auto"/>
        </w:rPr>
      </w:pPr>
      <w:r>
        <w:rPr>
          <w:rFonts w:ascii="Arial" w:cs="Arial" w:eastAsia="Arial" w:hAnsi="Arial"/>
          <w:sz w:val="16"/>
          <w:szCs w:val="16"/>
          <w:color w:val="auto"/>
        </w:rPr>
        <w:t>exchange, or surrender an outstanding stock option or SAR in exchange for an option or SAR with an exercise or base price that is less than the exercise or base price of the original award; or (iv) otherwise take any action that is treated as a “repricing” with respect to such stock option or SAR under generally</w:t>
      </w:r>
    </w:p>
    <w:p>
      <w:pPr>
        <w:spacing w:after="0"/>
        <w:rPr>
          <w:sz w:val="20"/>
          <w:szCs w:val="20"/>
          <w:color w:val="auto"/>
        </w:rPr>
      </w:pPr>
      <w:r>
        <w:rPr>
          <w:rFonts w:ascii="Arial" w:cs="Arial" w:eastAsia="Arial" w:hAnsi="Arial"/>
          <w:sz w:val="16"/>
          <w:szCs w:val="16"/>
          <w:color w:val="auto"/>
        </w:rPr>
        <w:t>accepted accounting principles. (Adjustments to reflect stock splits and similar events will not be considered amendments for this purpose.)</w:t>
      </w: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Employees of our Company and its wholly owned subsidiaries and members of the Board of Directors are eligible to receive awards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2024 Plan. As of March 1, 2024, our 217 officers (inclusive of our executive officers), approximately 101,000 other employees and 12 non-employee directors would be considered eligible under the 2024 Plan.</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auto"/>
        </w:rPr>
        <w:t>Types of Awards</w:t>
      </w:r>
      <w:r>
        <w:rPr>
          <w:rFonts w:ascii="Arial" w:cs="Arial" w:eastAsia="Arial" w:hAnsi="Arial"/>
          <w:sz w:val="16"/>
          <w:szCs w:val="16"/>
          <w:color w:val="auto"/>
        </w:rPr>
        <w:t>. The 2024 Plan authorizes the grant of stock options, SARs, other awards providing for the issuance of or that are denominated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or units of common stock (defined as “Share Awards”), and performance-based awards that are denominated in or may be settled only in cash (defined as “Cash Awards”).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are rights to purchase shares of common stock at a future date at a specified exercise price. The per share exercise price of an option may not</w:t>
      </w:r>
    </w:p>
    <w:p>
      <w:pPr>
        <w:spacing w:after="0" w:line="8" w:lineRule="exact"/>
        <w:rPr>
          <w:sz w:val="20"/>
          <w:szCs w:val="20"/>
          <w:color w:val="auto"/>
        </w:rPr>
      </w:pPr>
    </w:p>
    <w:p>
      <w:pPr>
        <w:ind w:right="220"/>
        <w:spacing w:after="0" w:line="220" w:lineRule="auto"/>
        <w:rPr>
          <w:sz w:val="20"/>
          <w:szCs w:val="20"/>
          <w:color w:val="auto"/>
        </w:rPr>
      </w:pPr>
      <w:r>
        <w:rPr>
          <w:rFonts w:ascii="Arial" w:cs="Arial" w:eastAsia="Arial" w:hAnsi="Arial"/>
          <w:sz w:val="16"/>
          <w:szCs w:val="16"/>
          <w:color w:val="auto"/>
        </w:rPr>
        <w:t>be less than the fair market value of a share of common stock on the date of grant. The maximum term of an option is ten years from the date of grant. An option may either be an incentive stock option or a nonqualified stock option. Incentive stock option benefits are taxed differently from nonqualified stock</w:t>
      </w:r>
    </w:p>
    <w:p>
      <w:pPr>
        <w:spacing w:after="0" w:line="238" w:lineRule="auto"/>
        <w:rPr>
          <w:sz w:val="20"/>
          <w:szCs w:val="20"/>
          <w:color w:val="auto"/>
        </w:rPr>
      </w:pPr>
      <w:r>
        <w:rPr>
          <w:rFonts w:ascii="Arial" w:cs="Arial" w:eastAsia="Arial" w:hAnsi="Arial"/>
          <w:sz w:val="16"/>
          <w:szCs w:val="16"/>
          <w:color w:val="auto"/>
        </w:rPr>
        <w:t>options, as described under “U.S. Federal Income Tax Treatment of Awards Under the 2024 Plan” in Proposal 5. Incentive stock options are also subject to more restrictive terms and are limited in amount by the Internal Revenue Code and the 2024 Plan. Incentive stock options may only be granted to employees of our Company or our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SAR is the right to receive payment of an amount equal to the excess of the fair market value of share of common stock on the date of exercise over the</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base price of the SAR. The base price will be established by the Committee at the time of grant and cannot be less than the fair market value of a share of common stock on the date of grant. SARs may be granted in connection with other awards or independently. The maximum term of a SAR is ten years from</w:t>
      </w:r>
    </w:p>
    <w:p>
      <w:pPr>
        <w:spacing w:after="0"/>
        <w:rPr>
          <w:sz w:val="20"/>
          <w:szCs w:val="20"/>
          <w:color w:val="auto"/>
        </w:rPr>
      </w:pPr>
      <w:r>
        <w:rPr>
          <w:rFonts w:ascii="Arial" w:cs="Arial" w:eastAsia="Arial" w:hAnsi="Arial"/>
          <w:sz w:val="16"/>
          <w:szCs w:val="16"/>
          <w:color w:val="auto"/>
        </w:rPr>
        <w:t>the date of grant.</w:t>
      </w:r>
    </w:p>
    <w:p>
      <w:pPr>
        <w:spacing w:after="0" w:line="219" w:lineRule="exact"/>
        <w:rPr>
          <w:sz w:val="20"/>
          <w:szCs w:val="20"/>
          <w:color w:val="auto"/>
        </w:rPr>
      </w:pPr>
    </w:p>
    <w:p>
      <w:pPr>
        <w:ind w:right="240"/>
        <w:spacing w:after="0" w:line="235" w:lineRule="auto"/>
        <w:rPr>
          <w:sz w:val="20"/>
          <w:szCs w:val="20"/>
          <w:color w:val="auto"/>
        </w:rPr>
      </w:pPr>
      <w:r>
        <w:rPr>
          <w:rFonts w:ascii="Arial" w:cs="Arial" w:eastAsia="Arial" w:hAnsi="Arial"/>
          <w:sz w:val="16"/>
          <w:szCs w:val="16"/>
          <w:color w:val="auto"/>
        </w:rPr>
        <w:t>Share Awards may include restricted stock, performance stock, phantom stock, dividend equivalent rights or other rights. Share Awards or Cash Awards may be granted under the Plan, subject to the performance of the Company relative to pre-established goals or metrics and on a consolidated, segment, sector, subsidiary, division, or plant basis as determined by the Committee and in its discretion under the Plan. Such goals or metrics may include, but are</w:t>
      </w:r>
    </w:p>
    <w:p>
      <w:pPr>
        <w:spacing w:after="0" w:line="2" w:lineRule="exact"/>
        <w:rPr>
          <w:sz w:val="20"/>
          <w:szCs w:val="20"/>
          <w:color w:val="auto"/>
        </w:rPr>
      </w:pPr>
    </w:p>
    <w:p>
      <w:pPr>
        <w:ind w:right="880"/>
        <w:spacing w:after="0" w:line="235" w:lineRule="auto"/>
        <w:rPr>
          <w:sz w:val="20"/>
          <w:szCs w:val="20"/>
          <w:color w:val="auto"/>
        </w:rPr>
      </w:pPr>
      <w:r>
        <w:rPr>
          <w:rFonts w:ascii="Arial" w:cs="Arial" w:eastAsia="Arial" w:hAnsi="Arial"/>
          <w:sz w:val="16"/>
          <w:szCs w:val="16"/>
          <w:color w:val="auto"/>
        </w:rPr>
        <w:t>not limited to, new business awards, revenues, operating margin, net earnings, earnings per share, cash flow or free cash flow, returns on equity, investment, assets or net assets, stock price or appreciation, total shareholder returns, working capital, and/or asset levels.</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Subject to the express terms of the 2024 Plan, the Committee may grant or sell awards under the plan with or subject to terms, conditions, or restrictions that it determines appropriate, including requirements of continuous service with the</w:t>
      </w:r>
    </w:p>
    <w:p>
      <w:pPr>
        <w:spacing w:after="0" w:line="200" w:lineRule="exact"/>
        <w:rPr>
          <w:sz w:val="20"/>
          <w:szCs w:val="20"/>
          <w:color w:val="auto"/>
        </w:rPr>
      </w:pPr>
    </w:p>
    <w:p>
      <w:pPr>
        <w:spacing w:after="0" w:line="339" w:lineRule="exact"/>
        <w:rPr>
          <w:sz w:val="20"/>
          <w:szCs w:val="20"/>
          <w:color w:val="auto"/>
        </w:rPr>
      </w:pPr>
    </w:p>
    <w:p>
      <w:pPr>
        <w:ind w:left="520" w:hanging="494"/>
        <w:spacing w:after="0"/>
        <w:tabs>
          <w:tab w:leader="none" w:pos="520" w:val="left"/>
        </w:tabs>
        <w:numPr>
          <w:ilvl w:val="0"/>
          <w:numId w:val="21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b w:val="1"/>
          <w:bCs w:val="1"/>
          <w:color w:val="auto"/>
        </w:rPr>
        <w:t>Appendix B – Summary Description of the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Company (or a subsidiary), achievement of specific business objectives, and other measurements of individual, business unit or Company performance. Any award may be paid or settled in cash.</w:t>
      </w:r>
    </w:p>
    <w:p>
      <w:pPr>
        <w:spacing w:after="0" w:line="183"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Except with respect to up to five percent (5%) of the shares authorized under the 2024 Plan, no stock option, SAR, Share Award, or Cash Award denominated in Common Stock that vests based on continued employment or the passage of time may vest prior to the one year anniversary of the date the</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award is granted, other than any acceleration of vesting upon the death or disability of the participant, in the case of terminations following a change in control, or in the case of certain retirement-eligible terminations, in each case as specified in the agreement evidencing such award. In addition, the performance and vesting period for any stock option, SAR, Share Award, or Cash Award denominated in Common Stock that vests based in whole or in part on performance must be at least one year (subject to any acceleration of vesting upon the death or disability of the participant, in the case of terminations following a change in control, or in the case of certain retirement-eligible terminations, in each case as specified in the agreement evidencing such award).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 Limits on Awards</w:t>
      </w:r>
      <w:r>
        <w:rPr>
          <w:rFonts w:ascii="Arial" w:cs="Arial" w:eastAsia="Arial" w:hAnsi="Arial"/>
          <w:sz w:val="16"/>
          <w:szCs w:val="16"/>
          <w:color w:val="auto"/>
        </w:rPr>
        <w:t>. The aggregate number of shares of common stock that may be issued pursuant to awards granted under the 2024</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Plan is: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5,750,000 shares, plus</w:t>
      </w:r>
    </w:p>
    <w:p>
      <w:pPr>
        <w:spacing w:after="0" w:line="7" w:lineRule="exact"/>
        <w:rPr>
          <w:sz w:val="20"/>
          <w:szCs w:val="20"/>
          <w:color w:val="auto"/>
        </w:rPr>
      </w:pPr>
    </w:p>
    <w:p>
      <w:pPr>
        <w:ind w:left="660" w:right="80" w:hanging="324"/>
        <w:spacing w:after="0" w:line="224" w:lineRule="auto"/>
        <w:rPr>
          <w:sz w:val="20"/>
          <w:szCs w:val="20"/>
          <w:color w:val="auto"/>
        </w:rPr>
      </w:pPr>
      <w:r>
        <w:rPr>
          <w:rFonts w:ascii="Arial" w:cs="Arial" w:eastAsia="Arial" w:hAnsi="Arial"/>
          <w:sz w:val="16"/>
          <w:szCs w:val="16"/>
          <w:color w:val="auto"/>
        </w:rPr>
        <w:t>– the number of shares of common stock which are subject to restricted stock units, performance stock units or other equity awards granted under the 2011 Long-Term Incentive Stock Plan (“2011 Plan”) and are outstanding as of the date of the Company’s 2024 Annual Meeting of Shareholders (“Effective Time”), which for any reason are cancelled, terminated, forfeited, or otherwise expire without being paid or delivered, or are settled in cash after the Effective Time, less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new awards under the 2011 Plan (if any) made on or after March 1, 2024.</w:t>
      </w:r>
    </w:p>
    <w:p>
      <w:pPr>
        <w:spacing w:after="0" w:line="21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Shares exchanged or withheld to satisfy the tax withholding obligations related to any award, are not available for subsequent awards under the 2024 Plan. The payment of cash dividends in conjunction with outstanding awards will not be counted against the shares available for issuance under the 2024 Plan. However, if shares are delivered in respect of a dividend equivalent right granted under the 2024 Plan, the actual number of shares delivered with respect to the award will be counted against the shares available for issuance under the 2024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limits are also contained in the 2024 Plan: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maximum number of shares that may be delivered pursuant to incentive stock options granted after the Effective Time is 5,750,000 shares.</w:t>
      </w:r>
    </w:p>
    <w:p>
      <w:pPr>
        <w:spacing w:after="0" w:line="7" w:lineRule="exact"/>
        <w:rPr>
          <w:sz w:val="20"/>
          <w:szCs w:val="20"/>
          <w:color w:val="auto"/>
        </w:rPr>
      </w:pPr>
    </w:p>
    <w:p>
      <w:pPr>
        <w:ind w:left="660" w:right="80" w:hanging="324"/>
        <w:spacing w:after="0" w:line="231" w:lineRule="auto"/>
        <w:rPr>
          <w:sz w:val="20"/>
          <w:szCs w:val="20"/>
          <w:color w:val="auto"/>
        </w:rPr>
      </w:pPr>
      <w:r>
        <w:rPr>
          <w:rFonts w:ascii="Arial" w:cs="Arial" w:eastAsia="Arial" w:hAnsi="Arial"/>
          <w:sz w:val="16"/>
          <w:szCs w:val="16"/>
          <w:color w:val="auto"/>
        </w:rPr>
        <w:t>– The aggregate dollar value of equity-based (based on the grant date fair value of equity-based awards determined for financial reporting purposes) and cash compensation granted under the Plan or otherwise to any non-employee director shall not exceed $1,000,000 during any calendar year for services provided as a non-employee director; provided, however, that in the calendar year in which a non-employee director first joins the Board or during any calendar year in which a non-employee director is designated as Chair of the Board or Lead Director, the maximum aggregate dollar value of equity-based and cash compensation granted to the non-employee director may be up to $2,000,000.</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As is customary in incentive plans of this nature, the number and kind of shares available under the 2024 Plan and the then outstanding awards, as well as exercise and purchase prices, performance targets under certain performance-based awards, and share limits, are subject to adjustment in the event of certain reclassifications, recapitalizations, stock splits, stock dividends, reverse stock splits; merger, combination, consolidation, or other reorganization; spin-offs, split-ups, or similar extraordinary dividends; or any exchange of shares of common stock or other securities of the Company, or any similar, unusual or</w:t>
      </w:r>
    </w:p>
    <w:p>
      <w:pPr>
        <w:ind w:right="200"/>
        <w:spacing w:after="0" w:line="235" w:lineRule="auto"/>
        <w:rPr>
          <w:sz w:val="20"/>
          <w:szCs w:val="20"/>
          <w:color w:val="auto"/>
        </w:rPr>
      </w:pPr>
      <w:r>
        <w:rPr>
          <w:rFonts w:ascii="Arial" w:cs="Arial" w:eastAsia="Arial" w:hAnsi="Arial"/>
          <w:sz w:val="16"/>
          <w:szCs w:val="16"/>
          <w:color w:val="auto"/>
        </w:rPr>
        <w:t>extraordinary corporate transaction in respect of our common stock. The closing price of our common stock on the New York Stock Exchange (“NYSE”) on March 1, 2024 was $454.90 per share.</w:t>
      </w:r>
    </w:p>
    <w:p>
      <w:pPr>
        <w:spacing w:after="0" w:line="204"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b w:val="1"/>
          <w:bCs w:val="1"/>
          <w:color w:val="auto"/>
        </w:rPr>
        <w:t>Dividend Equivalents; Deferrals</w:t>
      </w:r>
      <w:r>
        <w:rPr>
          <w:rFonts w:ascii="Arial" w:cs="Arial" w:eastAsia="Arial" w:hAnsi="Arial"/>
          <w:sz w:val="16"/>
          <w:szCs w:val="16"/>
          <w:color w:val="auto"/>
        </w:rPr>
        <w:t>. The Committee may provide for the deferred payment of awards and may determine the other terms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deferrals. The Committee may provide that any awards (other than stock options or SARs) under the 2024 Plan earn dividends or dividend equivalents, except that no payment shall be made with respect to such dividends or dividend equivalent rights unless the vesting conditions of the underlying award are satisfied.</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color w:val="auto"/>
        </w:rPr>
        <w:t>Acceleration of Awards; Possible Early Termination of Awards</w:t>
      </w:r>
      <w:r>
        <w:rPr>
          <w:rFonts w:ascii="Arial" w:cs="Arial" w:eastAsia="Arial" w:hAnsi="Arial"/>
          <w:sz w:val="16"/>
          <w:szCs w:val="16"/>
          <w:color w:val="auto"/>
        </w:rPr>
        <w:t>. No acceleration of vesting and/or payment of an outstanding award under the 2024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occur solely as a result of a change in control (as defined in Section 6(e) of the 2024 Plan) unless:</w:t>
      </w:r>
    </w:p>
    <w:p>
      <w:pPr>
        <w:spacing w:after="0" w:line="183" w:lineRule="exact"/>
        <w:rPr>
          <w:sz w:val="20"/>
          <w:szCs w:val="20"/>
          <w:color w:val="auto"/>
        </w:rPr>
      </w:pPr>
    </w:p>
    <w:p>
      <w:pPr>
        <w:ind w:left="660" w:right="240" w:hanging="324"/>
        <w:spacing w:after="0" w:line="235" w:lineRule="auto"/>
        <w:rPr>
          <w:sz w:val="20"/>
          <w:szCs w:val="20"/>
          <w:color w:val="auto"/>
        </w:rPr>
      </w:pPr>
      <w:r>
        <w:rPr>
          <w:rFonts w:ascii="Arial" w:cs="Arial" w:eastAsia="Arial" w:hAnsi="Arial"/>
          <w:sz w:val="16"/>
          <w:szCs w:val="16"/>
          <w:color w:val="auto"/>
        </w:rPr>
        <w:t>– the Company is liquidated, all or substantially all of the Company’s assets are sold, or the Company is merged, consolidated, or reorganized and shareholders prior to the event do not continue to own more than 60% of the combined voting power of the Company or a successor after the event,</w:t>
      </w:r>
    </w:p>
    <w:p>
      <w:pPr>
        <w:spacing w:after="0" w:line="2" w:lineRule="exact"/>
        <w:rPr>
          <w:sz w:val="20"/>
          <w:szCs w:val="20"/>
          <w:color w:val="auto"/>
        </w:rPr>
      </w:pPr>
    </w:p>
    <w:p>
      <w:pPr>
        <w:ind w:left="340"/>
        <w:spacing w:after="0" w:line="211" w:lineRule="auto"/>
        <w:rPr>
          <w:sz w:val="20"/>
          <w:szCs w:val="20"/>
          <w:color w:val="auto"/>
        </w:rPr>
      </w:pPr>
      <w:r>
        <w:rPr>
          <w:rFonts w:ascii="Arial" w:cs="Arial" w:eastAsia="Arial" w:hAnsi="Arial"/>
          <w:sz w:val="16"/>
          <w:szCs w:val="16"/>
          <w:color w:val="auto"/>
        </w:rPr>
        <w:t>–   the Company is not the ultimate parent company whose common stock is publicly traded after such transaction, and</w:t>
      </w:r>
    </w:p>
    <w:p>
      <w:pPr>
        <w:ind w:left="340"/>
        <w:spacing w:after="0"/>
        <w:rPr>
          <w:sz w:val="20"/>
          <w:szCs w:val="20"/>
          <w:color w:val="auto"/>
        </w:rPr>
      </w:pPr>
      <w:r>
        <w:rPr>
          <w:rFonts w:ascii="Arial" w:cs="Arial" w:eastAsia="Arial" w:hAnsi="Arial"/>
          <w:sz w:val="16"/>
          <w:szCs w:val="16"/>
          <w:color w:val="auto"/>
        </w:rPr>
        <w:t>–   the successor to the Company (or its parent entity) does not agree in writing to assume the awards.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However, if the above three conditions are met, generally all awards will vest or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Appendix B – Summary Description of the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may also provide that acceleration of vesting and/or payment of an outstanding 2024 Plan award will occur if the participant’s employment or service is terminated by the Company without cause or the participant terminates employment or service for good reason in connection with a change in control.</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color w:val="auto"/>
        </w:rPr>
        <w:t>Transfer Restrictions</w:t>
      </w:r>
      <w:r>
        <w:rPr>
          <w:rFonts w:ascii="Arial" w:cs="Arial" w:eastAsia="Arial" w:hAnsi="Arial"/>
          <w:sz w:val="16"/>
          <w:szCs w:val="16"/>
          <w:color w:val="auto"/>
        </w:rPr>
        <w:t>. Subject to certain exceptions in the 2024 Plan, awards under the 2024 Plan are not transferable by the recipient other than by will or</w:t>
      </w:r>
      <w:r>
        <w:rPr>
          <w:rFonts w:ascii="Arial" w:cs="Arial" w:eastAsia="Arial" w:hAnsi="Arial"/>
          <w:sz w:val="16"/>
          <w:szCs w:val="16"/>
          <w:b w:val="1"/>
          <w:bCs w:val="1"/>
          <w:color w:val="auto"/>
        </w:rPr>
        <w:t xml:space="preserve"> </w:t>
      </w:r>
      <w:r>
        <w:rPr>
          <w:rFonts w:ascii="Arial" w:cs="Arial" w:eastAsia="Arial" w:hAnsi="Arial"/>
          <w:sz w:val="16"/>
          <w:szCs w:val="16"/>
          <w:color w:val="auto"/>
        </w:rPr>
        <w:t>the laws of descent and distribution and are generally exercisable, during the recipient’s lifetime, only by the recipient. Any amounts payable or shares issuable pursuant to an award will be paid only to the recipient or the recipient’s beneficiary or representative.</w:t>
      </w:r>
    </w:p>
    <w:p>
      <w:pPr>
        <w:spacing w:after="0" w:line="199"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b w:val="1"/>
          <w:bCs w:val="1"/>
          <w:color w:val="auto"/>
        </w:rPr>
        <w:t>Termination of or Changes to the 2024 Plan</w:t>
      </w:r>
      <w:r>
        <w:rPr>
          <w:rFonts w:ascii="Arial" w:cs="Arial" w:eastAsia="Arial" w:hAnsi="Arial"/>
          <w:sz w:val="16"/>
          <w:szCs w:val="16"/>
          <w:color w:val="auto"/>
        </w:rPr>
        <w:t>. The Board or Committee may amend or terminate the 2024 Plan at any time and in any manner as it deems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appropriate to better achieve the purpose of the 2024 Plan. Shareholder approval for an amendment is required only if the amendment</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auto"/>
        </w:rPr>
        <w:t>increases the number of shares available for issuance under the 2024 Plan, materially increases the benefits accruing to participants under the 2024 Plan, materially modifies the requirements for participation in the Plan, or if shareholder approval is otherwise required as a matter of law or applicable NYSE</w:t>
      </w:r>
    </w:p>
    <w:p>
      <w:pPr>
        <w:ind w:right="100"/>
        <w:spacing w:after="0" w:line="248" w:lineRule="auto"/>
        <w:rPr>
          <w:sz w:val="20"/>
          <w:szCs w:val="20"/>
          <w:color w:val="auto"/>
        </w:rPr>
      </w:pPr>
      <w:r>
        <w:rPr>
          <w:rFonts w:ascii="Arial" w:cs="Arial" w:eastAsia="Arial" w:hAnsi="Arial"/>
          <w:sz w:val="16"/>
          <w:szCs w:val="16"/>
          <w:color w:val="auto"/>
        </w:rPr>
        <w:t>listing requirements. (Adjustments as a result of stock splits or similar events will not be considered an amendment requiring shareholder approval.) Unless terminated earlier by the Board, the authority to grant new awards under the 2024 Plan will terminate on the tenth anniversary of the Effective Time.</w:t>
      </w:r>
    </w:p>
    <w:p>
      <w:pPr>
        <w:spacing w:after="0" w:line="200" w:lineRule="exact"/>
        <w:rPr>
          <w:sz w:val="20"/>
          <w:szCs w:val="20"/>
          <w:color w:val="auto"/>
        </w:rPr>
      </w:pPr>
    </w:p>
    <w:p>
      <w:pPr>
        <w:spacing w:after="0" w:line="354" w:lineRule="exact"/>
        <w:rPr>
          <w:sz w:val="20"/>
          <w:szCs w:val="20"/>
          <w:color w:val="auto"/>
        </w:rPr>
      </w:pPr>
    </w:p>
    <w:p>
      <w:pPr>
        <w:ind w:left="520" w:hanging="494"/>
        <w:spacing w:after="0"/>
        <w:tabs>
          <w:tab w:leader="none" w:pos="520" w:val="left"/>
        </w:tabs>
        <w:numPr>
          <w:ilvl w:val="0"/>
          <w:numId w:val="21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jc w:val="center"/>
        <w:spacing w:after="0" w:line="234" w:lineRule="auto"/>
        <w:rPr>
          <w:sz w:val="20"/>
          <w:szCs w:val="20"/>
          <w:color w:val="auto"/>
        </w:rPr>
      </w:pPr>
      <w:r>
        <w:rPr>
          <w:rFonts w:ascii="Arial" w:cs="Arial" w:eastAsia="Arial" w:hAnsi="Arial"/>
          <w:sz w:val="18"/>
          <w:szCs w:val="18"/>
          <w:b w:val="1"/>
          <w:bCs w:val="1"/>
          <w:color w:val="auto"/>
        </w:rPr>
        <w:t>AMENDED AND RESTATED</w:t>
      </w:r>
    </w:p>
    <w:p>
      <w:pPr>
        <w:jc w:val="center"/>
        <w:spacing w:after="0" w:line="235" w:lineRule="auto"/>
        <w:rPr>
          <w:sz w:val="20"/>
          <w:szCs w:val="20"/>
          <w:color w:val="auto"/>
        </w:rPr>
      </w:pPr>
      <w:r>
        <w:rPr>
          <w:rFonts w:ascii="Arial" w:cs="Arial" w:eastAsia="Arial" w:hAnsi="Arial"/>
          <w:sz w:val="18"/>
          <w:szCs w:val="18"/>
          <w:b w:val="1"/>
          <w:bCs w:val="1"/>
          <w:color w:val="auto"/>
        </w:rPr>
        <w:t>CERTIFICATE OF INCORPORATION</w:t>
      </w:r>
    </w:p>
    <w:p>
      <w:pPr>
        <w:jc w:val="center"/>
        <w:spacing w:after="0" w:line="235"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 a Delaware corporation (the “Corporation”), hereby certifies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First, Article Fifteenth of the Amended and Restated Certificate of Incorporation of the Corporation is hereby amended in its entirety to read as follows:</w:t>
      </w:r>
    </w:p>
    <w:p>
      <w:pPr>
        <w:spacing w:after="0" w:line="235" w:lineRule="exact"/>
        <w:rPr>
          <w:sz w:val="20"/>
          <w:szCs w:val="20"/>
          <w:color w:val="auto"/>
        </w:rPr>
      </w:pPr>
    </w:p>
    <w:p>
      <w:pPr>
        <w:jc w:val="both"/>
        <w:ind w:firstLine="1296"/>
        <w:spacing w:after="0"/>
        <w:rPr>
          <w:sz w:val="20"/>
          <w:szCs w:val="20"/>
          <w:color w:val="auto"/>
        </w:rPr>
      </w:pPr>
      <w:r>
        <w:rPr>
          <w:rFonts w:ascii="Arial" w:cs="Arial" w:eastAsia="Arial" w:hAnsi="Arial"/>
          <w:sz w:val="16"/>
          <w:szCs w:val="16"/>
          <w:b w:val="1"/>
          <w:bCs w:val="1"/>
          <w:color w:val="auto"/>
        </w:rPr>
        <w:t xml:space="preserve">FIFTEENTH: </w:t>
      </w:r>
      <w:r>
        <w:rPr>
          <w:rFonts w:ascii="Arial" w:cs="Arial" w:eastAsia="Arial" w:hAnsi="Arial"/>
          <w:sz w:val="16"/>
          <w:szCs w:val="16"/>
          <w:color w:val="FF0000"/>
          <w:strike w:val="1"/>
        </w:rPr>
        <w:t>A</w:t>
      </w:r>
      <w:r>
        <w:rPr>
          <w:rFonts w:ascii="Arial" w:cs="Arial" w:eastAsia="Arial" w:hAnsi="Arial"/>
          <w:sz w:val="16"/>
          <w:szCs w:val="16"/>
          <w:u w:val="single" w:color="auto"/>
          <w:color w:val="0000FF"/>
        </w:rPr>
        <w:t>No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not</w:t>
      </w:r>
      <w:r>
        <w:rPr>
          <w:rFonts w:ascii="Arial" w:cs="Arial" w:eastAsia="Arial" w:hAnsi="Arial"/>
          <w:sz w:val="16"/>
          <w:szCs w:val="16"/>
          <w:b w:val="1"/>
          <w:bCs w:val="1"/>
          <w:color w:val="auto"/>
        </w:rPr>
        <w:t xml:space="preserve"> </w:t>
      </w:r>
      <w:r>
        <w:rPr>
          <w:rFonts w:ascii="Arial" w:cs="Arial" w:eastAsia="Arial" w:hAnsi="Arial"/>
          <w:sz w:val="16"/>
          <w:szCs w:val="16"/>
          <w:color w:val="auto"/>
        </w:rPr>
        <w:t>be personally liable to the Corporation or to its stockholders for monetary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damages for breach of fiduciary duty as a director </w:t>
      </w:r>
      <w:r>
        <w:rPr>
          <w:rFonts w:ascii="Arial" w:cs="Arial" w:eastAsia="Arial" w:hAnsi="Arial"/>
          <w:sz w:val="16"/>
          <w:szCs w:val="16"/>
          <w:color w:val="0000FF"/>
        </w:rPr>
        <w:t>or officer</w:t>
      </w:r>
      <w:r>
        <w:rPr>
          <w:rFonts w:ascii="Arial" w:cs="Arial" w:eastAsia="Arial" w:hAnsi="Arial"/>
          <w:sz w:val="16"/>
          <w:szCs w:val="16"/>
          <w:color w:val="auto"/>
        </w:rPr>
        <w:t xml:space="preserve">, except for liability (i) for any breach of the </w:t>
      </w:r>
      <w:r>
        <w:rPr>
          <w:rFonts w:ascii="Arial" w:cs="Arial" w:eastAsia="Arial" w:hAnsi="Arial"/>
          <w:sz w:val="16"/>
          <w:szCs w:val="16"/>
          <w:color w:val="FF0000"/>
          <w:strike w:val="1"/>
        </w:rPr>
        <w:t>director's</w:t>
      </w:r>
      <w:r>
        <w:rPr>
          <w:rFonts w:ascii="Arial" w:cs="Arial" w:eastAsia="Arial" w:hAnsi="Arial"/>
          <w:sz w:val="16"/>
          <w:szCs w:val="16"/>
          <w:u w:val="single" w:color="auto"/>
          <w:color w:val="0000FF"/>
        </w:rPr>
        <w:t>director’s or officer’s</w:t>
      </w:r>
      <w:r>
        <w:rPr>
          <w:rFonts w:ascii="Arial" w:cs="Arial" w:eastAsia="Arial" w:hAnsi="Arial"/>
          <w:sz w:val="16"/>
          <w:szCs w:val="16"/>
          <w:color w:val="auto"/>
        </w:rPr>
        <w:t xml:space="preserve"> duty of loyalty to the Corporation or to its stockholders, (ii) for acts or omissions not in good faith or which involve intentional misconduct or a knowing violation of law, (iii) </w:t>
      </w:r>
      <w:r>
        <w:rPr>
          <w:rFonts w:ascii="Arial" w:cs="Arial" w:eastAsia="Arial" w:hAnsi="Arial"/>
          <w:sz w:val="16"/>
          <w:szCs w:val="16"/>
          <w:u w:val="single" w:color="auto"/>
          <w:color w:val="0000FF"/>
        </w:rPr>
        <w:t>of 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director</w:t>
      </w:r>
      <w:r>
        <w:rPr>
          <w:rFonts w:ascii="Arial" w:cs="Arial" w:eastAsia="Arial" w:hAnsi="Arial"/>
          <w:sz w:val="16"/>
          <w:szCs w:val="16"/>
          <w:color w:val="0000FF"/>
        </w:rPr>
        <w:t xml:space="preserve"> </w:t>
      </w:r>
      <w:r>
        <w:rPr>
          <w:rFonts w:ascii="Arial" w:cs="Arial" w:eastAsia="Arial" w:hAnsi="Arial"/>
          <w:sz w:val="16"/>
          <w:szCs w:val="16"/>
          <w:color w:val="000000"/>
        </w:rPr>
        <w:t>under Section 174 of the General Corporation Law of the State of Delaware,</w:t>
      </w:r>
      <w:r>
        <w:rPr>
          <w:rFonts w:ascii="Arial" w:cs="Arial" w:eastAsia="Arial" w:hAnsi="Arial"/>
          <w:sz w:val="16"/>
          <w:szCs w:val="16"/>
          <w:color w:val="0000FF"/>
        </w:rPr>
        <w:t xml:space="preserve"> </w:t>
      </w:r>
      <w:r>
        <w:rPr>
          <w:rFonts w:ascii="Arial" w:cs="Arial" w:eastAsia="Arial" w:hAnsi="Arial"/>
          <w:sz w:val="16"/>
          <w:szCs w:val="16"/>
          <w:color w:val="FF0000"/>
          <w:strike w:val="1"/>
        </w:rPr>
        <w:t>or</w:t>
      </w:r>
      <w:r>
        <w:rPr>
          <w:rFonts w:ascii="Arial" w:cs="Arial" w:eastAsia="Arial" w:hAnsi="Arial"/>
          <w:sz w:val="16"/>
          <w:szCs w:val="16"/>
          <w:color w:val="0000FF"/>
        </w:rPr>
        <w:t xml:space="preserve"> </w:t>
      </w:r>
      <w:r>
        <w:rPr>
          <w:rFonts w:ascii="Arial" w:cs="Arial" w:eastAsia="Arial" w:hAnsi="Arial"/>
          <w:sz w:val="16"/>
          <w:szCs w:val="16"/>
          <w:color w:val="000000"/>
        </w:rPr>
        <w:t>(iv) for any transaction from which the director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officer</w:t>
      </w:r>
      <w:r>
        <w:rPr>
          <w:rFonts w:ascii="Arial" w:cs="Arial" w:eastAsia="Arial" w:hAnsi="Arial"/>
          <w:sz w:val="16"/>
          <w:szCs w:val="16"/>
          <w:color w:val="0000FF"/>
        </w:rPr>
        <w:t xml:space="preserve"> </w:t>
      </w:r>
      <w:r>
        <w:rPr>
          <w:rFonts w:ascii="Arial" w:cs="Arial" w:eastAsia="Arial" w:hAnsi="Arial"/>
          <w:sz w:val="16"/>
          <w:szCs w:val="16"/>
          <w:color w:val="000000"/>
        </w:rPr>
        <w:t>derives any</w:t>
      </w:r>
      <w:r>
        <w:rPr>
          <w:rFonts w:ascii="Arial" w:cs="Arial" w:eastAsia="Arial" w:hAnsi="Arial"/>
          <w:sz w:val="16"/>
          <w:szCs w:val="16"/>
          <w:color w:val="0000FF"/>
        </w:rPr>
        <w:t xml:space="preserve"> </w:t>
      </w:r>
      <w:r>
        <w:rPr>
          <w:rFonts w:ascii="Arial" w:cs="Arial" w:eastAsia="Arial" w:hAnsi="Arial"/>
          <w:sz w:val="16"/>
          <w:szCs w:val="16"/>
          <w:color w:val="000000"/>
        </w:rPr>
        <w:t>improper personal benefit</w:t>
      </w:r>
      <w:r>
        <w:rPr>
          <w:rFonts w:ascii="Arial" w:cs="Arial" w:eastAsia="Arial" w:hAnsi="Arial"/>
          <w:sz w:val="16"/>
          <w:szCs w:val="16"/>
          <w:u w:val="single" w:color="auto"/>
          <w:color w:val="0000FF"/>
        </w:rPr>
        <w:t>, or (v) of an officer in any action by or in the right of the Corporation</w:t>
      </w:r>
      <w:r>
        <w:rPr>
          <w:rFonts w:ascii="Arial" w:cs="Arial" w:eastAsia="Arial" w:hAnsi="Arial"/>
          <w:sz w:val="16"/>
          <w:szCs w:val="16"/>
          <w:color w:val="000000"/>
        </w:rPr>
        <w:t xml:space="preserve">. If, after approval of this Article by the stockholders of the Corporation, the General Corporation Law of the State of Delaware is amended to authorize the further elimination or limitation of the liability of directors </w:t>
      </w:r>
      <w:r>
        <w:rPr>
          <w:rFonts w:ascii="Arial" w:cs="Arial" w:eastAsia="Arial" w:hAnsi="Arial"/>
          <w:sz w:val="16"/>
          <w:szCs w:val="16"/>
          <w:color w:val="0000FF"/>
        </w:rPr>
        <w:t>or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officers</w:t>
      </w:r>
      <w:r>
        <w:rPr>
          <w:rFonts w:ascii="Arial" w:cs="Arial" w:eastAsia="Arial" w:hAnsi="Arial"/>
          <w:sz w:val="16"/>
          <w:szCs w:val="16"/>
          <w:color w:val="000000"/>
        </w:rPr>
        <w:t>, then the liability of a director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officer</w:t>
      </w:r>
      <w:r>
        <w:rPr>
          <w:rFonts w:ascii="Arial" w:cs="Arial" w:eastAsia="Arial" w:hAnsi="Arial"/>
          <w:sz w:val="16"/>
          <w:szCs w:val="16"/>
          <w:color w:val="0000FF"/>
        </w:rPr>
        <w:t xml:space="preserve"> </w:t>
      </w:r>
      <w:r>
        <w:rPr>
          <w:rFonts w:ascii="Arial" w:cs="Arial" w:eastAsia="Arial" w:hAnsi="Arial"/>
          <w:sz w:val="16"/>
          <w:szCs w:val="16"/>
          <w:color w:val="000000"/>
        </w:rPr>
        <w:t>of the Corporation shall be eliminated or limited to the fullest extent permitted by the General Corporation Law</w:t>
      </w:r>
      <w:r>
        <w:rPr>
          <w:rFonts w:ascii="Arial" w:cs="Arial" w:eastAsia="Arial" w:hAnsi="Arial"/>
          <w:sz w:val="16"/>
          <w:szCs w:val="16"/>
          <w:color w:val="0000FF"/>
        </w:rPr>
        <w:t xml:space="preserve"> </w:t>
      </w:r>
      <w:r>
        <w:rPr>
          <w:rFonts w:ascii="Arial" w:cs="Arial" w:eastAsia="Arial" w:hAnsi="Arial"/>
          <w:sz w:val="16"/>
          <w:szCs w:val="16"/>
          <w:color w:val="000000"/>
        </w:rPr>
        <w:t xml:space="preserve">of the State of Delaware, as so amended. </w:t>
      </w:r>
      <w:r>
        <w:rPr>
          <w:rFonts w:ascii="Arial" w:cs="Arial" w:eastAsia="Arial" w:hAnsi="Arial"/>
          <w:sz w:val="16"/>
          <w:szCs w:val="16"/>
          <w:u w:val="single" w:color="auto"/>
          <w:color w:val="0000FF"/>
        </w:rPr>
        <w:t>Solely for purposes of this Article, “officer” shall have the meaning provided in Section 102(b)(7)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-702310</wp:posOffset>
            </wp:positionV>
            <wp:extent cx="43561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5610" cy="889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-239395</wp:posOffset>
            </wp:positionV>
            <wp:extent cx="1289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Corporation Law of the State of Delaware, as amended from time to time.</w:t>
      </w:r>
    </w:p>
    <w:p>
      <w:pPr>
        <w:spacing w:after="0" w:line="21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Any repeal or modification of this Article by the stockholders of the Corporation shall not adversely affect any right or protection of a director </w:t>
      </w:r>
      <w:r>
        <w:rPr>
          <w:rFonts w:ascii="Arial" w:cs="Arial" w:eastAsia="Arial" w:hAnsi="Arial"/>
          <w:sz w:val="16"/>
          <w:szCs w:val="16"/>
          <w:u w:val="single" w:color="auto"/>
          <w:color w:val="0000FF"/>
        </w:rPr>
        <w:t>or officer</w:t>
      </w:r>
      <w:r>
        <w:rPr>
          <w:rFonts w:ascii="Arial" w:cs="Arial" w:eastAsia="Arial" w:hAnsi="Arial"/>
          <w:sz w:val="16"/>
          <w:szCs w:val="16"/>
          <w:color w:val="auto"/>
        </w:rPr>
        <w:t xml:space="preserve"> of the Corporation existing at the time of such repeal or modification.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Second, the foregoing amendment has been duly adopted in accordance with the provisions of Section 242 of the General Corporation Law of the State of Delaware.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Corporation has caused this Certificate of Amendment to be executed by its duly authorized officer on the date set forth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NORTHROP GRUMMAN CORPORATION</w:t>
      </w: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By:_______________________________</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w:t>
      </w:r>
    </w:p>
    <w:p>
      <w:pPr>
        <w:ind w:left="3900"/>
        <w:spacing w:after="0"/>
        <w:rPr>
          <w:sz w:val="20"/>
          <w:szCs w:val="20"/>
          <w:color w:val="auto"/>
        </w:rPr>
      </w:pPr>
      <w:r>
        <w:rPr>
          <w:rFonts w:ascii="Arial" w:cs="Arial" w:eastAsia="Arial" w:hAnsi="Arial"/>
          <w:sz w:val="16"/>
          <w:szCs w:val="16"/>
          <w:color w:val="auto"/>
        </w:rPr>
        <w:t>Title:</w:t>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Dated:_____________________________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2024 LONG-TERM INCENTIVE STOCK PLAN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Purpose</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purpose of the Northrop Grumman 2024 Long-Term Incentive Stock Plan (the “Plan”) is to promote the long-term success of Northrop Grumman Corporation (the “Company”) and to increase shareholder value by providing its directors, officers and selected employees with incentives to create excellent performance and to continue service with the Company, its subsidiaries and affiliates. As set forth in Section 8 of the Plan, awards under the Plan may consist of stock options, stock appreciation rights (“SARs”), awards other than stock options or SARs (“Share Awards”) providing for the issuance of or denominated in shares of common stock of the Company (“Common Stock”) and awards that are denominated in or may be settled only in cash (“Cash Awards”). Both by encouraging such directors, officers and employees to become owners of the Common Stock of the Company and by providing actual ownership through Plan awards, it is intended that Plan participants will view the Company from an ownership perspective and enable such individuals to participate in the growth and financial success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Term</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The Plan was approved by the Company’s Board of Directors (the “Board”) on March 20, 2024, and became effective upon approval by the shareholders of the Company on the date of the Company’s 2024 Annual Meeting of Shareholders (the “Effective Time”). Unless previously terminated by the Board, the Plan shall terminate at the close of business on the tenth anniversary of the Effective Time. After termination of the Plan, no future awards may be granted but then-outstanding awards (and the Committee’s (as such term is defined in Section 3) authority with respect thereto) shall remain outstanding in accordance with their applicable terms and conditions and the terms and conditions of the Plan.</w:t>
      </w:r>
    </w:p>
    <w:p>
      <w:pPr>
        <w:spacing w:after="0" w:line="164" w:lineRule="exact"/>
        <w:rPr>
          <w:sz w:val="20"/>
          <w:szCs w:val="20"/>
          <w:color w:val="auto"/>
        </w:rPr>
      </w:pPr>
    </w:p>
    <w:p>
      <w:pPr>
        <w:ind w:left="220" w:hanging="212"/>
        <w:spacing w:after="0"/>
        <w:tabs>
          <w:tab w:leader="none" w:pos="220"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Plan Administration</w:t>
      </w:r>
    </w:p>
    <w:p>
      <w:pPr>
        <w:spacing w:after="0" w:line="194" w:lineRule="exact"/>
        <w:rPr>
          <w:rFonts w:ascii="Arial" w:cs="Arial" w:eastAsia="Arial" w:hAnsi="Arial"/>
          <w:sz w:val="16"/>
          <w:szCs w:val="16"/>
          <w:b w:val="1"/>
          <w:bCs w:val="1"/>
          <w:color w:val="auto"/>
        </w:rPr>
      </w:pPr>
    </w:p>
    <w:p>
      <w:pPr>
        <w:jc w:val="both"/>
        <w:ind w:firstLine="656"/>
        <w:spacing w:after="0" w:line="221" w:lineRule="auto"/>
        <w:tabs>
          <w:tab w:leader="none" w:pos="130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Plan shall be administered by the Compensation and Human Capital Committee (or its successor) of the Board (“Compensation Committee”). The Board also may exercise any power of the Compensation Committee under the terms of the Plan, except as otherwise required by applicable law. Subject to the following provisions of this Section 3(a), the Compensation Committee (or its successor) may delegate different levels of authority to make grants under the Plan to different committees, provided that each such committee consists of one or more members of the Board. Transactions in or involving awards intended to be exempt under Rule 16b-3 of the Securities Exchange Act of 1934, as amended (the “1934 Act”), must be duly and timely authorized by the Board or a committee of non-employee directors (as this term is used in or under Rule 16b-3). The appropriate acting body, be it the Board, the Compensation Committee or another duly authorized committee of directors, is referred to as the “Committee”.</w:t>
      </w:r>
    </w:p>
    <w:p>
      <w:pPr>
        <w:spacing w:after="0" w:line="164" w:lineRule="exact"/>
        <w:rPr>
          <w:rFonts w:ascii="Arial" w:cs="Arial" w:eastAsia="Arial" w:hAnsi="Arial"/>
          <w:sz w:val="16"/>
          <w:szCs w:val="16"/>
          <w:color w:val="auto"/>
        </w:rPr>
      </w:pPr>
    </w:p>
    <w:p>
      <w:pPr>
        <w:ind w:right="20" w:firstLine="656"/>
        <w:spacing w:after="0" w:line="251" w:lineRule="auto"/>
        <w:tabs>
          <w:tab w:leader="none" w:pos="130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Committee shall have full power to interpret the Plan and to adopt such rules, regulations and guidelines for carrying out the Plan as it may deem necessary or proper. This power includes, but is not limited to the power:</w:t>
      </w:r>
    </w:p>
    <w:p>
      <w:pPr>
        <w:spacing w:after="0" w:line="47" w:lineRule="exact"/>
        <w:rPr>
          <w:rFonts w:ascii="Arial" w:cs="Arial" w:eastAsia="Arial" w:hAnsi="Arial"/>
          <w:sz w:val="16"/>
          <w:szCs w:val="16"/>
          <w:color w:val="auto"/>
        </w:rPr>
      </w:pPr>
    </w:p>
    <w:p>
      <w:pPr>
        <w:jc w:val="both"/>
        <w:ind w:left="660" w:right="20" w:firstLine="509"/>
        <w:spacing w:after="0" w:line="216" w:lineRule="auto"/>
        <w:tabs>
          <w:tab w:leader="none" w:pos="1375" w:val="left"/>
        </w:tabs>
        <w:numPr>
          <w:ilvl w:val="3"/>
          <w:numId w:val="217"/>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subplans and the like as may be necessary to comply with provisions of the laws and applicable regulatory rulings of countries in which the Company (or its subsidiaries or affiliates, as applicable) operates in order to assure the viability of awards granted under the Plan and to enable participants employed in such countries to receive advantages and benefits under the Plan and such laws and rulings;</w:t>
      </w:r>
    </w:p>
    <w:p>
      <w:pPr>
        <w:spacing w:after="0" w:line="1" w:lineRule="exact"/>
        <w:rPr>
          <w:rFonts w:ascii="Arial" w:cs="Arial" w:eastAsia="Arial" w:hAnsi="Arial"/>
          <w:sz w:val="16"/>
          <w:szCs w:val="16"/>
          <w:color w:val="auto"/>
        </w:rPr>
      </w:pPr>
    </w:p>
    <w:p>
      <w:pPr>
        <w:ind w:left="660" w:right="20" w:firstLine="466"/>
        <w:spacing w:after="0" w:line="211" w:lineRule="auto"/>
        <w:tabs>
          <w:tab w:leader="none" w:pos="1355" w:val="left"/>
        </w:tabs>
        <w:numPr>
          <w:ilvl w:val="3"/>
          <w:numId w:val="217"/>
        </w:numPr>
        <w:rPr>
          <w:rFonts w:ascii="Arial" w:cs="Arial" w:eastAsia="Arial" w:hAnsi="Arial"/>
          <w:sz w:val="16"/>
          <w:szCs w:val="16"/>
          <w:color w:val="auto"/>
        </w:rPr>
      </w:pPr>
      <w:r>
        <w:rPr>
          <w:rFonts w:ascii="Arial" w:cs="Arial" w:eastAsia="Arial" w:hAnsi="Arial"/>
          <w:sz w:val="16"/>
          <w:szCs w:val="16"/>
          <w:color w:val="auto"/>
        </w:rPr>
        <w:t>to determine which persons are eligible to be participants, to which of such persons, if any, awards shall be granted hereunder and the timing of any such awards, and to grant awards;</w:t>
      </w:r>
    </w:p>
    <w:p>
      <w:pPr>
        <w:jc w:val="both"/>
        <w:ind w:left="660" w:firstLine="424"/>
        <w:spacing w:after="0" w:line="211" w:lineRule="auto"/>
        <w:tabs>
          <w:tab w:leader="none" w:pos="1362"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establish all award terms and conditions of awards,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or other factors;</w:t>
      </w:r>
    </w:p>
    <w:p>
      <w:pPr>
        <w:jc w:val="both"/>
        <w:ind w:left="660" w:firstLine="434"/>
        <w:spacing w:after="0" w:line="211" w:lineRule="auto"/>
        <w:tabs>
          <w:tab w:leader="none" w:pos="1381"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establish the forms of award agreement and manner of acceptance of an award, and to take or approve such further actions as the Committee determines necessary or appropriate to the administration of the Plan and awards, including without limitation adopting modifications and amendments, correcting a defect or supplying any omission, or reconciling any inconsistency so that the Plan or any award agreement complies with applicable law, regulations and stock exchange listing requirements and so as to avoid unanticipated consequences or address unanticipated events (including any temporary closure of the primary stock exchange on which the Common Stock is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 w:lineRule="exact"/>
        <w:rPr>
          <w:rFonts w:ascii="Arial" w:cs="Arial" w:eastAsia="Arial" w:hAnsi="Arial"/>
          <w:sz w:val="16"/>
          <w:szCs w:val="16"/>
          <w:color w:val="auto"/>
        </w:rPr>
      </w:pPr>
    </w:p>
    <w:p>
      <w:pPr>
        <w:ind w:left="660" w:firstLine="476"/>
        <w:spacing w:after="0" w:line="211" w:lineRule="auto"/>
        <w:tabs>
          <w:tab w:leader="none" w:pos="1414" w:val="left"/>
        </w:tabs>
        <w:numPr>
          <w:ilvl w:val="4"/>
          <w:numId w:val="217"/>
        </w:numPr>
        <w:rPr>
          <w:rFonts w:ascii="Arial" w:cs="Arial" w:eastAsia="Arial" w:hAnsi="Arial"/>
          <w:sz w:val="16"/>
          <w:szCs w:val="16"/>
          <w:color w:val="auto"/>
        </w:rPr>
      </w:pPr>
      <w:r>
        <w:rPr>
          <w:rFonts w:ascii="Arial" w:cs="Arial" w:eastAsia="Arial" w:hAnsi="Arial"/>
          <w:sz w:val="16"/>
          <w:szCs w:val="16"/>
          <w:color w:val="auto"/>
        </w:rPr>
        <w:t>to establish or verify the extent of satisfaction of any performance goals or other conditions applicable to the grant, issuance, exercisability, vesting and/or ability to retain any award;</w:t>
      </w:r>
    </w:p>
    <w:p>
      <w:pPr>
        <w:ind w:left="1360" w:hanging="266"/>
        <w:spacing w:after="0" w:line="211" w:lineRule="auto"/>
        <w:tabs>
          <w:tab w:leader="none" w:pos="1360"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prescribe and amend the terms of the agreements or other documents evidencing awards made under this Plan (which need not be</w:t>
      </w:r>
    </w:p>
    <w:p>
      <w:pPr>
        <w:ind w:left="660"/>
        <w:spacing w:after="0" w:line="211" w:lineRule="auto"/>
        <w:rPr>
          <w:rFonts w:ascii="Arial" w:cs="Arial" w:eastAsia="Arial" w:hAnsi="Arial"/>
          <w:sz w:val="16"/>
          <w:szCs w:val="16"/>
          <w:color w:val="auto"/>
        </w:rPr>
      </w:pPr>
      <w:r>
        <w:rPr>
          <w:rFonts w:ascii="Arial" w:cs="Arial" w:eastAsia="Arial" w:hAnsi="Arial"/>
          <w:sz w:val="16"/>
          <w:szCs w:val="16"/>
          <w:color w:val="auto"/>
        </w:rPr>
        <w:t>identical);</w:t>
      </w:r>
    </w:p>
    <w:p>
      <w:pPr>
        <w:ind w:left="1360" w:hanging="308"/>
        <w:spacing w:after="0" w:line="211" w:lineRule="auto"/>
        <w:tabs>
          <w:tab w:leader="none" w:pos="1360"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determine whether, and the extent to which, adjustments are required pursuant to Section 6;</w:t>
      </w:r>
    </w:p>
    <w:p>
      <w:pPr>
        <w:ind w:left="660" w:firstLine="349"/>
        <w:spacing w:after="0" w:line="235" w:lineRule="auto"/>
        <w:tabs>
          <w:tab w:leader="none" w:pos="1382"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interpret and construe this Plan, any rules and regulations under this Plan and the terms and conditions of any award granted hereunder, and to make exceptions to any such provisions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9220"/>
              <w:spacing w:after="0"/>
              <w:rPr>
                <w:sz w:val="20"/>
                <w:szCs w:val="20"/>
                <w:color w:val="auto"/>
              </w:rPr>
            </w:pPr>
            <w:r>
              <w:rPr>
                <w:rFonts w:ascii="Arial" w:cs="Arial" w:eastAsia="Arial" w:hAnsi="Arial"/>
                <w:sz w:val="14"/>
                <w:szCs w:val="14"/>
                <w:color w:val="auto"/>
              </w:rPr>
              <w:t>2024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r>
      <w:tr>
        <w:trPr>
          <w:trHeight w:val="198"/>
        </w:trPr>
        <w:tc>
          <w:tcPr>
            <w:tcW w:w="108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60" w:hanging="272"/>
        <w:spacing w:after="0"/>
        <w:tabs>
          <w:tab w:leader="none" w:pos="136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the administration of this Plan.</w:t>
      </w:r>
    </w:p>
    <w:p>
      <w:pPr>
        <w:spacing w:after="0" w:line="194" w:lineRule="exact"/>
        <w:rPr>
          <w:rFonts w:ascii="Arial" w:cs="Arial" w:eastAsia="Arial" w:hAnsi="Arial"/>
          <w:sz w:val="16"/>
          <w:szCs w:val="16"/>
          <w:color w:val="auto"/>
        </w:rPr>
      </w:pPr>
    </w:p>
    <w:p>
      <w:pPr>
        <w:jc w:val="both"/>
        <w:ind w:firstLine="656"/>
        <w:spacing w:after="0" w:line="222" w:lineRule="auto"/>
        <w:tabs>
          <w:tab w:leader="none" w:pos="130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Notwithstanding the foregoing and except for an adjustment pursuant to Section 6, in no case may the Committee, without the approval of shareholders: (1) amend an outstanding stock option or SAR to reduce the exercise price or base price of the award; (2) cancel, exchange or surrender an outstanding stock option or SAR at any time when the exercise price or base price of the stock option or SAR is above the Fair Market Value of a share of Common Stock in exchange for cash or other awards; (3) cancel, exchange or surrender an outstanding stock option or SAR in exchange for a stock option or SAR with an exercise or base price that is less than the exercise or base price of the original award; or (4) otherwise take any other action that is treated as a “repricing” with respect to such stock option or SAR under generally accepted accounting principles.</w:t>
      </w:r>
    </w:p>
    <w:p>
      <w:pPr>
        <w:spacing w:after="0" w:line="166" w:lineRule="exact"/>
        <w:rPr>
          <w:rFonts w:ascii="Arial" w:cs="Arial" w:eastAsia="Arial" w:hAnsi="Arial"/>
          <w:sz w:val="16"/>
          <w:szCs w:val="16"/>
          <w:color w:val="auto"/>
        </w:rPr>
      </w:pPr>
    </w:p>
    <w:p>
      <w:pPr>
        <w:jc w:val="both"/>
        <w:ind w:firstLine="656"/>
        <w:spacing w:after="0" w:line="222" w:lineRule="auto"/>
        <w:tabs>
          <w:tab w:leader="none" w:pos="1305"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Committee may delegate to one or more officers or employees of the Company, and/or one or more agents, the authority to assist the Committee in any or all aspects of the day-to-day administration of the Plan and/or awards granted under the Plan to the extent permitted under applicable law and consistent with the Board’s delegation to the Committee. Any action by such officer or persons acting under his or her authority within the scope of such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66" w:lineRule="exact"/>
        <w:rPr>
          <w:rFonts w:ascii="Arial" w:cs="Arial" w:eastAsia="Arial" w:hAnsi="Arial"/>
          <w:sz w:val="16"/>
          <w:szCs w:val="16"/>
          <w:color w:val="auto"/>
        </w:rPr>
      </w:pPr>
    </w:p>
    <w:p>
      <w:pPr>
        <w:jc w:val="both"/>
        <w:ind w:firstLine="656"/>
        <w:spacing w:after="0" w:line="234" w:lineRule="auto"/>
        <w:tabs>
          <w:tab w:leader="none" w:pos="1305"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 making any determination or in taking or not taking any action under the Plan, the Committee may obtain and may rely on the advice of experts, including employees of and professional advisors to the Company. Any action taken by, or inaction of, the Committee relating to or pursuant to the Plan shall be within the absolute discretion of that entity or body and shall be conclusive and binding on all persons.</w:t>
      </w:r>
    </w:p>
    <w:p>
      <w:pPr>
        <w:spacing w:after="0" w:line="163" w:lineRule="exact"/>
        <w:rPr>
          <w:rFonts w:ascii="Arial" w:cs="Arial" w:eastAsia="Arial" w:hAnsi="Arial"/>
          <w:sz w:val="16"/>
          <w:szCs w:val="16"/>
          <w:color w:val="auto"/>
        </w:rPr>
      </w:pPr>
    </w:p>
    <w:p>
      <w:pPr>
        <w:ind w:left="220" w:hanging="212"/>
        <w:spacing w:after="0"/>
        <w:tabs>
          <w:tab w:leader="none" w:pos="22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Committee may grant one or more awards under the Plan to any individual or individuals who, at the time of grant of the particular award, are employed by the Company or serve as a member of the Board. With respect to assumed or replacement awards as contemplated in Sections 5 and 6, eligible individuals shall also include any former employees of the Company and former members of the Board holding an award that is subject to assumption or replacement. For purposes of this Section 4, “Company” includes any entity that is directly or indirectly wholly owned by the Company.</w:t>
      </w:r>
    </w:p>
    <w:p>
      <w:pPr>
        <w:spacing w:after="0" w:line="165" w:lineRule="exact"/>
        <w:rPr>
          <w:sz w:val="20"/>
          <w:szCs w:val="20"/>
          <w:color w:val="auto"/>
        </w:rPr>
      </w:pPr>
    </w:p>
    <w:p>
      <w:pPr>
        <w:ind w:left="220" w:hanging="212"/>
        <w:spacing w:after="0"/>
        <w:tabs>
          <w:tab w:leader="none" w:pos="2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Shares of Common Stock Subject to the Plan and Grant Limits</w:t>
      </w:r>
    </w:p>
    <w:p>
      <w:pPr>
        <w:spacing w:after="0" w:line="194" w:lineRule="exact"/>
        <w:rPr>
          <w:rFonts w:ascii="Arial" w:cs="Arial" w:eastAsia="Arial" w:hAnsi="Arial"/>
          <w:sz w:val="16"/>
          <w:szCs w:val="16"/>
          <w:b w:val="1"/>
          <w:bCs w:val="1"/>
          <w:color w:val="auto"/>
        </w:rPr>
      </w:pPr>
    </w:p>
    <w:p>
      <w:pPr>
        <w:ind w:firstLine="656"/>
        <w:spacing w:after="0" w:line="221" w:lineRule="auto"/>
        <w:tabs>
          <w:tab w:leader="none" w:pos="130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Subject to Section 6 of the Plan, the aggregate number of shares of Common Stock which may be issued or transferred pursuant to awards granted under the Plan shall not exceed the sum of:</w:t>
      </w:r>
    </w:p>
    <w:p>
      <w:pPr>
        <w:spacing w:after="0" w:line="1" w:lineRule="exact"/>
        <w:rPr>
          <w:rFonts w:ascii="Arial" w:cs="Arial" w:eastAsia="Arial" w:hAnsi="Arial"/>
          <w:sz w:val="16"/>
          <w:szCs w:val="16"/>
          <w:color w:val="auto"/>
        </w:rPr>
      </w:pPr>
    </w:p>
    <w:p>
      <w:pPr>
        <w:ind w:left="1360" w:hanging="191"/>
        <w:spacing w:after="0"/>
        <w:tabs>
          <w:tab w:leader="none" w:pos="1360" w:val="left"/>
        </w:tabs>
        <w:numPr>
          <w:ilvl w:val="3"/>
          <w:numId w:val="222"/>
        </w:numPr>
        <w:rPr>
          <w:rFonts w:ascii="Arial" w:cs="Arial" w:eastAsia="Arial" w:hAnsi="Arial"/>
          <w:sz w:val="16"/>
          <w:szCs w:val="16"/>
          <w:color w:val="auto"/>
        </w:rPr>
      </w:pPr>
      <w:r>
        <w:rPr>
          <w:rFonts w:ascii="Arial" w:cs="Arial" w:eastAsia="Arial" w:hAnsi="Arial"/>
          <w:sz w:val="16"/>
          <w:szCs w:val="16"/>
          <w:color w:val="auto"/>
        </w:rPr>
        <w:t>5,750,000; plus</w:t>
      </w:r>
    </w:p>
    <w:p>
      <w:pPr>
        <w:spacing w:after="0" w:line="178" w:lineRule="exact"/>
        <w:rPr>
          <w:rFonts w:ascii="Arial" w:cs="Arial" w:eastAsia="Arial" w:hAnsi="Arial"/>
          <w:sz w:val="16"/>
          <w:szCs w:val="16"/>
          <w:color w:val="auto"/>
        </w:rPr>
      </w:pPr>
    </w:p>
    <w:p>
      <w:pPr>
        <w:ind w:left="660" w:right="40" w:firstLine="466"/>
        <w:spacing w:after="0" w:line="248" w:lineRule="auto"/>
        <w:tabs>
          <w:tab w:leader="none" w:pos="1355" w:val="left"/>
        </w:tabs>
        <w:numPr>
          <w:ilvl w:val="3"/>
          <w:numId w:val="222"/>
        </w:numPr>
        <w:rPr>
          <w:rFonts w:ascii="Arial" w:cs="Arial" w:eastAsia="Arial" w:hAnsi="Arial"/>
          <w:sz w:val="16"/>
          <w:szCs w:val="16"/>
          <w:color w:val="auto"/>
        </w:rPr>
      </w:pPr>
      <w:r>
        <w:rPr>
          <w:rFonts w:ascii="Arial" w:cs="Arial" w:eastAsia="Arial" w:hAnsi="Arial"/>
          <w:sz w:val="16"/>
          <w:szCs w:val="16"/>
          <w:color w:val="auto"/>
        </w:rPr>
        <w:t>the number of any shares of Common Stock which were subject to restricted stock units, performance stock units or other equity awards granted under the Company’s 2011 Long-Term Incentive Stock Plan (as amended from time to time, the “2011 Plan”) and outstanding on the Effective Time which expire, or for any reason are cancelled, terminated, forfeited, or otherwise expire without being paid or delivered, or are settled in cash, after the Effective Time; less</w:t>
      </w:r>
    </w:p>
    <w:p>
      <w:pPr>
        <w:spacing w:after="0" w:line="184" w:lineRule="exact"/>
        <w:rPr>
          <w:rFonts w:ascii="Arial" w:cs="Arial" w:eastAsia="Arial" w:hAnsi="Arial"/>
          <w:sz w:val="16"/>
          <w:szCs w:val="16"/>
          <w:color w:val="auto"/>
        </w:rPr>
      </w:pPr>
    </w:p>
    <w:p>
      <w:pPr>
        <w:ind w:left="660" w:right="140" w:firstLine="424"/>
        <w:spacing w:after="0" w:line="268" w:lineRule="auto"/>
        <w:tabs>
          <w:tab w:leader="none" w:pos="1349" w:val="left"/>
        </w:tabs>
        <w:numPr>
          <w:ilvl w:val="2"/>
          <w:numId w:val="222"/>
        </w:numPr>
        <w:rPr>
          <w:rFonts w:ascii="Arial" w:cs="Arial" w:eastAsia="Arial" w:hAnsi="Arial"/>
          <w:sz w:val="16"/>
          <w:szCs w:val="16"/>
          <w:color w:val="auto"/>
        </w:rPr>
      </w:pPr>
      <w:r>
        <w:rPr>
          <w:rFonts w:ascii="Arial" w:cs="Arial" w:eastAsia="Arial" w:hAnsi="Arial"/>
          <w:sz w:val="16"/>
          <w:szCs w:val="16"/>
          <w:color w:val="auto"/>
        </w:rPr>
        <w:t>new awards under the 2011 Plan (if any) made on or after March 1, 2024. Upon shareholder approval of the 2024 Plan, no further grants will be made under the 2011 Plan.</w:t>
      </w:r>
    </w:p>
    <w:p>
      <w:pPr>
        <w:spacing w:after="0" w:line="169" w:lineRule="exact"/>
        <w:rPr>
          <w:rFonts w:ascii="Arial" w:cs="Arial" w:eastAsia="Arial" w:hAnsi="Arial"/>
          <w:sz w:val="16"/>
          <w:szCs w:val="16"/>
          <w:color w:val="auto"/>
        </w:rPr>
      </w:pPr>
    </w:p>
    <w:p>
      <w:pPr>
        <w:ind w:right="20" w:firstLine="656"/>
        <w:spacing w:after="0" w:line="251" w:lineRule="auto"/>
        <w:tabs>
          <w:tab w:leader="none" w:pos="135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delivered pursuant to stock options intended to qualify as incentive stock options (“ISOs”) under Section 422 of the Internal Revenue Code of 1986, as amended (the “Code”) is 5,750,000 shares.</w:t>
      </w:r>
    </w:p>
    <w:p>
      <w:pPr>
        <w:spacing w:after="0" w:line="155" w:lineRule="exact"/>
        <w:rPr>
          <w:rFonts w:ascii="Arial" w:cs="Arial" w:eastAsia="Arial" w:hAnsi="Arial"/>
          <w:sz w:val="16"/>
          <w:szCs w:val="16"/>
          <w:color w:val="auto"/>
        </w:rPr>
      </w:pPr>
    </w:p>
    <w:p>
      <w:pPr>
        <w:jc w:val="both"/>
        <w:ind w:firstLine="656"/>
        <w:spacing w:after="0" w:line="217" w:lineRule="auto"/>
        <w:tabs>
          <w:tab w:leader="none" w:pos="130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provided in the next sentence, shares of Common Stock which are subject to awards granted under the Plan which expire or for any reason are cancelled or terminated, are forfeited, fail to vest, or for any other reason are not paid or delivered under the Plan (including, for purposes of clarity, any shares initially reserved but, at the conclusion of the applicable performance period, not otherwise deliverable with respect to any performance-based Share Awards because actual performance for the performance period did not result in the maximum potential payout of the awards) shall again be available for subsequent awards granted under the Plan. Shares of Common Stock that are exchanged by a participant or withheld by the Company as full or partial payment to satisfy the tax withholding obligations relating to an award, shall not be available for subsequent awards under the Plan. Except as provided in the preceding sentence, in instances where an award is settled in cash or a form other than shares under the Plan, the shares that would have been issued had there been no cash or other settlement shall not be counted against the shares available for issuance under the Plan and such shares shall be available for subsequent awards granted under the Plan. The payment in cash of dividends or dividend equivalents in conjunction with outstanding awards shall not be counted against the shares available for issuance under the Plan. In the event that shares are delivered in respect of a dividend equivalent right granted under the Plan, the number of shares delivered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to the award shall be counted against the shares available for issuance under the Plan. (For purposes of clarity, if 100 shares are delivered in payment of dividend equivalent rights, 100 shares shall be counted against the shares available for issuance under the Plan.) To the extent that shares are delivered pursuant to the exercise of a SAR or stock option granted under the Plan, the total number of underlying shares as to which the exercise related shall be counted against the shares available for issuance under the Plan as opposed to only counting the shares issued, and any shares tendered by a participant to satisfy the exercise price obligations relating to such stock option or SAR awards and shares purchased by the Company using exercise price proceeds shall not be available for subsequent awards under the Plan. (For purposes of clarity, if a SAR relates to 1,000 shares and is exercised at a time when the payment due to the participant is 500 shares, 1,000 shares shall be counted against the shares available for issuance under the Plan.) Any shares that are issued by the Company, and any awards that are granted by, or become obligations of, the Company, through the assumption by the Company or an affiliate of, or in substitution for, outstanding awards previously granted by an acquired company (or previously granted by a predecessor employer (or direct or indirect parent thereof) in the case of persons that become employed by the Company (or a subsidiary or affiliate) in connection with a business or asset acquisition or similar transaction) shall not be counted against the shares available for issuance under the Plan.</w:t>
      </w:r>
    </w:p>
    <w:p>
      <w:pPr>
        <w:spacing w:after="0" w:line="168" w:lineRule="exact"/>
        <w:rPr>
          <w:sz w:val="20"/>
          <w:szCs w:val="20"/>
          <w:color w:val="auto"/>
        </w:rPr>
      </w:pPr>
    </w:p>
    <w:p>
      <w:pPr>
        <w:ind w:firstLine="656"/>
        <w:spacing w:after="0" w:line="251" w:lineRule="auto"/>
        <w:tabs>
          <w:tab w:leader="none" w:pos="130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Any shares issued under the Plan may consist in whole or in part of authorized and unissued shares or of treasury shares, which may include fractional shares. Cash may be paid in lieu of any fractional shares in settlements of awards under the Plan.</w:t>
      </w:r>
    </w:p>
    <w:p>
      <w:pPr>
        <w:spacing w:after="0" w:line="155" w:lineRule="exact"/>
        <w:rPr>
          <w:rFonts w:ascii="Arial" w:cs="Arial" w:eastAsia="Arial" w:hAnsi="Arial"/>
          <w:sz w:val="16"/>
          <w:szCs w:val="16"/>
          <w:color w:val="auto"/>
        </w:rPr>
      </w:pPr>
    </w:p>
    <w:p>
      <w:pPr>
        <w:jc w:val="both"/>
        <w:ind w:firstLine="656"/>
        <w:spacing w:after="0" w:line="225" w:lineRule="auto"/>
        <w:tabs>
          <w:tab w:leader="none" w:pos="135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aggregate dollar value of equity-based (based on the grant date fair value of equity-based awards determined for financial reporting purposes) and cash compensation granted under the Plan or otherwise to any non-employee director shall not exceed $1,000,000 during any calendar year for services provided as a non-employee director; provided, however, that in the calendar year in which a non-employee director first joins the Board or during any calendar year in which a non-employee director is designated as Chair of the Board or Lead Director, the maximum aggregate dollar value of equity-based and cash compensation granted to the non-employee director may be up to $2,000,000.</w:t>
      </w:r>
    </w:p>
    <w:p>
      <w:pPr>
        <w:spacing w:after="0" w:line="163" w:lineRule="exact"/>
        <w:rPr>
          <w:rFonts w:ascii="Arial" w:cs="Arial" w:eastAsia="Arial" w:hAnsi="Arial"/>
          <w:sz w:val="16"/>
          <w:szCs w:val="16"/>
          <w:color w:val="auto"/>
        </w:rPr>
      </w:pPr>
    </w:p>
    <w:p>
      <w:pPr>
        <w:jc w:val="both"/>
        <w:ind w:firstLine="656"/>
        <w:spacing w:after="0" w:line="234" w:lineRule="auto"/>
        <w:tabs>
          <w:tab w:leader="none" w:pos="13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limits set forth in Sections 5(b) and 5(e) shall apply with respect to all Plan awards regardless of whether the underlying shares are attributable to the fixed number of shares made available for Plan award purposes or shares that become available under the Plan pursuant to Sections 5(a) or 5(c) with respect to shares originally covered by awards which are subsequently forfeited, terminated or cancelled.</w:t>
      </w:r>
    </w:p>
    <w:p>
      <w:pPr>
        <w:spacing w:after="0" w:line="163" w:lineRule="exact"/>
        <w:rPr>
          <w:rFonts w:ascii="Arial" w:cs="Arial" w:eastAsia="Arial" w:hAnsi="Arial"/>
          <w:sz w:val="16"/>
          <w:szCs w:val="16"/>
          <w:color w:val="auto"/>
        </w:rPr>
      </w:pPr>
    </w:p>
    <w:p>
      <w:pPr>
        <w:ind w:left="220" w:hanging="212"/>
        <w:spacing w:after="0"/>
        <w:tabs>
          <w:tab w:leader="none" w:pos="22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and Reorganizations</w:t>
      </w:r>
    </w:p>
    <w:p>
      <w:pPr>
        <w:spacing w:after="0" w:line="194" w:lineRule="exact"/>
        <w:rPr>
          <w:rFonts w:ascii="Arial" w:cs="Arial" w:eastAsia="Arial" w:hAnsi="Arial"/>
          <w:sz w:val="16"/>
          <w:szCs w:val="16"/>
          <w:b w:val="1"/>
          <w:bCs w:val="1"/>
          <w:color w:val="auto"/>
        </w:rPr>
      </w:pPr>
    </w:p>
    <w:p>
      <w:pPr>
        <w:jc w:val="both"/>
        <w:ind w:firstLine="656"/>
        <w:spacing w:after="0" w:line="216" w:lineRule="auto"/>
        <w:tabs>
          <w:tab w:leader="none" w:pos="130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shares of Common Stock or other securities of the Company, or any similar, unusual or extraordinary corporate transaction in respect of the Common Stock; then the Committee shall equitably and proportionately adjust</w:t>
      </w:r>
    </w:p>
    <w:p>
      <w:pPr>
        <w:spacing w:after="0" w:line="1" w:lineRule="exact"/>
        <w:rPr>
          <w:rFonts w:ascii="Arial" w:cs="Arial" w:eastAsia="Arial" w:hAnsi="Arial"/>
          <w:sz w:val="16"/>
          <w:szCs w:val="16"/>
          <w:color w:val="auto"/>
        </w:rPr>
      </w:pPr>
    </w:p>
    <w:p>
      <w:pPr>
        <w:jc w:val="both"/>
        <w:spacing w:after="0" w:line="219" w:lineRule="auto"/>
        <w:rPr>
          <w:rFonts w:ascii="Arial" w:cs="Arial" w:eastAsia="Arial" w:hAnsi="Arial"/>
          <w:sz w:val="16"/>
          <w:szCs w:val="16"/>
          <w:color w:val="auto"/>
        </w:rPr>
      </w:pPr>
      <w:r>
        <w:rPr>
          <w:rFonts w:ascii="Arial" w:cs="Arial" w:eastAsia="Arial" w:hAnsi="Arial"/>
          <w:sz w:val="16"/>
          <w:szCs w:val="16"/>
          <w:color w:val="auto"/>
        </w:rPr>
        <w:t>(1) the number and type of shares of Common Stock (or other securities) that thereafter may be issued under the Plan or made the subject of awards (including the specific share limits, maximums and numbers of shares set forth in Sections 5(a) and 5(b) and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65" w:lineRule="exact"/>
        <w:rPr>
          <w:sz w:val="20"/>
          <w:szCs w:val="20"/>
          <w:color w:val="auto"/>
        </w:rPr>
      </w:pPr>
    </w:p>
    <w:p>
      <w:pPr>
        <w:jc w:val="both"/>
        <w:ind w:firstLine="180"/>
        <w:spacing w:after="0" w:line="228" w:lineRule="auto"/>
        <w:rPr>
          <w:sz w:val="20"/>
          <w:szCs w:val="20"/>
          <w:color w:val="auto"/>
        </w:rPr>
      </w:pPr>
      <w:r>
        <w:rPr>
          <w:rFonts w:ascii="Arial" w:cs="Arial" w:eastAsia="Arial" w:hAnsi="Arial"/>
          <w:sz w:val="16"/>
          <w:szCs w:val="16"/>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Company as an entirety, the Committee shall equitably and proportionately adjust the performance goals and metrics applicable to any then-outstanding performance-based awards to the extent necessary to preserve (but not increase) the level of incentives intended by the Plan and the then-outstanding performance-based awards.</w:t>
      </w:r>
    </w:p>
    <w:p>
      <w:pPr>
        <w:spacing w:after="0" w:line="165" w:lineRule="exact"/>
        <w:rPr>
          <w:sz w:val="20"/>
          <w:szCs w:val="20"/>
          <w:color w:val="auto"/>
        </w:rPr>
      </w:pPr>
    </w:p>
    <w:p>
      <w:pPr>
        <w:jc w:val="both"/>
        <w:ind w:firstLine="228"/>
        <w:spacing w:after="0" w:line="234" w:lineRule="auto"/>
        <w:rPr>
          <w:sz w:val="20"/>
          <w:szCs w:val="20"/>
          <w:color w:val="auto"/>
        </w:rPr>
      </w:pPr>
      <w:r>
        <w:rPr>
          <w:rFonts w:ascii="Arial" w:cs="Arial" w:eastAsia="Arial" w:hAnsi="Arial"/>
          <w:sz w:val="16"/>
          <w:szCs w:val="16"/>
          <w:color w:val="auto"/>
        </w:rPr>
        <w:t>It is intended that, if possible, any adjustments contemplated by the preceding two paragraphs be made in a manner that satisfies applicable legal, tax (including, without limitation and as applicable in the circumstances, Section 424 of the Code and Section 409A of the Code) and accounting (so as to not trigger any charge to earnings with respect to such adjustment) requirements.</w:t>
      </w:r>
    </w:p>
    <w:p>
      <w:pPr>
        <w:spacing w:after="0" w:line="164" w:lineRule="exact"/>
        <w:rPr>
          <w:sz w:val="20"/>
          <w:szCs w:val="20"/>
          <w:color w:val="auto"/>
        </w:rPr>
      </w:pPr>
    </w:p>
    <w:p>
      <w:pPr>
        <w:jc w:val="both"/>
        <w:ind w:firstLine="656"/>
        <w:spacing w:after="0" w:line="222" w:lineRule="auto"/>
        <w:tabs>
          <w:tab w:leader="none" w:pos="13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6(a), the provisions of this Section 6(b) shall apply to an outstanding Plan award if a Change in Control (as defined in Section 6(e)) occurs. No acceleration of vesting, exercisability and/or payment of an outstanding Plan award shall occur solely as a result of a Change in Control unless the Change in Control is triggered by clause (iii) or (iv) of the definition thereof, the Company is not the ultimate parent company whose Common Stock is publicly traded after such transaction and the successor to the Company (if any) (or a parent thereof) does not agree in writing prior to the occurrence of the Change in Control to continue and assume the award following the Change in Control, in which case upon the Change in Control, unless provided otherwise in the applicable award agreement, (i) if the award is a stock option, it shall vest fully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22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completely, any and all restrictions on exercisability or otherwise shall lapse, and it shall be fully exercisable; (ii) if the award is a SAR, it shall vest fully and completely, any and all restrictions on such SAR shall lapse, and it shall be fully exercisable; and (iii) if the award is a Share Award or Cash Award, it shall immediately vest fully and completely, and all restrictions shall lapse, provided, however, that if the award is performance-based, the earnout or payout of the award, as applicable, shall be computed by the Committee as it determines appropriate based on the performance terms of the award and based on actual performance achieved to the date of the Change in Control. If a stock option, SAR or other award is fully vested or becomes fully vested as provided in the preceding sentence, then the Committee may provide for the settlement in cash of the award (such settlement to be calculated as though the award was paid or exercised simultaneously with the Change in Control and based upon the then Fair Market Value of a share of Common Stock and subject, in the case of a performance-based award, to the Change in Control payment provisions set forth above). A stock option, SAR or other award so settled by the Committee shall automatically terminate. If, in such circumstances, the Committee does not provide for the cash settlement of a stock option, SAR or other award, then upon the Change in Control such option or award shall terminate, subject to any provision that has been made by the Committee through a plan of reorganization or otherwise for the survival, substitution or exchange of such option or right and further subject to any Change in Control settlement or payment provisions included in the applicable award agreement; provided that the stock option, SAR or award holder shall be given reasonable notice of such intended termination and an opportunity to exercise the stock option, SAR or award (to the extent a Share Award must be exercised in order for the participant to realize the intended benefits) prior to or upon the Change in Control.</w:t>
      </w:r>
    </w:p>
    <w:p>
      <w:pPr>
        <w:spacing w:after="0" w:line="166" w:lineRule="exact"/>
        <w:rPr>
          <w:sz w:val="20"/>
          <w:szCs w:val="20"/>
          <w:color w:val="auto"/>
        </w:rPr>
      </w:pPr>
    </w:p>
    <w:p>
      <w:pPr>
        <w:jc w:val="both"/>
        <w:ind w:firstLine="656"/>
        <w:spacing w:after="0" w:line="221" w:lineRule="auto"/>
        <w:tabs>
          <w:tab w:leader="none" w:pos="130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Committee may provide that acceleration of vesting, exercisability and/or payment of an outstanding Plan award will occur if the participant’s employment or service is terminated by the Company without cause or the participant terminates employment or service for good reason in connection with a Change in Control. Furthermore, and notwithstanding the provisions of Section 6(b), a Change in Control shall not accelerate the payment of any award that is subject to Section 409A of the Code to the extent such acceleration would result in any tax, penalty or interest under Section 409A of the Code; provided that the Committee retains the authority contemplated by this Section 6 to the extent any modification of an award may be made in a manner which complies with (and does not result in any tax under) Section 409A of the Code or is otherwise exempt from Section 409A of the Code. The occurrence of a particular Change in Control under the Plan shall have no effect on any award granted under the Plan after the date of that Change in Control.</w:t>
      </w:r>
    </w:p>
    <w:p>
      <w:pPr>
        <w:spacing w:after="0" w:line="164" w:lineRule="exact"/>
        <w:rPr>
          <w:rFonts w:ascii="Arial" w:cs="Arial" w:eastAsia="Arial" w:hAnsi="Arial"/>
          <w:sz w:val="16"/>
          <w:szCs w:val="16"/>
          <w:color w:val="auto"/>
        </w:rPr>
      </w:pPr>
    </w:p>
    <w:p>
      <w:pPr>
        <w:jc w:val="both"/>
        <w:ind w:firstLine="656"/>
        <w:spacing w:after="0" w:line="228" w:lineRule="auto"/>
        <w:tabs>
          <w:tab w:leader="none" w:pos="13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Committee may make adjustments pursuant to Section 6(a) and/or deem an acceleration of vesting of awards pursuant to Section 6(b) to occur sufficiently prior to an event if necessary or deemed appropriate to permit the participant to realize the benefits intended to be conveyed with respect to the shares underlying the award; provided, however, that, the Committee will, in such circumstances, reinstate the original terms of an award if the related event does not actually occur.</w:t>
      </w:r>
    </w:p>
    <w:p>
      <w:pPr>
        <w:spacing w:after="0" w:line="164" w:lineRule="exact"/>
        <w:rPr>
          <w:rFonts w:ascii="Arial" w:cs="Arial" w:eastAsia="Arial" w:hAnsi="Arial"/>
          <w:sz w:val="16"/>
          <w:szCs w:val="16"/>
          <w:color w:val="auto"/>
        </w:rPr>
      </w:pPr>
    </w:p>
    <w:p>
      <w:pPr>
        <w:ind w:right="20" w:firstLine="656"/>
        <w:spacing w:after="0" w:line="251" w:lineRule="auto"/>
        <w:tabs>
          <w:tab w:leader="none" w:pos="13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“Change in Control” of the Company shall be deemed to have occurred as of the first day that any one or more of the following conditions shall have been satisfied:</w:t>
      </w:r>
    </w:p>
    <w:p>
      <w:pPr>
        <w:spacing w:after="0" w:line="155" w:lineRule="exact"/>
        <w:rPr>
          <w:rFonts w:ascii="Arial" w:cs="Arial" w:eastAsia="Arial" w:hAnsi="Arial"/>
          <w:sz w:val="16"/>
          <w:szCs w:val="16"/>
          <w:color w:val="auto"/>
        </w:rPr>
      </w:pPr>
    </w:p>
    <w:p>
      <w:pPr>
        <w:jc w:val="both"/>
        <w:ind w:left="660" w:firstLine="509"/>
        <w:spacing w:after="0" w:line="217" w:lineRule="auto"/>
        <w:tabs>
          <w:tab w:leader="none" w:pos="136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Time,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 include underwriters acquiring newly-issued voting securities (or securities convertible into voting securities) directly from the Company with a view towards distribution, (B) creditors of the Company who become shareholders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163" w:lineRule="exact"/>
        <w:rPr>
          <w:rFonts w:ascii="Arial" w:cs="Arial" w:eastAsia="Arial" w:hAnsi="Arial"/>
          <w:sz w:val="16"/>
          <w:szCs w:val="16"/>
          <w:color w:val="auto"/>
        </w:rPr>
      </w:pPr>
    </w:p>
    <w:p>
      <w:pPr>
        <w:jc w:val="both"/>
        <w:ind w:left="660" w:firstLine="466"/>
        <w:spacing w:after="0" w:line="234" w:lineRule="auto"/>
        <w:tabs>
          <w:tab w:leader="none" w:pos="136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On any day after the Effective Time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163" w:lineRule="exact"/>
        <w:rPr>
          <w:rFonts w:ascii="Arial" w:cs="Arial" w:eastAsia="Arial" w:hAnsi="Arial"/>
          <w:sz w:val="16"/>
          <w:szCs w:val="16"/>
          <w:color w:val="auto"/>
        </w:rPr>
      </w:pPr>
    </w:p>
    <w:p>
      <w:pPr>
        <w:ind w:left="1680" w:hanging="376"/>
        <w:spacing w:after="0"/>
        <w:tabs>
          <w:tab w:leader="none" w:pos="168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was a member of the Board on the applicable Initial Date (an “Initial Director”); or</w:t>
      </w:r>
    </w:p>
    <w:p>
      <w:pPr>
        <w:spacing w:after="0" w:line="194" w:lineRule="exact"/>
        <w:rPr>
          <w:rFonts w:ascii="Arial" w:cs="Arial" w:eastAsia="Arial" w:hAnsi="Arial"/>
          <w:sz w:val="16"/>
          <w:szCs w:val="16"/>
          <w:color w:val="auto"/>
        </w:rPr>
      </w:pPr>
    </w:p>
    <w:p>
      <w:pPr>
        <w:ind w:left="1960" w:right="20" w:hanging="656"/>
        <w:spacing w:after="0" w:line="251" w:lineRule="auto"/>
        <w:tabs>
          <w:tab w:leader="none" w:pos="174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shareholders, by a vote of at least two-thirds (2/3) of the Initial Directors then in office.</w:t>
      </w:r>
    </w:p>
    <w:p>
      <w:pPr>
        <w:spacing w:after="0" w:line="155"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A member of the Board (or Board of Directors of the Controlling Parent, as applicable) who was not a director on the applicable Initial Date shall be deemed to be an Initial Director for purposes of clause (2) above if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129</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or her election, or nomination for election by the Company’s or the Controlling Parent’s shareholders, was approved by a vote of at least two-thirds (2/3) of the Initial Directors (including directors elected after the applicable Initial Date who are deemed to be Initial Directors by application of this provision) then in office. “Initial Date” means the later of (1) the Effective Time or (2) the date that is two (2) years before the Measurement Date.</w:t>
      </w:r>
    </w:p>
    <w:p>
      <w:pPr>
        <w:spacing w:after="0" w:line="164" w:lineRule="exact"/>
        <w:rPr>
          <w:sz w:val="20"/>
          <w:szCs w:val="20"/>
          <w:color w:val="auto"/>
        </w:rPr>
      </w:pPr>
    </w:p>
    <w:p>
      <w:pPr>
        <w:jc w:val="both"/>
        <w:ind w:left="660" w:firstLine="424"/>
        <w:spacing w:after="0" w:line="215" w:lineRule="auto"/>
        <w:tabs>
          <w:tab w:leader="none" w:pos="137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the conditions of clause (ii) above are not met with respect to the Company (including any successor entity) or any Parent of the Company (or the successor entity).</w:t>
      </w:r>
    </w:p>
    <w:p>
      <w:pPr>
        <w:spacing w:after="0" w:line="170" w:lineRule="exact"/>
        <w:rPr>
          <w:rFonts w:ascii="Arial" w:cs="Arial" w:eastAsia="Arial" w:hAnsi="Arial"/>
          <w:sz w:val="16"/>
          <w:szCs w:val="16"/>
          <w:color w:val="auto"/>
        </w:rPr>
      </w:pPr>
    </w:p>
    <w:p>
      <w:pPr>
        <w:ind w:left="660" w:firstLine="434"/>
        <w:spacing w:after="0" w:line="251" w:lineRule="auto"/>
        <w:tabs>
          <w:tab w:leader="none" w:pos="138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 complete liquidation or dissolution of the Company other than in the context of a transaction that does not constitute a Change in Control of the Company under clause (iii) above.</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Notwithstanding the foregoing, in no event shall a transaction or other event that occurred prior to the Effective Time constitute a Change in Control. Notwithstanding anything in clause (iii) above to the contrary, a change in ownership of the Company resulting from creditors of the Company becoming shareholders of the Company in connection with any bankruptcy of the Company under the laws of the United States shall not trigger a Change in Control pursuant to clause (iii) above.</w:t>
      </w:r>
    </w:p>
    <w:p>
      <w:pPr>
        <w:spacing w:after="0" w:line="16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6"/>
          <w:szCs w:val="16"/>
          <w:color w:val="auto"/>
        </w:rPr>
        <w:t>“Beneficial Owner” shall have the meaning ascribed to such term in Rule 13d-3 of the General Rules and Regulations under the 1934 Act. “Controlling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means the Parent of the Company the majority of the voting stock or voting power of which is not Beneficially Owned, directly or indirectly through one or more subsidiaries, by any other Person. “Parent” means an entity that Beneficially Owns a majority of the voting stock or voting power of the Company, or all or substantially all of the Company’s assets, directly or indirectly through one or more subsidiaries. “Person” shall have the meaning ascribed to such term in Section 3(a)(9) of the 1934 Act and used in Sections 13(d) and 14(d) thereof, including a “group” as defined in Section 13(d) thereof.</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Market Value</w:t>
      </w:r>
    </w:p>
    <w:p>
      <w:pPr>
        <w:spacing w:after="0" w:line="19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6"/>
          <w:szCs w:val="16"/>
          <w:color w:val="auto"/>
        </w:rPr>
        <w:t>“Fair Market Value” for all purposes under the Plan shall mean the closing price of a share of Common Stock as reported by the New York Stock Exchange, or any other established stock exchange, system or market the Common Stock is then listed on (the “Exchange”) for the date in question. If no sales of Common Stock were made on the Exchange on that date, the closing price of a share of Common Stock as reported by the Exchange for the next preceding day on which sales of Common Stock were made on the Exchange shall be substituted. In the absence of an established market for the Common Stock, the Fair Market Value thereof shall be determined in good faith by the Committee by the reasonable application of a reasonable valuation method, taking into account factors consistent with Treas. Reg. § 1.409A-1(b)(5)(iv)(B) as the Committee deems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Awards</w:t>
      </w:r>
    </w:p>
    <w:p>
      <w:pPr>
        <w:spacing w:after="0" w:line="20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Committee shall determine the type or types of award(s) to be made to each participant. Awards may be granted singly, in combination or in tandem. Awards also may be made in combination or in tandem with, in replacement of, as alternatives to, or as the payment form for grants or rights under any other employee or compensation plan of the Company, including the plan of any acquired entity; provided that in no event shall any reload stock options be granted under the Plan. Share Awards, stock options and SARs may be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hanging="494"/>
        <w:spacing w:after="0"/>
        <w:tabs>
          <w:tab w:leader="none" w:pos="520" w:val="left"/>
        </w:tabs>
        <w:numPr>
          <w:ilvl w:val="0"/>
          <w:numId w:val="2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that provide for the issuance of or are denominated in Common Stock or units of Common Stock. Cash Awards that are denominated in or may be settled only in cash also may be granted under the Plan.</w:t>
      </w:r>
    </w:p>
    <w:p>
      <w:pPr>
        <w:spacing w:after="0" w:line="48" w:lineRule="exact"/>
        <w:rPr>
          <w:sz w:val="20"/>
          <w:szCs w:val="20"/>
          <w:color w:val="auto"/>
        </w:rPr>
      </w:pPr>
    </w:p>
    <w:p>
      <w:pPr>
        <w:jc w:val="both"/>
        <w:ind w:firstLine="656"/>
        <w:spacing w:after="0" w:line="213" w:lineRule="auto"/>
        <w:tabs>
          <w:tab w:leader="none" w:pos="105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Stock Options. Stock options are rights to purchase a specified number of shares of Common Stock during a specified period as determined by the Committee. The purchase price per share for each stock option shall be set forth in the applicable award agreement and shall be not less than 100% of Fair Market Value on the date of grant. A stock option may be in the form of an ISO which, in addition to being subject to applicable terms, conditions and limitations established by the Committee, are intended to comply with Section 422 of the Code. If an ISO is granted, the aggregate Fair Market Value (determined on the date the stock option is granted) of Common Stock subject to an ISO granted to a participant by the Committee which first becomes exercisable in any calendar year shall not exceed $100,000.00 (otherwise, the intended ISO, to the extent of such excess, shall be deemed a nonqualified stock option). ISOs may only be granted to employees of the Company or a Subsidiary. (“Subsidiary” means a “subsidiary corporation” of the Company within the meaning of Section 424(f) of the Code.) The maximum term of each stock option (ISO or nonqualified) shall be ten (10) years. Notwithstanding the foregoing, ISOs granted to any individual who owns (or is deemed to own pursuant to the Code) stock possessing more than 10% of the total combined voting power of all classes of stock of the Company must have a purchase price per share of not less than 110% of the Fair Market Value on the date of grant and have a maximum term of five (5) years. The price at which shares of Common Stock may be purchased under a stock option shall be paid in full at the time of the exercise in cash or such other method permitted by the Committee, including (i) tendering (either actually or by attestation) Common Stock;</w:t>
      </w:r>
    </w:p>
    <w:p>
      <w:pPr>
        <w:jc w:val="both"/>
        <w:ind w:firstLine="8"/>
        <w:spacing w:after="0" w:line="223" w:lineRule="auto"/>
        <w:tabs>
          <w:tab w:leader="none" w:pos="23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surrendering a stock award valued at Fair Market Value on the date of surrender; (iii) authorizing a third party to sell the shares (or a sufficient portion thereof) acquired upon exercise of a stock option and assigning the delivery to the Company of a sufficient amount of the sale proceeds to pay for all the shares acquired through such exercise; (iv) the Company withholding a number of shares of Common Stock otherwise deliverable pursuant to the award with a value sufficient to cover such exercise price; or (v) any combination of the above.</w:t>
      </w:r>
    </w:p>
    <w:p>
      <w:pPr>
        <w:spacing w:after="0" w:line="164" w:lineRule="exact"/>
        <w:rPr>
          <w:rFonts w:ascii="Arial" w:cs="Arial" w:eastAsia="Arial" w:hAnsi="Arial"/>
          <w:sz w:val="16"/>
          <w:szCs w:val="16"/>
          <w:color w:val="auto"/>
        </w:rPr>
      </w:pPr>
    </w:p>
    <w:p>
      <w:pPr>
        <w:jc w:val="both"/>
        <w:ind w:firstLine="656"/>
        <w:spacing w:after="0" w:line="228" w:lineRule="auto"/>
        <w:tabs>
          <w:tab w:leader="none" w:pos="1093"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SARs. A SAR is a right to receive a payment, in cash and/or Common Stock, equal to the excess of the Fair Market Value of a specified number of shares of Common Stock on the date the SAR is exercised over the “base price” of the award, which base price shall be set forth in the applicable award agreement and shall not be less than 100% of the Fair Market Value of a share of Common Stock on the date of grant of the SAR. The maximum term of a SAR shall be ten (10) years.</w:t>
      </w:r>
    </w:p>
    <w:p>
      <w:pPr>
        <w:spacing w:after="0" w:line="164" w:lineRule="exact"/>
        <w:rPr>
          <w:rFonts w:ascii="Arial" w:cs="Arial" w:eastAsia="Arial" w:hAnsi="Arial"/>
          <w:sz w:val="16"/>
          <w:szCs w:val="16"/>
          <w:color w:val="auto"/>
        </w:rPr>
      </w:pPr>
    </w:p>
    <w:p>
      <w:pPr>
        <w:ind w:firstLine="656"/>
        <w:spacing w:after="0" w:line="251" w:lineRule="auto"/>
        <w:tabs>
          <w:tab w:leader="none" w:pos="1019" w:val="left"/>
        </w:tabs>
        <w:numPr>
          <w:ilvl w:val="1"/>
          <w:numId w:val="231"/>
        </w:numPr>
        <w:rPr>
          <w:rFonts w:ascii="Arial" w:cs="Arial" w:eastAsia="Arial" w:hAnsi="Arial"/>
          <w:sz w:val="16"/>
          <w:szCs w:val="16"/>
          <w:color w:val="auto"/>
        </w:rPr>
      </w:pPr>
      <w:r>
        <w:rPr>
          <w:rFonts w:ascii="Arial" w:cs="Arial" w:eastAsia="Arial" w:hAnsi="Arial"/>
          <w:sz w:val="16"/>
          <w:szCs w:val="16"/>
          <w:color w:val="auto"/>
        </w:rPr>
        <w:t>Other Awards. Share Awards providing for the issuance of or denominated in Common Stock or units of Common Stock may be granted under the Plan. Cash Awards that are denominated in or may be settled only in cash also may be granted under the Plan.</w:t>
      </w:r>
    </w:p>
    <w:p>
      <w:pPr>
        <w:spacing w:after="0" w:line="155" w:lineRule="exact"/>
        <w:rPr>
          <w:rFonts w:ascii="Arial" w:cs="Arial" w:eastAsia="Arial" w:hAnsi="Arial"/>
          <w:sz w:val="16"/>
          <w:szCs w:val="16"/>
          <w:color w:val="auto"/>
        </w:rPr>
      </w:pPr>
    </w:p>
    <w:p>
      <w:pPr>
        <w:jc w:val="both"/>
        <w:ind w:left="660" w:firstLine="509"/>
        <w:spacing w:after="0" w:line="228" w:lineRule="auto"/>
        <w:tabs>
          <w:tab w:leader="none" w:pos="1362" w:val="left"/>
        </w:tabs>
        <w:numPr>
          <w:ilvl w:val="2"/>
          <w:numId w:val="231"/>
        </w:numPr>
        <w:rPr>
          <w:rFonts w:ascii="Arial" w:cs="Arial" w:eastAsia="Arial" w:hAnsi="Arial"/>
          <w:sz w:val="16"/>
          <w:szCs w:val="16"/>
          <w:color w:val="auto"/>
        </w:rPr>
      </w:pPr>
      <w:r>
        <w:rPr>
          <w:rFonts w:ascii="Arial" w:cs="Arial" w:eastAsia="Arial" w:hAnsi="Arial"/>
          <w:sz w:val="16"/>
          <w:szCs w:val="16"/>
          <w:color w:val="auto"/>
        </w:rPr>
        <w:t>All or part of any Share Award or Cash Award may be subject to conditions and restrictions established by the Committee, and set forth in the award agreement or other document evidencing the terms and conditions of the award, which may include, but are not limited to, continuous service with the Company (or a subsidiary or affiliate), achievement of specific business objectives, and other measurements of individual, business unit or Company performance.</w:t>
      </w:r>
    </w:p>
    <w:p>
      <w:pPr>
        <w:spacing w:after="0" w:line="164" w:lineRule="exact"/>
        <w:rPr>
          <w:rFonts w:ascii="Arial" w:cs="Arial" w:eastAsia="Arial" w:hAnsi="Arial"/>
          <w:sz w:val="16"/>
          <w:szCs w:val="16"/>
          <w:color w:val="auto"/>
        </w:rPr>
      </w:pPr>
    </w:p>
    <w:p>
      <w:pPr>
        <w:jc w:val="both"/>
        <w:ind w:left="660" w:firstLine="466"/>
        <w:spacing w:after="0" w:line="225" w:lineRule="auto"/>
        <w:tabs>
          <w:tab w:leader="none" w:pos="1355" w:val="left"/>
        </w:tabs>
        <w:numPr>
          <w:ilvl w:val="2"/>
          <w:numId w:val="231"/>
        </w:numPr>
        <w:rPr>
          <w:rFonts w:ascii="Arial" w:cs="Arial" w:eastAsia="Arial" w:hAnsi="Arial"/>
          <w:sz w:val="16"/>
          <w:szCs w:val="16"/>
          <w:color w:val="auto"/>
        </w:rPr>
      </w:pPr>
      <w:r>
        <w:rPr>
          <w:rFonts w:ascii="Arial" w:cs="Arial" w:eastAsia="Arial" w:hAnsi="Arial"/>
          <w:sz w:val="16"/>
          <w:szCs w:val="16"/>
          <w:color w:val="auto"/>
        </w:rPr>
        <w:t>Without limiting the generality of the foregoing, and in addition to stock options and SAR grants, other performance-based awards may be granted under the Plan, whether in the form of Share Awards (including restricted stock, restricted stock units, performance stock, performance stock units, phantom stock or other rights) or Cash Awards, the grant, issuance, vesting, retention or settlement of which depends on the performance of the Company relative to any pre-established goals or metrics and on a consolidated, segment, sector, subsidiary, division, or plant basis as determined by the Committee.</w:t>
      </w:r>
    </w:p>
    <w:p>
      <w:pPr>
        <w:spacing w:after="0" w:line="164" w:lineRule="exact"/>
        <w:rPr>
          <w:sz w:val="20"/>
          <w:szCs w:val="20"/>
          <w:color w:val="auto"/>
        </w:rPr>
      </w:pPr>
    </w:p>
    <w:p>
      <w:pPr>
        <w:jc w:val="both"/>
        <w:ind w:left="660"/>
        <w:spacing w:after="0" w:line="219" w:lineRule="auto"/>
        <w:rPr>
          <w:sz w:val="20"/>
          <w:szCs w:val="20"/>
          <w:color w:val="auto"/>
        </w:rPr>
      </w:pPr>
      <w:r>
        <w:rPr>
          <w:rFonts w:ascii="Arial" w:cs="Arial" w:eastAsia="Arial" w:hAnsi="Arial"/>
          <w:sz w:val="16"/>
          <w:szCs w:val="16"/>
          <w:color w:val="auto"/>
        </w:rPr>
        <w:t>Any such performance goals may be measured on an as reported or pension adjusted basis; on an annual or cumulatively over a defined period of time basis; and on an absolute, relative or growth basis. In the case of material, unusual or nonrecurring gains and losses, changes in law, regulations or in generally accepted accounting principles, accounting charges or other extraordinary events not foreseen at the time the targets were set, the Committee will adjust the performance targets in a manner that it determines to be equitable and appropriate to address the impact of such unforeseen events, unless otherwise expressly provided in the applicable award agreement. The Committee may condition the vesting or settlement of any performance-based award on the approval by the Committee (by resolution or other valid action of the Committee) that, and the extent to which, the performance goal and any other material terms were in fact satisfied. The Committee shall have discretion to determine the conditions, restrictions or other limitations, and to make adjustments, all of which shall be in accordance with the terms of the Plan.</w:t>
      </w:r>
    </w:p>
    <w:p>
      <w:pPr>
        <w:spacing w:after="0" w:line="169" w:lineRule="exact"/>
        <w:rPr>
          <w:sz w:val="20"/>
          <w:szCs w:val="20"/>
          <w:color w:val="auto"/>
        </w:rPr>
      </w:pPr>
    </w:p>
    <w:p>
      <w:pPr>
        <w:jc w:val="both"/>
        <w:ind w:firstLine="656"/>
        <w:spacing w:after="0" w:line="221" w:lineRule="auto"/>
        <w:tabs>
          <w:tab w:leader="none" w:pos="113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Minimum Vesting. No stock option, SAR, Share Award, or Cash Award denominated in Common Stock that vests based on continued employment or the passage of time shall vest prior to the one year anniversary of the date the award is granted, other than any acceleration of vesting upon the death or disability of the participant, in the case of certain terminations following a Change in Control, or in the case of certain retirement-eligible terminations, in each case as specified in the agreement evidencing such award. The performance and vesting period for any stock option, SAR, Share Award, or Cash Award denominated in Common Stock that vests based in whole or in part on performance shall be at least one year (subject to any acceleration of vesting upon the death or disability of the participant, in the case of certain terminations following a Change in Control, or in the case of certain retirement-eligible terminations, in each case as specified in the agreement evidencing such award).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foregoing, up to five percent (5%) of the shares authorized under the Plan may be issued pursuant to awards which vest over less than a one-year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Dividends and Dividend Equivalents</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Committee may provide that any awards under the Plan accrue dividends or dividend equivalents; provided, however, that dividends and dividend equivalent rights may not be granted in connection with any stock option or SAR granted hereunder. Such dividends or dividend equivalents may be accrued or credited to a participant’s account either at the time of dividend payment or at the time of settlement of an award, provided that no payment shall be made with respect to such dividends or dividend equivalent right (or, in the case of a restricted stock or similar award where the dividend must be paid as a matter of law, the dividend payment shall be accrued and subject to forfeiture or repayment, as the case may be) unless and to the extent that the related vesting conditions of the underlying award are satisfied. Any crediting of dividends or dividend equivalents may be subject to such additional restrictions and conditions as the Committee may establish, including reinvestment in additional shares or share equivalents, and may be settled in cash or in shares of Common Stock as determined by the Committee.</w:t>
      </w:r>
    </w:p>
    <w:p>
      <w:pPr>
        <w:spacing w:after="0" w:line="169" w:lineRule="exact"/>
        <w:rPr>
          <w:sz w:val="20"/>
          <w:szCs w:val="20"/>
          <w:color w:val="auto"/>
        </w:rPr>
      </w:pPr>
    </w:p>
    <w:p>
      <w:pPr>
        <w:ind w:left="600" w:hanging="592"/>
        <w:spacing w:after="0"/>
        <w:tabs>
          <w:tab w:leader="none" w:pos="600"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Deferrals and Settlements</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Payment of awards may be in the form of cash, Common Stock, other awards or combinations thereof as the Committee shall determine, and with such restrictions as it may impose. The Committee may also require or permit participants to elect to defer the issuance of shares or the settlement of awards in cash under such rules and procedures as it may establish under the Plan. It may also provide that deferred settlements include the payment or crediting of interest or other earnings on the deferral amounts, or the payment or crediting of dividend equivalents where the deferral amounts are denominated in shares (provided any dividends or dividend equivalents with respect to unvested awards shall be subject to the same vesting conditions as the underlying award).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w:t>
      </w:r>
    </w:p>
    <w:p>
      <w:pPr>
        <w:spacing w:after="0" w:line="169"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and Exercisability</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expressly provided in (or pursuant to) this Section 11, by applicable law or by the award agreement, (i) all awards are non-transferable and shall not be subject in any manner to sale, transfer, anticipation, alienation, assignment, pledge, encumbrance or charge; (ii) awards shall be exercised (if exercisable) only by the holder; and (iii) amounts payable or shares issuable pursuant to an award shall be delivered only to (or for the account of) the holder. The foregoing exercise and transfer restrictions shall not apply to: (a) transfers to the Company; (b) the designation of a beneficiary to receive benefits in the event of the participant’s death or, if the participant has died, transfers to or exercise by the participant’s beneficiary, or, in the absence of a validly designated beneficiary, transfers to or exercise pursuant to will or the laws of descent and distribution; (c) transfers pursuant to a qualified domestic relations order (as defined in the Code) (in the case of ISOs, to the extent such transfers are permitted by the Code); (d) if the participant has suffered a disability, permitted transfers to or exercises on behalf of the holder by his or her legal representative; or (e) the implementation of “cashless exercise” procedures authorized by the Committee. The Committee by express provision in the award or an amendment thereto may permit an award (other than an ISO) to be transferred to, for no consideration, members of the participant’s immediate family (which means the participant’s child, stepchild, grandchild, parent, stepparent, grandparent, spouse, former spouse, sibling, niece, nephew, mother-in-law, father-in-law, son-in-law, daughter-in-law, brother-in-law, or sister-in-law, including adoptive relationships), charitable institutions, or trusts or other entities in which members of the participant’s immediate family have all of the beneficial interest or voting interests, pursuant to such conditions and procedures as the Committee may establish. Any permitted transfer shall be subject to the condition that the Committee receive evidence satisfactory to it that the transfer is being made for estate and/or tax planning purposes (or to a “blind trust” in connection with the participant’s termination of employment or service with the Company (or a subsidiary or affiliate) to assume a position with a governmental, charitable, educational or similar non-profit institution) and on a basis consistent with the Company’s lawful issuance or sale of securities.</w:t>
      </w:r>
    </w:p>
    <w:p>
      <w:pPr>
        <w:spacing w:after="0" w:line="173" w:lineRule="exact"/>
        <w:rPr>
          <w:sz w:val="20"/>
          <w:szCs w:val="20"/>
          <w:color w:val="auto"/>
        </w:rPr>
      </w:pPr>
    </w:p>
    <w:p>
      <w:pPr>
        <w:ind w:left="600" w:hanging="592"/>
        <w:spacing w:after="0"/>
        <w:tabs>
          <w:tab w:leader="none" w:pos="600"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Award Agreements</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Awards under the Plan shall be evidenced by documents or agreements that specifically state that they constitute the or a part of the award agreement and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any award; provided, however, that such authority shall be subject to the no repricing provisions of Section 3(c) hereof. The Committee need not require the execution of any such agreement, in which case acceptance of the award by the respective participant shall constitute agreement to the terms of the award.</w:t>
      </w:r>
    </w:p>
    <w:p>
      <w:pPr>
        <w:spacing w:after="0" w:line="164" w:lineRule="exact"/>
        <w:rPr>
          <w:sz w:val="20"/>
          <w:szCs w:val="20"/>
          <w:color w:val="auto"/>
        </w:rPr>
      </w:pPr>
    </w:p>
    <w:p>
      <w:pPr>
        <w:ind w:left="600" w:hanging="592"/>
        <w:spacing w:after="0"/>
        <w:tabs>
          <w:tab w:leader="none" w:pos="600"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Plan Amendment</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Plan may only be amended by a majority of the Board of Directors or Committee as it deems necessary or appropriate to better achieve the purpose of the Plan, except that no such amendment shall be made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494"/>
        <w:spacing w:after="0"/>
        <w:tabs>
          <w:tab w:leader="none" w:pos="520" w:val="left"/>
        </w:tabs>
        <w:numPr>
          <w:ilvl w:val="0"/>
          <w:numId w:val="23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approval of the Company’s shareholders if the amendment would (i) increase the number of shares available for issuance under the Plan (except for increases or adjustments expressly contemplated by Sections 5 and 6), (ii) materially increase the benefits accruing to Participants under the Plan, (iii) materially modify the requirements for participation in the Plan or (iv) modify the Plan in any other way that would require shareholder approval under applicable law or applicable New York Stock Exchange (or such other exchange the Common Stock is then listed) listing requirements.</w:t>
      </w:r>
    </w:p>
    <w:p>
      <w:pPr>
        <w:spacing w:after="0" w:line="165" w:lineRule="exact"/>
        <w:rPr>
          <w:sz w:val="20"/>
          <w:szCs w:val="20"/>
          <w:color w:val="auto"/>
        </w:rPr>
      </w:pPr>
    </w:p>
    <w:p>
      <w:pPr>
        <w:ind w:left="600" w:hanging="592"/>
        <w:spacing w:after="0"/>
        <w:tabs>
          <w:tab w:leader="none" w:pos="600"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Tax Withholding</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The Company shall have the right to deduct from an award made under the Plan, including upon the delivery or vesting of shares, or deduct from any other compensation otherwise payable to the award holder a sufficient amount to cover withholding of any Federal, state or local taxes required by law with respect to such award settlement or to take such other action as may be necessary to satisfy any such withholding obligations. The Committee may permit shares to be used to satisfy required tax withholding and such shares shall be valued at the Fair Market Value as of the exercise or settlement date of the applicable award.</w:t>
      </w:r>
    </w:p>
    <w:p>
      <w:pPr>
        <w:spacing w:after="0" w:line="164" w:lineRule="exact"/>
        <w:rPr>
          <w:sz w:val="20"/>
          <w:szCs w:val="20"/>
          <w:color w:val="auto"/>
        </w:rPr>
      </w:pPr>
    </w:p>
    <w:p>
      <w:pPr>
        <w:ind w:left="600" w:hanging="592"/>
        <w:spacing w:after="0"/>
        <w:tabs>
          <w:tab w:leader="none" w:pos="60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Company Benefit and Compensation Programs</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specifically determined by the Committee or required pursuant to applicable law, settlements of awards received by participants under the Plan shall not be deemed a part of a participant’s regular, recurring compensation for purposes of calculating payments or benefits from any benefit plan or severance program of the Company (or a subsidiary or affiliate), or any severance pay law of any country. Further, the Company may adopt other compensation programs, plans or arrangements as it deems appropriate or necessary.</w:t>
      </w:r>
    </w:p>
    <w:p>
      <w:pPr>
        <w:spacing w:after="0" w:line="165" w:lineRule="exact"/>
        <w:rPr>
          <w:sz w:val="20"/>
          <w:szCs w:val="20"/>
          <w:color w:val="auto"/>
        </w:rPr>
      </w:pPr>
    </w:p>
    <w:p>
      <w:pPr>
        <w:ind w:left="600" w:hanging="592"/>
        <w:spacing w:after="0"/>
        <w:tabs>
          <w:tab w:leader="none" w:pos="60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Unfunded Plan</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determined by the Committee, the Plan shall be unfunded and shall not create (or be construed to create) a trust or a separate fund or funds. The Plan shall not establish any fiduciary relationship between the Company and any participant or other person. To the extent any person holds any rights by virtue of a grant awarded under the Plan, such rights (unless otherwise determined by the Committee) shall be no greater than the rights of an unsecured general creditor of the Company.</w:t>
      </w:r>
    </w:p>
    <w:p>
      <w:pPr>
        <w:spacing w:after="0" w:line="165" w:lineRule="exact"/>
        <w:rPr>
          <w:sz w:val="20"/>
          <w:szCs w:val="20"/>
          <w:color w:val="auto"/>
        </w:rPr>
      </w:pPr>
    </w:p>
    <w:p>
      <w:pPr>
        <w:ind w:left="600" w:hanging="592"/>
        <w:spacing w:after="0"/>
        <w:tabs>
          <w:tab w:leader="none" w:pos="60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Future Rights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No person shall have any claim or rights to be granted an award under the Plan, and no participant shall have any rights under the Plan to be retained in the employ or service of the Company (or any subsidiary or affiliate). Nothing in the Plan shall interfere with or limit in any way the right of the Company (or an applicable subsidiary) to terminate any participant’s employment or service at any time.</w:t>
      </w:r>
    </w:p>
    <w:p>
      <w:pPr>
        <w:spacing w:after="0" w:line="164" w:lineRule="exact"/>
        <w:rPr>
          <w:sz w:val="20"/>
          <w:szCs w:val="20"/>
          <w:color w:val="auto"/>
        </w:rPr>
      </w:pPr>
    </w:p>
    <w:p>
      <w:pPr>
        <w:ind w:left="600" w:hanging="592"/>
        <w:spacing w:after="0"/>
        <w:tabs>
          <w:tab w:leader="none" w:pos="60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Severability; Legal Compliance</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validity, construction and effect of the Plan, documents setting forth the terms of an award, and any actions taken or relating to the Plan shall be determined in accordance with the laws of the State of Delaware and applicable federal law, except to the extent otherwise provided in the award agreements. If any provision of the Plan, any award agreement, or any other document setting forth the terms of an award shall be held by a court of competent jurisdiction to be invalid and unenforceable, the remaining provisions of the Plan or such other document shall continue in effect.</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Plan, the granting and vesting of awards under the Plan and the issuance and delivery of Common Stock and/or the payment of money under the Plan or under awards granted hereunder are subject to compliance with all applicable federal and state laws, rules and regulations (including but not limited to state and federal securities and banking laws) and to such approvals by any listing, regulatory or governmental authority as may, in the opinion of counsel for the Company, be necessary or advisable in connection therewith. Any securities delivered under the Plan shall be subject to such restrictions as the Company may deem necessary or desirable to ensure compliance with all applicable legal requirements. The Company shall not be obligated by virtue of any provision of the Plan to recognize the exercise of any award or to otherwise sell or issue Common Stock in violation of any applicable laws, rules, or regulations.</w:t>
      </w:r>
    </w:p>
    <w:p>
      <w:pPr>
        <w:spacing w:after="0" w:line="24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6"/>
          <w:szCs w:val="16"/>
          <w:color w:val="auto"/>
        </w:rPr>
        <w:t>The Plan and the awards granted under the Plan are intended to comply with (or be exempt from, as the case may be) Section 409A of the Code so as to avoid any tax, penalty or interest under Section 409A of the Code. The Plan shall be construed, operated and administered consistent with this intent. As such, to the extent any payment under the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(as defined under Section 409A of the Code)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Notwithstanding the foregoing, neither the Company nor the Committee makes any representations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potential tax treatment of any awards under Section 409A of the Code or otherwise and neither the Company nor the Committee will have any liability to any Participant for adverse tax consequences or penalty.</w:t>
      </w:r>
    </w:p>
    <w:p>
      <w:pPr>
        <w:spacing w:after="0" w:line="155" w:lineRule="exact"/>
        <w:rPr>
          <w:sz w:val="20"/>
          <w:szCs w:val="20"/>
          <w:color w:val="auto"/>
        </w:rPr>
      </w:pPr>
    </w:p>
    <w:p>
      <w:pPr>
        <w:ind w:left="600" w:hanging="592"/>
        <w:spacing w:after="0"/>
        <w:tabs>
          <w:tab w:leader="none" w:pos="60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Plan shall be binding on all successors and assigns of a participant, including, without limitation, the estate of such participant and the executor, administrator or trustee of such estate, or any receiver or trustee in bankruptcy or representative of the participant’s creditors.</w:t>
      </w:r>
    </w:p>
    <w:p>
      <w:pPr>
        <w:spacing w:after="0" w:line="155" w:lineRule="exact"/>
        <w:rPr>
          <w:sz w:val="20"/>
          <w:szCs w:val="20"/>
          <w:color w:val="auto"/>
        </w:rPr>
      </w:pPr>
    </w:p>
    <w:p>
      <w:pPr>
        <w:ind w:left="600" w:hanging="592"/>
        <w:spacing w:after="0"/>
        <w:tabs>
          <w:tab w:leader="none" w:pos="600"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Shareholder</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Except as otherwise provided in the award agreement, a participant shall have no rights as a shareholder until he or she becomes the holder of record of shares of Common Stock.</w:t>
      </w:r>
    </w:p>
    <w:p>
      <w:pPr>
        <w:spacing w:after="0" w:line="155" w:lineRule="exact"/>
        <w:rPr>
          <w:sz w:val="20"/>
          <w:szCs w:val="20"/>
          <w:color w:val="auto"/>
        </w:rPr>
      </w:pPr>
    </w:p>
    <w:p>
      <w:pPr>
        <w:ind w:left="600" w:hanging="592"/>
        <w:spacing w:after="0"/>
        <w:tabs>
          <w:tab w:leader="none" w:pos="600"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Recoupment of Awards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Awards under the Plan are subject to recoupment pursuant to the Company’s Policy Regarding the Recoupment of Certain Incentive Compensation Payments or any clawback or recoupment policy that the Company adopts, as in effect from time to time, and participants shall promptly make any reimbursement requested by the Board or Committee pursuant to such policy with respect to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494"/>
        <w:spacing w:after="0"/>
        <w:tabs>
          <w:tab w:leader="none" w:pos="520" w:val="left"/>
        </w:tabs>
        <w:numPr>
          <w:ilvl w:val="0"/>
          <w:numId w:val="24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90049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138" w:name="page139"/>
    <w:bookmarkEnd w:id="138"/>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8537575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577850</wp:posOffset>
            </wp:positionV>
            <wp:extent cx="5554980" cy="71577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554980" cy="7157720"/>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39" w:name="page140"/>
    <w:bookmarkEnd w:id="139"/>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0" w:name="page141"/>
    <w:bookmarkEnd w:id="140"/>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8563610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577850</wp:posOffset>
            </wp:positionV>
            <wp:extent cx="5554980" cy="71837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1" w:name="page142"/>
    <w:bookmarkEnd w:id="141"/>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2" w:name="page143"/>
    <w:bookmarkEnd w:id="142"/>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3" w:name="page144"/>
    <w:bookmarkEnd w:id="143"/>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8563610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577850</wp:posOffset>
            </wp:positionV>
            <wp:extent cx="5554980" cy="71837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144" w:name="page145"/>
    <w:bookmarkEnd w:id="144"/>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5" w:name="page146"/>
    <w:bookmarkEnd w:id="145"/>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6" w:name="page147"/>
    <w:bookmarkEnd w:id="146"/>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7" w:name="page148"/>
    <w:bookmarkEnd w:id="147"/>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8" w:name="page149"/>
    <w:bookmarkEnd w:id="148"/>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354965</wp:posOffset>
            </wp:positionV>
            <wp:extent cx="5554980" cy="71837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9" w:name="page150"/>
    <w:bookmarkEnd w:id="149"/>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8340725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50" w:name="page151"/>
    <w:bookmarkEnd w:id="150"/>
    <w:p>
      <w:pPr>
        <w:ind w:left="962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986270" cy="15690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8627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April 3, 2024</w:t>
      </w:r>
    </w:p>
    <w:p>
      <w:pPr>
        <w:spacing w:after="0"/>
        <w:rPr>
          <w:sz w:val="20"/>
          <w:szCs w:val="20"/>
          <w:color w:val="auto"/>
        </w:rPr>
      </w:pPr>
      <w:r>
        <w:rPr>
          <w:rFonts w:ascii="Arial" w:cs="Arial" w:eastAsia="Arial" w:hAnsi="Arial"/>
          <w:sz w:val="22"/>
          <w:szCs w:val="22"/>
          <w:b w:val="1"/>
          <w:bCs w:val="1"/>
          <w:color w:val="auto"/>
        </w:rPr>
        <w:t>Information Regarding Your Northrop Grumman Shares — Your Vote Is Important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To Northrop Grumman Employees:</w:t>
      </w:r>
    </w:p>
    <w:p>
      <w:pPr>
        <w:spacing w:after="0" w:line="229"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auto"/>
        </w:rPr>
        <w:t>Northrop Grumman filed its proxy statement today for the 2024 Annual Meeting of Shareholders. The meeting will be held virtually on May 15, 2024. The 2024 Proxy Statement and 2023 Annual Report are now available online.</w:t>
      </w:r>
    </w:p>
    <w:p>
      <w:pPr>
        <w:spacing w:after="0" w:line="182" w:lineRule="exact"/>
        <w:rPr>
          <w:sz w:val="20"/>
          <w:szCs w:val="20"/>
          <w:color w:val="auto"/>
        </w:rPr>
      </w:pPr>
    </w:p>
    <w:p>
      <w:pPr>
        <w:ind w:right="180"/>
        <w:spacing w:after="0" w:line="224" w:lineRule="auto"/>
        <w:rPr>
          <w:sz w:val="20"/>
          <w:szCs w:val="20"/>
          <w:color w:val="auto"/>
        </w:rPr>
      </w:pPr>
      <w:r>
        <w:rPr>
          <w:rFonts w:ascii="Arial" w:cs="Arial" w:eastAsia="Arial" w:hAnsi="Arial"/>
          <w:sz w:val="19"/>
          <w:szCs w:val="19"/>
          <w:color w:val="auto"/>
        </w:rPr>
        <w:t>Many of you hold Northrop Grumman shares through one of the company’s savings plans. As shareholders, you have the right to vote on matters that impact the company. Your vote on these matters is important and you are encouraged to vote your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198" w:lineRule="exact"/>
        <w:rPr>
          <w:sz w:val="20"/>
          <w:szCs w:val="20"/>
          <w:color w:val="auto"/>
        </w:rPr>
      </w:pPr>
    </w:p>
    <w:p>
      <w:pPr>
        <w:ind w:right="260"/>
        <w:spacing w:after="0" w:line="224" w:lineRule="auto"/>
        <w:rPr>
          <w:sz w:val="20"/>
          <w:szCs w:val="20"/>
          <w:color w:val="auto"/>
        </w:rPr>
      </w:pPr>
      <w:r>
        <w:rPr>
          <w:rFonts w:ascii="Arial" w:cs="Arial" w:eastAsia="Arial" w:hAnsi="Arial"/>
          <w:sz w:val="19"/>
          <w:szCs w:val="19"/>
          <w:color w:val="auto"/>
        </w:rPr>
        <w:t>Northrop Grumman employees who hold these shares as participants in the Northrop Grumman Savings Plan or the Northrop Grumman Financial Security and Savings Program should receive an email tomorrow regarding the availability of proxy</w:t>
      </w:r>
    </w:p>
    <w:p>
      <w:pPr>
        <w:spacing w:after="0" w:line="224" w:lineRule="auto"/>
        <w:rPr>
          <w:sz w:val="20"/>
          <w:szCs w:val="20"/>
          <w:color w:val="auto"/>
        </w:rPr>
      </w:pPr>
      <w:r>
        <w:rPr>
          <w:rFonts w:ascii="Arial" w:cs="Arial" w:eastAsia="Arial" w:hAnsi="Arial"/>
          <w:sz w:val="19"/>
          <w:szCs w:val="19"/>
          <w:color w:val="auto"/>
        </w:rPr>
        <w:t>materials for the Annual Meeting and containing instructions for voting your shares. This email will be sent to your email address</w:t>
      </w:r>
    </w:p>
    <w:p>
      <w:pPr>
        <w:ind w:right="340"/>
        <w:spacing w:after="0" w:line="225" w:lineRule="auto"/>
        <w:rPr>
          <w:sz w:val="20"/>
          <w:szCs w:val="20"/>
          <w:color w:val="auto"/>
        </w:rPr>
      </w:pPr>
      <w:r>
        <w:rPr>
          <w:rFonts w:ascii="Arial" w:cs="Arial" w:eastAsia="Arial" w:hAnsi="Arial"/>
          <w:sz w:val="20"/>
          <w:szCs w:val="20"/>
          <w:color w:val="auto"/>
        </w:rPr>
        <w:t>on record (either personal or company email) and contains important instructions for viewing the proxy statement and annual report and for voting your shares.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This email is an important communication approved by Northrop Grumman. The subject line of the email will read, “</w:t>
      </w:r>
      <w:r>
        <w:rPr>
          <w:rFonts w:ascii="Arial" w:cs="Arial" w:eastAsia="Arial" w:hAnsi="Arial"/>
          <w:sz w:val="20"/>
          <w:szCs w:val="20"/>
          <w:i w:val="1"/>
          <w:iCs w:val="1"/>
          <w:color w:val="auto"/>
        </w:rPr>
        <w:t>Vote Now!</w:t>
      </w:r>
    </w:p>
    <w:p>
      <w:pPr>
        <w:jc w:val="both"/>
        <w:ind w:right="140"/>
        <w:spacing w:after="0" w:line="237" w:lineRule="auto"/>
        <w:rPr>
          <w:sz w:val="20"/>
          <w:szCs w:val="20"/>
          <w:color w:val="auto"/>
        </w:rPr>
      </w:pPr>
      <w:r>
        <w:rPr>
          <w:rFonts w:ascii="Arial" w:cs="Arial" w:eastAsia="Arial" w:hAnsi="Arial"/>
          <w:sz w:val="19"/>
          <w:szCs w:val="19"/>
          <w:i w:val="1"/>
          <w:iCs w:val="1"/>
          <w:color w:val="auto"/>
        </w:rPr>
        <w:t>NORTHROP GRUMMAN CORPORATION Annual Meeting</w:t>
      </w:r>
      <w:r>
        <w:rPr>
          <w:rFonts w:ascii="Arial" w:cs="Arial" w:eastAsia="Arial" w:hAnsi="Arial"/>
          <w:sz w:val="19"/>
          <w:szCs w:val="19"/>
          <w:color w:val="auto"/>
        </w:rPr>
        <w:t>.” Note that the “EXT” warning tag, which appears in the subject line</w:t>
      </w:r>
      <w:r>
        <w:rPr>
          <w:rFonts w:ascii="Arial" w:cs="Arial" w:eastAsia="Arial" w:hAnsi="Arial"/>
          <w:sz w:val="19"/>
          <w:szCs w:val="19"/>
          <w:i w:val="1"/>
          <w:iCs w:val="1"/>
          <w:color w:val="auto"/>
        </w:rPr>
        <w:t xml:space="preserve"> </w:t>
      </w:r>
      <w:r>
        <w:rPr>
          <w:rFonts w:ascii="Arial" w:cs="Arial" w:eastAsia="Arial" w:hAnsi="Arial"/>
          <w:sz w:val="19"/>
          <w:szCs w:val="19"/>
          <w:color w:val="auto"/>
        </w:rPr>
        <w:t>of emails originating outside of Northrop Grumman, will be removed for this message which will come directly from Broadridge.</w:t>
      </w:r>
    </w:p>
    <w:p>
      <w:pPr>
        <w:spacing w:after="0" w:line="185"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Northrop Grumman values your input as shareholders. Please ensure that your shares are represented at the 2024 Annual Meeting.</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CORPORATE COMMUNICATIONS</w:t>
      </w:r>
    </w:p>
    <w:sectPr>
      <w:pgSz w:w="11900" w:h="16838" w:orient="portrait"/>
      <w:cols w:equalWidth="0" w:num="1">
        <w:col w:w="11240"/>
      </w:cols>
      <w:pgMar w:left="320" w:top="8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F97E3E4"/>
    <w:multiLevelType w:val="hybridMultilevel"/>
    <w:lvl w:ilvl="0">
      <w:lvlJc w:val="left"/>
      <w:lvlText w:val="2"/>
      <w:numFmt w:val="bullet"/>
      <w:start w:val="1"/>
    </w:lvl>
  </w:abstractNum>
  <w:abstractNum w:abstractNumId="1">
    <w:nsid w:val="53B0A9E"/>
    <w:multiLevelType w:val="hybridMultilevel"/>
    <w:lvl w:ilvl="0">
      <w:lvlJc w:val="left"/>
      <w:lvlText w:val="4"/>
      <w:numFmt w:val="bullet"/>
      <w:start w:val="1"/>
    </w:lvl>
  </w:abstractNum>
  <w:abstractNum w:abstractNumId="2">
    <w:nsid w:val="34FD6B4F"/>
    <w:multiLevelType w:val="hybridMultilevel"/>
    <w:lvl w:ilvl="0">
      <w:lvlJc w:val="left"/>
      <w:lvlText w:val="6"/>
      <w:numFmt w:val="bullet"/>
      <w:start w:val="1"/>
    </w:lvl>
  </w:abstractNum>
  <w:abstractNum w:abstractNumId="3">
    <w:nsid w:val="5915FF32"/>
    <w:multiLevelType w:val="hybridMultilevel"/>
    <w:lvl w:ilvl="0">
      <w:lvlJc w:val="left"/>
      <w:lvlText w:val="8"/>
      <w:numFmt w:val="bullet"/>
      <w:start w:val="1"/>
    </w:lvl>
  </w:abstractNum>
  <w:abstractNum w:abstractNumId="4">
    <w:nsid w:val="56438D15"/>
    <w:multiLevelType w:val="hybridMultilevel"/>
    <w:lvl w:ilvl="0">
      <w:lvlJc w:val="left"/>
      <w:lvlText w:val="%1"/>
      <w:numFmt w:val="decimal"/>
      <w:start w:val="10"/>
    </w:lvl>
  </w:abstractNum>
  <w:abstractNum w:abstractNumId="5">
    <w:nsid w:val="519E3149"/>
    <w:multiLevelType w:val="hybridMultilevel"/>
    <w:lvl w:ilvl="0">
      <w:lvlJc w:val="left"/>
      <w:lvlText w:val="%1"/>
      <w:numFmt w:val="decimal"/>
      <w:start w:val="12"/>
    </w:lvl>
  </w:abstractNum>
  <w:abstractNum w:abstractNumId="6">
    <w:nsid w:val="2C6E4AFD"/>
    <w:multiLevelType w:val="hybridMultilevel"/>
    <w:lvl w:ilvl="0">
      <w:lvlJc w:val="left"/>
      <w:lvlText w:val="&gt;"/>
      <w:numFmt w:val="bullet"/>
      <w:start w:val="1"/>
    </w:lvl>
  </w:abstractNum>
  <w:abstractNum w:abstractNumId="7">
    <w:nsid w:val="17A1B582"/>
    <w:multiLevelType w:val="hybridMultilevel"/>
    <w:lvl w:ilvl="0">
      <w:lvlJc w:val="left"/>
      <w:lvlText w:val="&gt;"/>
      <w:numFmt w:val="bullet"/>
      <w:start w:val="1"/>
    </w:lvl>
  </w:abstractNum>
  <w:abstractNum w:abstractNumId="8">
    <w:nsid w:val="4DF72E4E"/>
    <w:multiLevelType w:val="hybridMultilevel"/>
    <w:lvl w:ilvl="0">
      <w:lvlJc w:val="left"/>
      <w:lvlText w:val="&gt;"/>
      <w:numFmt w:val="bullet"/>
      <w:start w:val="1"/>
    </w:lvl>
  </w:abstractNum>
  <w:abstractNum w:abstractNumId="9">
    <w:nsid w:val="5046B5A9"/>
    <w:multiLevelType w:val="hybridMultilevel"/>
    <w:lvl w:ilvl="0">
      <w:lvlJc w:val="left"/>
      <w:lvlText w:val="&gt;"/>
      <w:numFmt w:val="bullet"/>
      <w:start w:val="1"/>
    </w:lvl>
  </w:abstractNum>
  <w:abstractNum w:abstractNumId="10">
    <w:nsid w:val="5D888A08"/>
    <w:multiLevelType w:val="hybridMultilevel"/>
    <w:lvl w:ilvl="0">
      <w:lvlJc w:val="left"/>
      <w:lvlText w:val="%1"/>
      <w:numFmt w:val="decimal"/>
      <w:start w:val="14"/>
    </w:lvl>
  </w:abstractNum>
  <w:abstractNum w:abstractNumId="11">
    <w:nsid w:val="2A082C70"/>
    <w:multiLevelType w:val="hybridMultilevel"/>
    <w:lvl w:ilvl="0">
      <w:lvlJc w:val="left"/>
      <w:lvlText w:val="%1"/>
      <w:numFmt w:val="decimal"/>
      <w:start w:val="16"/>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1"/>
      <w:numFmt w:val="decimal"/>
      <w:start w:val="18"/>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
      <w:numFmt w:val="bullet"/>
      <w:start w:val="1"/>
    </w:lvl>
  </w:abstractNum>
  <w:abstractNum w:abstractNumId="27">
    <w:nsid w:val="4BEE5A5B"/>
    <w:multiLevelType w:val="hybridMultilevel"/>
    <w:lvl w:ilvl="0">
      <w:lvlJc w:val="left"/>
      <w:lvlText w:val="•"/>
      <w:numFmt w:val="bullet"/>
      <w:start w:val="1"/>
    </w:lvl>
  </w:abstractNum>
  <w:abstractNum w:abstractNumId="28">
    <w:nsid w:val="5551B9F3"/>
    <w:multiLevelType w:val="hybridMultilevel"/>
    <w:lvl w:ilvl="0">
      <w:lvlJc w:val="left"/>
      <w:lvlText w:val="%1"/>
      <w:numFmt w:val="decimal"/>
      <w:start w:val="20"/>
    </w:lvl>
  </w:abstractNum>
  <w:abstractNum w:abstractNumId="29">
    <w:nsid w:val="24F6AB8E"/>
    <w:multiLevelType w:val="hybridMultilevel"/>
    <w:lvl w:ilvl="0">
      <w:lvlJc w:val="left"/>
      <w:lvlText w:val="•"/>
      <w:numFmt w:val="bullet"/>
      <w:start w:val="1"/>
    </w:lvl>
  </w:abstractNum>
  <w:abstractNum w:abstractNumId="30">
    <w:nsid w:val="634C574C"/>
    <w:multiLevelType w:val="hybridMultilevel"/>
    <w:lvl w:ilvl="0">
      <w:lvlJc w:val="left"/>
      <w:lvlText w:val="•"/>
      <w:numFmt w:val="bullet"/>
      <w:start w:val="1"/>
    </w:lvl>
  </w:abstractNum>
  <w:abstractNum w:abstractNumId="31">
    <w:nsid w:val="24E99DD7"/>
    <w:multiLevelType w:val="hybridMultilevel"/>
    <w:lvl w:ilvl="0">
      <w:lvlJc w:val="left"/>
      <w:lvlText w:val="•"/>
      <w:numFmt w:val="bullet"/>
      <w:start w:val="1"/>
    </w:lvl>
  </w:abstractNum>
  <w:abstractNum w:abstractNumId="32">
    <w:nsid w:val="2A31B62D"/>
    <w:multiLevelType w:val="hybridMultilevel"/>
    <w:lvl w:ilvl="0">
      <w:lvlJc w:val="left"/>
      <w:lvlText w:val="•"/>
      <w:numFmt w:val="bullet"/>
      <w:start w:val="1"/>
    </w:lvl>
  </w:abstractNum>
  <w:abstractNum w:abstractNumId="33">
    <w:nsid w:val="1849C29B"/>
    <w:multiLevelType w:val="hybridMultilevel"/>
    <w:lvl w:ilvl="0">
      <w:lvlJc w:val="left"/>
      <w:lvlText w:val="•"/>
      <w:numFmt w:val="bullet"/>
      <w:start w:val="1"/>
    </w:lvl>
  </w:abstractNum>
  <w:abstractNum w:abstractNumId="34">
    <w:nsid w:val="7DFF9D09"/>
    <w:multiLevelType w:val="hybridMultilevel"/>
    <w:lvl w:ilvl="0">
      <w:lvlJc w:val="left"/>
      <w:lvlText w:val="•"/>
      <w:numFmt w:val="bullet"/>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
      <w:numFmt w:val="bullet"/>
      <w:start w:val="1"/>
    </w:lvl>
  </w:abstractNum>
  <w:abstractNum w:abstractNumId="38">
    <w:nsid w:val="1816F8C4"/>
    <w:multiLevelType w:val="hybridMultilevel"/>
    <w:lvl w:ilvl="0">
      <w:lvlJc w:val="left"/>
      <w:lvlText w:val="•"/>
      <w:numFmt w:val="bullet"/>
      <w:start w:val="1"/>
    </w:lvl>
  </w:abstractNum>
  <w:abstractNum w:abstractNumId="39">
    <w:nsid w:val="37DF2233"/>
    <w:multiLevelType w:val="hybridMultilevel"/>
    <w:lvl w:ilvl="0">
      <w:lvlJc w:val="left"/>
      <w:lvlText w:val="%1"/>
      <w:numFmt w:val="decimal"/>
      <w:start w:val="22"/>
    </w:lvl>
  </w:abstractNum>
  <w:abstractNum w:abstractNumId="40">
    <w:nsid w:val="7AB49DAF"/>
    <w:multiLevelType w:val="hybridMultilevel"/>
    <w:lvl w:ilvl="0">
      <w:lvlJc w:val="left"/>
      <w:lvlText w:val="•"/>
      <w:numFmt w:val="bullet"/>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w:numFmt w:val="bullet"/>
      <w:start w:val="1"/>
    </w:lvl>
    <w:lvl w:ilvl="1">
      <w:lvlJc w:val="left"/>
      <w:lvlText w:val="&amp;"/>
      <w:numFmt w:val="bullet"/>
      <w:start w:val="1"/>
    </w:lvl>
  </w:abstractNum>
  <w:abstractNum w:abstractNumId="45">
    <w:nsid w:val="57C7D42D"/>
    <w:multiLevelType w:val="hybridMultilevel"/>
    <w:lvl w:ilvl="0">
      <w:lvlJc w:val="left"/>
      <w:lvlText w:val="•"/>
      <w:numFmt w:val="bullet"/>
      <w:start w:val="1"/>
    </w:lvl>
  </w:abstractNum>
  <w:abstractNum w:abstractNumId="46">
    <w:nsid w:val="312167AD"/>
    <w:multiLevelType w:val="hybridMultilevel"/>
    <w:lvl w:ilvl="0">
      <w:lvlJc w:val="left"/>
      <w:lvlText w:val="•"/>
      <w:numFmt w:val="bullet"/>
      <w:start w:val="1"/>
    </w:lvl>
  </w:abstractNum>
  <w:abstractNum w:abstractNumId="47">
    <w:nsid w:val="631B64D4"/>
    <w:multiLevelType w:val="hybridMultilevel"/>
    <w:lvl w:ilvl="0">
      <w:lvlJc w:val="left"/>
      <w:lvlText w:val="•"/>
      <w:numFmt w:val="bullet"/>
      <w:start w:val="1"/>
    </w:lvl>
  </w:abstractNum>
  <w:abstractNum w:abstractNumId="48">
    <w:nsid w:val="78B5E776"/>
    <w:multiLevelType w:val="hybridMultilevel"/>
    <w:lvl w:ilvl="0">
      <w:lvlJc w:val="left"/>
      <w:lvlText w:val="•"/>
      <w:numFmt w:val="bullet"/>
      <w:start w:val="1"/>
    </w:lvl>
  </w:abstractNum>
  <w:abstractNum w:abstractNumId="49">
    <w:nsid w:val="75486E47"/>
    <w:multiLevelType w:val="hybridMultilevel"/>
    <w:lvl w:ilvl="0">
      <w:lvlJc w:val="left"/>
      <w:lvlText w:val="•"/>
      <w:numFmt w:val="bullet"/>
      <w:start w:val="1"/>
    </w:lvl>
  </w:abstractNum>
  <w:abstractNum w:abstractNumId="50">
    <w:nsid w:val="6E534CDE"/>
    <w:multiLevelType w:val="hybridMultilevel"/>
    <w:lvl w:ilvl="0">
      <w:lvlJc w:val="left"/>
      <w:lvlText w:val="•"/>
      <w:numFmt w:val="bullet"/>
      <w:start w:val="1"/>
    </w:lvl>
  </w:abstractNum>
  <w:abstractNum w:abstractNumId="51">
    <w:nsid w:val="1A0DDE32"/>
    <w:multiLevelType w:val="hybridMultilevel"/>
    <w:lvl w:ilvl="0">
      <w:lvlJc w:val="left"/>
      <w:lvlText w:val="%1"/>
      <w:numFmt w:val="decimal"/>
      <w:start w:val="24"/>
    </w:lvl>
  </w:abstractNum>
  <w:abstractNum w:abstractNumId="52">
    <w:nsid w:val="65968C1C"/>
    <w:multiLevelType w:val="hybridMultilevel"/>
    <w:lvl w:ilvl="0">
      <w:lvlJc w:val="left"/>
      <w:lvlText w:val="n"/>
      <w:numFmt w:val="bullet"/>
      <w:start w:val="1"/>
    </w:lvl>
  </w:abstractNum>
  <w:abstractNum w:abstractNumId="53">
    <w:nsid w:val="46263DEC"/>
    <w:multiLevelType w:val="hybridMultilevel"/>
    <w:lvl w:ilvl="0">
      <w:lvlJc w:val="left"/>
      <w:lvlText w:val="n"/>
      <w:numFmt w:val="bullet"/>
      <w:start w:val="1"/>
    </w:lvl>
  </w:abstractNum>
  <w:abstractNum w:abstractNumId="54">
    <w:nsid w:val="260D8C4A"/>
    <w:multiLevelType w:val="hybridMultilevel"/>
    <w:lvl w:ilvl="0">
      <w:lvlJc w:val="left"/>
      <w:lvlText w:val="•"/>
      <w:numFmt w:val="bullet"/>
      <w:start w:val="1"/>
    </w:lvl>
  </w:abstractNum>
  <w:abstractNum w:abstractNumId="55">
    <w:nsid w:val="73D4D3C4"/>
    <w:multiLevelType w:val="hybridMultilevel"/>
    <w:lvl w:ilvl="0">
      <w:lvlJc w:val="left"/>
      <w:lvlText w:val="%1"/>
      <w:numFmt w:val="decimal"/>
      <w:start w:val="26"/>
    </w:lvl>
  </w:abstractNum>
  <w:abstractNum w:abstractNumId="56">
    <w:nsid w:val="746F2E30"/>
    <w:multiLevelType w:val="hybridMultilevel"/>
    <w:lvl w:ilvl="0">
      <w:lvlJc w:val="left"/>
      <w:lvlText w:val="•"/>
      <w:numFmt w:val="bullet"/>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1"/>
      <w:numFmt w:val="decimal"/>
      <w:start w:val="28"/>
    </w:lvl>
  </w:abstractNum>
  <w:abstractNum w:abstractNumId="59">
    <w:nsid w:val="49C0E823"/>
    <w:multiLevelType w:val="hybridMultilevel"/>
    <w:lvl w:ilvl="0">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
      <w:numFmt w:val="bullet"/>
      <w:start w:val="1"/>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
      <w:numFmt w:val="bullet"/>
      <w:start w:val="1"/>
    </w:lvl>
  </w:abstractNum>
  <w:abstractNum w:abstractNumId="67">
    <w:nsid w:val="25413BEC"/>
    <w:multiLevelType w:val="hybridMultilevel"/>
    <w:lvl w:ilvl="0">
      <w:lvlJc w:val="left"/>
      <w:lvlText w:val="•"/>
      <w:numFmt w:val="bullet"/>
      <w:start w:val="1"/>
    </w:lvl>
  </w:abstractNum>
  <w:abstractNum w:abstractNumId="68">
    <w:nsid w:val="17180B0B"/>
    <w:multiLevelType w:val="hybridMultilevel"/>
    <w:lvl w:ilvl="0">
      <w:lvlJc w:val="left"/>
      <w:lvlText w:val="%1"/>
      <w:numFmt w:val="decimal"/>
      <w:start w:val="30"/>
    </w:lvl>
  </w:abstractNum>
  <w:abstractNum w:abstractNumId="69">
    <w:nsid w:val="579328B9"/>
    <w:multiLevelType w:val="hybridMultilevel"/>
    <w:lvl w:ilvl="0">
      <w:lvlJc w:val="left"/>
      <w:lvlText w:val="•"/>
      <w:numFmt w:val="bullet"/>
      <w:start w:val="1"/>
    </w:lvl>
  </w:abstractNum>
  <w:abstractNum w:abstractNumId="70">
    <w:nsid w:val="5D205E20"/>
    <w:multiLevelType w:val="hybridMultilevel"/>
    <w:lvl w:ilvl="0">
      <w:lvlJc w:val="left"/>
      <w:lvlText w:val="•"/>
      <w:numFmt w:val="bullet"/>
      <w:start w:val="1"/>
    </w:lvl>
  </w:abstractNum>
  <w:abstractNum w:abstractNumId="71">
    <w:nsid w:val="11CCA8BA"/>
    <w:multiLevelType w:val="hybridMultilevel"/>
    <w:lvl w:ilvl="0">
      <w:lvlJc w:val="left"/>
      <w:lvlText w:val="*"/>
      <w:numFmt w:val="bullet"/>
      <w:start w:val="1"/>
    </w:lvl>
  </w:abstractNum>
  <w:abstractNum w:abstractNumId="72">
    <w:nsid w:val="4D32AB86"/>
    <w:multiLevelType w:val="hybridMultilevel"/>
    <w:lvl w:ilvl="0">
      <w:lvlJc w:val="left"/>
      <w:lvlText w:val="•"/>
      <w:numFmt w:val="bullet"/>
      <w:start w:val="1"/>
    </w:lvl>
  </w:abstractNum>
  <w:abstractNum w:abstractNumId="73">
    <w:nsid w:val="3F07ACC3"/>
    <w:multiLevelType w:val="hybridMultilevel"/>
    <w:lvl w:ilvl="0">
      <w:lvlJc w:val="left"/>
      <w:lvlText w:val="%1"/>
      <w:numFmt w:val="decimal"/>
      <w:start w:val="32"/>
    </w:lvl>
  </w:abstractNum>
  <w:abstractNum w:abstractNumId="74">
    <w:nsid w:val="6B47F63E"/>
    <w:multiLevelType w:val="hybridMultilevel"/>
    <w:lvl w:ilvl="0">
      <w:lvlJc w:val="left"/>
      <w:lvlText w:val="•"/>
      <w:numFmt w:val="bullet"/>
      <w:start w:val="1"/>
    </w:lvl>
  </w:abstractNum>
  <w:abstractNum w:abstractNumId="75">
    <w:nsid w:val="5CB44A05"/>
    <w:multiLevelType w:val="hybridMultilevel"/>
    <w:lvl w:ilvl="0">
      <w:lvlJc w:val="left"/>
      <w:lvlText w:val="•"/>
      <w:numFmt w:val="bullet"/>
      <w:start w:val="1"/>
    </w:lvl>
  </w:abstractNum>
  <w:abstractNum w:abstractNumId="76">
    <w:nsid w:val="16CF80F1"/>
    <w:multiLevelType w:val="hybridMultilevel"/>
    <w:lvl w:ilvl="0">
      <w:lvlJc w:val="left"/>
      <w:lvlText w:val="•"/>
      <w:numFmt w:val="bullet"/>
      <w:start w:val="1"/>
    </w:lvl>
  </w:abstractNum>
  <w:abstractNum w:abstractNumId="77">
    <w:nsid w:val="1C695DEC"/>
    <w:multiLevelType w:val="hybridMultilevel"/>
    <w:lvl w:ilvl="0">
      <w:lvlJc w:val="left"/>
      <w:lvlText w:val="%1"/>
      <w:numFmt w:val="decimal"/>
      <w:start w:val="34"/>
    </w:lvl>
  </w:abstractNum>
  <w:abstractNum w:abstractNumId="78">
    <w:nsid w:val="3FCFAED9"/>
    <w:multiLevelType w:val="hybridMultilevel"/>
    <w:lvl w:ilvl="0">
      <w:lvlJc w:val="left"/>
      <w:lvlText w:val="•"/>
      <w:numFmt w:val="bullet"/>
      <w:start w:val="1"/>
    </w:lvl>
  </w:abstractNum>
  <w:abstractNum w:abstractNumId="79">
    <w:nsid w:val="F856867"/>
    <w:multiLevelType w:val="hybridMultilevel"/>
    <w:lvl w:ilvl="0">
      <w:lvlJc w:val="left"/>
      <w:lvlText w:val="%1"/>
      <w:numFmt w:val="decimal"/>
      <w:start w:val="36"/>
    </w:lvl>
  </w:abstractNum>
  <w:abstractNum w:abstractNumId="80">
    <w:nsid w:val="11B1CC33"/>
    <w:multiLevelType w:val="hybridMultilevel"/>
    <w:lvl w:ilvl="0">
      <w:lvlJc w:val="left"/>
      <w:lvlText w:val="•"/>
      <w:numFmt w:val="bullet"/>
      <w:start w:val="1"/>
    </w:lvl>
  </w:abstractNum>
  <w:abstractNum w:abstractNumId="81">
    <w:nsid w:val="2E22FBB7"/>
    <w:multiLevelType w:val="hybridMultilevel"/>
    <w:lvl w:ilvl="0">
      <w:lvlJc w:val="left"/>
      <w:lvlText w:val="•"/>
      <w:numFmt w:val="bullet"/>
      <w:start w:val="1"/>
    </w:lvl>
  </w:abstractNum>
  <w:abstractNum w:abstractNumId="82">
    <w:nsid w:val="29934699"/>
    <w:multiLevelType w:val="hybridMultilevel"/>
    <w:lvl w:ilvl="0">
      <w:lvlJc w:val="left"/>
      <w:lvlText w:val="•"/>
      <w:numFmt w:val="bullet"/>
      <w:start w:val="1"/>
    </w:lvl>
    <w:lvl w:ilvl="1">
      <w:lvlJc w:val="left"/>
      <w:lvlText w:val="\emdash "/>
      <w:numFmt w:val="bullet"/>
      <w:start w:val="1"/>
    </w:lvl>
  </w:abstractNum>
  <w:abstractNum w:abstractNumId="83">
    <w:nsid w:val="77485850"/>
    <w:multiLevelType w:val="hybridMultilevel"/>
    <w:lvl w:ilvl="0">
      <w:lvlJc w:val="left"/>
      <w:lvlText w:val="•"/>
      <w:numFmt w:val="bullet"/>
      <w:start w:val="1"/>
    </w:lvl>
  </w:abstractNum>
  <w:abstractNum w:abstractNumId="84">
    <w:nsid w:val="744939A3"/>
    <w:multiLevelType w:val="hybridMultilevel"/>
    <w:lvl w:ilvl="0">
      <w:lvlJc w:val="left"/>
      <w:lvlText w:val="%1"/>
      <w:numFmt w:val="decimal"/>
      <w:start w:val="38"/>
    </w:lvl>
  </w:abstractNum>
  <w:abstractNum w:abstractNumId="85">
    <w:nsid w:val="4FA0D2E3"/>
    <w:multiLevelType w:val="hybridMultilevel"/>
    <w:lvl w:ilvl="0">
      <w:lvlJc w:val="left"/>
      <w:lvlText w:val="•"/>
      <w:numFmt w:val="bullet"/>
      <w:start w:val="1"/>
    </w:lvl>
  </w:abstractNum>
  <w:abstractNum w:abstractNumId="86">
    <w:nsid w:val="6B1D2C14"/>
    <w:multiLevelType w:val="hybridMultilevel"/>
    <w:lvl w:ilvl="0">
      <w:lvlJc w:val="left"/>
      <w:lvlText w:val="•"/>
      <w:numFmt w:val="bullet"/>
      <w:start w:val="1"/>
    </w:lvl>
  </w:abstractNum>
  <w:abstractNum w:abstractNumId="87">
    <w:nsid w:val="68B867D3"/>
    <w:multiLevelType w:val="hybridMultilevel"/>
    <w:lvl w:ilvl="0">
      <w:lvlJc w:val="left"/>
      <w:lvlText w:val="%1"/>
      <w:numFmt w:val="decimal"/>
      <w:start w:val="40"/>
    </w:lvl>
  </w:abstractNum>
  <w:abstractNum w:abstractNumId="88">
    <w:nsid w:val="3F7F5DD9"/>
    <w:multiLevelType w:val="hybridMultilevel"/>
    <w:lvl w:ilvl="0">
      <w:lvlJc w:val="left"/>
      <w:lvlText w:val="•"/>
      <w:numFmt w:val="bullet"/>
      <w:start w:val="1"/>
    </w:lvl>
  </w:abstractNum>
  <w:abstractNum w:abstractNumId="89">
    <w:nsid w:val="2AE05A34"/>
    <w:multiLevelType w:val="hybridMultilevel"/>
    <w:lvl w:ilvl="0">
      <w:lvlJc w:val="left"/>
      <w:lvlText w:val="•"/>
      <w:numFmt w:val="bullet"/>
      <w:start w:val="1"/>
    </w:lvl>
  </w:abstractNum>
  <w:abstractNum w:abstractNumId="90">
    <w:nsid w:val="32794FF7"/>
    <w:multiLevelType w:val="hybridMultilevel"/>
    <w:lvl w:ilvl="0">
      <w:lvlJc w:val="left"/>
      <w:lvlText w:val="•"/>
      <w:numFmt w:val="bullet"/>
      <w:start w:val="1"/>
    </w:lvl>
  </w:abstractNum>
  <w:abstractNum w:abstractNumId="91">
    <w:nsid w:val="5454945E"/>
    <w:multiLevelType w:val="hybridMultilevel"/>
    <w:lvl w:ilvl="0">
      <w:lvlJc w:val="left"/>
      <w:lvlText w:val="%1"/>
      <w:numFmt w:val="decimal"/>
      <w:start w:val="42"/>
    </w:lvl>
  </w:abstractNum>
  <w:abstractNum w:abstractNumId="92">
    <w:nsid w:val="4DEFDFA0"/>
    <w:multiLevelType w:val="hybridMultilevel"/>
    <w:lvl w:ilvl="0">
      <w:lvlJc w:val="left"/>
      <w:lvlText w:val="•"/>
      <w:numFmt w:val="bullet"/>
      <w:start w:val="1"/>
    </w:lvl>
  </w:abstractNum>
  <w:abstractNum w:abstractNumId="93">
    <w:nsid w:val="2123D5F2"/>
    <w:multiLevelType w:val="hybridMultilevel"/>
    <w:lvl w:ilvl="0">
      <w:lvlJc w:val="left"/>
      <w:lvlText w:val="•"/>
      <w:numFmt w:val="bullet"/>
      <w:start w:val="1"/>
    </w:lvl>
  </w:abstractNum>
  <w:abstractNum w:abstractNumId="94">
    <w:nsid w:val="135B8110"/>
    <w:multiLevelType w:val="hybridMultilevel"/>
    <w:lvl w:ilvl="0">
      <w:lvlJc w:val="left"/>
      <w:lvlText w:val="%1"/>
      <w:numFmt w:val="decimal"/>
      <w:start w:val="44"/>
    </w:lvl>
  </w:abstractNum>
  <w:abstractNum w:abstractNumId="95">
    <w:nsid w:val="94927A8"/>
    <w:multiLevelType w:val="hybridMultilevel"/>
    <w:lvl w:ilvl="0">
      <w:lvlJc w:val="left"/>
      <w:lvlText w:val="(%1)"/>
      <w:numFmt w:val="decimal"/>
      <w:start w:val="1"/>
    </w:lvl>
  </w:abstractNum>
  <w:abstractNum w:abstractNumId="96">
    <w:nsid w:val="DCDF8F6"/>
    <w:multiLevelType w:val="hybridMultilevel"/>
    <w:lvl w:ilvl="0">
      <w:lvlJc w:val="left"/>
      <w:lvlText w:val="%1"/>
      <w:numFmt w:val="decimal"/>
      <w:start w:val="46"/>
    </w:lvl>
  </w:abstractNum>
  <w:abstractNum w:abstractNumId="97">
    <w:nsid w:val="52D7B105"/>
    <w:multiLevelType w:val="hybridMultilevel"/>
    <w:lvl w:ilvl="0">
      <w:lvlJc w:val="left"/>
      <w:lvlText w:val="(%1)"/>
      <w:numFmt w:val="decimal"/>
      <w:start w:val="1"/>
    </w:lvl>
  </w:abstractNum>
  <w:abstractNum w:abstractNumId="98">
    <w:nsid w:val="2E8A6394"/>
    <w:multiLevelType w:val="hybridMultilevel"/>
    <w:lvl w:ilvl="0">
      <w:lvlJc w:val="left"/>
      <w:lvlText w:val="(%1)"/>
      <w:numFmt w:val="decimal"/>
      <w:start w:val="1"/>
    </w:lvl>
  </w:abstractNum>
  <w:abstractNum w:abstractNumId="99">
    <w:nsid w:val="24E60401"/>
    <w:multiLevelType w:val="hybridMultilevel"/>
    <w:lvl w:ilvl="0">
      <w:lvlJc w:val="left"/>
      <w:lvlText w:val="%1"/>
      <w:numFmt w:val="decimal"/>
      <w:start w:val="48"/>
    </w:lvl>
  </w:abstractNum>
  <w:abstractNum w:abstractNumId="100">
    <w:nsid w:val="2A6AD9BE"/>
    <w:multiLevelType w:val="hybridMultilevel"/>
    <w:lvl w:ilvl="0">
      <w:lvlJc w:val="left"/>
      <w:lvlText w:val="•"/>
      <w:numFmt w:val="bullet"/>
      <w:start w:val="1"/>
    </w:lvl>
  </w:abstractNum>
  <w:abstractNum w:abstractNumId="101">
    <w:nsid w:val="BAAC1B4"/>
    <w:multiLevelType w:val="hybridMultilevel"/>
    <w:lvl w:ilvl="0">
      <w:lvlJc w:val="left"/>
      <w:lvlText w:val="•"/>
      <w:numFmt w:val="bullet"/>
      <w:start w:val="1"/>
    </w:lvl>
  </w:abstractNum>
  <w:abstractNum w:abstractNumId="102">
    <w:nsid w:val="36B2ACBC"/>
    <w:multiLevelType w:val="hybridMultilevel"/>
    <w:lvl w:ilvl="0">
      <w:lvlJc w:val="left"/>
      <w:lvlText w:val="•"/>
      <w:numFmt w:val="bullet"/>
      <w:start w:val="1"/>
    </w:lvl>
  </w:abstractNum>
  <w:abstractNum w:abstractNumId="103">
    <w:nsid w:val="779D8544"/>
    <w:multiLevelType w:val="hybridMultilevel"/>
    <w:lvl w:ilvl="0">
      <w:lvlJc w:val="left"/>
      <w:lvlText w:val="•"/>
      <w:numFmt w:val="bullet"/>
      <w:start w:val="1"/>
    </w:lvl>
  </w:abstractNum>
  <w:abstractNum w:abstractNumId="104">
    <w:nsid w:val="4AB26E78"/>
    <w:multiLevelType w:val="hybridMultilevel"/>
    <w:lvl w:ilvl="0">
      <w:lvlJc w:val="left"/>
      <w:lvlText w:val="%1"/>
      <w:numFmt w:val="decimal"/>
      <w:start w:val="50"/>
    </w:lvl>
  </w:abstractNum>
  <w:abstractNum w:abstractNumId="105">
    <w:nsid w:val="21FAA2FA"/>
    <w:multiLevelType w:val="hybridMultilevel"/>
    <w:lvl w:ilvl="0">
      <w:lvlJc w:val="left"/>
      <w:lvlText w:val="•"/>
      <w:numFmt w:val="bullet"/>
      <w:start w:val="1"/>
    </w:lvl>
  </w:abstractNum>
  <w:abstractNum w:abstractNumId="106">
    <w:nsid w:val="5451CF49"/>
    <w:multiLevelType w:val="hybridMultilevel"/>
    <w:lvl w:ilvl="0">
      <w:lvlJc w:val="left"/>
      <w:lvlText w:val="•"/>
      <w:numFmt w:val="bullet"/>
      <w:start w:val="1"/>
    </w:lvl>
  </w:abstractNum>
  <w:abstractNum w:abstractNumId="107">
    <w:nsid w:val="6181EF69"/>
    <w:multiLevelType w:val="hybridMultilevel"/>
    <w:lvl w:ilvl="0">
      <w:lvlJc w:val="left"/>
      <w:lvlText w:val="•"/>
      <w:numFmt w:val="bullet"/>
      <w:start w:val="1"/>
    </w:lvl>
  </w:abstractNum>
  <w:abstractNum w:abstractNumId="108">
    <w:nsid w:val="3E6400E6"/>
    <w:multiLevelType w:val="hybridMultilevel"/>
    <w:lvl w:ilvl="0">
      <w:lvlJc w:val="left"/>
      <w:lvlText w:val="%1"/>
      <w:numFmt w:val="decimal"/>
      <w:start w:val="52"/>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
      <w:numFmt w:val="bullet"/>
      <w:start w:val="1"/>
    </w:lvl>
  </w:abstractNum>
  <w:abstractNum w:abstractNumId="111">
    <w:nsid w:val="5015CD1A"/>
    <w:multiLevelType w:val="hybridMultilevel"/>
    <w:lvl w:ilvl="0">
      <w:lvlJc w:val="left"/>
      <w:lvlText w:val="•"/>
      <w:numFmt w:val="bullet"/>
      <w:start w:val="1"/>
    </w:lvl>
  </w:abstractNum>
  <w:abstractNum w:abstractNumId="112">
    <w:nsid w:val="424479DA"/>
    <w:multiLevelType w:val="hybridMultilevel"/>
    <w:lvl w:ilvl="0">
      <w:lvlJc w:val="left"/>
      <w:lvlText w:val="%1"/>
      <w:numFmt w:val="decimal"/>
      <w:start w:val="54"/>
    </w:lvl>
  </w:abstractNum>
  <w:abstractNum w:abstractNumId="113">
    <w:nsid w:val="1A9A9E69"/>
    <w:multiLevelType w:val="hybridMultilevel"/>
    <w:lvl w:ilvl="0">
      <w:lvlJc w:val="left"/>
      <w:lvlText w:val="•"/>
      <w:numFmt w:val="bullet"/>
      <w:start w:val="1"/>
    </w:lvl>
  </w:abstractNum>
  <w:abstractNum w:abstractNumId="114">
    <w:nsid w:val="475E256A"/>
    <w:multiLevelType w:val="hybridMultilevel"/>
    <w:lvl w:ilvl="0">
      <w:lvlJc w:val="left"/>
      <w:lvlText w:val="•"/>
      <w:numFmt w:val="bullet"/>
      <w:start w:val="1"/>
    </w:lvl>
  </w:abstractNum>
  <w:abstractNum w:abstractNumId="115">
    <w:nsid w:val="368DB37E"/>
    <w:multiLevelType w:val="hybridMultilevel"/>
    <w:lvl w:ilvl="0">
      <w:lvlJc w:val="left"/>
      <w:lvlText w:val="•"/>
      <w:numFmt w:val="bullet"/>
      <w:start w:val="1"/>
    </w:lvl>
  </w:abstractNum>
  <w:abstractNum w:abstractNumId="116">
    <w:nsid w:val="6A3B714C"/>
    <w:multiLevelType w:val="hybridMultilevel"/>
    <w:lvl w:ilvl="0">
      <w:lvlJc w:val="left"/>
      <w:lvlText w:val="%1"/>
      <w:numFmt w:val="decimal"/>
      <w:start w:val="56"/>
    </w:lvl>
  </w:abstractNum>
  <w:abstractNum w:abstractNumId="117">
    <w:nsid w:val="327B517E"/>
    <w:multiLevelType w:val="hybridMultilevel"/>
    <w:lvl w:ilvl="0">
      <w:lvlJc w:val="left"/>
      <w:lvlText w:val="(%1)"/>
      <w:numFmt w:val="decimal"/>
      <w:start w:val="1"/>
    </w:lvl>
  </w:abstractNum>
  <w:abstractNum w:abstractNumId="118">
    <w:nsid w:val="1F461B51"/>
    <w:multiLevelType w:val="hybridMultilevel"/>
    <w:lvl w:ilvl="0">
      <w:lvlJc w:val="left"/>
      <w:lvlText w:val="%1"/>
      <w:numFmt w:val="decimal"/>
      <w:start w:val="58"/>
    </w:lvl>
  </w:abstractNum>
  <w:abstractNum w:abstractNumId="119">
    <w:nsid w:val="29BACF25"/>
    <w:multiLevelType w:val="hybridMultilevel"/>
    <w:lvl w:ilvl="0">
      <w:lvlJc w:val="left"/>
      <w:lvlText w:val="(%1)"/>
      <w:numFmt w:val="decimal"/>
      <w:start w:val="1"/>
    </w:lvl>
  </w:abstractNum>
  <w:abstractNum w:abstractNumId="120">
    <w:nsid w:val="5D5BABB3"/>
    <w:multiLevelType w:val="hybridMultilevel"/>
    <w:lvl w:ilvl="0">
      <w:lvlJc w:val="left"/>
      <w:lvlText w:val="%1"/>
      <w:numFmt w:val="decimal"/>
      <w:start w:val="60"/>
    </w:lvl>
  </w:abstractNum>
  <w:abstractNum w:abstractNumId="121">
    <w:nsid w:val="51BF6B48"/>
    <w:multiLevelType w:val="hybridMultilevel"/>
    <w:lvl w:ilvl="0">
      <w:lvlJc w:val="left"/>
      <w:lvlText w:val="%1"/>
      <w:numFmt w:val="decimal"/>
      <w:start w:val="62"/>
    </w:lvl>
  </w:abstractNum>
  <w:abstractNum w:abstractNumId="122">
    <w:nsid w:val="7E0F6384"/>
    <w:multiLevelType w:val="hybridMultilevel"/>
    <w:lvl w:ilvl="0">
      <w:lvlJc w:val="left"/>
      <w:lvlText w:val="%1"/>
      <w:numFmt w:val="decimal"/>
      <w:start w:val="64"/>
    </w:lvl>
  </w:abstractNum>
  <w:abstractNum w:abstractNumId="123">
    <w:nsid w:val="2B4B8B53"/>
    <w:multiLevelType w:val="hybridMultilevel"/>
    <w:lvl w:ilvl="0">
      <w:lvlJc w:val="left"/>
      <w:lvlText w:val="**"/>
      <w:numFmt w:val="bullet"/>
      <w:start w:val="1"/>
    </w:lvl>
  </w:abstractNum>
  <w:abstractNum w:abstractNumId="124">
    <w:nsid w:val="72E3413A"/>
    <w:multiLevelType w:val="hybridMultilevel"/>
    <w:lvl w:ilvl="0">
      <w:lvlJc w:val="left"/>
      <w:lvlText w:val="%1"/>
      <w:numFmt w:val="decimal"/>
      <w:start w:val="66"/>
    </w:lvl>
  </w:abstractNum>
  <w:abstractNum w:abstractNumId="125">
    <w:nsid w:val="116AE494"/>
    <w:multiLevelType w:val="hybridMultilevel"/>
    <w:lvl w:ilvl="0">
      <w:lvlJc w:val="left"/>
      <w:lvlText w:val="•"/>
      <w:numFmt w:val="bullet"/>
      <w:start w:val="1"/>
    </w:lvl>
  </w:abstractNum>
  <w:abstractNum w:abstractNumId="126">
    <w:nsid w:val="3494B2FB"/>
    <w:multiLevelType w:val="hybridMultilevel"/>
    <w:lvl w:ilvl="0">
      <w:lvlJc w:val="left"/>
      <w:lvlText w:val="•"/>
      <w:numFmt w:val="bullet"/>
      <w:start w:val="1"/>
    </w:lvl>
  </w:abstractNum>
  <w:abstractNum w:abstractNumId="127">
    <w:nsid w:val="B13A31"/>
    <w:multiLevelType w:val="hybridMultilevel"/>
    <w:lvl w:ilvl="0">
      <w:lvlJc w:val="left"/>
      <w:lvlText w:val="•"/>
      <w:numFmt w:val="bullet"/>
      <w:start w:val="1"/>
    </w:lvl>
  </w:abstractNum>
  <w:abstractNum w:abstractNumId="128">
    <w:nsid w:val="64429599"/>
    <w:multiLevelType w:val="hybridMultilevel"/>
    <w:lvl w:ilvl="0">
      <w:lvlJc w:val="left"/>
      <w:lvlText w:val="%1"/>
      <w:numFmt w:val="decimal"/>
      <w:start w:val="68"/>
    </w:lvl>
  </w:abstractNum>
  <w:abstractNum w:abstractNumId="129">
    <w:nsid w:val="631F1690"/>
    <w:multiLevelType w:val="hybridMultilevel"/>
    <w:lvl w:ilvl="0">
      <w:lvlJc w:val="left"/>
      <w:lvlText w:val="•"/>
      <w:numFmt w:val="bullet"/>
      <w:start w:val="1"/>
    </w:lvl>
  </w:abstractNum>
  <w:abstractNum w:abstractNumId="130">
    <w:nsid w:val="25973E32"/>
    <w:multiLevelType w:val="hybridMultilevel"/>
    <w:lvl w:ilvl="0">
      <w:lvlJc w:val="left"/>
      <w:lvlText w:val="•"/>
      <w:numFmt w:val="bullet"/>
      <w:start w:val="1"/>
    </w:lvl>
  </w:abstractNum>
  <w:abstractNum w:abstractNumId="131">
    <w:nsid w:val="EAD6F57"/>
    <w:multiLevelType w:val="hybridMultilevel"/>
    <w:lvl w:ilvl="0">
      <w:lvlJc w:val="left"/>
      <w:lvlText w:val="%1"/>
      <w:numFmt w:val="decimal"/>
      <w:start w:val="70"/>
    </w:lvl>
  </w:abstractNum>
  <w:abstractNum w:abstractNumId="132">
    <w:nsid w:val="6EC9D844"/>
    <w:multiLevelType w:val="hybridMultilevel"/>
    <w:lvl w:ilvl="0">
      <w:lvlJc w:val="left"/>
      <w:lvlText w:val="(%1)"/>
      <w:numFmt w:val="decimal"/>
      <w:start w:val="1"/>
    </w:lvl>
  </w:abstractNum>
  <w:abstractNum w:abstractNumId="133">
    <w:nsid w:val="5C49EAEE"/>
    <w:multiLevelType w:val="hybridMultilevel"/>
    <w:lvl w:ilvl="0">
      <w:lvlJc w:val="left"/>
      <w:lvlText w:val="(%1)"/>
      <w:numFmt w:val="decimal"/>
      <w:start w:val="4"/>
    </w:lvl>
  </w:abstractNum>
  <w:abstractNum w:abstractNumId="134">
    <w:nsid w:val="64AF49B"/>
    <w:multiLevelType w:val="hybridMultilevel"/>
    <w:lvl w:ilvl="0">
      <w:lvlJc w:val="left"/>
      <w:lvlText w:val="%1."/>
      <w:numFmt w:val="lowerRoman"/>
      <w:start w:val="1"/>
    </w:lvl>
  </w:abstractNum>
  <w:abstractNum w:abstractNumId="135">
    <w:nsid w:val="397C46BC"/>
    <w:multiLevelType w:val="hybridMultilevel"/>
    <w:lvl w:ilvl="0">
      <w:lvlJc w:val="left"/>
      <w:lvlText w:val="(%1)"/>
      <w:numFmt w:val="decimal"/>
      <w:start w:val="6"/>
    </w:lvl>
  </w:abstractNum>
  <w:abstractNum w:abstractNumId="136">
    <w:nsid w:val="7E448DE9"/>
    <w:multiLevelType w:val="hybridMultilevel"/>
    <w:lvl w:ilvl="0">
      <w:lvlJc w:val="left"/>
      <w:lvlText w:val="%1"/>
      <w:numFmt w:val="decimal"/>
      <w:start w:val="72"/>
    </w:lvl>
  </w:abstractNum>
  <w:abstractNum w:abstractNumId="137">
    <w:nsid w:val="5A9CC3E5"/>
    <w:multiLevelType w:val="hybridMultilevel"/>
    <w:lvl w:ilvl="0">
      <w:lvlJc w:val="left"/>
      <w:lvlText w:val="(%1)"/>
      <w:numFmt w:val="decimal"/>
      <w:start w:val="1"/>
    </w:lvl>
  </w:abstractNum>
  <w:abstractNum w:abstractNumId="138">
    <w:nsid w:val="1AFE3625"/>
    <w:multiLevelType w:val="hybridMultilevel"/>
    <w:lvl w:ilvl="0">
      <w:lvlJc w:val="left"/>
      <w:lvlText w:val="(%1)"/>
      <w:numFmt w:val="decimal"/>
      <w:start w:val="1"/>
    </w:lvl>
  </w:abstractNum>
  <w:abstractNum w:abstractNumId="139">
    <w:nsid w:val="3CA88ECF"/>
    <w:multiLevelType w:val="hybridMultilevel"/>
    <w:lvl w:ilvl="0">
      <w:lvlJc w:val="left"/>
      <w:lvlText w:val="%1"/>
      <w:numFmt w:val="decimal"/>
      <w:start w:val="74"/>
    </w:lvl>
  </w:abstractNum>
  <w:abstractNum w:abstractNumId="140">
    <w:nsid w:val="6EBE4208"/>
    <w:multiLevelType w:val="hybridMultilevel"/>
    <w:lvl w:ilvl="0">
      <w:lvlJc w:val="left"/>
      <w:lvlText w:val="(%1)"/>
      <w:numFmt w:val="decimal"/>
      <w:start w:val="1"/>
    </w:lvl>
  </w:abstractNum>
  <w:abstractNum w:abstractNumId="141">
    <w:nsid w:val="C058DF5"/>
    <w:multiLevelType w:val="hybridMultilevel"/>
    <w:lvl w:ilvl="0">
      <w:lvlJc w:val="left"/>
      <w:lvlText w:val="(%1)"/>
      <w:numFmt w:val="decimal"/>
      <w:start w:val="1"/>
    </w:lvl>
    <w:lvl w:ilvl="1">
      <w:lvlJc w:val="left"/>
      <w:lvlText w:val="•"/>
      <w:numFmt w:val="bullet"/>
      <w:start w:val="1"/>
    </w:lvl>
  </w:abstractNum>
  <w:abstractNum w:abstractNumId="142">
    <w:nsid w:val="CBE5BE9"/>
    <w:multiLevelType w:val="hybridMultilevel"/>
    <w:lvl w:ilvl="0">
      <w:lvlJc w:val="left"/>
      <w:lvlText w:val="•"/>
      <w:numFmt w:val="bullet"/>
      <w:start w:val="1"/>
    </w:lvl>
  </w:abstractNum>
  <w:abstractNum w:abstractNumId="143">
    <w:nsid w:val="3102BBE2"/>
    <w:multiLevelType w:val="hybridMultilevel"/>
    <w:lvl w:ilvl="0">
      <w:lvlJc w:val="left"/>
      <w:lvlText w:val="%1"/>
      <w:numFmt w:val="decimal"/>
      <w:start w:val="76"/>
    </w:lvl>
  </w:abstractNum>
  <w:abstractNum w:abstractNumId="144">
    <w:nsid w:val="26A02C5E"/>
    <w:multiLevelType w:val="hybridMultilevel"/>
    <w:lvl w:ilvl="0">
      <w:lvlJc w:val="left"/>
      <w:lvlText w:val="•"/>
      <w:numFmt w:val="bullet"/>
      <w:start w:val="1"/>
    </w:lvl>
  </w:abstractNum>
  <w:abstractNum w:abstractNumId="145">
    <w:nsid w:val="541C8153"/>
    <w:multiLevelType w:val="hybridMultilevel"/>
    <w:lvl w:ilvl="0">
      <w:lvlJc w:val="left"/>
      <w:lvlText w:val="•"/>
      <w:numFmt w:val="bullet"/>
      <w:start w:val="1"/>
    </w:lvl>
  </w:abstractNum>
  <w:abstractNum w:abstractNumId="146">
    <w:nsid w:val="67906F60"/>
    <w:multiLevelType w:val="hybridMultilevel"/>
    <w:lvl w:ilvl="0">
      <w:lvlJc w:val="left"/>
      <w:lvlText w:val="•"/>
      <w:numFmt w:val="bullet"/>
      <w:start w:val="1"/>
    </w:lvl>
  </w:abstractNum>
  <w:abstractNum w:abstractNumId="147">
    <w:nsid w:val="10DB9DAA"/>
    <w:multiLevelType w:val="hybridMultilevel"/>
    <w:lvl w:ilvl="0">
      <w:lvlJc w:val="left"/>
      <w:lvlText w:val="(%1)"/>
      <w:numFmt w:val="decimal"/>
      <w:start w:val="1"/>
    </w:lvl>
  </w:abstractNum>
  <w:abstractNum w:abstractNumId="148">
    <w:nsid w:val="697D2D2"/>
    <w:multiLevelType w:val="hybridMultilevel"/>
    <w:lvl w:ilvl="0">
      <w:lvlJc w:val="left"/>
      <w:lvlText w:val="•"/>
      <w:numFmt w:val="bullet"/>
      <w:start w:val="1"/>
    </w:lvl>
  </w:abstractNum>
  <w:abstractNum w:abstractNumId="149">
    <w:nsid w:val="6D68AB2"/>
    <w:multiLevelType w:val="hybridMultilevel"/>
    <w:lvl w:ilvl="0">
      <w:lvlJc w:val="left"/>
      <w:lvlText w:val="%1"/>
      <w:numFmt w:val="decimal"/>
      <w:start w:val="78"/>
    </w:lvl>
  </w:abstractNum>
  <w:abstractNum w:abstractNumId="150">
    <w:nsid w:val="3A966CD0"/>
    <w:multiLevelType w:val="hybridMultilevel"/>
    <w:lvl w:ilvl="0">
      <w:lvlJc w:val="left"/>
      <w:lvlText w:val="(%1)"/>
      <w:numFmt w:val="decimal"/>
      <w:start w:val="1"/>
    </w:lvl>
  </w:abstractNum>
  <w:abstractNum w:abstractNumId="151">
    <w:nsid w:val="63F37E85"/>
    <w:multiLevelType w:val="hybridMultilevel"/>
    <w:lvl w:ilvl="0">
      <w:lvlJc w:val="left"/>
      <w:lvlText w:val="•"/>
      <w:numFmt w:val="bullet"/>
      <w:start w:val="1"/>
    </w:lvl>
  </w:abstractNum>
  <w:abstractNum w:abstractNumId="152">
    <w:nsid w:val="5895F5FA"/>
    <w:multiLevelType w:val="hybridMultilevel"/>
    <w:lvl w:ilvl="0">
      <w:lvlJc w:val="left"/>
      <w:lvlText w:val="(%1)"/>
      <w:numFmt w:val="decimal"/>
      <w:start w:val="1"/>
    </w:lvl>
  </w:abstractNum>
  <w:abstractNum w:abstractNumId="153">
    <w:nsid w:val="38A5D054"/>
    <w:multiLevelType w:val="hybridMultilevel"/>
    <w:lvl w:ilvl="0">
      <w:lvlJc w:val="left"/>
      <w:lvlText w:val="%1"/>
      <w:numFmt w:val="decimal"/>
      <w:start w:val="80"/>
    </w:lvl>
  </w:abstractNum>
  <w:abstractNum w:abstractNumId="154">
    <w:nsid w:val="F3F09D8"/>
    <w:multiLevelType w:val="hybridMultilevel"/>
    <w:lvl w:ilvl="0">
      <w:lvlJc w:val="left"/>
      <w:lvlText w:val="•"/>
      <w:numFmt w:val="bullet"/>
      <w:start w:val="1"/>
    </w:lvl>
  </w:abstractNum>
  <w:abstractNum w:abstractNumId="155">
    <w:nsid w:val="4B793735"/>
    <w:multiLevelType w:val="hybridMultilevel"/>
    <w:lvl w:ilvl="0">
      <w:lvlJc w:val="left"/>
      <w:lvlText w:val="%1"/>
      <w:numFmt w:val="decimal"/>
      <w:start w:val="82"/>
    </w:lvl>
  </w:abstractNum>
  <w:abstractNum w:abstractNumId="156">
    <w:nsid w:val="4A10B4E8"/>
    <w:multiLevelType w:val="hybridMultilevel"/>
    <w:lvl w:ilvl="0">
      <w:lvlJc w:val="left"/>
      <w:lvlText w:val="(%1)"/>
      <w:numFmt w:val="decimal"/>
      <w:start w:val="1"/>
    </w:lvl>
  </w:abstractNum>
  <w:abstractNum w:abstractNumId="157">
    <w:nsid w:val="43D3BCD4"/>
    <w:multiLevelType w:val="hybridMultilevel"/>
    <w:lvl w:ilvl="0">
      <w:lvlJc w:val="left"/>
      <w:lvlText w:val="%1"/>
      <w:numFmt w:val="decimal"/>
      <w:start w:val="84"/>
    </w:lvl>
  </w:abstractNum>
  <w:abstractNum w:abstractNumId="158">
    <w:nsid w:val="4C2A7166"/>
    <w:multiLevelType w:val="hybridMultilevel"/>
    <w:lvl w:ilvl="0">
      <w:lvlJc w:val="left"/>
      <w:lvlText w:val="(%1)"/>
      <w:numFmt w:val="decimal"/>
      <w:start w:val="1"/>
    </w:lvl>
  </w:abstractNum>
  <w:abstractNum w:abstractNumId="159">
    <w:nsid w:val="2E534A82"/>
    <w:multiLevelType w:val="hybridMultilevel"/>
    <w:lvl w:ilvl="0">
      <w:lvlJc w:val="left"/>
      <w:lvlText w:val="-"/>
      <w:numFmt w:val="bullet"/>
      <w:start w:val="1"/>
    </w:lvl>
  </w:abstractNum>
  <w:abstractNum w:abstractNumId="160">
    <w:nsid w:val="26F2D364"/>
    <w:multiLevelType w:val="hybridMultilevel"/>
    <w:lvl w:ilvl="0">
      <w:lvlJc w:val="left"/>
      <w:lvlText w:val="±"/>
      <w:numFmt w:val="bullet"/>
      <w:start w:val="1"/>
    </w:lvl>
  </w:abstractNum>
  <w:abstractNum w:abstractNumId="161">
    <w:nsid w:val="71C1AF98"/>
    <w:multiLevelType w:val="hybridMultilevel"/>
    <w:lvl w:ilvl="0">
      <w:lvlJc w:val="left"/>
      <w:lvlText w:val="%1"/>
      <w:numFmt w:val="decimal"/>
      <w:start w:val="1"/>
    </w:lvl>
    <w:lvl w:ilvl="1">
      <w:lvlJc w:val="left"/>
      <w:lvlText w:val="%2."/>
      <w:numFmt w:val="lowerLetter"/>
      <w:start w:val="1"/>
    </w:lvl>
  </w:abstractNum>
  <w:abstractNum w:abstractNumId="162">
    <w:nsid w:val="3D00B9D9"/>
    <w:multiLevelType w:val="hybridMultilevel"/>
    <w:lvl w:ilvl="0">
      <w:lvlJc w:val="left"/>
      <w:lvlText w:val="(%1)"/>
      <w:numFmt w:val="decimal"/>
      <w:start w:val="3"/>
    </w:lvl>
    <w:lvl w:ilvl="1">
      <w:lvlJc w:val="left"/>
      <w:lvlText w:val="%2"/>
      <w:numFmt w:val="lowerLetter"/>
      <w:start w:val="1"/>
    </w:lvl>
  </w:abstractNum>
  <w:abstractNum w:abstractNumId="163">
    <w:nsid w:val="15BCABA8"/>
    <w:multiLevelType w:val="hybridMultilevel"/>
    <w:lvl w:ilvl="0">
      <w:lvlJc w:val="left"/>
      <w:lvlText w:val="(%1)"/>
      <w:numFmt w:val="decimal"/>
      <w:start w:val="4"/>
    </w:lvl>
  </w:abstractNum>
  <w:abstractNum w:abstractNumId="164">
    <w:nsid w:val="4E0B9A87"/>
    <w:multiLevelType w:val="hybridMultilevel"/>
    <w:lvl w:ilvl="0">
      <w:lvlJc w:val="left"/>
      <w:lvlText w:val="%1"/>
      <w:numFmt w:val="decimal"/>
      <w:start w:val="86"/>
    </w:lvl>
  </w:abstractNum>
  <w:abstractNum w:abstractNumId="165">
    <w:nsid w:val="434BAE75"/>
    <w:multiLevelType w:val="hybridMultilevel"/>
    <w:lvl w:ilvl="0">
      <w:lvlJc w:val="left"/>
      <w:lvlText w:val="(%1)"/>
      <w:numFmt w:val="decimal"/>
      <w:start w:val="7"/>
    </w:lvl>
  </w:abstractNum>
  <w:abstractNum w:abstractNumId="166">
    <w:nsid w:val="4F38F265"/>
    <w:multiLevelType w:val="hybridMultilevel"/>
    <w:lvl w:ilvl="0">
      <w:lvlJc w:val="left"/>
      <w:lvlText w:val="%1"/>
      <w:numFmt w:val="decimal"/>
      <w:start w:val="88"/>
    </w:lvl>
  </w:abstractNum>
  <w:abstractNum w:abstractNumId="167">
    <w:nsid w:val="4C502870"/>
    <w:multiLevelType w:val="hybridMultilevel"/>
    <w:lvl w:ilvl="0">
      <w:lvlJc w:val="left"/>
      <w:lvlText w:val="(%1)"/>
      <w:numFmt w:val="decimal"/>
      <w:start w:val="1"/>
    </w:lvl>
  </w:abstractNum>
  <w:abstractNum w:abstractNumId="168">
    <w:nsid w:val="1DE8725A"/>
    <w:multiLevelType w:val="hybridMultilevel"/>
    <w:lvl w:ilvl="0">
      <w:lvlJc w:val="left"/>
      <w:lvlText w:val="(%1)"/>
      <w:numFmt w:val="decimal"/>
      <w:start w:val="1"/>
    </w:lvl>
  </w:abstractNum>
  <w:abstractNum w:abstractNumId="169">
    <w:nsid w:val="6A37288A"/>
    <w:multiLevelType w:val="hybridMultilevel"/>
    <w:lvl w:ilvl="0">
      <w:lvlJc w:val="left"/>
      <w:lvlText w:val="%1"/>
      <w:numFmt w:val="decimal"/>
      <w:start w:val="90"/>
    </w:lvl>
  </w:abstractNum>
  <w:abstractNum w:abstractNumId="170">
    <w:nsid w:val="8F8B73F"/>
    <w:multiLevelType w:val="hybridMultilevel"/>
    <w:lvl w:ilvl="0">
      <w:lvlJc w:val="left"/>
      <w:lvlText w:val="(%1)"/>
      <w:numFmt w:val="decimal"/>
      <w:start w:val="2"/>
    </w:lvl>
  </w:abstractNum>
  <w:abstractNum w:abstractNumId="171">
    <w:nsid w:val="CA6B462"/>
    <w:multiLevelType w:val="hybridMultilevel"/>
    <w:lvl w:ilvl="0">
      <w:lvlJc w:val="left"/>
      <w:lvlText w:val="%1"/>
      <w:numFmt w:val="decimal"/>
      <w:start w:val="92"/>
    </w:lvl>
  </w:abstractNum>
  <w:abstractNum w:abstractNumId="172">
    <w:nsid w:val="763CB680"/>
    <w:multiLevelType w:val="hybridMultilevel"/>
    <w:lvl w:ilvl="0">
      <w:lvlJc w:val="left"/>
      <w:lvlText w:val="(%1)"/>
      <w:numFmt w:val="decimal"/>
      <w:start w:val="2"/>
    </w:lvl>
  </w:abstractNum>
  <w:abstractNum w:abstractNumId="173">
    <w:nsid w:val="15B71329"/>
    <w:multiLevelType w:val="hybridMultilevel"/>
    <w:lvl w:ilvl="0">
      <w:lvlJc w:val="left"/>
      <w:lvlText w:val="%1"/>
      <w:numFmt w:val="decimal"/>
      <w:start w:val="94"/>
    </w:lvl>
  </w:abstractNum>
  <w:abstractNum w:abstractNumId="174">
    <w:nsid w:val="3DA97044"/>
    <w:multiLevelType w:val="hybridMultilevel"/>
    <w:lvl w:ilvl="0">
      <w:lvlJc w:val="left"/>
      <w:lvlText w:val="\endash "/>
      <w:numFmt w:val="bullet"/>
      <w:start w:val="1"/>
    </w:lvl>
  </w:abstractNum>
  <w:abstractNum w:abstractNumId="175">
    <w:nsid w:val="1CDCE2DE"/>
    <w:multiLevelType w:val="hybridMultilevel"/>
    <w:lvl w:ilvl="0">
      <w:lvlJc w:val="left"/>
      <w:lvlText w:val="%1"/>
      <w:numFmt w:val="decimal"/>
      <w:start w:val="96"/>
    </w:lvl>
  </w:abstractNum>
  <w:abstractNum w:abstractNumId="176">
    <w:nsid w:val="69D3947C"/>
    <w:multiLevelType w:val="hybridMultilevel"/>
    <w:lvl w:ilvl="0">
      <w:lvlJc w:val="left"/>
      <w:lvlText w:val="1"/>
      <w:numFmt w:val="bullet"/>
      <w:start w:val="1"/>
    </w:lvl>
  </w:abstractNum>
  <w:abstractNum w:abstractNumId="177">
    <w:nsid w:val="2539DFA5"/>
    <w:multiLevelType w:val="hybridMultilevel"/>
    <w:lvl w:ilvl="0">
      <w:lvlJc w:val="left"/>
      <w:lvlText w:val="1"/>
      <w:numFmt w:val="bullet"/>
      <w:start w:val="1"/>
    </w:lvl>
  </w:abstractNum>
  <w:abstractNum w:abstractNumId="178">
    <w:nsid w:val="2DB88089"/>
    <w:multiLevelType w:val="hybridMultilevel"/>
    <w:lvl w:ilvl="0">
      <w:lvlJc w:val="left"/>
      <w:lvlText w:val="2"/>
      <w:numFmt w:val="bullet"/>
      <w:start w:val="1"/>
    </w:lvl>
  </w:abstractNum>
  <w:abstractNum w:abstractNumId="179">
    <w:nsid w:val="706B674E"/>
    <w:multiLevelType w:val="hybridMultilevel"/>
    <w:lvl w:ilvl="0">
      <w:lvlJc w:val="left"/>
      <w:lvlText w:val="3"/>
      <w:numFmt w:val="bullet"/>
      <w:start w:val="1"/>
    </w:lvl>
  </w:abstractNum>
  <w:abstractNum w:abstractNumId="180">
    <w:nsid w:val="2C106A57"/>
    <w:multiLevelType w:val="hybridMultilevel"/>
    <w:lvl w:ilvl="0">
      <w:lvlJc w:val="left"/>
      <w:lvlText w:val="4"/>
      <w:numFmt w:val="bullet"/>
      <w:start w:val="1"/>
    </w:lvl>
  </w:abstractNum>
  <w:abstractNum w:abstractNumId="181">
    <w:nsid w:val="684EED59"/>
    <w:multiLevelType w:val="hybridMultilevel"/>
    <w:lvl w:ilvl="0">
      <w:lvlJc w:val="left"/>
      <w:lvlText w:val="5"/>
      <w:numFmt w:val="bullet"/>
      <w:start w:val="1"/>
    </w:lvl>
  </w:abstractNum>
  <w:abstractNum w:abstractNumId="182">
    <w:nsid w:val="545EE5D3"/>
    <w:multiLevelType w:val="hybridMultilevel"/>
    <w:lvl w:ilvl="0">
      <w:lvlJc w:val="left"/>
      <w:lvlText w:val="6"/>
      <w:numFmt w:val="bullet"/>
      <w:start w:val="1"/>
    </w:lvl>
  </w:abstractNum>
  <w:abstractNum w:abstractNumId="183">
    <w:nsid w:val="4A66051"/>
    <w:multiLevelType w:val="hybridMultilevel"/>
    <w:lvl w:ilvl="0">
      <w:lvlJc w:val="left"/>
      <w:lvlText w:val="7"/>
      <w:numFmt w:val="bullet"/>
      <w:start w:val="1"/>
    </w:lvl>
  </w:abstractNum>
  <w:abstractNum w:abstractNumId="184">
    <w:nsid w:val="20F4BDAD"/>
    <w:multiLevelType w:val="hybridMultilevel"/>
    <w:lvl w:ilvl="0">
      <w:lvlJc w:val="left"/>
      <w:lvlText w:val="8"/>
      <w:numFmt w:val="bullet"/>
      <w:start w:val="1"/>
    </w:lvl>
  </w:abstractNum>
  <w:abstractNum w:abstractNumId="185">
    <w:nsid w:val="639DEFAC"/>
    <w:multiLevelType w:val="hybridMultilevel"/>
    <w:lvl w:ilvl="0">
      <w:lvlJc w:val="left"/>
      <w:lvlText w:val="%1"/>
      <w:numFmt w:val="decimal"/>
      <w:start w:val="98"/>
    </w:lvl>
  </w:abstractNum>
  <w:abstractNum w:abstractNumId="186">
    <w:nsid w:val="501F9786"/>
    <w:multiLevelType w:val="hybridMultilevel"/>
    <w:lvl w:ilvl="0">
      <w:lvlJc w:val="left"/>
      <w:lvlText w:val="9"/>
      <w:numFmt w:val="bullet"/>
      <w:start w:val="1"/>
    </w:lvl>
  </w:abstractNum>
  <w:abstractNum w:abstractNumId="187">
    <w:nsid w:val="6B057295"/>
    <w:multiLevelType w:val="hybridMultilevel"/>
    <w:lvl w:ilvl="0">
      <w:lvlJc w:val="left"/>
      <w:lvlText w:val="%1"/>
      <w:numFmt w:val="decimal"/>
      <w:start w:val="10"/>
    </w:lvl>
  </w:abstractNum>
  <w:abstractNum w:abstractNumId="188">
    <w:nsid w:val="2771AC80"/>
    <w:multiLevelType w:val="hybridMultilevel"/>
    <w:lvl w:ilvl="0">
      <w:lvlJc w:val="left"/>
      <w:lvlText w:val="•"/>
      <w:numFmt w:val="bullet"/>
      <w:start w:val="1"/>
    </w:lvl>
  </w:abstractNum>
  <w:abstractNum w:abstractNumId="189">
    <w:nsid w:val="1C4A08EC"/>
    <w:multiLevelType w:val="hybridMultilevel"/>
    <w:lvl w:ilvl="0">
      <w:lvlJc w:val="left"/>
      <w:lvlText w:val="•"/>
      <w:numFmt w:val="bullet"/>
      <w:start w:val="1"/>
    </w:lvl>
  </w:abstractNum>
  <w:abstractNum w:abstractNumId="190">
    <w:nsid w:val="1958BD17"/>
    <w:multiLevelType w:val="hybridMultilevel"/>
    <w:lvl w:ilvl="0">
      <w:lvlJc w:val="left"/>
      <w:lvlText w:val="%1"/>
      <w:numFmt w:val="decimal"/>
      <w:start w:val="100"/>
    </w:lvl>
  </w:abstractNum>
  <w:abstractNum w:abstractNumId="191">
    <w:nsid w:val="4E647FE4"/>
    <w:multiLevelType w:val="hybridMultilevel"/>
    <w:lvl w:ilvl="0">
      <w:lvlJc w:val="left"/>
      <w:lvlText w:val="•"/>
      <w:numFmt w:val="bullet"/>
      <w:start w:val="1"/>
    </w:lvl>
  </w:abstractNum>
  <w:abstractNum w:abstractNumId="192">
    <w:nsid w:val="E0BB885"/>
    <w:multiLevelType w:val="hybridMultilevel"/>
    <w:lvl w:ilvl="0">
      <w:lvlJc w:val="left"/>
      <w:lvlText w:val="%1"/>
      <w:numFmt w:val="decimal"/>
      <w:start w:val="102"/>
    </w:lvl>
  </w:abstractNum>
  <w:abstractNum w:abstractNumId="193">
    <w:nsid w:val="565976F1"/>
    <w:multiLevelType w:val="hybridMultilevel"/>
    <w:lvl w:ilvl="0">
      <w:lvlJc w:val="left"/>
      <w:lvlText w:val="•"/>
      <w:numFmt w:val="bullet"/>
      <w:start w:val="1"/>
    </w:lvl>
  </w:abstractNum>
  <w:abstractNum w:abstractNumId="194">
    <w:nsid w:val="64212B8C"/>
    <w:multiLevelType w:val="hybridMultilevel"/>
    <w:lvl w:ilvl="0">
      <w:lvlJc w:val="left"/>
      <w:lvlText w:val="%1"/>
      <w:numFmt w:val="decimal"/>
      <w:start w:val="104"/>
    </w:lvl>
  </w:abstractNum>
  <w:abstractNum w:abstractNumId="195">
    <w:nsid w:val="5C17530C"/>
    <w:multiLevelType w:val="hybridMultilevel"/>
    <w:lvl w:ilvl="0">
      <w:lvlJc w:val="left"/>
      <w:lvlText w:val="•"/>
      <w:numFmt w:val="bullet"/>
      <w:start w:val="1"/>
    </w:lvl>
  </w:abstractNum>
  <w:abstractNum w:abstractNumId="196">
    <w:nsid w:val="19A52566"/>
    <w:multiLevelType w:val="hybridMultilevel"/>
    <w:lvl w:ilvl="0">
      <w:lvlJc w:val="left"/>
      <w:lvlText w:val="%1"/>
      <w:numFmt w:val="decimal"/>
      <w:start w:val="106"/>
    </w:lvl>
  </w:abstractNum>
  <w:abstractNum w:abstractNumId="197">
    <w:nsid w:val="335A1DF1"/>
    <w:multiLevelType w:val="hybridMultilevel"/>
    <w:lvl w:ilvl="0">
      <w:lvlJc w:val="left"/>
      <w:lvlText w:val="(%1)"/>
      <w:numFmt w:val="decimal"/>
      <w:start w:val="1"/>
    </w:lvl>
  </w:abstractNum>
  <w:abstractNum w:abstractNumId="198">
    <w:nsid w:val="28677B7C"/>
    <w:multiLevelType w:val="hybridMultilevel"/>
    <w:lvl w:ilvl="0">
      <w:lvlJc w:val="left"/>
      <w:lvlText w:val="%1"/>
      <w:numFmt w:val="decimal"/>
      <w:start w:val="108"/>
    </w:lvl>
  </w:abstractNum>
  <w:abstractNum w:abstractNumId="199">
    <w:nsid w:val="378D97C0"/>
    <w:multiLevelType w:val="hybridMultilevel"/>
    <w:lvl w:ilvl="0">
      <w:lvlJc w:val="left"/>
      <w:lvlText w:val="(%1)"/>
      <w:numFmt w:val="decimal"/>
      <w:start w:val="1"/>
    </w:lvl>
  </w:abstractNum>
  <w:abstractNum w:abstractNumId="200">
    <w:nsid w:val="1D91467C"/>
    <w:multiLevelType w:val="hybridMultilevel"/>
    <w:lvl w:ilvl="0">
      <w:lvlJc w:val="left"/>
      <w:lvlText w:val="%1"/>
      <w:numFmt w:val="decimal"/>
      <w:start w:val="110"/>
    </w:lvl>
  </w:abstractNum>
  <w:abstractNum w:abstractNumId="201">
    <w:nsid w:val="316032BB"/>
    <w:multiLevelType w:val="hybridMultilevel"/>
    <w:lvl w:ilvl="0">
      <w:lvlJc w:val="left"/>
      <w:lvlText w:val="%1"/>
      <w:numFmt w:val="decimal"/>
      <w:start w:val="112"/>
    </w:lvl>
  </w:abstractNum>
  <w:abstractNum w:abstractNumId="202">
    <w:nsid w:val="44344C22"/>
    <w:multiLevelType w:val="hybridMultilevel"/>
    <w:lvl w:ilvl="0">
      <w:lvlJc w:val="left"/>
      <w:lvlText w:val="•"/>
      <w:numFmt w:val="bullet"/>
      <w:start w:val="1"/>
    </w:lvl>
  </w:abstractNum>
  <w:abstractNum w:abstractNumId="203">
    <w:nsid w:val="13CDFCFC"/>
    <w:multiLevelType w:val="hybridMultilevel"/>
    <w:lvl w:ilvl="0">
      <w:lvlJc w:val="left"/>
      <w:lvlText w:val="•"/>
      <w:numFmt w:val="bullet"/>
      <w:start w:val="1"/>
    </w:lvl>
  </w:abstractNum>
  <w:abstractNum w:abstractNumId="204">
    <w:nsid w:val="471745E4"/>
    <w:multiLevelType w:val="hybridMultilevel"/>
    <w:lvl w:ilvl="0">
      <w:lvlJc w:val="left"/>
      <w:lvlText w:val="(%1)"/>
      <w:numFmt w:val="decimal"/>
      <w:start w:val="703"/>
    </w:lvl>
  </w:abstractNum>
  <w:abstractNum w:abstractNumId="205">
    <w:nsid w:val="1DDBC66"/>
    <w:multiLevelType w:val="hybridMultilevel"/>
    <w:lvl w:ilvl="0">
      <w:lvlJc w:val="left"/>
      <w:lvlText w:val="•"/>
      <w:numFmt w:val="bullet"/>
      <w:start w:val="1"/>
    </w:lvl>
  </w:abstractNum>
  <w:abstractNum w:abstractNumId="206">
    <w:nsid w:val="30AADFDA"/>
    <w:multiLevelType w:val="hybridMultilevel"/>
    <w:lvl w:ilvl="0">
      <w:lvlJc w:val="left"/>
      <w:lvlText w:val="%1"/>
      <w:numFmt w:val="decimal"/>
      <w:start w:val="114"/>
    </w:lvl>
  </w:abstractNum>
  <w:abstractNum w:abstractNumId="207">
    <w:nsid w:val="30EADA61"/>
    <w:multiLevelType w:val="hybridMultilevel"/>
    <w:lvl w:ilvl="0">
      <w:lvlJc w:val="left"/>
      <w:lvlText w:val="%1"/>
      <w:numFmt w:val="decimal"/>
      <w:start w:val="116"/>
    </w:lvl>
  </w:abstractNum>
  <w:abstractNum w:abstractNumId="208">
    <w:nsid w:val="27179C0B"/>
    <w:multiLevelType w:val="hybridMultilevel"/>
    <w:lvl w:ilvl="0">
      <w:lvlJc w:val="left"/>
      <w:lvlText w:val="%1"/>
      <w:numFmt w:val="decimal"/>
      <w:start w:val="118"/>
    </w:lvl>
  </w:abstractNum>
  <w:abstractNum w:abstractNumId="209">
    <w:nsid w:val="5E636063"/>
    <w:multiLevelType w:val="hybridMultilevel"/>
    <w:lvl w:ilvl="0">
      <w:lvlJc w:val="left"/>
      <w:lvlText w:val="%1"/>
      <w:numFmt w:val="decimal"/>
      <w:start w:val="120"/>
    </w:lvl>
  </w:abstractNum>
  <w:abstractNum w:abstractNumId="210">
    <w:nsid w:val="215641AF"/>
    <w:multiLevelType w:val="hybridMultilevel"/>
    <w:lvl w:ilvl="0">
      <w:lvlJc w:val="left"/>
      <w:lvlText w:val="(%1)"/>
      <w:numFmt w:val="decimal"/>
      <w:start w:val="1"/>
    </w:lvl>
  </w:abstractNum>
  <w:abstractNum w:abstractNumId="211">
    <w:nsid w:val="53280662"/>
    <w:multiLevelType w:val="hybridMultilevel"/>
    <w:lvl w:ilvl="0">
      <w:lvlJc w:val="left"/>
      <w:lvlText w:val="%1"/>
      <w:numFmt w:val="decimal"/>
      <w:start w:val="122"/>
    </w:lvl>
  </w:abstractNum>
  <w:abstractNum w:abstractNumId="212">
    <w:nsid w:val="46B24DBC"/>
    <w:multiLevelType w:val="hybridMultilevel"/>
    <w:lvl w:ilvl="0">
      <w:lvlJc w:val="left"/>
      <w:lvlText w:val="\endash "/>
      <w:numFmt w:val="bullet"/>
      <w:start w:val="1"/>
    </w:lvl>
  </w:abstractNum>
  <w:abstractNum w:abstractNumId="213">
    <w:nsid w:val="75B52783"/>
    <w:multiLevelType w:val="hybridMultilevel"/>
    <w:lvl w:ilvl="0">
      <w:lvlJc w:val="left"/>
      <w:lvlText w:val="\endash "/>
      <w:numFmt w:val="bullet"/>
      <w:start w:val="1"/>
    </w:lvl>
  </w:abstractNum>
  <w:abstractNum w:abstractNumId="214">
    <w:nsid w:val="57CE66B4"/>
    <w:multiLevelType w:val="hybridMultilevel"/>
    <w:lvl w:ilvl="0">
      <w:lvlJc w:val="left"/>
      <w:lvlText w:val="\endash "/>
      <w:numFmt w:val="bullet"/>
      <w:start w:val="1"/>
    </w:lvl>
  </w:abstractNum>
  <w:abstractNum w:abstractNumId="215">
    <w:nsid w:val="67A70B69"/>
    <w:multiLevelType w:val="hybridMultilevel"/>
    <w:lvl w:ilvl="0">
      <w:lvlJc w:val="left"/>
      <w:lvlText w:val="%1"/>
      <w:numFmt w:val="decimal"/>
      <w:start w:val="124"/>
    </w:lvl>
  </w:abstractNum>
  <w:abstractNum w:abstractNumId="216">
    <w:nsid w:val="5953172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lowerLetter"/>
      <w:start w:val="22"/>
    </w:lvl>
  </w:abstractNum>
  <w:abstractNum w:abstractNumId="217">
    <w:nsid w:val="27EDFE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Letter"/>
      <w:start w:val="1"/>
    </w:lvl>
  </w:abstractNum>
  <w:abstractNum w:abstractNumId="218">
    <w:nsid w:val="52AC7D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19">
    <w:nsid w:val="C4C3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0">
    <w:nsid w:val="4438072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1">
    <w:nsid w:val="6C053B1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22">
    <w:nsid w:val="4F294393"/>
    <w:multiLevelType w:val="hybridMultilevel"/>
    <w:lvl w:ilvl="0">
      <w:lvlJc w:val="left"/>
      <w:lvlText w:val="%1"/>
      <w:numFmt w:val="decimal"/>
      <w:start w:val="1"/>
    </w:lvl>
    <w:lvl w:ilvl="1">
      <w:lvlJc w:val="left"/>
      <w:lvlText w:val="(%2)"/>
      <w:numFmt w:val="lowerLetter"/>
      <w:start w:val="4"/>
    </w:lvl>
  </w:abstractNum>
  <w:abstractNum w:abstractNumId="223">
    <w:nsid w:val="5243BFAC"/>
    <w:multiLevelType w:val="hybridMultilevel"/>
    <w:lvl w:ilvl="0">
      <w:lvlJc w:val="left"/>
      <w:lvlText w:val="%1."/>
      <w:numFmt w:val="decimal"/>
      <w:start w:val="6"/>
    </w:lvl>
    <w:lvl w:ilvl="1">
      <w:lvlJc w:val="left"/>
      <w:lvlText w:val="(%2)"/>
      <w:numFmt w:val="lowerLetter"/>
      <w:start w:val="1"/>
    </w:lvl>
  </w:abstractNum>
  <w:abstractNum w:abstractNumId="224">
    <w:nsid w:val="425EB207"/>
    <w:multiLevelType w:val="hybridMultilevel"/>
    <w:lvl w:ilvl="0">
      <w:lvlJc w:val="left"/>
      <w:lvlText w:val="(%1)"/>
      <w:numFmt w:val="lowerLetter"/>
      <w:start w:val="2"/>
    </w:lvl>
  </w:abstractNum>
  <w:abstractNum w:abstractNumId="225">
    <w:nsid w:val="334A6F1F"/>
    <w:multiLevelType w:val="hybridMultilevel"/>
    <w:lvl w:ilvl="0">
      <w:lvlJc w:val="left"/>
      <w:lvlText w:val="%1"/>
      <w:numFmt w:val="decimal"/>
      <w:start w:val="128"/>
    </w:lvl>
  </w:abstractNum>
  <w:abstractNum w:abstractNumId="226">
    <w:nsid w:val="2E5B12B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27">
    <w:nsid w:val="5C03D76D"/>
    <w:multiLevelType w:val="hybridMultilevel"/>
    <w:lvl w:ilvl="0">
      <w:lvlJc w:val="left"/>
      <w:lvlText w:val="(%1)"/>
      <w:numFmt w:val="lowerRoman"/>
      <w:start w:val="3"/>
    </w:lvl>
  </w:abstractNum>
  <w:abstractNum w:abstractNumId="228">
    <w:nsid w:val="66A48D11"/>
    <w:multiLevelType w:val="hybridMultilevel"/>
    <w:lvl w:ilvl="0">
      <w:lvlJc w:val="left"/>
      <w:lvlText w:val="%1"/>
      <w:numFmt w:val="decimal"/>
      <w:start w:val="130"/>
    </w:lvl>
  </w:abstractNum>
  <w:abstractNum w:abstractNumId="229">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0">
    <w:nsid w:val="13916F2D"/>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31">
    <w:nsid w:val="435D38D"/>
    <w:multiLevelType w:val="hybridMultilevel"/>
    <w:lvl w:ilvl="0">
      <w:lvlJc w:val="left"/>
      <w:lvlText w:val="(%1)"/>
      <w:numFmt w:val="lowerLetter"/>
      <w:start w:val="4"/>
    </w:lvl>
  </w:abstractNum>
  <w:abstractNum w:abstractNumId="232">
    <w:nsid w:val="822C0EF"/>
    <w:multiLevelType w:val="hybridMultilevel"/>
    <w:lvl w:ilvl="0">
      <w:lvlJc w:val="left"/>
      <w:lvlText w:val="%1."/>
      <w:numFmt w:val="decimal"/>
      <w:start w:val="10"/>
    </w:lvl>
  </w:abstractNum>
  <w:abstractNum w:abstractNumId="233">
    <w:nsid w:val="57C5BB4F"/>
    <w:multiLevelType w:val="hybridMultilevel"/>
    <w:lvl w:ilvl="0">
      <w:lvlJc w:val="left"/>
      <w:lvlText w:val="%1."/>
      <w:numFmt w:val="decimal"/>
      <w:start w:val="11"/>
    </w:lvl>
  </w:abstractNum>
  <w:abstractNum w:abstractNumId="234">
    <w:nsid w:val="1803D089"/>
    <w:multiLevelType w:val="hybridMultilevel"/>
    <w:lvl w:ilvl="0">
      <w:lvlJc w:val="left"/>
      <w:lvlText w:val="%1."/>
      <w:numFmt w:val="decimal"/>
      <w:start w:val="12"/>
    </w:lvl>
  </w:abstractNum>
  <w:abstractNum w:abstractNumId="235">
    <w:nsid w:val="4F3A06D4"/>
    <w:multiLevelType w:val="hybridMultilevel"/>
    <w:lvl w:ilvl="0">
      <w:lvlJc w:val="left"/>
      <w:lvlText w:val="%1."/>
      <w:numFmt w:val="decimal"/>
      <w:start w:val="13"/>
    </w:lvl>
  </w:abstractNum>
  <w:abstractNum w:abstractNumId="236">
    <w:nsid w:val="59A377B6"/>
    <w:multiLevelType w:val="hybridMultilevel"/>
    <w:lvl w:ilvl="0">
      <w:lvlJc w:val="left"/>
      <w:lvlText w:val="%1"/>
      <w:numFmt w:val="decimal"/>
      <w:start w:val="132"/>
    </w:lvl>
  </w:abstractNum>
  <w:abstractNum w:abstractNumId="237">
    <w:nsid w:val="48AEB063"/>
    <w:multiLevelType w:val="hybridMultilevel"/>
    <w:lvl w:ilvl="0">
      <w:lvlJc w:val="left"/>
      <w:lvlText w:val="%1."/>
      <w:numFmt w:val="decimal"/>
      <w:start w:val="14"/>
    </w:lvl>
  </w:abstractNum>
  <w:abstractNum w:abstractNumId="238">
    <w:nsid w:val="24E135"/>
    <w:multiLevelType w:val="hybridMultilevel"/>
    <w:lvl w:ilvl="0">
      <w:lvlJc w:val="left"/>
      <w:lvlText w:val="%1."/>
      <w:numFmt w:val="decimal"/>
      <w:start w:val="15"/>
    </w:lvl>
  </w:abstractNum>
  <w:abstractNum w:abstractNumId="239">
    <w:nsid w:val="BB13C1"/>
    <w:multiLevelType w:val="hybridMultilevel"/>
    <w:lvl w:ilvl="0">
      <w:lvlJc w:val="left"/>
      <w:lvlText w:val="%1."/>
      <w:numFmt w:val="decimal"/>
      <w:start w:val="16"/>
    </w:lvl>
  </w:abstractNum>
  <w:abstractNum w:abstractNumId="240">
    <w:nsid w:val="271210C7"/>
    <w:multiLevelType w:val="hybridMultilevel"/>
    <w:lvl w:ilvl="0">
      <w:lvlJc w:val="left"/>
      <w:lvlText w:val="%1."/>
      <w:numFmt w:val="decimal"/>
      <w:start w:val="17"/>
    </w:lvl>
  </w:abstractNum>
  <w:abstractNum w:abstractNumId="241">
    <w:nsid w:val="217B22E4"/>
    <w:multiLevelType w:val="hybridMultilevel"/>
    <w:lvl w:ilvl="0">
      <w:lvlJc w:val="left"/>
      <w:lvlText w:val="%1."/>
      <w:numFmt w:val="decimal"/>
      <w:start w:val="18"/>
    </w:lvl>
  </w:abstractNum>
  <w:abstractNum w:abstractNumId="242">
    <w:nsid w:val="53E31A24"/>
    <w:multiLevelType w:val="hybridMultilevel"/>
    <w:lvl w:ilvl="0">
      <w:lvlJc w:val="left"/>
      <w:lvlText w:val="%1."/>
      <w:numFmt w:val="decimal"/>
      <w:start w:val="19"/>
    </w:lvl>
  </w:abstractNum>
  <w:abstractNum w:abstractNumId="243">
    <w:nsid w:val="6DC45E83"/>
    <w:multiLevelType w:val="hybridMultilevel"/>
    <w:lvl w:ilvl="0">
      <w:lvlJc w:val="left"/>
      <w:lvlText w:val="%1."/>
      <w:numFmt w:val="decimal"/>
      <w:start w:val="20"/>
    </w:lvl>
  </w:abstractNum>
  <w:abstractNum w:abstractNumId="244">
    <w:nsid w:val="17304A67"/>
    <w:multiLevelType w:val="hybridMultilevel"/>
    <w:lvl w:ilvl="0">
      <w:lvlJc w:val="left"/>
      <w:lvlText w:val="%1."/>
      <w:numFmt w:val="decimal"/>
      <w:start w:val="21"/>
    </w:lvl>
  </w:abstractNum>
  <w:abstractNum w:abstractNumId="245">
    <w:nsid w:val="2BB180D8"/>
    <w:multiLevelType w:val="hybridMultilevel"/>
    <w:lvl w:ilvl="0">
      <w:lvlJc w:val="left"/>
      <w:lvlText w:val="%1"/>
      <w:numFmt w:val="decimal"/>
      <w:start w:val="1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2024-03-21T15:50:12Z</dcterms:created>
  <dcterms:modified xsi:type="dcterms:W3CDTF">2024-03-21T15:50:12Z</dcterms:modified>
</cp:coreProperties>
</file>