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24130</wp:posOffset>
            </wp:positionV>
            <wp:extent cx="2940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-224155</wp:posOffset>
            </wp:positionV>
            <wp:extent cx="29400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 of the</w:t>
      </w:r>
    </w:p>
    <w:p>
      <w:pPr>
        <w:jc w:val="center"/>
        <w:spacing w:after="0" w:line="21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48895</wp:posOffset>
            </wp:positionV>
            <wp:extent cx="294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NORTHROP GRUMMAN CORPORATION</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68580</wp:posOffset>
            </wp:positionV>
            <wp:extent cx="2922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420"/>
        <w:spacing w:after="0"/>
        <w:rPr>
          <w:sz w:val="20"/>
          <w:szCs w:val="20"/>
          <w:color w:val="auto"/>
        </w:rPr>
      </w:pPr>
      <w:r>
        <w:rPr>
          <w:rFonts w:ascii="Arial" w:cs="Arial" w:eastAsia="Arial" w:hAnsi="Arial"/>
          <w:sz w:val="16"/>
          <w:szCs w:val="16"/>
          <w:b w:val="1"/>
          <w:bCs w:val="1"/>
          <w:color w:val="auto"/>
        </w:rPr>
        <w:t>1-16411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80-0640649</w:t>
      </w:r>
    </w:p>
    <w:p>
      <w:pPr>
        <w:spacing w:after="0" w:line="50" w:lineRule="exact"/>
        <w:rPr>
          <w:sz w:val="24"/>
          <w:szCs w:val="24"/>
          <w:color w:val="auto"/>
        </w:rPr>
      </w:pPr>
    </w:p>
    <w:p>
      <w:pPr>
        <w:sectPr>
          <w:pgSz w:w="11900" w:h="16838" w:orient="portrait"/>
          <w:cols w:equalWidth="0" w:num="3">
            <w:col w:w="4560" w:space="720"/>
            <w:col w:w="3020" w:space="720"/>
            <w:col w:w="2220"/>
          </w:cols>
          <w:pgMar w:left="320" w:top="1035" w:right="339" w:bottom="1440" w:gutter="0" w:footer="0" w:header="0"/>
          <w:type w:val="continuous"/>
        </w:sectPr>
      </w:pPr>
    </w:p>
    <w:p>
      <w:pPr>
        <w:jc w:val="center"/>
        <w:ind w:right="540"/>
        <w:spacing w:after="0"/>
        <w:rPr>
          <w:sz w:val="20"/>
          <w:szCs w:val="20"/>
          <w:color w:val="auto"/>
        </w:rPr>
      </w:pPr>
      <w:r>
        <w:rPr>
          <w:rFonts w:ascii="Arial" w:cs="Arial" w:eastAsia="Arial" w:hAnsi="Arial"/>
          <w:sz w:val="14"/>
          <w:szCs w:val="14"/>
          <w:b w:val="1"/>
          <w:bCs w:val="1"/>
          <w:color w:val="auto"/>
        </w:rPr>
        <w:t>(State or Other Jurisdiction</w:t>
      </w:r>
    </w:p>
    <w:p>
      <w:pPr>
        <w:spacing w:after="0" w:line="19" w:lineRule="exact"/>
        <w:rPr>
          <w:sz w:val="24"/>
          <w:szCs w:val="24"/>
          <w:color w:val="auto"/>
        </w:rPr>
      </w:pPr>
    </w:p>
    <w:p>
      <w:pPr>
        <w:jc w:val="center"/>
        <w:ind w:right="5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jc w:val="center"/>
        <w:ind w:right="108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020" w:space="720"/>
            <w:col w:w="3280" w:space="720"/>
            <w:col w:w="2500"/>
          </w:cols>
          <w:pgMar w:left="320" w:top="1035" w:right="339" w:bottom="1440" w:gutter="0" w:footer="0" w:header="0"/>
          <w:type w:val="continuous"/>
        </w:sectPr>
      </w:pPr>
    </w:p>
    <w:p>
      <w:pPr>
        <w:spacing w:after="0" w:line="208"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2980 Fairview Park Drive, Falls Church, VA 22042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280-2900</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035" w:right="339" w:bottom="1440" w:gutter="0" w:footer="0" w:header="0"/>
          <w:type w:val="continuous"/>
        </w:sectPr>
      </w:pPr>
    </w:p>
    <w:p>
      <w:pPr>
        <w:spacing w:after="0" w:line="304"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30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3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NOC</w:t>
            </w: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bl>
    <w:p>
      <w:pPr>
        <w:spacing w:after="0" w:line="200" w:lineRule="exact"/>
        <w:rPr>
          <w:sz w:val="24"/>
          <w:szCs w:val="24"/>
          <w:color w:val="auto"/>
        </w:rPr>
      </w:pPr>
    </w:p>
    <w:p>
      <w:pPr>
        <w:spacing w:after="0" w:line="36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jc w:val="center"/>
        <w:ind w:right="-17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9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At the 2021 Annual Meeting held on May 19, 2021, shareholders considered and approved the three proposals that management presented, each of which is described in more detail in the Company's Proxy Statement filed on April 2, 2021. Shareholders did not approve either the shareholder proposal that the Company assess and report on potential human rights impacts that could result from governments' use of our products, or the shareholder proposal to move to a 10% ownership threshold for shareholders to request action by written consent.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results detailed below represent the final voting results as certified by the Inspectors of Election.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Proposals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w:t>
      </w:r>
    </w:p>
    <w:p>
      <w:pPr>
        <w:spacing w:after="0" w:line="239" w:lineRule="exact"/>
        <w:rPr>
          <w:sz w:val="20"/>
          <w:szCs w:val="20"/>
          <w:color w:val="auto"/>
        </w:rPr>
      </w:pPr>
    </w:p>
    <w:p>
      <w:pPr>
        <w:ind w:right="480"/>
        <w:spacing w:after="0" w:line="324" w:lineRule="auto"/>
        <w:rPr>
          <w:sz w:val="20"/>
          <w:szCs w:val="20"/>
          <w:color w:val="auto"/>
        </w:rPr>
      </w:pPr>
      <w:r>
        <w:rPr>
          <w:rFonts w:ascii="Arial" w:cs="Arial" w:eastAsia="Arial" w:hAnsi="Arial"/>
          <w:sz w:val="16"/>
          <w:szCs w:val="16"/>
          <w:color w:val="auto"/>
        </w:rPr>
        <w:t>The shareholders elected the following twelve directors: Kathy J. Warden, David P. Abney, Marianne C. Brown, Donald E. Felsinger, Ann M. Fudge, William H. Hernandez, Madeleine A. Kleiner, Karl J. Krapek, Gary Roughead, Thomas M. Schoewe, James S. Turley and Mark A. Welsh III.</w:t>
      </w:r>
    </w:p>
    <w:p>
      <w:pPr>
        <w:spacing w:after="0" w:line="193"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c>
          <w:tcPr>
            <w:tcW w:w="1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6"/>
              </w:rPr>
              <w:t>For</w:t>
            </w:r>
          </w:p>
        </w:tc>
        <w:tc>
          <w:tcPr>
            <w:tcW w:w="1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0"/>
              </w:rPr>
              <w:t>Against</w:t>
            </w:r>
          </w:p>
        </w:tc>
        <w:tc>
          <w:tcPr>
            <w:tcW w:w="18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Abstain</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23"/>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Kathy J. Warden</w:t>
            </w:r>
          </w:p>
        </w:tc>
        <w:tc>
          <w:tcPr>
            <w:tcW w:w="26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124,886,161</w:t>
            </w:r>
          </w:p>
        </w:tc>
        <w:tc>
          <w:tcPr>
            <w:tcW w:w="24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4,486,927</w:t>
            </w:r>
          </w:p>
        </w:tc>
        <w:tc>
          <w:tcPr>
            <w:tcW w:w="24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382,007</w:t>
            </w:r>
          </w:p>
        </w:tc>
        <w:tc>
          <w:tcPr>
            <w:tcW w:w="240" w:type="dxa"/>
            <w:vAlign w:val="bottom"/>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14,385,935</w:t>
            </w:r>
          </w:p>
        </w:tc>
      </w:tr>
      <w:tr>
        <w:trPr>
          <w:trHeight w:val="22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P. Abney</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127,795,538</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1,302,541</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657,016</w:t>
            </w:r>
          </w:p>
        </w:tc>
        <w:tc>
          <w:tcPr>
            <w:tcW w:w="24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14,385,935</w:t>
            </w: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Marianne C. Brown</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127,459,456</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1,700,535</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595,104</w:t>
            </w:r>
          </w:p>
        </w:tc>
        <w:tc>
          <w:tcPr>
            <w:tcW w:w="24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14,385,935</w:t>
            </w:r>
          </w:p>
        </w:tc>
      </w:tr>
      <w:tr>
        <w:trPr>
          <w:trHeight w:val="22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Donald E. Felsinger</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124,188,795</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4,956,701</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609,599</w:t>
            </w:r>
          </w:p>
        </w:tc>
        <w:tc>
          <w:tcPr>
            <w:tcW w:w="24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14,385,935</w:t>
            </w:r>
          </w:p>
        </w:tc>
      </w:tr>
      <w:tr>
        <w:trPr>
          <w:trHeight w:val="229"/>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Ann M. Fudge</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126,748,415</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2,345,700</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660,980</w:t>
            </w:r>
          </w:p>
        </w:tc>
        <w:tc>
          <w:tcPr>
            <w:tcW w:w="24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14,385,935</w:t>
            </w:r>
          </w:p>
        </w:tc>
      </w:tr>
      <w:tr>
        <w:trPr>
          <w:trHeight w:val="230"/>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William H. Hernandez</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127,516,282</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1,676,911</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561,902</w:t>
            </w:r>
          </w:p>
        </w:tc>
        <w:tc>
          <w:tcPr>
            <w:tcW w:w="24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14,385,935</w:t>
            </w:r>
          </w:p>
        </w:tc>
      </w:tr>
      <w:tr>
        <w:trPr>
          <w:trHeight w:val="229"/>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Madeleine A. Kleiner</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124,247,789</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3,858,610</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1,648,696</w:t>
            </w:r>
          </w:p>
        </w:tc>
        <w:tc>
          <w:tcPr>
            <w:tcW w:w="24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14,385,935</w:t>
            </w:r>
          </w:p>
        </w:tc>
      </w:tr>
      <w:tr>
        <w:trPr>
          <w:trHeight w:val="22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Karl J. Krapek</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125,108,282</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4,025,463</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621,350</w:t>
            </w:r>
          </w:p>
        </w:tc>
        <w:tc>
          <w:tcPr>
            <w:tcW w:w="24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14,385,935</w:t>
            </w: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Gary Roughead</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126,877,855</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2,319,170</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558,070</w:t>
            </w:r>
          </w:p>
        </w:tc>
        <w:tc>
          <w:tcPr>
            <w:tcW w:w="24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14,385,935</w:t>
            </w:r>
          </w:p>
        </w:tc>
      </w:tr>
      <w:tr>
        <w:trPr>
          <w:trHeight w:val="22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M. Schoewe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126,593,518</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2,491,502</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670,075</w:t>
            </w:r>
          </w:p>
        </w:tc>
        <w:tc>
          <w:tcPr>
            <w:tcW w:w="24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14,385,935</w:t>
            </w: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James S. Turley</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126,389,371</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2,731,391</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634,333</w:t>
            </w:r>
          </w:p>
        </w:tc>
        <w:tc>
          <w:tcPr>
            <w:tcW w:w="24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14,385,935</w:t>
            </w:r>
          </w:p>
        </w:tc>
      </w:tr>
      <w:tr>
        <w:trPr>
          <w:trHeight w:val="230"/>
        </w:trPr>
        <w:tc>
          <w:tcPr>
            <w:tcW w:w="2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A. Welsh III</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127,434,408</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1,753,294</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567,393</w:t>
            </w:r>
          </w:p>
        </w:tc>
        <w:tc>
          <w:tcPr>
            <w:tcW w:w="2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14,385,935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approved, on an advisory basis, the compensation of the Company's named executive officers, with a vote of:</w:t>
      </w:r>
    </w:p>
    <w:p>
      <w:pPr>
        <w:spacing w:after="0" w:line="280"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1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7"/>
              </w:rPr>
              <w:t>Against</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0"/>
              </w:rPr>
              <w:t>Abstain</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23"/>
        </w:trPr>
        <w:tc>
          <w:tcPr>
            <w:tcW w:w="15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123,340,740</w:t>
            </w:r>
          </w:p>
        </w:tc>
        <w:tc>
          <w:tcPr>
            <w:tcW w:w="24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4,765,849</w:t>
            </w:r>
          </w:p>
        </w:tc>
        <w:tc>
          <w:tcPr>
            <w:tcW w:w="24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1,648,506</w:t>
            </w:r>
          </w:p>
        </w:tc>
        <w:tc>
          <w:tcPr>
            <w:tcW w:w="240" w:type="dxa"/>
            <w:vAlign w:val="bottom"/>
            <w:tcBorders>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14,385,935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3</w:t>
      </w:r>
    </w:p>
    <w:p>
      <w:pPr>
        <w:spacing w:after="0" w:line="23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shareholders ratified the appointment of Deloitte &amp; Touche LLP as the Company's independent auditor for the fiscal year ending December 31, 2021 with a vote of 140,098,715 shares for, 3,533,351 shares against and 508,964 abstentions.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4</w:t>
      </w:r>
    </w:p>
    <w:p>
      <w:pPr>
        <w:spacing w:after="0" w:line="23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shareholders did not approve the shareholder proposal that the Company assess and report on potential human rights impacts that could result from governments' use of our products and services.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0" w:type="dxa"/>
            <w:vAlign w:val="bottom"/>
          </w:tcPr>
          <w:p>
            <w:pPr>
              <w:spacing w:after="0"/>
              <w:rPr>
                <w:sz w:val="19"/>
                <w:szCs w:val="19"/>
                <w:color w:val="auto"/>
              </w:rPr>
            </w:pPr>
          </w:p>
        </w:tc>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1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7"/>
              </w:rPr>
              <w:t>Against</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0"/>
              </w:rPr>
              <w:t>Abstain</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Broker Non-Vote</w:t>
            </w:r>
          </w:p>
        </w:tc>
        <w:tc>
          <w:tcPr>
            <w:tcW w:w="1800" w:type="dxa"/>
            <w:vAlign w:val="bottom"/>
          </w:tcPr>
          <w:p>
            <w:pPr>
              <w:spacing w:after="0"/>
              <w:rPr>
                <w:sz w:val="19"/>
                <w:szCs w:val="19"/>
                <w:color w:val="auto"/>
              </w:rPr>
            </w:pPr>
          </w:p>
        </w:tc>
      </w:tr>
      <w:tr>
        <w:trPr>
          <w:trHeight w:val="223"/>
        </w:trPr>
        <w:tc>
          <w:tcPr>
            <w:tcW w:w="18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28,662,071</w:t>
            </w:r>
          </w:p>
        </w:tc>
        <w:tc>
          <w:tcPr>
            <w:tcW w:w="24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99,579,228</w:t>
            </w:r>
          </w:p>
        </w:tc>
        <w:tc>
          <w:tcPr>
            <w:tcW w:w="24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1,513,796</w:t>
            </w:r>
          </w:p>
        </w:tc>
        <w:tc>
          <w:tcPr>
            <w:tcW w:w="240" w:type="dxa"/>
            <w:vAlign w:val="bottom"/>
            <w:tcBorders>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14,385,935</w:t>
            </w:r>
          </w:p>
        </w:tc>
        <w:tc>
          <w:tcPr>
            <w:tcW w:w="1800" w:type="dxa"/>
            <w:vAlign w:val="bottom"/>
          </w:tcPr>
          <w:p>
            <w:pPr>
              <w:spacing w:after="0"/>
              <w:rPr>
                <w:sz w:val="19"/>
                <w:szCs w:val="19"/>
                <w:color w:val="auto"/>
              </w:rPr>
            </w:pPr>
          </w:p>
        </w:tc>
      </w:tr>
      <w:tr>
        <w:trPr>
          <w:trHeight w:val="1499"/>
        </w:trPr>
        <w:tc>
          <w:tcPr>
            <w:tcW w:w="18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Proposal 5</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did not approve the shareholder proposal to move to a 10% ownership threshold for shareholders to request action by written consent.</w:t>
      </w:r>
    </w:p>
    <w:p>
      <w:pPr>
        <w:spacing w:after="0" w:line="303" w:lineRule="exact"/>
        <w:rPr>
          <w:sz w:val="20"/>
          <w:szCs w:val="20"/>
          <w:color w:val="auto"/>
        </w:rPr>
      </w:pPr>
    </w:p>
    <w:tbl>
      <w:tblPr>
        <w:tblLayout w:type="fixed"/>
        <w:tblInd w:w="1800" w:type="dxa"/>
        <w:tblCellMar>
          <w:top w:w="0" w:type="dxa"/>
          <w:left w:w="0" w:type="dxa"/>
          <w:bottom w:w="0" w:type="dxa"/>
          <w:right w:w="0" w:type="dxa"/>
        </w:tblCellMar>
      </w:tblPr>
      <w:tr>
        <w:trPr>
          <w:trHeight w:val="229"/>
        </w:trPr>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1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7"/>
              </w:rPr>
              <w:t>Against</w:t>
            </w:r>
          </w:p>
        </w:tc>
        <w:tc>
          <w:tcPr>
            <w:tcW w:w="18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Abstain</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23"/>
        </w:trPr>
        <w:tc>
          <w:tcPr>
            <w:tcW w:w="15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58,332,772</w:t>
            </w:r>
          </w:p>
        </w:tc>
        <w:tc>
          <w:tcPr>
            <w:tcW w:w="24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70,552,962</w:t>
            </w:r>
          </w:p>
        </w:tc>
        <w:tc>
          <w:tcPr>
            <w:tcW w:w="24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869,361</w:t>
            </w:r>
          </w:p>
        </w:tc>
        <w:tc>
          <w:tcPr>
            <w:tcW w:w="240" w:type="dxa"/>
            <w:vAlign w:val="bottom"/>
            <w:tcBorders>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14,385,935</w:t>
            </w:r>
          </w:p>
        </w:tc>
      </w:tr>
    </w:tbl>
    <w:p>
      <w:pPr>
        <w:spacing w:after="0" w:line="3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Board of Directors will carefully consider the shareholders' votes on these proposals and the feedback received in the course of our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35" w:right="659" w:bottom="1440" w:gutter="0" w:footer="0" w:header="0"/>
        </w:sectPr>
      </w:pPr>
    </w:p>
    <w:bookmarkStart w:id="3" w:name="page4"/>
    <w:bookmarkEnd w:id="3"/>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1635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(Signature)</w:t>
      </w:r>
    </w:p>
    <w:p>
      <w:pPr>
        <w:ind w:left="6320"/>
        <w:spacing w:after="0" w:line="203" w:lineRule="auto"/>
        <w:rPr>
          <w:sz w:val="20"/>
          <w:szCs w:val="20"/>
          <w:color w:val="auto"/>
        </w:rPr>
      </w:pPr>
      <w:r>
        <w:rPr>
          <w:rFonts w:ascii="Arial" w:cs="Arial" w:eastAsia="Arial" w:hAnsi="Arial"/>
          <w:sz w:val="18"/>
          <w:szCs w:val="18"/>
          <w:color w:val="auto"/>
        </w:rPr>
        <w:t>Jennifer C. McGarey</w:t>
      </w:r>
    </w:p>
    <w:p>
      <w:pPr>
        <w:ind w:left="6320"/>
        <w:spacing w:after="0"/>
        <w:rPr>
          <w:sz w:val="20"/>
          <w:szCs w:val="20"/>
          <w:color w:val="auto"/>
        </w:rPr>
      </w:pPr>
      <w:r>
        <w:rPr>
          <w:rFonts w:ascii="Arial" w:cs="Arial" w:eastAsia="Arial" w:hAnsi="Arial"/>
          <w:sz w:val="18"/>
          <w:szCs w:val="18"/>
          <w:color w:val="auto"/>
        </w:rPr>
        <w:t>Corporate Vice President and Secretary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May 24, 2021</w:t>
      </w:r>
    </w:p>
    <w:sectPr>
      <w:pgSz w:w="11900" w:h="16838" w:orient="portrait"/>
      <w:cols w:equalWidth="0" w:num="1">
        <w:col w:w="10600"/>
      </w:cols>
      <w:pgMar w:left="320" w:top="931"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2021-05-24T15:20:57Z</dcterms:created>
  <dcterms:modified xsi:type="dcterms:W3CDTF">2021-05-24T15:20:57Z</dcterms:modified>
</cp:coreProperties>
</file>