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8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SCHEDULE 14A</w:t>
      </w:r>
    </w:p>
    <w:p>
      <w:pPr>
        <w:spacing w:after="0" w:line="8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 Pursuant to Section 14(a)</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1213485</wp:posOffset>
            </wp:positionH>
            <wp:positionV relativeFrom="paragraph">
              <wp:posOffset>66040</wp:posOffset>
            </wp:positionV>
            <wp:extent cx="111760" cy="1117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15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44" w:lineRule="exact"/>
        <w:rPr>
          <w:sz w:val="24"/>
          <w:szCs w:val="24"/>
          <w:color w:val="auto"/>
        </w:rPr>
      </w:pPr>
    </w:p>
    <w:p>
      <w:pPr>
        <w:ind w:left="400"/>
        <w:spacing w:after="0"/>
        <w:rPr>
          <w:sz w:val="20"/>
          <w:szCs w:val="20"/>
          <w:color w:val="auto"/>
        </w:rPr>
      </w:pPr>
      <w:r>
        <w:rPr>
          <w:rFonts w:ascii="Arial" w:cs="Arial" w:eastAsia="Arial" w:hAnsi="Arial"/>
          <w:sz w:val="18"/>
          <w:szCs w:val="18"/>
          <w:color w:val="auto"/>
        </w:rPr>
        <w:t>Preliminary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-113030</wp:posOffset>
            </wp:positionV>
            <wp:extent cx="120015" cy="1111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11125"/>
                    </a:xfrm>
                    <a:prstGeom prst="rect">
                      <a:avLst/>
                    </a:prstGeom>
                    <a:noFill/>
                  </pic:spPr>
                </pic:pic>
              </a:graphicData>
            </a:graphic>
          </wp:anchor>
        </w:drawing>
      </w:r>
    </w:p>
    <w:p>
      <w:pPr>
        <w:spacing w:after="0" w:line="116" w:lineRule="exact"/>
        <w:rPr>
          <w:sz w:val="24"/>
          <w:szCs w:val="24"/>
          <w:color w:val="auto"/>
        </w:rPr>
      </w:pPr>
    </w:p>
    <w:p>
      <w:pPr>
        <w:ind w:left="400"/>
        <w:spacing w:after="0"/>
        <w:rPr>
          <w:sz w:val="20"/>
          <w:szCs w:val="20"/>
          <w:color w:val="auto"/>
        </w:rPr>
      </w:pPr>
      <w:r>
        <w:rPr>
          <w:rFonts w:ascii="Arial" w:cs="Arial" w:eastAsia="Arial" w:hAnsi="Arial"/>
          <w:sz w:val="18"/>
          <w:szCs w:val="18"/>
          <w:b w:val="1"/>
          <w:bCs w:val="1"/>
          <w:color w:val="auto"/>
        </w:rPr>
        <w:t>Confidential, for Use of the Commission Only (as permitted by Rule 14a-6(e)(2))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-99060</wp:posOffset>
            </wp:positionV>
            <wp:extent cx="120015" cy="111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0015" cy="111760"/>
                    </a:xfrm>
                    <a:prstGeom prst="rect">
                      <a:avLst/>
                    </a:prstGeom>
                    <a:noFill/>
                  </pic:spPr>
                </pic:pic>
              </a:graphicData>
            </a:graphic>
          </wp:anchor>
        </w:drawing>
      </w:r>
    </w:p>
    <w:p>
      <w:pPr>
        <w:spacing w:after="0" w:line="160" w:lineRule="exact"/>
        <w:rPr>
          <w:sz w:val="24"/>
          <w:szCs w:val="24"/>
          <w:color w:val="auto"/>
        </w:rPr>
      </w:pPr>
    </w:p>
    <w:p>
      <w:pPr>
        <w:ind w:left="400"/>
        <w:spacing w:after="0"/>
        <w:rPr>
          <w:sz w:val="20"/>
          <w:szCs w:val="20"/>
          <w:color w:val="auto"/>
        </w:rPr>
      </w:pPr>
      <w:r>
        <w:rPr>
          <w:rFonts w:ascii="Arial" w:cs="Arial" w:eastAsia="Arial" w:hAnsi="Arial"/>
          <w:sz w:val="18"/>
          <w:szCs w:val="18"/>
          <w:color w:val="auto"/>
        </w:rPr>
        <w:t>Definitive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-113030</wp:posOffset>
            </wp:positionV>
            <wp:extent cx="120015" cy="111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015" cy="111125"/>
                    </a:xfrm>
                    <a:prstGeom prst="rect">
                      <a:avLst/>
                    </a:prstGeom>
                    <a:noFill/>
                  </pic:spPr>
                </pic:pic>
              </a:graphicData>
            </a:graphic>
          </wp:anchor>
        </w:drawing>
      </w:r>
    </w:p>
    <w:p>
      <w:pPr>
        <w:spacing w:after="0" w:line="138" w:lineRule="exact"/>
        <w:rPr>
          <w:sz w:val="24"/>
          <w:szCs w:val="24"/>
          <w:color w:val="auto"/>
        </w:rPr>
      </w:pPr>
    </w:p>
    <w:p>
      <w:pPr>
        <w:ind w:left="400"/>
        <w:spacing w:after="0"/>
        <w:rPr>
          <w:sz w:val="20"/>
          <w:szCs w:val="20"/>
          <w:color w:val="auto"/>
        </w:rPr>
      </w:pPr>
      <w:r>
        <w:rPr>
          <w:rFonts w:ascii="Arial" w:cs="Arial" w:eastAsia="Arial" w:hAnsi="Arial"/>
          <w:sz w:val="18"/>
          <w:szCs w:val="18"/>
          <w:color w:val="auto"/>
        </w:rPr>
        <w:t>Definitive Additional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-113030</wp:posOffset>
            </wp:positionV>
            <wp:extent cx="120015" cy="111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0015" cy="1117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92075</wp:posOffset>
            </wp:positionV>
            <wp:extent cx="120015" cy="1117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015" cy="111760"/>
                    </a:xfrm>
                    <a:prstGeom prst="rect">
                      <a:avLst/>
                    </a:prstGeom>
                    <a:noFill/>
                  </pic:spPr>
                </pic:pic>
              </a:graphicData>
            </a:graphic>
          </wp:anchor>
        </w:drawing>
      </w:r>
    </w:p>
    <w:p>
      <w:pPr>
        <w:spacing w:after="0" w:line="138" w:lineRule="exact"/>
        <w:rPr>
          <w:sz w:val="24"/>
          <w:szCs w:val="24"/>
          <w:color w:val="auto"/>
        </w:rPr>
      </w:pPr>
    </w:p>
    <w:p>
      <w:pPr>
        <w:ind w:left="400"/>
        <w:spacing w:after="0"/>
        <w:rPr>
          <w:sz w:val="20"/>
          <w:szCs w:val="20"/>
          <w:color w:val="auto"/>
        </w:rPr>
      </w:pPr>
      <w:r>
        <w:rPr>
          <w:rFonts w:ascii="Arial" w:cs="Arial" w:eastAsia="Arial" w:hAnsi="Arial"/>
          <w:sz w:val="18"/>
          <w:szCs w:val="18"/>
          <w:color w:val="auto"/>
        </w:rPr>
        <w:t>Soliciting Material Pursuant to §240.14a-12</w:t>
      </w:r>
    </w:p>
    <w:p>
      <w:pPr>
        <w:spacing w:after="0" w:line="112"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Northrop Grumman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91440</wp:posOffset>
            </wp:positionV>
            <wp:extent cx="6172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77"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100330</wp:posOffset>
            </wp:positionV>
            <wp:extent cx="61722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46" w:lineRule="exact"/>
        <w:rPr>
          <w:sz w:val="24"/>
          <w:szCs w:val="24"/>
          <w:color w:val="auto"/>
        </w:rPr>
      </w:pPr>
    </w:p>
    <w:p>
      <w:pPr>
        <w:ind w:left="3340"/>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83185</wp:posOffset>
            </wp:positionV>
            <wp:extent cx="120015" cy="1111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0015" cy="111125"/>
                    </a:xfrm>
                    <a:prstGeom prst="rect">
                      <a:avLst/>
                    </a:prstGeom>
                    <a:noFill/>
                  </pic:spPr>
                </pic:pic>
              </a:graphicData>
            </a:graphic>
          </wp:anchor>
        </w:drawing>
      </w:r>
    </w:p>
    <w:p>
      <w:pPr>
        <w:spacing w:after="0" w:line="138" w:lineRule="exact"/>
        <w:rPr>
          <w:sz w:val="24"/>
          <w:szCs w:val="24"/>
          <w:color w:val="auto"/>
        </w:rPr>
      </w:pPr>
    </w:p>
    <w:p>
      <w:pPr>
        <w:ind w:left="720"/>
        <w:spacing w:after="0"/>
        <w:rPr>
          <w:sz w:val="20"/>
          <w:szCs w:val="20"/>
          <w:color w:val="auto"/>
        </w:rPr>
      </w:pPr>
      <w:r>
        <w:rPr>
          <w:rFonts w:ascii="Arial" w:cs="Arial" w:eastAsia="Arial" w:hAnsi="Arial"/>
          <w:sz w:val="18"/>
          <w:szCs w:val="18"/>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120015" cy="1111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0015" cy="111125"/>
                    </a:xfrm>
                    <a:prstGeom prst="rect">
                      <a:avLst/>
                    </a:prstGeom>
                    <a:noFill/>
                  </pic:spPr>
                </pic:pic>
              </a:graphicData>
            </a:graphic>
          </wp:anchor>
        </w:drawing>
      </w:r>
    </w:p>
    <w:p>
      <w:pPr>
        <w:spacing w:after="0" w:line="43" w:lineRule="exact"/>
        <w:rPr>
          <w:sz w:val="24"/>
          <w:szCs w:val="24"/>
          <w:color w:val="auto"/>
        </w:rPr>
      </w:pPr>
    </w:p>
    <w:p>
      <w:pPr>
        <w:ind w:left="720"/>
        <w:spacing w:after="0"/>
        <w:rPr>
          <w:sz w:val="20"/>
          <w:szCs w:val="20"/>
          <w:color w:val="auto"/>
        </w:rPr>
      </w:pPr>
      <w:r>
        <w:rPr>
          <w:rFonts w:ascii="Arial" w:cs="Arial" w:eastAsia="Arial" w:hAnsi="Arial"/>
          <w:sz w:val="18"/>
          <w:szCs w:val="18"/>
          <w:color w:val="auto"/>
        </w:rPr>
        <w:t>Fee computed on table below per Exchange Act Rules 14a-6(i)(1) and 0-11.</w:t>
      </w:r>
    </w:p>
    <w:p>
      <w:pPr>
        <w:spacing w:after="0" w:line="104" w:lineRule="exact"/>
        <w:rPr>
          <w:sz w:val="24"/>
          <w:szCs w:val="24"/>
          <w:color w:val="auto"/>
        </w:rPr>
      </w:pPr>
    </w:p>
    <w:p>
      <w:pPr>
        <w:ind w:left="1140" w:hanging="426"/>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306" w:lineRule="exact"/>
        <w:rPr>
          <w:rFonts w:ascii="Arial" w:cs="Arial" w:eastAsia="Arial" w:hAnsi="Arial"/>
          <w:sz w:val="18"/>
          <w:szCs w:val="18"/>
          <w:color w:val="auto"/>
        </w:rPr>
      </w:pPr>
    </w:p>
    <w:p>
      <w:pPr>
        <w:ind w:left="1120" w:hanging="406"/>
        <w:spacing w:after="0"/>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130" w:lineRule="exact"/>
        <w:rPr>
          <w:rFonts w:ascii="Arial" w:cs="Arial" w:eastAsia="Arial" w:hAnsi="Arial"/>
          <w:sz w:val="18"/>
          <w:szCs w:val="18"/>
          <w:color w:val="auto"/>
        </w:rPr>
      </w:pPr>
    </w:p>
    <w:p>
      <w:pPr>
        <w:ind w:left="720" w:hanging="6"/>
        <w:spacing w:after="0" w:line="227" w:lineRule="auto"/>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96" w:lineRule="exact"/>
        <w:rPr>
          <w:rFonts w:ascii="Arial" w:cs="Arial" w:eastAsia="Arial" w:hAnsi="Arial"/>
          <w:sz w:val="18"/>
          <w:szCs w:val="18"/>
          <w:color w:val="auto"/>
        </w:rPr>
      </w:pPr>
    </w:p>
    <w:p>
      <w:pPr>
        <w:ind w:left="1140" w:hanging="426"/>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306" w:lineRule="exact"/>
        <w:rPr>
          <w:rFonts w:ascii="Arial" w:cs="Arial" w:eastAsia="Arial" w:hAnsi="Arial"/>
          <w:sz w:val="18"/>
          <w:szCs w:val="18"/>
          <w:color w:val="auto"/>
        </w:rPr>
      </w:pPr>
    </w:p>
    <w:p>
      <w:pPr>
        <w:ind w:left="1140" w:hanging="426"/>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wp:posOffset>
            </wp:positionH>
            <wp:positionV relativeFrom="paragraph">
              <wp:posOffset>151765</wp:posOffset>
            </wp:positionV>
            <wp:extent cx="69005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236220</wp:posOffset>
            </wp:positionH>
            <wp:positionV relativeFrom="paragraph">
              <wp:posOffset>-173355</wp:posOffset>
            </wp:positionV>
            <wp:extent cx="69005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236220</wp:posOffset>
            </wp:positionH>
            <wp:positionV relativeFrom="paragraph">
              <wp:posOffset>-499110</wp:posOffset>
            </wp:positionV>
            <wp:extent cx="69005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236220</wp:posOffset>
            </wp:positionH>
            <wp:positionV relativeFrom="paragraph">
              <wp:posOffset>-935990</wp:posOffset>
            </wp:positionV>
            <wp:extent cx="69005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236220</wp:posOffset>
            </wp:positionH>
            <wp:positionV relativeFrom="paragraph">
              <wp:posOffset>-1150620</wp:posOffset>
            </wp:positionV>
            <wp:extent cx="69005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186055</wp:posOffset>
            </wp:positionV>
            <wp:extent cx="120015" cy="1111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0015" cy="111125"/>
                    </a:xfrm>
                    <a:prstGeom prst="rect">
                      <a:avLst/>
                    </a:prstGeom>
                    <a:noFill/>
                  </pic:spPr>
                </pic:pic>
              </a:graphicData>
            </a:graphic>
          </wp:anchor>
        </w:drawing>
      </w:r>
    </w:p>
    <w:p>
      <w:pPr>
        <w:spacing w:after="0" w:line="300" w:lineRule="exact"/>
        <w:rPr>
          <w:sz w:val="24"/>
          <w:szCs w:val="24"/>
          <w:color w:val="auto"/>
        </w:rPr>
      </w:pPr>
    </w:p>
    <w:p>
      <w:pPr>
        <w:ind w:left="720"/>
        <w:spacing w:after="0"/>
        <w:rPr>
          <w:sz w:val="20"/>
          <w:szCs w:val="20"/>
          <w:color w:val="auto"/>
        </w:rPr>
      </w:pPr>
      <w:r>
        <w:rPr>
          <w:rFonts w:ascii="Arial" w:cs="Arial" w:eastAsia="Arial" w:hAnsi="Arial"/>
          <w:sz w:val="18"/>
          <w:szCs w:val="18"/>
          <w:color w:val="auto"/>
        </w:rPr>
        <w:t>Fee paid previously with preliminary materials.</w:t>
      </w:r>
    </w:p>
    <w:p>
      <w:pPr>
        <w:spacing w:after="0" w:line="50" w:lineRule="exact"/>
        <w:rPr>
          <w:sz w:val="24"/>
          <w:szCs w:val="24"/>
          <w:color w:val="auto"/>
        </w:rPr>
      </w:pPr>
    </w:p>
    <w:p>
      <w:pPr>
        <w:ind w:left="720" w:right="80"/>
        <w:spacing w:after="0" w:line="219" w:lineRule="auto"/>
        <w:rPr>
          <w:sz w:val="20"/>
          <w:szCs w:val="20"/>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-273050</wp:posOffset>
            </wp:positionV>
            <wp:extent cx="120015" cy="1111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0015" cy="111125"/>
                    </a:xfrm>
                    <a:prstGeom prst="rect">
                      <a:avLst/>
                    </a:prstGeom>
                    <a:noFill/>
                  </pic:spPr>
                </pic:pic>
              </a:graphicData>
            </a:graphic>
          </wp:anchor>
        </w:drawing>
      </w:r>
    </w:p>
    <w:p>
      <w:pPr>
        <w:spacing w:after="0" w:line="48" w:lineRule="exact"/>
        <w:rPr>
          <w:sz w:val="24"/>
          <w:szCs w:val="24"/>
          <w:color w:val="auto"/>
        </w:rPr>
      </w:pPr>
    </w:p>
    <w:p>
      <w:pPr>
        <w:ind w:left="1120" w:hanging="406"/>
        <w:spacing w:after="0"/>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06" w:lineRule="exact"/>
        <w:rPr>
          <w:rFonts w:ascii="Arial" w:cs="Arial" w:eastAsia="Arial" w:hAnsi="Arial"/>
          <w:sz w:val="18"/>
          <w:szCs w:val="18"/>
          <w:color w:val="auto"/>
        </w:rPr>
      </w:pPr>
    </w:p>
    <w:p>
      <w:pPr>
        <w:ind w:left="1140" w:hanging="426"/>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1140" w:hanging="426"/>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1140" w:hanging="426"/>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236220</wp:posOffset>
            </wp:positionH>
            <wp:positionV relativeFrom="paragraph">
              <wp:posOffset>151765</wp:posOffset>
            </wp:positionV>
            <wp:extent cx="69005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236220</wp:posOffset>
            </wp:positionH>
            <wp:positionV relativeFrom="paragraph">
              <wp:posOffset>-173355</wp:posOffset>
            </wp:positionV>
            <wp:extent cx="69005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236220</wp:posOffset>
            </wp:positionH>
            <wp:positionV relativeFrom="paragraph">
              <wp:posOffset>-499110</wp:posOffset>
            </wp:positionV>
            <wp:extent cx="69005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236220</wp:posOffset>
            </wp:positionH>
            <wp:positionV relativeFrom="paragraph">
              <wp:posOffset>-824865</wp:posOffset>
            </wp:positionV>
            <wp:extent cx="69005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00545" cy="8890"/>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551815</wp:posOffset>
            </wp:positionV>
            <wp:extent cx="6995160" cy="905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5951855</wp:posOffset>
            </wp:positionH>
            <wp:positionV relativeFrom="page">
              <wp:posOffset>765810</wp:posOffset>
            </wp:positionV>
            <wp:extent cx="1388745"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388745" cy="30861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April 2, 2021</w:t>
      </w:r>
    </w:p>
    <w:p>
      <w:pPr>
        <w:spacing w:after="0" w:line="10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On behalf of the Board of Directors and management team, we cordially invite you to attend Northrop Grumman Corporation's 2021 Annual Meeting of Shareholders. In light of the ongoing COVID-19 pandemic we have scheduled this year's meeting to be held in a virtual only format on Wednesday, May 19, 2021 beginning at 8:00 a.m., Eastern Daylight Time, to help protect the health and well-being of all our stakeholders.</w:t>
      </w:r>
    </w:p>
    <w:p>
      <w:pPr>
        <w:spacing w:after="0" w:line="8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look forward to engaging with those of you who are able to attend our virtual meeting. At this meeting, shareholders will vote on matters set forth in the accompanying Notice of 2021 Annual Meeting of Shareholders and Proxy Statement. We will also provide a report on our Company.</w:t>
      </w:r>
    </w:p>
    <w:p>
      <w:pPr>
        <w:spacing w:after="0" w:line="6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Together with our suppliers and partners, we operated through the pandemic, executed well on our programs, and won new business that strengthens our foundation for the future. We began the year operating in a new sector structure that aligned our unique capabilities in space, missiles, advanced weapons, mission systems, and aeronautics. Our 2020 results demonstrate that our strategy is creating value. We captured approximately $53 billion in new awards, which increased total backlog by 25% to $81 billion; sales rose 9%, diluted EPS increased 44%, MTM-adjusted diluted EPS* increased 11.5%, cash provided by operating activities totaled $4.3 billion after a $750 million discretionary pension contribution, and adjusted free cash flow* increased 18% to $3.7 billion.</w:t>
      </w:r>
    </w:p>
    <w:p>
      <w:pPr>
        <w:spacing w:after="0" w:line="86" w:lineRule="exact"/>
        <w:rPr>
          <w:sz w:val="20"/>
          <w:szCs w:val="20"/>
          <w:color w:val="auto"/>
        </w:rPr>
      </w:pPr>
    </w:p>
    <w:p>
      <w:pPr>
        <w:ind w:right="400"/>
        <w:spacing w:after="0" w:line="252" w:lineRule="auto"/>
        <w:rPr>
          <w:sz w:val="20"/>
          <w:szCs w:val="20"/>
          <w:color w:val="auto"/>
        </w:rPr>
      </w:pPr>
      <w:r>
        <w:rPr>
          <w:rFonts w:ascii="Arial" w:cs="Arial" w:eastAsia="Arial" w:hAnsi="Arial"/>
          <w:sz w:val="18"/>
          <w:szCs w:val="18"/>
          <w:color w:val="auto"/>
        </w:rPr>
        <w:t>We continued to execute a balanced capital deployment strategy that prioritizes investing in our business, maintaining a strong balance sheet, and returning cash to our shareholders. We increased internal R&amp;D spending to $1.1 billion and capital expenditures rose to $1.4 billion to support continued innovation and affordability for our customers. We again strengthened our balance sheet by making a $750 million voluntary contribution to our pension plans. Our robust cash generation also enabled the return of $1.4 billion to our shareholders through dividends and share repurchases, and we raised our quarterly dividend by approximately 10%, our 17th consecutive annual increase, a notable accomplishment in last year's challenging environment.</w:t>
      </w:r>
    </w:p>
    <w:p>
      <w:pPr>
        <w:spacing w:after="0" w:line="8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December, we announced the divestiture of our IT services business for $3.4 billion. This latest portfolio shaping action sharpens our focus on growing core businesses where technology and innovation are key differentiators to address our customers' most challenging national security missions. The proceeds from this sale, along with substantial cash on our balance sheet, will enable continued investment in our business, deleveraging of our balance sheet and return of cash to shareholders.</w:t>
      </w:r>
    </w:p>
    <w:p>
      <w:pPr>
        <w:spacing w:after="0" w:line="6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While delivering strong financial results is a primary focus of our Company, we continue to strengthen our culture through leading environmental, social and governance practices. Female representation on our Board continues to exceed more than 30%. During the period from 2010 to 2020, women on our senior executive team increased from 8% to 55%, and at the vice president level from 16% to 32%. DiversityInc named us one of their Top 50 Companies for Diversity for the 11th year in a row; we were named as one of Equileap's top 25 companies on the S&amp;P 500 for gender equality; and were included on the 2020 Best of the Best Top Supplier Diversity Programs by U.S. Veterans magazine. In addition, we were included for the fifth consecutive year in the Dow Jones Sustainability Index for North America; and we maintained our leadership score in CDP's 2020 climate change program for the ninth consecutive year. We continue to be actively engaged with our shareholders to ensure our governance, compensation and sustainability practices are well designed to support long-term profitable growth and value creation for all our stakeholders.</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Your vote is important. Your proxy or voting instruction card includes specific information regarding the several ways to vote your shares. We encourage you to vote as soon as possible. You may vote over the internet, by telephone or mobile device, or by mailing a proxy or voting instruction card.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support and continued interest in Northrop Grumman Corporation.</w:t>
      </w:r>
    </w:p>
    <w:p>
      <w:pPr>
        <w:spacing w:after="0" w:line="387" w:lineRule="exact"/>
        <w:rPr>
          <w:sz w:val="20"/>
          <w:szCs w:val="20"/>
          <w:color w:val="auto"/>
        </w:rPr>
      </w:pPr>
    </w:p>
    <w:p>
      <w:pPr>
        <w:ind w:left="20"/>
        <w:spacing w:after="0"/>
        <w:tabs>
          <w:tab w:leader="none" w:pos="4820" w:val="left"/>
        </w:tabs>
        <w:rPr>
          <w:sz w:val="20"/>
          <w:szCs w:val="20"/>
          <w:color w:val="auto"/>
        </w:rPr>
      </w:pPr>
      <w:r>
        <w:rPr>
          <w:rFonts w:ascii="Arial" w:cs="Arial" w:eastAsia="Arial" w:hAnsi="Arial"/>
          <w:sz w:val="18"/>
          <w:szCs w:val="18"/>
          <w:color w:val="auto"/>
        </w:rPr>
        <w:t>Kathy Warden</w:t>
      </w:r>
      <w:r>
        <w:rPr>
          <w:sz w:val="20"/>
          <w:szCs w:val="20"/>
          <w:color w:val="auto"/>
        </w:rPr>
        <w:tab/>
      </w:r>
      <w:r>
        <w:rPr>
          <w:rFonts w:ascii="Arial" w:cs="Arial" w:eastAsia="Arial" w:hAnsi="Arial"/>
          <w:sz w:val="17"/>
          <w:szCs w:val="17"/>
          <w:color w:val="auto"/>
        </w:rPr>
        <w:t>Donald E. Felsinger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1482725" cy="394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82725" cy="39433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74930</wp:posOffset>
            </wp:positionV>
            <wp:extent cx="1586230" cy="316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8623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tabs>
          <w:tab w:leader="none" w:pos="4820" w:val="left"/>
        </w:tabs>
        <w:rPr>
          <w:sz w:val="20"/>
          <w:szCs w:val="20"/>
          <w:color w:val="auto"/>
        </w:rPr>
      </w:pPr>
      <w:r>
        <w:rPr>
          <w:rFonts w:ascii="Arial" w:cs="Arial" w:eastAsia="Arial" w:hAnsi="Arial"/>
          <w:sz w:val="18"/>
          <w:szCs w:val="18"/>
          <w:color w:val="auto"/>
        </w:rPr>
        <w:t>Chairman, Chief Executive Officer and President</w:t>
      </w:r>
      <w:r>
        <w:rPr>
          <w:sz w:val="20"/>
          <w:szCs w:val="20"/>
          <w:color w:val="auto"/>
        </w:rPr>
        <w:tab/>
      </w:r>
      <w:r>
        <w:rPr>
          <w:rFonts w:ascii="Arial" w:cs="Arial" w:eastAsia="Arial" w:hAnsi="Arial"/>
          <w:sz w:val="18"/>
          <w:szCs w:val="18"/>
          <w:color w:val="auto"/>
        </w:rPr>
        <w:t>Lead Independent Director</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 This metric is a non-GAAP financial measure. For more information, see "Appendix A - Use of Non-GAAP Financial Measures."</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5951855</wp:posOffset>
            </wp:positionH>
            <wp:positionV relativeFrom="page">
              <wp:posOffset>911860</wp:posOffset>
            </wp:positionV>
            <wp:extent cx="1388745" cy="308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388745" cy="30861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20" w:right="5320"/>
        <w:spacing w:after="0" w:line="249" w:lineRule="auto"/>
        <w:rPr>
          <w:sz w:val="20"/>
          <w:szCs w:val="20"/>
          <w:color w:val="auto"/>
        </w:rPr>
      </w:pPr>
      <w:r>
        <w:rPr>
          <w:rFonts w:ascii="Arial" w:cs="Arial" w:eastAsia="Arial" w:hAnsi="Arial"/>
          <w:sz w:val="50"/>
          <w:szCs w:val="50"/>
          <w:b w:val="1"/>
          <w:bCs w:val="1"/>
          <w:color w:val="FFFFFF"/>
        </w:rPr>
        <w:t>Notice of 2021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-709295</wp:posOffset>
            </wp:positionV>
            <wp:extent cx="7132320" cy="6686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66865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29"/>
          <w:szCs w:val="29"/>
          <w:b w:val="1"/>
          <w:bCs w:val="1"/>
          <w:color w:val="00249C"/>
        </w:rPr>
        <w:t>Wednesday, May 19, 2021</w:t>
      </w:r>
    </w:p>
    <w:p>
      <w:pPr>
        <w:spacing w:after="0" w:line="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8:00 a.m., Eastern Daylight Time</w:t>
      </w:r>
    </w:p>
    <w:p>
      <w:pPr>
        <w:spacing w:after="0" w:line="25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2021 Annual Meeting of Shareholders (Annual Meeting) of Northrop Grumman Corporation (Company) will be held on Wednesday, May 19, 2021 at 8:00 a.m., Eastern Daylight Time.</w:t>
      </w:r>
    </w:p>
    <w:p>
      <w:pPr>
        <w:spacing w:after="0" w:line="7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 light of the COVID-19 pandemic, we will hold our Annual Meeting in a virtual only format to help protect the health and well-being of all our stakeholders.</w:t>
      </w:r>
    </w:p>
    <w:p>
      <w:pPr>
        <w:spacing w:after="0" w:line="67" w:lineRule="exact"/>
        <w:rPr>
          <w:sz w:val="20"/>
          <w:szCs w:val="20"/>
          <w:color w:val="auto"/>
        </w:rPr>
      </w:pPr>
    </w:p>
    <w:p>
      <w:pPr>
        <w:ind w:left="900" w:hanging="325"/>
        <w:spacing w:after="0"/>
        <w:tabs>
          <w:tab w:leader="none" w:pos="900" w:val="left"/>
        </w:tabs>
        <w:numPr>
          <w:ilvl w:val="0"/>
          <w:numId w:val="3"/>
        </w:numPr>
        <w:rPr>
          <w:rFonts w:ascii="Arial" w:cs="Arial" w:eastAsia="Arial" w:hAnsi="Arial"/>
          <w:sz w:val="22"/>
          <w:szCs w:val="22"/>
          <w:color w:val="auto"/>
        </w:rPr>
      </w:pPr>
      <w:r>
        <w:rPr>
          <w:rFonts w:ascii="Arial" w:cs="Arial" w:eastAsia="Arial" w:hAnsi="Arial"/>
          <w:sz w:val="18"/>
          <w:szCs w:val="18"/>
          <w:color w:val="auto"/>
        </w:rPr>
        <w:t xml:space="preserve">You will be able to vote at, and participate in, the Annual Meeting by visiting </w:t>
      </w:r>
      <w:r>
        <w:rPr>
          <w:rFonts w:ascii="Arial" w:cs="Arial" w:eastAsia="Arial" w:hAnsi="Arial"/>
          <w:sz w:val="18"/>
          <w:szCs w:val="18"/>
          <w:i w:val="1"/>
          <w:iCs w:val="1"/>
          <w:color w:val="auto"/>
        </w:rPr>
        <w:t>www.meetingcenter.io/241697037</w:t>
      </w:r>
      <w:r>
        <w:rPr>
          <w:rFonts w:ascii="Arial" w:cs="Arial" w:eastAsia="Arial" w:hAnsi="Arial"/>
          <w:sz w:val="18"/>
          <w:szCs w:val="18"/>
          <w:color w:val="auto"/>
        </w:rPr>
        <w:t>.</w:t>
      </w:r>
    </w:p>
    <w:p>
      <w:pPr>
        <w:spacing w:after="0" w:line="39" w:lineRule="exact"/>
        <w:rPr>
          <w:rFonts w:ascii="Arial" w:cs="Arial" w:eastAsia="Arial" w:hAnsi="Arial"/>
          <w:sz w:val="22"/>
          <w:szCs w:val="22"/>
          <w:color w:val="auto"/>
        </w:rPr>
      </w:pPr>
    </w:p>
    <w:p>
      <w:pPr>
        <w:ind w:left="900" w:right="80" w:hanging="325"/>
        <w:spacing w:after="0" w:line="225" w:lineRule="auto"/>
        <w:tabs>
          <w:tab w:leader="none" w:pos="895" w:val="left"/>
        </w:tabs>
        <w:numPr>
          <w:ilvl w:val="0"/>
          <w:numId w:val="3"/>
        </w:numPr>
        <w:rPr>
          <w:rFonts w:ascii="Arial" w:cs="Arial" w:eastAsia="Arial" w:hAnsi="Arial"/>
          <w:sz w:val="22"/>
          <w:szCs w:val="22"/>
          <w:color w:val="auto"/>
        </w:rPr>
      </w:pPr>
      <w:r>
        <w:rPr>
          <w:rFonts w:ascii="Arial" w:cs="Arial" w:eastAsia="Arial" w:hAnsi="Arial"/>
          <w:sz w:val="18"/>
          <w:szCs w:val="18"/>
          <w:color w:val="auto"/>
        </w:rPr>
        <w:t>Certain materials customarily made available at shareholder meetings (including the proxy materials and our shareholder list) will be available during the virtual meeting.</w:t>
      </w:r>
    </w:p>
    <w:p>
      <w:pPr>
        <w:ind w:left="900" w:right="540" w:hanging="325"/>
        <w:spacing w:after="0" w:line="261" w:lineRule="auto"/>
        <w:tabs>
          <w:tab w:leader="none" w:pos="868"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Additional details regarding the logistics of the meeting can be found in the accompanying Proxy Statement, on the Investor Relations section of our website (</w:t>
      </w:r>
      <w:r>
        <w:rPr>
          <w:rFonts w:ascii="Arial" w:cs="Arial" w:eastAsia="Arial" w:hAnsi="Arial"/>
          <w:sz w:val="18"/>
          <w:szCs w:val="18"/>
          <w:i w:val="1"/>
          <w:iCs w:val="1"/>
          <w:color w:val="auto"/>
        </w:rPr>
        <w:t>www.northropgrumman.com</w:t>
      </w:r>
      <w:r>
        <w:rPr>
          <w:rFonts w:ascii="Arial" w:cs="Arial" w:eastAsia="Arial" w:hAnsi="Arial"/>
          <w:sz w:val="18"/>
          <w:szCs w:val="18"/>
          <w:color w:val="auto"/>
        </w:rPr>
        <w:t xml:space="preserve">) and </w:t>
      </w:r>
      <w:r>
        <w:rPr>
          <w:rFonts w:ascii="Arial" w:cs="Arial" w:eastAsia="Arial" w:hAnsi="Arial"/>
          <w:sz w:val="18"/>
          <w:szCs w:val="18"/>
          <w:i w:val="1"/>
          <w:iCs w:val="1"/>
          <w:color w:val="auto"/>
        </w:rPr>
        <w:t>www.edocumentview.com/noc</w:t>
      </w:r>
      <w:r>
        <w:rPr>
          <w:rFonts w:ascii="Arial" w:cs="Arial" w:eastAsia="Arial" w:hAnsi="Arial"/>
          <w:sz w:val="18"/>
          <w:szCs w:val="18"/>
          <w:color w:val="auto"/>
        </w:rPr>
        <w:t>.</w:t>
      </w:r>
    </w:p>
    <w:p>
      <w:pPr>
        <w:spacing w:after="0" w:line="76"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Shareholders of record at the close of business on March 23, 2021 are entitled to vote at the Annual Meeting. The following items are on the agenda:</w:t>
      </w:r>
    </w:p>
    <w:p>
      <w:pPr>
        <w:spacing w:after="0" w:line="1" w:lineRule="exact"/>
        <w:rPr>
          <w:sz w:val="20"/>
          <w:szCs w:val="20"/>
          <w:color w:val="auto"/>
        </w:rPr>
      </w:pPr>
    </w:p>
    <w:p>
      <w:pPr>
        <w:ind w:left="1140" w:hanging="565"/>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election of the 12 nominees named in the accompanying Proxy Statement;</w:t>
      </w:r>
    </w:p>
    <w:p>
      <w:pPr>
        <w:spacing w:after="0" w:line="103" w:lineRule="exact"/>
        <w:rPr>
          <w:rFonts w:ascii="Arial" w:cs="Arial" w:eastAsia="Arial" w:hAnsi="Arial"/>
          <w:sz w:val="18"/>
          <w:szCs w:val="18"/>
          <w:color w:val="auto"/>
        </w:rPr>
      </w:pPr>
    </w:p>
    <w:p>
      <w:pPr>
        <w:ind w:left="1140" w:hanging="565"/>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proposal to approve, on an advisory basis, the compensation of our Named Executive Officers;</w:t>
      </w:r>
    </w:p>
    <w:p>
      <w:pPr>
        <w:spacing w:after="0" w:line="90" w:lineRule="exact"/>
        <w:rPr>
          <w:rFonts w:ascii="Arial" w:cs="Arial" w:eastAsia="Arial" w:hAnsi="Arial"/>
          <w:sz w:val="18"/>
          <w:szCs w:val="18"/>
          <w:color w:val="auto"/>
        </w:rPr>
      </w:pPr>
    </w:p>
    <w:p>
      <w:pPr>
        <w:ind w:left="1140" w:right="260" w:hanging="565"/>
        <w:spacing w:after="0" w:line="261" w:lineRule="auto"/>
        <w:tabs>
          <w:tab w:leader="none" w:pos="1141"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proposal to ratify the appointment of Deloitte &amp; Touche LLP as our Independent Auditor for the year ending December 31, 2021;</w:t>
      </w:r>
    </w:p>
    <w:p>
      <w:pPr>
        <w:spacing w:after="0" w:line="76" w:lineRule="exact"/>
        <w:rPr>
          <w:rFonts w:ascii="Arial" w:cs="Arial" w:eastAsia="Arial" w:hAnsi="Arial"/>
          <w:sz w:val="18"/>
          <w:szCs w:val="18"/>
          <w:color w:val="auto"/>
        </w:rPr>
      </w:pPr>
    </w:p>
    <w:p>
      <w:pPr>
        <w:ind w:left="1140" w:right="800" w:hanging="565"/>
        <w:spacing w:after="0" w:line="261" w:lineRule="auto"/>
        <w:tabs>
          <w:tab w:leader="none" w:pos="1141"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shareholder proposal that the Company assess and report on potential human rights impacts that could result from governments' use of our products and services, including in conflict-affected areas;</w:t>
      </w:r>
    </w:p>
    <w:p>
      <w:pPr>
        <w:spacing w:after="0" w:line="76" w:lineRule="exact"/>
        <w:rPr>
          <w:rFonts w:ascii="Arial" w:cs="Arial" w:eastAsia="Arial" w:hAnsi="Arial"/>
          <w:sz w:val="18"/>
          <w:szCs w:val="18"/>
          <w:color w:val="auto"/>
        </w:rPr>
      </w:pPr>
    </w:p>
    <w:p>
      <w:pPr>
        <w:ind w:left="1140" w:hanging="565"/>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shareholder proposal to move to a 10% ownership threshold for shareholders to request action by written consent; and</w:t>
      </w:r>
    </w:p>
    <w:p>
      <w:pPr>
        <w:spacing w:after="0" w:line="90" w:lineRule="exact"/>
        <w:rPr>
          <w:rFonts w:ascii="Arial" w:cs="Arial" w:eastAsia="Arial" w:hAnsi="Arial"/>
          <w:sz w:val="18"/>
          <w:szCs w:val="18"/>
          <w:color w:val="auto"/>
        </w:rPr>
      </w:pPr>
    </w:p>
    <w:p>
      <w:pPr>
        <w:ind w:left="1140" w:hanging="565"/>
        <w:spacing w:after="0" w:line="261" w:lineRule="auto"/>
        <w:tabs>
          <w:tab w:leader="none" w:pos="1141"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business as may properly come before the Annual Meeting or any adjournment or postponement thereof by or at the direction of the Board of Directors.</w:t>
      </w:r>
    </w:p>
    <w:p>
      <w:pPr>
        <w:spacing w:after="0" w:line="7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encourage all shareholders to vote on the matters described in the accompanying Proxy Statement prior to the Annual Meeting. Please see the section entitled "Questions and Answers About the Annual Meeting" on page 84 for information about voting over the internet, by telephone or mobile device, or by mailing a proxy or voting instruction card.</w:t>
      </w:r>
    </w:p>
    <w:p>
      <w:pPr>
        <w:spacing w:after="0" w:line="16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6350</wp:posOffset>
            </wp:positionV>
            <wp:extent cx="1234440" cy="402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3444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Jennifer C. McGarey</w:t>
      </w:r>
    </w:p>
    <w:p>
      <w:pPr>
        <w:ind w:left="4420"/>
        <w:spacing w:after="0"/>
        <w:rPr>
          <w:sz w:val="20"/>
          <w:szCs w:val="20"/>
          <w:color w:val="auto"/>
        </w:rPr>
      </w:pPr>
      <w:r>
        <w:rPr>
          <w:rFonts w:ascii="Arial" w:cs="Arial" w:eastAsia="Arial" w:hAnsi="Arial"/>
          <w:sz w:val="18"/>
          <w:szCs w:val="18"/>
          <w:i w:val="1"/>
          <w:iCs w:val="1"/>
          <w:color w:val="auto"/>
        </w:rPr>
        <w:t>Corporate Vice President and Secretary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April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149465" cy="4286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428625"/>
                    </a:xfrm>
                    <a:prstGeom prst="rect">
                      <a:avLst/>
                    </a:prstGeom>
                    <a:noFill/>
                  </pic:spPr>
                </pic:pic>
              </a:graphicData>
            </a:graphic>
          </wp:anchor>
        </w:drawing>
      </w:r>
    </w:p>
    <w:p>
      <w:pPr>
        <w:spacing w:after="0" w:line="241" w:lineRule="exact"/>
        <w:rPr>
          <w:sz w:val="20"/>
          <w:szCs w:val="20"/>
          <w:color w:val="auto"/>
        </w:rPr>
      </w:pPr>
    </w:p>
    <w:p>
      <w:pPr>
        <w:jc w:val="both"/>
        <w:ind w:left="40" w:right="440"/>
        <w:spacing w:after="0" w:line="222" w:lineRule="auto"/>
        <w:rPr>
          <w:sz w:val="20"/>
          <w:szCs w:val="20"/>
          <w:color w:val="auto"/>
        </w:rPr>
      </w:pPr>
      <w:r>
        <w:rPr>
          <w:rFonts w:ascii="Arial" w:cs="Arial" w:eastAsia="Arial" w:hAnsi="Arial"/>
          <w:sz w:val="20"/>
          <w:szCs w:val="20"/>
          <w:b w:val="1"/>
          <w:bCs w:val="1"/>
          <w:color w:val="auto"/>
        </w:rPr>
        <w:t xml:space="preserve">Important Notice Regarding the Availability of Proxy Materials for the Shareholders Meeting to be held on May 19, 2021: The Proxy Statement for the 2021 Annual Meeting of Shareholders and the Annual Report for the year ended December 31, 2020 are available at: </w:t>
      </w:r>
      <w:r>
        <w:rPr>
          <w:rFonts w:ascii="Arial" w:cs="Arial" w:eastAsia="Arial" w:hAnsi="Arial"/>
          <w:sz w:val="20"/>
          <w:szCs w:val="20"/>
          <w:b w:val="1"/>
          <w:bCs w:val="1"/>
          <w:i w:val="1"/>
          <w:iCs w:val="1"/>
          <w:color w:val="auto"/>
        </w:rPr>
        <w:t>www.edocumentview.com/noc</w:t>
      </w:r>
      <w:r>
        <w:rPr>
          <w:rFonts w:ascii="Arial" w:cs="Arial" w:eastAsia="Arial" w:hAnsi="Arial"/>
          <w:sz w:val="20"/>
          <w:szCs w:val="20"/>
          <w:b w:val="1"/>
          <w:bCs w:val="1"/>
          <w:color w:val="auto"/>
        </w:rPr>
        <w:t>.</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5280"/>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l</w:t>
      </w:r>
    </w:p>
    <w:p>
      <w:pPr>
        <w:sectPr>
          <w:pgSz w:w="11900" w:h="16838" w:orient="portrait"/>
          <w:cols w:equalWidth="0" w:num="1">
            <w:col w:w="11220"/>
          </w:cols>
          <w:pgMar w:left="320" w:top="1440" w:right="359" w:bottom="1440" w:gutter="0" w:footer="0" w:header="0"/>
          <w:type w:val="continuous"/>
        </w:sectPr>
      </w:pPr>
    </w:p>
    <w:bookmarkStart w:id="4" w:name="page5"/>
    <w:bookmarkEnd w:id="4"/>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308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0280" w:type="dxa"/>
            <w:vAlign w:val="bottom"/>
            <w:tcBorders>
              <w:bottom w:val="single" w:sz="8" w:color="auto"/>
            </w:tcBorders>
          </w:tcPr>
          <w:p>
            <w:pPr>
              <w:ind w:left="20"/>
              <w:spacing w:after="0"/>
              <w:rPr>
                <w:rFonts w:ascii="Arial" w:cs="Arial" w:eastAsia="Arial" w:hAnsi="Arial"/>
                <w:sz w:val="22"/>
                <w:szCs w:val="22"/>
                <w:b w:val="1"/>
                <w:bCs w:val="1"/>
                <w:color w:val="00249C"/>
              </w:rPr>
            </w:pPr>
            <w:hyperlink w:anchor="page6">
              <w:r>
                <w:rPr>
                  <w:rFonts w:ascii="Arial" w:cs="Arial" w:eastAsia="Arial" w:hAnsi="Arial"/>
                  <w:sz w:val="22"/>
                  <w:szCs w:val="22"/>
                  <w:b w:val="1"/>
                  <w:bCs w:val="1"/>
                  <w:color w:val="00249C"/>
                </w:rPr>
                <w:t>PROXY STATEMENT SUMMARY</w:t>
              </w:r>
            </w:hyperlink>
          </w:p>
        </w:tc>
        <w:tc>
          <w:tcPr>
            <w:tcW w:w="960" w:type="dxa"/>
            <w:vAlign w:val="bottom"/>
            <w:tcBorders>
              <w:bottom w:val="single" w:sz="8" w:color="auto"/>
            </w:tcBorders>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1</w:t>
              </w:r>
            </w:hyperlink>
          </w:p>
        </w:tc>
      </w:tr>
      <w:tr>
        <w:trPr>
          <w:trHeight w:val="520"/>
        </w:trPr>
        <w:tc>
          <w:tcPr>
            <w:tcW w:w="10280" w:type="dxa"/>
            <w:vAlign w:val="bottom"/>
            <w:tcBorders>
              <w:bottom w:val="single" w:sz="8" w:color="auto"/>
            </w:tcBorders>
          </w:tcPr>
          <w:p>
            <w:pPr>
              <w:ind w:left="20"/>
              <w:spacing w:after="0"/>
              <w:rPr>
                <w:rFonts w:ascii="Arial" w:cs="Arial" w:eastAsia="Arial" w:hAnsi="Arial"/>
                <w:sz w:val="22"/>
                <w:szCs w:val="22"/>
                <w:b w:val="1"/>
                <w:bCs w:val="1"/>
                <w:color w:val="00249C"/>
              </w:rPr>
            </w:pPr>
            <w:hyperlink w:anchor="page12">
              <w:r>
                <w:rPr>
                  <w:rFonts w:ascii="Arial" w:cs="Arial" w:eastAsia="Arial" w:hAnsi="Arial"/>
                  <w:sz w:val="22"/>
                  <w:szCs w:val="22"/>
                  <w:b w:val="1"/>
                  <w:bCs w:val="1"/>
                  <w:color w:val="00249C"/>
                </w:rPr>
                <w:t>PROPOSAL ONE: ELECTION OF DIRECTORS</w:t>
              </w:r>
            </w:hyperlink>
          </w:p>
        </w:tc>
        <w:tc>
          <w:tcPr>
            <w:tcW w:w="960" w:type="dxa"/>
            <w:vAlign w:val="bottom"/>
            <w:tcBorders>
              <w:bottom w:val="single" w:sz="8" w:color="auto"/>
            </w:tcBorders>
          </w:tcPr>
          <w:p>
            <w:pPr>
              <w:jc w:val="right"/>
              <w:spacing w:after="0"/>
              <w:rPr>
                <w:rFonts w:ascii="Arial" w:cs="Arial" w:eastAsia="Arial" w:hAnsi="Arial"/>
                <w:sz w:val="18"/>
                <w:szCs w:val="18"/>
                <w:color w:val="0000FF"/>
              </w:rPr>
            </w:pPr>
            <w:hyperlink w:anchor="page12">
              <w:r>
                <w:rPr>
                  <w:rFonts w:ascii="Arial" w:cs="Arial" w:eastAsia="Arial" w:hAnsi="Arial"/>
                  <w:sz w:val="18"/>
                  <w:szCs w:val="18"/>
                  <w:color w:val="0000FF"/>
                </w:rPr>
                <w:t>7</w:t>
              </w:r>
            </w:hyperlink>
          </w:p>
        </w:tc>
      </w:tr>
      <w:tr>
        <w:trPr>
          <w:trHeight w:val="225"/>
        </w:trPr>
        <w:tc>
          <w:tcPr>
            <w:tcW w:w="10280" w:type="dxa"/>
            <w:vAlign w:val="bottom"/>
          </w:tcPr>
          <w:p>
            <w:pPr>
              <w:ind w:left="140"/>
              <w:spacing w:after="0"/>
              <w:rPr>
                <w:rFonts w:ascii="Arial" w:cs="Arial" w:eastAsia="Arial" w:hAnsi="Arial"/>
                <w:sz w:val="18"/>
                <w:szCs w:val="18"/>
                <w:color w:val="0000FF"/>
              </w:rPr>
            </w:pPr>
            <w:hyperlink w:anchor="page12">
              <w:r>
                <w:rPr>
                  <w:rFonts w:ascii="Arial" w:cs="Arial" w:eastAsia="Arial" w:hAnsi="Arial"/>
                  <w:sz w:val="18"/>
                  <w:szCs w:val="18"/>
                  <w:color w:val="0000FF"/>
                </w:rPr>
                <w:t>2021 Nominees for Director</w:t>
              </w:r>
            </w:hyperlink>
          </w:p>
        </w:tc>
        <w:tc>
          <w:tcPr>
            <w:tcW w:w="960" w:type="dxa"/>
            <w:vAlign w:val="bottom"/>
          </w:tcPr>
          <w:p>
            <w:pPr>
              <w:jc w:val="right"/>
              <w:spacing w:after="0"/>
              <w:rPr>
                <w:rFonts w:ascii="Arial" w:cs="Arial" w:eastAsia="Arial" w:hAnsi="Arial"/>
                <w:sz w:val="18"/>
                <w:szCs w:val="18"/>
                <w:color w:val="0000FF"/>
              </w:rPr>
            </w:pPr>
            <w:hyperlink w:anchor="page12">
              <w:r>
                <w:rPr>
                  <w:rFonts w:ascii="Arial" w:cs="Arial" w:eastAsia="Arial" w:hAnsi="Arial"/>
                  <w:sz w:val="18"/>
                  <w:szCs w:val="18"/>
                  <w:color w:val="0000FF"/>
                </w:rPr>
                <w:t>7</w:t>
              </w:r>
            </w:hyperlink>
          </w:p>
        </w:tc>
      </w:tr>
      <w:tr>
        <w:trPr>
          <w:trHeight w:val="538"/>
        </w:trPr>
        <w:tc>
          <w:tcPr>
            <w:tcW w:w="10280" w:type="dxa"/>
            <w:vAlign w:val="bottom"/>
            <w:tcBorders>
              <w:bottom w:val="single" w:sz="8" w:color="auto"/>
            </w:tcBorders>
          </w:tcPr>
          <w:p>
            <w:pPr>
              <w:ind w:left="20"/>
              <w:spacing w:after="0"/>
              <w:rPr>
                <w:rFonts w:ascii="Arial" w:cs="Arial" w:eastAsia="Arial" w:hAnsi="Arial"/>
                <w:sz w:val="22"/>
                <w:szCs w:val="22"/>
                <w:b w:val="1"/>
                <w:bCs w:val="1"/>
                <w:color w:val="00249C"/>
              </w:rPr>
            </w:pPr>
            <w:hyperlink w:anchor="page19">
              <w:r>
                <w:rPr>
                  <w:rFonts w:ascii="Arial" w:cs="Arial" w:eastAsia="Arial" w:hAnsi="Arial"/>
                  <w:sz w:val="22"/>
                  <w:szCs w:val="22"/>
                  <w:b w:val="1"/>
                  <w:bCs w:val="1"/>
                  <w:color w:val="00249C"/>
                </w:rPr>
                <w:t>CORPORATE GOVERNANCE</w:t>
              </w:r>
            </w:hyperlink>
          </w:p>
        </w:tc>
        <w:tc>
          <w:tcPr>
            <w:tcW w:w="960" w:type="dxa"/>
            <w:vAlign w:val="bottom"/>
            <w:tcBorders>
              <w:bottom w:val="single" w:sz="8" w:color="auto"/>
            </w:tcBorders>
          </w:tcPr>
          <w:p>
            <w:pPr>
              <w:jc w:val="right"/>
              <w:spacing w:after="0"/>
              <w:rPr>
                <w:rFonts w:ascii="Arial" w:cs="Arial" w:eastAsia="Arial" w:hAnsi="Arial"/>
                <w:sz w:val="18"/>
                <w:szCs w:val="18"/>
                <w:color w:val="0000FF"/>
              </w:rPr>
            </w:pPr>
            <w:hyperlink w:anchor="page19">
              <w:r>
                <w:rPr>
                  <w:rFonts w:ascii="Arial" w:cs="Arial" w:eastAsia="Arial" w:hAnsi="Arial"/>
                  <w:sz w:val="18"/>
                  <w:szCs w:val="18"/>
                  <w:color w:val="0000FF"/>
                </w:rPr>
                <w:t>14</w:t>
              </w:r>
            </w:hyperlink>
          </w:p>
        </w:tc>
      </w:tr>
      <w:tr>
        <w:trPr>
          <w:trHeight w:val="225"/>
        </w:trPr>
        <w:tc>
          <w:tcPr>
            <w:tcW w:w="10280" w:type="dxa"/>
            <w:vAlign w:val="bottom"/>
          </w:tcPr>
          <w:p>
            <w:pPr>
              <w:ind w:left="140"/>
              <w:spacing w:after="0"/>
              <w:rPr>
                <w:rFonts w:ascii="Arial" w:cs="Arial" w:eastAsia="Arial" w:hAnsi="Arial"/>
                <w:sz w:val="18"/>
                <w:szCs w:val="18"/>
                <w:color w:val="0000FF"/>
              </w:rPr>
            </w:pPr>
            <w:hyperlink w:anchor="page20">
              <w:r>
                <w:rPr>
                  <w:rFonts w:ascii="Arial" w:cs="Arial" w:eastAsia="Arial" w:hAnsi="Arial"/>
                  <w:sz w:val="18"/>
                  <w:szCs w:val="18"/>
                  <w:color w:val="0000FF"/>
                </w:rPr>
                <w:t>Overview</w:t>
              </w:r>
            </w:hyperlink>
          </w:p>
        </w:tc>
        <w:tc>
          <w:tcPr>
            <w:tcW w:w="960" w:type="dxa"/>
            <w:vAlign w:val="bottom"/>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14</w:t>
              </w:r>
            </w:hyperlink>
          </w:p>
        </w:tc>
      </w:tr>
      <w:tr>
        <w:trPr>
          <w:trHeight w:val="229"/>
        </w:trPr>
        <w:tc>
          <w:tcPr>
            <w:tcW w:w="10280" w:type="dxa"/>
            <w:vAlign w:val="bottom"/>
          </w:tcPr>
          <w:p>
            <w:pPr>
              <w:ind w:left="140"/>
              <w:spacing w:after="0"/>
              <w:rPr>
                <w:rFonts w:ascii="Arial" w:cs="Arial" w:eastAsia="Arial" w:hAnsi="Arial"/>
                <w:sz w:val="18"/>
                <w:szCs w:val="18"/>
                <w:color w:val="0000FF"/>
              </w:rPr>
            </w:pPr>
            <w:hyperlink w:anchor="page20">
              <w:r>
                <w:rPr>
                  <w:rFonts w:ascii="Arial" w:cs="Arial" w:eastAsia="Arial" w:hAnsi="Arial"/>
                  <w:sz w:val="18"/>
                  <w:szCs w:val="18"/>
                  <w:color w:val="0000FF"/>
                </w:rPr>
                <w:t>Role of the Board</w:t>
              </w:r>
            </w:hyperlink>
          </w:p>
        </w:tc>
        <w:tc>
          <w:tcPr>
            <w:tcW w:w="960" w:type="dxa"/>
            <w:vAlign w:val="bottom"/>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14</w:t>
              </w:r>
            </w:hyperlink>
          </w:p>
        </w:tc>
      </w:tr>
      <w:tr>
        <w:trPr>
          <w:trHeight w:val="229"/>
        </w:trPr>
        <w:tc>
          <w:tcPr>
            <w:tcW w:w="10280" w:type="dxa"/>
            <w:vAlign w:val="bottom"/>
          </w:tcPr>
          <w:p>
            <w:pPr>
              <w:ind w:left="140"/>
              <w:spacing w:after="0"/>
              <w:rPr>
                <w:rFonts w:ascii="Arial" w:cs="Arial" w:eastAsia="Arial" w:hAnsi="Arial"/>
                <w:sz w:val="18"/>
                <w:szCs w:val="18"/>
                <w:color w:val="0000FF"/>
              </w:rPr>
            </w:pPr>
            <w:hyperlink w:anchor="page22">
              <w:r>
                <w:rPr>
                  <w:rFonts w:ascii="Arial" w:cs="Arial" w:eastAsia="Arial" w:hAnsi="Arial"/>
                  <w:sz w:val="18"/>
                  <w:szCs w:val="18"/>
                  <w:color w:val="0000FF"/>
                </w:rPr>
                <w:t>Board Leadership Structure</w:t>
              </w:r>
            </w:hyperlink>
          </w:p>
        </w:tc>
        <w:tc>
          <w:tcPr>
            <w:tcW w:w="960" w:type="dxa"/>
            <w:vAlign w:val="bottom"/>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16</w:t>
              </w:r>
            </w:hyperlink>
          </w:p>
        </w:tc>
      </w:tr>
      <w:tr>
        <w:trPr>
          <w:trHeight w:val="230"/>
        </w:trPr>
        <w:tc>
          <w:tcPr>
            <w:tcW w:w="10280" w:type="dxa"/>
            <w:vAlign w:val="bottom"/>
          </w:tcPr>
          <w:p>
            <w:pPr>
              <w:ind w:left="140"/>
              <w:spacing w:after="0"/>
              <w:rPr>
                <w:rFonts w:ascii="Arial" w:cs="Arial" w:eastAsia="Arial" w:hAnsi="Arial"/>
                <w:sz w:val="18"/>
                <w:szCs w:val="18"/>
                <w:color w:val="0000FF"/>
              </w:rPr>
            </w:pPr>
            <w:hyperlink w:anchor="page23">
              <w:r>
                <w:rPr>
                  <w:rFonts w:ascii="Arial" w:cs="Arial" w:eastAsia="Arial" w:hAnsi="Arial"/>
                  <w:sz w:val="18"/>
                  <w:szCs w:val="18"/>
                  <w:color w:val="0000FF"/>
                </w:rPr>
                <w:t>Committees of the Board of Directors</w:t>
              </w:r>
            </w:hyperlink>
          </w:p>
        </w:tc>
        <w:tc>
          <w:tcPr>
            <w:tcW w:w="960" w:type="dxa"/>
            <w:vAlign w:val="bottom"/>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17</w:t>
              </w:r>
            </w:hyperlink>
          </w:p>
        </w:tc>
      </w:tr>
      <w:tr>
        <w:trPr>
          <w:trHeight w:val="229"/>
        </w:trPr>
        <w:tc>
          <w:tcPr>
            <w:tcW w:w="10280" w:type="dxa"/>
            <w:vAlign w:val="bottom"/>
          </w:tcPr>
          <w:p>
            <w:pPr>
              <w:ind w:left="140"/>
              <w:spacing w:after="0"/>
              <w:rPr>
                <w:rFonts w:ascii="Arial" w:cs="Arial" w:eastAsia="Arial" w:hAnsi="Arial"/>
                <w:sz w:val="18"/>
                <w:szCs w:val="18"/>
                <w:color w:val="0000FF"/>
              </w:rPr>
            </w:pPr>
            <w:hyperlink w:anchor="page25">
              <w:r>
                <w:rPr>
                  <w:rFonts w:ascii="Arial" w:cs="Arial" w:eastAsia="Arial" w:hAnsi="Arial"/>
                  <w:sz w:val="18"/>
                  <w:szCs w:val="18"/>
                  <w:color w:val="0000FF"/>
                </w:rPr>
                <w:t>Board Meetings and Executive Sessions</w:t>
              </w:r>
            </w:hyperlink>
          </w:p>
        </w:tc>
        <w:tc>
          <w:tcPr>
            <w:tcW w:w="960" w:type="dxa"/>
            <w:vAlign w:val="bottom"/>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20</w:t>
              </w:r>
            </w:hyperlink>
          </w:p>
        </w:tc>
      </w:tr>
      <w:tr>
        <w:trPr>
          <w:trHeight w:val="229"/>
        </w:trPr>
        <w:tc>
          <w:tcPr>
            <w:tcW w:w="10280" w:type="dxa"/>
            <w:vAlign w:val="bottom"/>
          </w:tcPr>
          <w:p>
            <w:pPr>
              <w:ind w:left="140"/>
              <w:spacing w:after="0"/>
              <w:rPr>
                <w:rFonts w:ascii="Arial" w:cs="Arial" w:eastAsia="Arial" w:hAnsi="Arial"/>
                <w:sz w:val="18"/>
                <w:szCs w:val="18"/>
                <w:color w:val="0000FF"/>
              </w:rPr>
            </w:pPr>
            <w:hyperlink w:anchor="page26">
              <w:r>
                <w:rPr>
                  <w:rFonts w:ascii="Arial" w:cs="Arial" w:eastAsia="Arial" w:hAnsi="Arial"/>
                  <w:sz w:val="18"/>
                  <w:szCs w:val="18"/>
                  <w:color w:val="0000FF"/>
                </w:rPr>
                <w:t>Meeting Attendance</w:t>
              </w:r>
            </w:hyperlink>
          </w:p>
        </w:tc>
        <w:tc>
          <w:tcPr>
            <w:tcW w:w="960" w:type="dxa"/>
            <w:vAlign w:val="bottom"/>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20</w:t>
              </w:r>
            </w:hyperlink>
          </w:p>
        </w:tc>
      </w:tr>
      <w:tr>
        <w:trPr>
          <w:trHeight w:val="230"/>
        </w:trPr>
        <w:tc>
          <w:tcPr>
            <w:tcW w:w="10280" w:type="dxa"/>
            <w:vAlign w:val="bottom"/>
          </w:tcPr>
          <w:p>
            <w:pPr>
              <w:ind w:left="140"/>
              <w:spacing w:after="0"/>
              <w:rPr>
                <w:rFonts w:ascii="Arial" w:cs="Arial" w:eastAsia="Arial" w:hAnsi="Arial"/>
                <w:sz w:val="18"/>
                <w:szCs w:val="18"/>
                <w:color w:val="0000FF"/>
              </w:rPr>
            </w:pPr>
            <w:hyperlink w:anchor="page26">
              <w:r>
                <w:rPr>
                  <w:rFonts w:ascii="Arial" w:cs="Arial" w:eastAsia="Arial" w:hAnsi="Arial"/>
                  <w:sz w:val="18"/>
                  <w:szCs w:val="18"/>
                  <w:color w:val="0000FF"/>
                </w:rPr>
                <w:t>Director Independence</w:t>
              </w:r>
            </w:hyperlink>
          </w:p>
        </w:tc>
        <w:tc>
          <w:tcPr>
            <w:tcW w:w="960" w:type="dxa"/>
            <w:vAlign w:val="bottom"/>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20</w:t>
              </w:r>
            </w:hyperlink>
          </w:p>
        </w:tc>
      </w:tr>
      <w:tr>
        <w:trPr>
          <w:trHeight w:val="229"/>
        </w:trPr>
        <w:tc>
          <w:tcPr>
            <w:tcW w:w="10280" w:type="dxa"/>
            <w:vAlign w:val="bottom"/>
          </w:tcPr>
          <w:p>
            <w:pPr>
              <w:ind w:left="140"/>
              <w:spacing w:after="0"/>
              <w:rPr>
                <w:rFonts w:ascii="Arial" w:cs="Arial" w:eastAsia="Arial" w:hAnsi="Arial"/>
                <w:sz w:val="18"/>
                <w:szCs w:val="18"/>
                <w:color w:val="0000FF"/>
              </w:rPr>
            </w:pPr>
            <w:hyperlink w:anchor="page27">
              <w:r>
                <w:rPr>
                  <w:rFonts w:ascii="Arial" w:cs="Arial" w:eastAsia="Arial" w:hAnsi="Arial"/>
                  <w:sz w:val="18"/>
                  <w:szCs w:val="18"/>
                  <w:color w:val="0000FF"/>
                </w:rPr>
                <w:t>Board Composition and Director Nominations</w:t>
              </w:r>
            </w:hyperlink>
          </w:p>
        </w:tc>
        <w:tc>
          <w:tcPr>
            <w:tcW w:w="960" w:type="dxa"/>
            <w:vAlign w:val="bottom"/>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21</w:t>
              </w:r>
            </w:hyperlink>
          </w:p>
        </w:tc>
      </w:tr>
      <w:tr>
        <w:trPr>
          <w:trHeight w:val="230"/>
        </w:trPr>
        <w:tc>
          <w:tcPr>
            <w:tcW w:w="10280" w:type="dxa"/>
            <w:vAlign w:val="bottom"/>
          </w:tcPr>
          <w:p>
            <w:pPr>
              <w:ind w:left="140"/>
              <w:spacing w:after="0"/>
              <w:rPr>
                <w:rFonts w:ascii="Arial" w:cs="Arial" w:eastAsia="Arial" w:hAnsi="Arial"/>
                <w:sz w:val="18"/>
                <w:szCs w:val="18"/>
                <w:color w:val="0000FF"/>
              </w:rPr>
            </w:pPr>
            <w:hyperlink w:anchor="page28">
              <w:r>
                <w:rPr>
                  <w:rFonts w:ascii="Arial" w:cs="Arial" w:eastAsia="Arial" w:hAnsi="Arial"/>
                  <w:sz w:val="18"/>
                  <w:szCs w:val="18"/>
                  <w:color w:val="0000FF"/>
                </w:rPr>
                <w:t>Director Election Process</w:t>
              </w:r>
            </w:hyperlink>
          </w:p>
        </w:tc>
        <w:tc>
          <w:tcPr>
            <w:tcW w:w="960" w:type="dxa"/>
            <w:vAlign w:val="bottom"/>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22</w:t>
              </w:r>
            </w:hyperlink>
          </w:p>
        </w:tc>
      </w:tr>
      <w:tr>
        <w:trPr>
          <w:trHeight w:val="229"/>
        </w:trPr>
        <w:tc>
          <w:tcPr>
            <w:tcW w:w="10280" w:type="dxa"/>
            <w:vAlign w:val="bottom"/>
          </w:tcPr>
          <w:p>
            <w:pPr>
              <w:ind w:left="140"/>
              <w:spacing w:after="0"/>
              <w:rPr>
                <w:rFonts w:ascii="Arial" w:cs="Arial" w:eastAsia="Arial" w:hAnsi="Arial"/>
                <w:sz w:val="18"/>
                <w:szCs w:val="18"/>
                <w:color w:val="0000FF"/>
              </w:rPr>
            </w:pPr>
            <w:hyperlink w:anchor="page28">
              <w:r>
                <w:rPr>
                  <w:rFonts w:ascii="Arial" w:cs="Arial" w:eastAsia="Arial" w:hAnsi="Arial"/>
                  <w:sz w:val="18"/>
                  <w:szCs w:val="18"/>
                  <w:color w:val="0000FF"/>
                </w:rPr>
                <w:t>Director Qualifications</w:t>
              </w:r>
            </w:hyperlink>
          </w:p>
        </w:tc>
        <w:tc>
          <w:tcPr>
            <w:tcW w:w="960" w:type="dxa"/>
            <w:vAlign w:val="bottom"/>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22</w:t>
              </w:r>
            </w:hyperlink>
          </w:p>
        </w:tc>
      </w:tr>
      <w:tr>
        <w:trPr>
          <w:trHeight w:val="229"/>
        </w:trPr>
        <w:tc>
          <w:tcPr>
            <w:tcW w:w="10280" w:type="dxa"/>
            <w:vAlign w:val="bottom"/>
          </w:tcPr>
          <w:p>
            <w:pPr>
              <w:ind w:left="140"/>
              <w:spacing w:after="0"/>
              <w:rPr>
                <w:rFonts w:ascii="Arial" w:cs="Arial" w:eastAsia="Arial" w:hAnsi="Arial"/>
                <w:sz w:val="18"/>
                <w:szCs w:val="18"/>
                <w:color w:val="0000FF"/>
              </w:rPr>
            </w:pPr>
            <w:hyperlink w:anchor="page28">
              <w:r>
                <w:rPr>
                  <w:rFonts w:ascii="Arial" w:cs="Arial" w:eastAsia="Arial" w:hAnsi="Arial"/>
                  <w:sz w:val="18"/>
                  <w:szCs w:val="18"/>
                  <w:color w:val="0000FF"/>
                </w:rPr>
                <w:t>Director Orientation and Continuing Education</w:t>
              </w:r>
            </w:hyperlink>
          </w:p>
        </w:tc>
        <w:tc>
          <w:tcPr>
            <w:tcW w:w="960" w:type="dxa"/>
            <w:vAlign w:val="bottom"/>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22</w:t>
              </w:r>
            </w:hyperlink>
          </w:p>
        </w:tc>
      </w:tr>
      <w:tr>
        <w:trPr>
          <w:trHeight w:val="230"/>
        </w:trPr>
        <w:tc>
          <w:tcPr>
            <w:tcW w:w="10280" w:type="dxa"/>
            <w:vAlign w:val="bottom"/>
          </w:tcPr>
          <w:p>
            <w:pPr>
              <w:ind w:left="140"/>
              <w:spacing w:after="0"/>
              <w:rPr>
                <w:rFonts w:ascii="Arial" w:cs="Arial" w:eastAsia="Arial" w:hAnsi="Arial"/>
                <w:sz w:val="18"/>
                <w:szCs w:val="18"/>
                <w:color w:val="0000FF"/>
              </w:rPr>
            </w:pPr>
            <w:hyperlink w:anchor="page29">
              <w:r>
                <w:rPr>
                  <w:rFonts w:ascii="Arial" w:cs="Arial" w:eastAsia="Arial" w:hAnsi="Arial"/>
                  <w:sz w:val="18"/>
                  <w:szCs w:val="18"/>
                  <w:color w:val="0000FF"/>
                </w:rPr>
                <w:t>Board Membership and External Relationships</w:t>
              </w:r>
            </w:hyperlink>
          </w:p>
        </w:tc>
        <w:tc>
          <w:tcPr>
            <w:tcW w:w="960" w:type="dxa"/>
            <w:vAlign w:val="bottom"/>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23</w:t>
              </w:r>
            </w:hyperlink>
          </w:p>
        </w:tc>
      </w:tr>
      <w:tr>
        <w:trPr>
          <w:trHeight w:val="229"/>
        </w:trPr>
        <w:tc>
          <w:tcPr>
            <w:tcW w:w="10280" w:type="dxa"/>
            <w:vAlign w:val="bottom"/>
          </w:tcPr>
          <w:p>
            <w:pPr>
              <w:ind w:left="140"/>
              <w:spacing w:after="0"/>
              <w:rPr>
                <w:rFonts w:ascii="Arial" w:cs="Arial" w:eastAsia="Arial" w:hAnsi="Arial"/>
                <w:sz w:val="18"/>
                <w:szCs w:val="18"/>
                <w:color w:val="0000FF"/>
              </w:rPr>
            </w:pPr>
            <w:hyperlink w:anchor="page29">
              <w:r>
                <w:rPr>
                  <w:rFonts w:ascii="Arial" w:cs="Arial" w:eastAsia="Arial" w:hAnsi="Arial"/>
                  <w:sz w:val="18"/>
                  <w:szCs w:val="18"/>
                  <w:color w:val="0000FF"/>
                </w:rPr>
                <w:t>Effect of Failure to Receive the Required Vote or Obtain and Retain Security Clearance</w:t>
              </w:r>
            </w:hyperlink>
          </w:p>
        </w:tc>
        <w:tc>
          <w:tcPr>
            <w:tcW w:w="960" w:type="dxa"/>
            <w:vAlign w:val="bottom"/>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23</w:t>
              </w:r>
            </w:hyperlink>
          </w:p>
        </w:tc>
      </w:tr>
      <w:tr>
        <w:trPr>
          <w:trHeight w:val="229"/>
        </w:trPr>
        <w:tc>
          <w:tcPr>
            <w:tcW w:w="10280" w:type="dxa"/>
            <w:vAlign w:val="bottom"/>
          </w:tcPr>
          <w:p>
            <w:pPr>
              <w:ind w:left="140"/>
              <w:spacing w:after="0"/>
              <w:rPr>
                <w:rFonts w:ascii="Arial" w:cs="Arial" w:eastAsia="Arial" w:hAnsi="Arial"/>
                <w:sz w:val="18"/>
                <w:szCs w:val="18"/>
                <w:color w:val="0000FF"/>
              </w:rPr>
            </w:pPr>
            <w:hyperlink w:anchor="page29">
              <w:r>
                <w:rPr>
                  <w:rFonts w:ascii="Arial" w:cs="Arial" w:eastAsia="Arial" w:hAnsi="Arial"/>
                  <w:sz w:val="18"/>
                  <w:szCs w:val="18"/>
                  <w:color w:val="0000FF"/>
                </w:rPr>
                <w:t>Board Self-Evaluation</w:t>
              </w:r>
            </w:hyperlink>
          </w:p>
        </w:tc>
        <w:tc>
          <w:tcPr>
            <w:tcW w:w="960" w:type="dxa"/>
            <w:vAlign w:val="bottom"/>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23</w:t>
              </w:r>
            </w:hyperlink>
          </w:p>
        </w:tc>
      </w:tr>
      <w:tr>
        <w:trPr>
          <w:trHeight w:val="230"/>
        </w:trPr>
        <w:tc>
          <w:tcPr>
            <w:tcW w:w="10280" w:type="dxa"/>
            <w:vAlign w:val="bottom"/>
          </w:tcPr>
          <w:p>
            <w:pPr>
              <w:ind w:left="140"/>
              <w:spacing w:after="0"/>
              <w:rPr>
                <w:rFonts w:ascii="Arial" w:cs="Arial" w:eastAsia="Arial" w:hAnsi="Arial"/>
                <w:sz w:val="18"/>
                <w:szCs w:val="18"/>
                <w:color w:val="0000FF"/>
              </w:rPr>
            </w:pPr>
            <w:hyperlink w:anchor="page30">
              <w:r>
                <w:rPr>
                  <w:rFonts w:ascii="Arial" w:cs="Arial" w:eastAsia="Arial" w:hAnsi="Arial"/>
                  <w:sz w:val="18"/>
                  <w:szCs w:val="18"/>
                  <w:color w:val="0000FF"/>
                </w:rPr>
                <w:t>Succession Planning</w:t>
              </w:r>
            </w:hyperlink>
          </w:p>
        </w:tc>
        <w:tc>
          <w:tcPr>
            <w:tcW w:w="960" w:type="dxa"/>
            <w:vAlign w:val="bottom"/>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24</w:t>
              </w:r>
            </w:hyperlink>
          </w:p>
        </w:tc>
      </w:tr>
      <w:tr>
        <w:trPr>
          <w:trHeight w:val="229"/>
        </w:trPr>
        <w:tc>
          <w:tcPr>
            <w:tcW w:w="10280" w:type="dxa"/>
            <w:vAlign w:val="bottom"/>
          </w:tcPr>
          <w:p>
            <w:pPr>
              <w:ind w:left="140"/>
              <w:spacing w:after="0"/>
              <w:rPr>
                <w:rFonts w:ascii="Arial" w:cs="Arial" w:eastAsia="Arial" w:hAnsi="Arial"/>
                <w:sz w:val="18"/>
                <w:szCs w:val="18"/>
                <w:color w:val="0000FF"/>
              </w:rPr>
            </w:pPr>
            <w:hyperlink w:anchor="page30">
              <w:r>
                <w:rPr>
                  <w:rFonts w:ascii="Arial" w:cs="Arial" w:eastAsia="Arial" w:hAnsi="Arial"/>
                  <w:sz w:val="18"/>
                  <w:szCs w:val="18"/>
                  <w:color w:val="0000FF"/>
                </w:rPr>
                <w:t>Departure and Election of Directors</w:t>
              </w:r>
            </w:hyperlink>
          </w:p>
        </w:tc>
        <w:tc>
          <w:tcPr>
            <w:tcW w:w="960" w:type="dxa"/>
            <w:vAlign w:val="bottom"/>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24</w:t>
              </w:r>
            </w:hyperlink>
          </w:p>
        </w:tc>
      </w:tr>
      <w:tr>
        <w:trPr>
          <w:trHeight w:val="230"/>
        </w:trPr>
        <w:tc>
          <w:tcPr>
            <w:tcW w:w="10280" w:type="dxa"/>
            <w:vAlign w:val="bottom"/>
          </w:tcPr>
          <w:p>
            <w:pPr>
              <w:ind w:left="140"/>
              <w:spacing w:after="0"/>
              <w:rPr>
                <w:rFonts w:ascii="Arial" w:cs="Arial" w:eastAsia="Arial" w:hAnsi="Arial"/>
                <w:sz w:val="18"/>
                <w:szCs w:val="18"/>
                <w:color w:val="0000FF"/>
              </w:rPr>
            </w:pPr>
            <w:hyperlink w:anchor="page30">
              <w:r>
                <w:rPr>
                  <w:rFonts w:ascii="Arial" w:cs="Arial" w:eastAsia="Arial" w:hAnsi="Arial"/>
                  <w:sz w:val="18"/>
                  <w:szCs w:val="18"/>
                  <w:color w:val="0000FF"/>
                </w:rPr>
                <w:t>Communications with the Board of Directors</w:t>
              </w:r>
            </w:hyperlink>
          </w:p>
        </w:tc>
        <w:tc>
          <w:tcPr>
            <w:tcW w:w="960" w:type="dxa"/>
            <w:vAlign w:val="bottom"/>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25</w:t>
              </w:r>
            </w:hyperlink>
          </w:p>
        </w:tc>
      </w:tr>
      <w:tr>
        <w:trPr>
          <w:trHeight w:val="230"/>
        </w:trPr>
        <w:tc>
          <w:tcPr>
            <w:tcW w:w="10280" w:type="dxa"/>
            <w:vAlign w:val="bottom"/>
          </w:tcPr>
          <w:p>
            <w:pPr>
              <w:ind w:left="140"/>
              <w:spacing w:after="0"/>
              <w:rPr>
                <w:rFonts w:ascii="Arial" w:cs="Arial" w:eastAsia="Arial" w:hAnsi="Arial"/>
                <w:sz w:val="18"/>
                <w:szCs w:val="18"/>
                <w:color w:val="0000FF"/>
              </w:rPr>
            </w:pPr>
            <w:hyperlink w:anchor="page31">
              <w:r>
                <w:rPr>
                  <w:rFonts w:ascii="Arial" w:cs="Arial" w:eastAsia="Arial" w:hAnsi="Arial"/>
                  <w:sz w:val="18"/>
                  <w:szCs w:val="18"/>
                  <w:color w:val="0000FF"/>
                </w:rPr>
                <w:t>Corporate Responsibility and Sustainability</w:t>
              </w:r>
            </w:hyperlink>
          </w:p>
        </w:tc>
        <w:tc>
          <w:tcPr>
            <w:tcW w:w="960" w:type="dxa"/>
            <w:vAlign w:val="bottom"/>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25</w:t>
              </w:r>
            </w:hyperlink>
          </w:p>
        </w:tc>
      </w:tr>
      <w:tr>
        <w:trPr>
          <w:trHeight w:val="230"/>
        </w:trPr>
        <w:tc>
          <w:tcPr>
            <w:tcW w:w="10280" w:type="dxa"/>
            <w:vAlign w:val="bottom"/>
          </w:tcPr>
          <w:p>
            <w:pPr>
              <w:ind w:left="140"/>
              <w:spacing w:after="0"/>
              <w:rPr>
                <w:rFonts w:ascii="Arial" w:cs="Arial" w:eastAsia="Arial" w:hAnsi="Arial"/>
                <w:sz w:val="18"/>
                <w:szCs w:val="18"/>
                <w:color w:val="0000FF"/>
              </w:rPr>
            </w:pPr>
            <w:hyperlink w:anchor="page32">
              <w:r>
                <w:rPr>
                  <w:rFonts w:ascii="Arial" w:cs="Arial" w:eastAsia="Arial" w:hAnsi="Arial"/>
                  <w:sz w:val="18"/>
                  <w:szCs w:val="18"/>
                  <w:color w:val="0000FF"/>
                </w:rPr>
                <w:t>Human Rights</w:t>
              </w:r>
            </w:hyperlink>
          </w:p>
        </w:tc>
        <w:tc>
          <w:tcPr>
            <w:tcW w:w="960" w:type="dxa"/>
            <w:vAlign w:val="bottom"/>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27</w:t>
              </w:r>
            </w:hyperlink>
          </w:p>
        </w:tc>
      </w:tr>
      <w:tr>
        <w:trPr>
          <w:trHeight w:val="229"/>
        </w:trPr>
        <w:tc>
          <w:tcPr>
            <w:tcW w:w="10280" w:type="dxa"/>
            <w:vAlign w:val="bottom"/>
          </w:tcPr>
          <w:p>
            <w:pPr>
              <w:ind w:left="140"/>
              <w:spacing w:after="0"/>
              <w:rPr>
                <w:rFonts w:ascii="Arial" w:cs="Arial" w:eastAsia="Arial" w:hAnsi="Arial"/>
                <w:sz w:val="18"/>
                <w:szCs w:val="18"/>
                <w:color w:val="0000FF"/>
              </w:rPr>
            </w:pPr>
            <w:hyperlink w:anchor="page33">
              <w:r>
                <w:rPr>
                  <w:rFonts w:ascii="Arial" w:cs="Arial" w:eastAsia="Arial" w:hAnsi="Arial"/>
                  <w:sz w:val="18"/>
                  <w:szCs w:val="18"/>
                  <w:color w:val="0000FF"/>
                </w:rPr>
                <w:t>Company Culture</w:t>
              </w:r>
            </w:hyperlink>
          </w:p>
        </w:tc>
        <w:tc>
          <w:tcPr>
            <w:tcW w:w="960" w:type="dxa"/>
            <w:vAlign w:val="bottom"/>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27</w:t>
              </w:r>
            </w:hyperlink>
          </w:p>
        </w:tc>
      </w:tr>
      <w:tr>
        <w:trPr>
          <w:trHeight w:val="538"/>
        </w:trPr>
        <w:tc>
          <w:tcPr>
            <w:tcW w:w="10280" w:type="dxa"/>
            <w:vAlign w:val="bottom"/>
            <w:tcBorders>
              <w:bottom w:val="single" w:sz="8" w:color="auto"/>
            </w:tcBorders>
          </w:tcPr>
          <w:p>
            <w:pPr>
              <w:ind w:left="20"/>
              <w:spacing w:after="0"/>
              <w:rPr>
                <w:rFonts w:ascii="Arial" w:cs="Arial" w:eastAsia="Arial" w:hAnsi="Arial"/>
                <w:sz w:val="22"/>
                <w:szCs w:val="22"/>
                <w:b w:val="1"/>
                <w:bCs w:val="1"/>
                <w:color w:val="00249C"/>
              </w:rPr>
            </w:pPr>
            <w:hyperlink w:anchor="page34">
              <w:r>
                <w:rPr>
                  <w:rFonts w:ascii="Arial" w:cs="Arial" w:eastAsia="Arial" w:hAnsi="Arial"/>
                  <w:sz w:val="22"/>
                  <w:szCs w:val="22"/>
                  <w:b w:val="1"/>
                  <w:bCs w:val="1"/>
                  <w:color w:val="00249C"/>
                </w:rPr>
                <w:t>COMPENSATION OF DIRECTORS</w:t>
              </w:r>
            </w:hyperlink>
          </w:p>
        </w:tc>
        <w:tc>
          <w:tcPr>
            <w:tcW w:w="960" w:type="dxa"/>
            <w:vAlign w:val="bottom"/>
            <w:tcBorders>
              <w:bottom w:val="single" w:sz="8" w:color="auto"/>
            </w:tcBorders>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29</w:t>
              </w:r>
            </w:hyperlink>
          </w:p>
        </w:tc>
      </w:tr>
      <w:tr>
        <w:trPr>
          <w:trHeight w:val="225"/>
        </w:trPr>
        <w:tc>
          <w:tcPr>
            <w:tcW w:w="10280" w:type="dxa"/>
            <w:vAlign w:val="bottom"/>
          </w:tcPr>
          <w:p>
            <w:pPr>
              <w:ind w:left="140"/>
              <w:spacing w:after="0"/>
              <w:rPr>
                <w:rFonts w:ascii="Arial" w:cs="Arial" w:eastAsia="Arial" w:hAnsi="Arial"/>
                <w:sz w:val="18"/>
                <w:szCs w:val="18"/>
                <w:color w:val="0000FF"/>
              </w:rPr>
            </w:pPr>
            <w:hyperlink w:anchor="page35">
              <w:r>
                <w:rPr>
                  <w:rFonts w:ascii="Arial" w:cs="Arial" w:eastAsia="Arial" w:hAnsi="Arial"/>
                  <w:sz w:val="18"/>
                  <w:szCs w:val="18"/>
                  <w:color w:val="0000FF"/>
                </w:rPr>
                <w:t>Stock Ownership Requirements and Anti-Hedging and Pledging Policy</w:t>
              </w:r>
            </w:hyperlink>
          </w:p>
        </w:tc>
        <w:tc>
          <w:tcPr>
            <w:tcW w:w="960" w:type="dxa"/>
            <w:vAlign w:val="bottom"/>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30</w:t>
              </w:r>
            </w:hyperlink>
          </w:p>
        </w:tc>
      </w:tr>
      <w:tr>
        <w:trPr>
          <w:trHeight w:val="229"/>
        </w:trPr>
        <w:tc>
          <w:tcPr>
            <w:tcW w:w="10280" w:type="dxa"/>
            <w:vAlign w:val="bottom"/>
          </w:tcPr>
          <w:p>
            <w:pPr>
              <w:ind w:left="140"/>
              <w:spacing w:after="0"/>
              <w:rPr>
                <w:rFonts w:ascii="Arial" w:cs="Arial" w:eastAsia="Arial" w:hAnsi="Arial"/>
                <w:sz w:val="18"/>
                <w:szCs w:val="18"/>
                <w:color w:val="0000FF"/>
              </w:rPr>
            </w:pPr>
            <w:hyperlink w:anchor="page36">
              <w:r>
                <w:rPr>
                  <w:rFonts w:ascii="Arial" w:cs="Arial" w:eastAsia="Arial" w:hAnsi="Arial"/>
                  <w:sz w:val="18"/>
                  <w:szCs w:val="18"/>
                  <w:color w:val="0000FF"/>
                </w:rPr>
                <w:t>2020 Director Compensation</w:t>
              </w:r>
            </w:hyperlink>
          </w:p>
        </w:tc>
        <w:tc>
          <w:tcPr>
            <w:tcW w:w="960" w:type="dxa"/>
            <w:vAlign w:val="bottom"/>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31</w:t>
              </w:r>
            </w:hyperlink>
          </w:p>
        </w:tc>
      </w:tr>
      <w:tr>
        <w:trPr>
          <w:trHeight w:val="538"/>
        </w:trPr>
        <w:tc>
          <w:tcPr>
            <w:tcW w:w="10280" w:type="dxa"/>
            <w:vAlign w:val="bottom"/>
            <w:tcBorders>
              <w:bottom w:val="single" w:sz="8" w:color="auto"/>
            </w:tcBorders>
          </w:tcPr>
          <w:p>
            <w:pPr>
              <w:ind w:left="20"/>
              <w:spacing w:after="0"/>
              <w:rPr>
                <w:rFonts w:ascii="Arial" w:cs="Arial" w:eastAsia="Arial" w:hAnsi="Arial"/>
                <w:sz w:val="22"/>
                <w:szCs w:val="22"/>
                <w:b w:val="1"/>
                <w:bCs w:val="1"/>
                <w:color w:val="00249C"/>
              </w:rPr>
            </w:pPr>
            <w:hyperlink w:anchor="page38">
              <w:r>
                <w:rPr>
                  <w:rFonts w:ascii="Arial" w:cs="Arial" w:eastAsia="Arial" w:hAnsi="Arial"/>
                  <w:sz w:val="22"/>
                  <w:szCs w:val="22"/>
                  <w:b w:val="1"/>
                  <w:bCs w:val="1"/>
                  <w:color w:val="00249C"/>
                </w:rPr>
                <w:t>TRANSACTIONS WITH RELATED PERSONS AND CONTROL PERSONS</w:t>
              </w:r>
            </w:hyperlink>
          </w:p>
        </w:tc>
        <w:tc>
          <w:tcPr>
            <w:tcW w:w="960" w:type="dxa"/>
            <w:vAlign w:val="bottom"/>
            <w:tcBorders>
              <w:bottom w:val="single" w:sz="8" w:color="auto"/>
            </w:tcBorders>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33</w:t>
              </w:r>
            </w:hyperlink>
          </w:p>
        </w:tc>
      </w:tr>
      <w:tr>
        <w:trPr>
          <w:trHeight w:val="225"/>
        </w:trPr>
        <w:tc>
          <w:tcPr>
            <w:tcW w:w="10280" w:type="dxa"/>
            <w:vAlign w:val="bottom"/>
          </w:tcPr>
          <w:p>
            <w:pPr>
              <w:ind w:left="140"/>
              <w:spacing w:after="0"/>
              <w:rPr>
                <w:rFonts w:ascii="Arial" w:cs="Arial" w:eastAsia="Arial" w:hAnsi="Arial"/>
                <w:sz w:val="18"/>
                <w:szCs w:val="18"/>
                <w:color w:val="0000FF"/>
              </w:rPr>
            </w:pPr>
            <w:hyperlink w:anchor="page38">
              <w:r>
                <w:rPr>
                  <w:rFonts w:ascii="Arial" w:cs="Arial" w:eastAsia="Arial" w:hAnsi="Arial"/>
                  <w:sz w:val="18"/>
                  <w:szCs w:val="18"/>
                  <w:color w:val="0000FF"/>
                </w:rPr>
                <w:t>Related Person Transactions</w:t>
              </w:r>
            </w:hyperlink>
          </w:p>
        </w:tc>
        <w:tc>
          <w:tcPr>
            <w:tcW w:w="960" w:type="dxa"/>
            <w:vAlign w:val="bottom"/>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33</w:t>
              </w:r>
            </w:hyperlink>
          </w:p>
        </w:tc>
      </w:tr>
      <w:tr>
        <w:trPr>
          <w:trHeight w:val="230"/>
        </w:trPr>
        <w:tc>
          <w:tcPr>
            <w:tcW w:w="10280" w:type="dxa"/>
            <w:vAlign w:val="bottom"/>
          </w:tcPr>
          <w:p>
            <w:pPr>
              <w:ind w:left="140"/>
              <w:spacing w:after="0"/>
              <w:rPr>
                <w:rFonts w:ascii="Arial" w:cs="Arial" w:eastAsia="Arial" w:hAnsi="Arial"/>
                <w:sz w:val="18"/>
                <w:szCs w:val="18"/>
                <w:color w:val="0000FF"/>
              </w:rPr>
            </w:pPr>
            <w:hyperlink w:anchor="page39">
              <w:r>
                <w:rPr>
                  <w:rFonts w:ascii="Arial" w:cs="Arial" w:eastAsia="Arial" w:hAnsi="Arial"/>
                  <w:sz w:val="18"/>
                  <w:szCs w:val="18"/>
                  <w:color w:val="0000FF"/>
                </w:rPr>
                <w:t>Compensation Committee Interlocks and Insider Participation</w:t>
              </w:r>
            </w:hyperlink>
          </w:p>
        </w:tc>
        <w:tc>
          <w:tcPr>
            <w:tcW w:w="960" w:type="dxa"/>
            <w:vAlign w:val="bottom"/>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34</w:t>
              </w:r>
            </w:hyperlink>
          </w:p>
        </w:tc>
      </w:tr>
      <w:tr>
        <w:trPr>
          <w:trHeight w:val="230"/>
        </w:trPr>
        <w:tc>
          <w:tcPr>
            <w:tcW w:w="10280" w:type="dxa"/>
            <w:vAlign w:val="bottom"/>
          </w:tcPr>
          <w:p>
            <w:pPr>
              <w:ind w:left="140"/>
              <w:spacing w:after="0"/>
              <w:rPr>
                <w:rFonts w:ascii="Arial" w:cs="Arial" w:eastAsia="Arial" w:hAnsi="Arial"/>
                <w:sz w:val="18"/>
                <w:szCs w:val="18"/>
                <w:color w:val="0000FF"/>
              </w:rPr>
            </w:pPr>
            <w:hyperlink w:anchor="page40">
              <w:r>
                <w:rPr>
                  <w:rFonts w:ascii="Arial" w:cs="Arial" w:eastAsia="Arial" w:hAnsi="Arial"/>
                  <w:sz w:val="18"/>
                  <w:szCs w:val="18"/>
                  <w:color w:val="0000FF"/>
                </w:rPr>
                <w:t>Indemnification Agreements</w:t>
              </w:r>
            </w:hyperlink>
          </w:p>
        </w:tc>
        <w:tc>
          <w:tcPr>
            <w:tcW w:w="960" w:type="dxa"/>
            <w:vAlign w:val="bottom"/>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34</w:t>
              </w:r>
            </w:hyperlink>
          </w:p>
        </w:tc>
      </w:tr>
      <w:tr>
        <w:trPr>
          <w:trHeight w:val="538"/>
        </w:trPr>
        <w:tc>
          <w:tcPr>
            <w:tcW w:w="10280" w:type="dxa"/>
            <w:vAlign w:val="bottom"/>
            <w:tcBorders>
              <w:bottom w:val="single" w:sz="8" w:color="auto"/>
            </w:tcBorders>
          </w:tcPr>
          <w:p>
            <w:pPr>
              <w:ind w:left="20"/>
              <w:spacing w:after="0"/>
              <w:rPr>
                <w:rFonts w:ascii="Arial" w:cs="Arial" w:eastAsia="Arial" w:hAnsi="Arial"/>
                <w:sz w:val="22"/>
                <w:szCs w:val="22"/>
                <w:b w:val="1"/>
                <w:bCs w:val="1"/>
                <w:color w:val="00249C"/>
              </w:rPr>
            </w:pPr>
            <w:hyperlink w:anchor="page40">
              <w:r>
                <w:rPr>
                  <w:rFonts w:ascii="Arial" w:cs="Arial" w:eastAsia="Arial" w:hAnsi="Arial"/>
                  <w:sz w:val="22"/>
                  <w:szCs w:val="22"/>
                  <w:b w:val="1"/>
                  <w:bCs w:val="1"/>
                  <w:color w:val="00249C"/>
                </w:rPr>
                <w:t>VOTING SECURITIES AND PRINCIPAL HOLDERS</w:t>
              </w:r>
            </w:hyperlink>
          </w:p>
        </w:tc>
        <w:tc>
          <w:tcPr>
            <w:tcW w:w="960" w:type="dxa"/>
            <w:vAlign w:val="bottom"/>
            <w:tcBorders>
              <w:bottom w:val="single" w:sz="8" w:color="auto"/>
            </w:tcBorders>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35</w:t>
              </w:r>
            </w:hyperlink>
          </w:p>
        </w:tc>
      </w:tr>
      <w:tr>
        <w:trPr>
          <w:trHeight w:val="225"/>
        </w:trPr>
        <w:tc>
          <w:tcPr>
            <w:tcW w:w="10280" w:type="dxa"/>
            <w:vAlign w:val="bottom"/>
          </w:tcPr>
          <w:p>
            <w:pPr>
              <w:ind w:left="140"/>
              <w:spacing w:after="0"/>
              <w:rPr>
                <w:rFonts w:ascii="Arial" w:cs="Arial" w:eastAsia="Arial" w:hAnsi="Arial"/>
                <w:sz w:val="18"/>
                <w:szCs w:val="18"/>
                <w:color w:val="0000FF"/>
              </w:rPr>
            </w:pPr>
            <w:hyperlink w:anchor="page40">
              <w:r>
                <w:rPr>
                  <w:rFonts w:ascii="Arial" w:cs="Arial" w:eastAsia="Arial" w:hAnsi="Arial"/>
                  <w:sz w:val="18"/>
                  <w:szCs w:val="18"/>
                  <w:color w:val="0000FF"/>
                </w:rPr>
                <w:t>Stock Ownership of Certain Beneficial Owners</w:t>
              </w:r>
            </w:hyperlink>
          </w:p>
        </w:tc>
        <w:tc>
          <w:tcPr>
            <w:tcW w:w="960" w:type="dxa"/>
            <w:vAlign w:val="bottom"/>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35</w:t>
              </w:r>
            </w:hyperlink>
          </w:p>
        </w:tc>
      </w:tr>
      <w:tr>
        <w:trPr>
          <w:trHeight w:val="230"/>
        </w:trPr>
        <w:tc>
          <w:tcPr>
            <w:tcW w:w="10280" w:type="dxa"/>
            <w:vAlign w:val="bottom"/>
          </w:tcPr>
          <w:p>
            <w:pPr>
              <w:ind w:left="140"/>
              <w:spacing w:after="0"/>
              <w:rPr>
                <w:rFonts w:ascii="Arial" w:cs="Arial" w:eastAsia="Arial" w:hAnsi="Arial"/>
                <w:sz w:val="18"/>
                <w:szCs w:val="18"/>
                <w:color w:val="0000FF"/>
              </w:rPr>
            </w:pPr>
            <w:hyperlink w:anchor="page41">
              <w:r>
                <w:rPr>
                  <w:rFonts w:ascii="Arial" w:cs="Arial" w:eastAsia="Arial" w:hAnsi="Arial"/>
                  <w:sz w:val="18"/>
                  <w:szCs w:val="18"/>
                  <w:color w:val="0000FF"/>
                </w:rPr>
                <w:t>Stock Ownership of Officers and Directors</w:t>
              </w:r>
            </w:hyperlink>
          </w:p>
        </w:tc>
        <w:tc>
          <w:tcPr>
            <w:tcW w:w="960" w:type="dxa"/>
            <w:vAlign w:val="bottom"/>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36</w:t>
              </w:r>
            </w:hyperlink>
          </w:p>
        </w:tc>
      </w:tr>
      <w:tr>
        <w:trPr>
          <w:trHeight w:val="538"/>
        </w:trPr>
        <w:tc>
          <w:tcPr>
            <w:tcW w:w="10280" w:type="dxa"/>
            <w:vAlign w:val="bottom"/>
            <w:tcBorders>
              <w:bottom w:val="single" w:sz="8" w:color="auto"/>
            </w:tcBorders>
          </w:tcPr>
          <w:p>
            <w:pPr>
              <w:ind w:left="20"/>
              <w:spacing w:after="0"/>
              <w:rPr>
                <w:rFonts w:ascii="Arial" w:cs="Arial" w:eastAsia="Arial" w:hAnsi="Arial"/>
                <w:sz w:val="22"/>
                <w:szCs w:val="22"/>
                <w:b w:val="1"/>
                <w:bCs w:val="1"/>
                <w:color w:val="00249C"/>
              </w:rPr>
            </w:pPr>
            <w:hyperlink w:anchor="page42">
              <w:r>
                <w:rPr>
                  <w:rFonts w:ascii="Arial" w:cs="Arial" w:eastAsia="Arial" w:hAnsi="Arial"/>
                  <w:sz w:val="22"/>
                  <w:szCs w:val="22"/>
                  <w:b w:val="1"/>
                  <w:bCs w:val="1"/>
                  <w:color w:val="00249C"/>
                </w:rPr>
                <w:t>EQUITY COMPENSATION PLAN INFORMATION</w:t>
              </w:r>
            </w:hyperlink>
          </w:p>
        </w:tc>
        <w:tc>
          <w:tcPr>
            <w:tcW w:w="960" w:type="dxa"/>
            <w:vAlign w:val="bottom"/>
            <w:tcBorders>
              <w:bottom w:val="single" w:sz="8" w:color="auto"/>
            </w:tcBorders>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37</w:t>
              </w:r>
            </w:hyperlink>
          </w:p>
        </w:tc>
      </w:tr>
      <w:tr>
        <w:trPr>
          <w:trHeight w:val="520"/>
        </w:trPr>
        <w:tc>
          <w:tcPr>
            <w:tcW w:w="10280" w:type="dxa"/>
            <w:vAlign w:val="bottom"/>
            <w:tcBorders>
              <w:bottom w:val="single" w:sz="8" w:color="auto"/>
            </w:tcBorders>
          </w:tcPr>
          <w:p>
            <w:pPr>
              <w:ind w:left="20"/>
              <w:spacing w:after="0"/>
              <w:rPr>
                <w:rFonts w:ascii="Arial" w:cs="Arial" w:eastAsia="Arial" w:hAnsi="Arial"/>
                <w:sz w:val="22"/>
                <w:szCs w:val="22"/>
                <w:b w:val="1"/>
                <w:bCs w:val="1"/>
                <w:color w:val="00249C"/>
              </w:rPr>
            </w:pPr>
            <w:hyperlink w:anchor="page43">
              <w:r>
                <w:rPr>
                  <w:rFonts w:ascii="Arial" w:cs="Arial" w:eastAsia="Arial" w:hAnsi="Arial"/>
                  <w:sz w:val="22"/>
                  <w:szCs w:val="22"/>
                  <w:b w:val="1"/>
                  <w:bCs w:val="1"/>
                  <w:color w:val="00249C"/>
                </w:rPr>
                <w:t>PROPOSAL TWO: ADVISORY VOTE ON COMPENSATION OF NAMED EXECUTIVE OFFICERS</w:t>
              </w:r>
            </w:hyperlink>
          </w:p>
        </w:tc>
        <w:tc>
          <w:tcPr>
            <w:tcW w:w="960" w:type="dxa"/>
            <w:vAlign w:val="bottom"/>
            <w:tcBorders>
              <w:bottom w:val="single" w:sz="8" w:color="auto"/>
            </w:tcBorders>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38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i</w:t>
      </w:r>
    </w:p>
    <w:p>
      <w:pPr>
        <w:sectPr>
          <w:pgSz w:w="11900" w:h="16838" w:orient="portrait"/>
          <w:cols w:equalWidth="0" w:num="1">
            <w:col w:w="11240"/>
          </w:cols>
          <w:pgMar w:left="320" w:top="607" w:right="339" w:bottom="1440" w:gutter="0" w:footer="0" w:header="0"/>
        </w:sectPr>
      </w:pPr>
    </w:p>
    <w:bookmarkStart w:id="5" w:name="page6"/>
    <w:bookmarkEnd w:id="5"/>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308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0940" w:type="dxa"/>
            <w:vAlign w:val="bottom"/>
            <w:tcBorders>
              <w:bottom w:val="single" w:sz="8" w:color="auto"/>
            </w:tcBorders>
          </w:tcPr>
          <w:p>
            <w:pPr>
              <w:ind w:left="20"/>
              <w:spacing w:after="0"/>
              <w:rPr>
                <w:rFonts w:ascii="Arial" w:cs="Arial" w:eastAsia="Arial" w:hAnsi="Arial"/>
                <w:sz w:val="22"/>
                <w:szCs w:val="22"/>
                <w:b w:val="1"/>
                <w:bCs w:val="1"/>
                <w:color w:val="00249C"/>
              </w:rPr>
            </w:pPr>
            <w:hyperlink w:anchor="page44">
              <w:r>
                <w:rPr>
                  <w:rFonts w:ascii="Arial" w:cs="Arial" w:eastAsia="Arial" w:hAnsi="Arial"/>
                  <w:sz w:val="22"/>
                  <w:szCs w:val="22"/>
                  <w:b w:val="1"/>
                  <w:bCs w:val="1"/>
                  <w:color w:val="00249C"/>
                </w:rPr>
                <w:t>COMPENSATION DISCUSSION AND ANALYSIS</w:t>
              </w:r>
            </w:hyperlink>
          </w:p>
        </w:tc>
        <w:tc>
          <w:tcPr>
            <w:tcW w:w="300" w:type="dxa"/>
            <w:vAlign w:val="bottom"/>
            <w:tcBorders>
              <w:bottom w:val="single" w:sz="8" w:color="auto"/>
            </w:tcBorders>
            <w:gridSpan w:val="2"/>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39</w:t>
              </w:r>
            </w:hyperlink>
          </w:p>
        </w:tc>
      </w:tr>
      <w:tr>
        <w:trPr>
          <w:trHeight w:val="225"/>
        </w:trPr>
        <w:tc>
          <w:tcPr>
            <w:tcW w:w="10940" w:type="dxa"/>
            <w:vAlign w:val="bottom"/>
          </w:tcPr>
          <w:p>
            <w:pPr>
              <w:ind w:left="140"/>
              <w:spacing w:after="0"/>
              <w:rPr>
                <w:rFonts w:ascii="Arial" w:cs="Arial" w:eastAsia="Arial" w:hAnsi="Arial"/>
                <w:sz w:val="18"/>
                <w:szCs w:val="18"/>
                <w:color w:val="0000FF"/>
              </w:rPr>
            </w:pPr>
            <w:hyperlink w:anchor="page45">
              <w:r>
                <w:rPr>
                  <w:rFonts w:ascii="Arial" w:cs="Arial" w:eastAsia="Arial" w:hAnsi="Arial"/>
                  <w:sz w:val="18"/>
                  <w:szCs w:val="18"/>
                  <w:color w:val="0000FF"/>
                </w:rPr>
                <w:t>Executive Summary</w:t>
              </w:r>
            </w:hyperlink>
          </w:p>
        </w:tc>
        <w:tc>
          <w:tcPr>
            <w:tcW w:w="300" w:type="dxa"/>
            <w:vAlign w:val="bottom"/>
            <w:gridSpan w:val="2"/>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40</w:t>
              </w:r>
            </w:hyperlink>
          </w:p>
        </w:tc>
      </w:tr>
      <w:tr>
        <w:trPr>
          <w:trHeight w:val="229"/>
        </w:trPr>
        <w:tc>
          <w:tcPr>
            <w:tcW w:w="10940" w:type="dxa"/>
            <w:vAlign w:val="bottom"/>
          </w:tcPr>
          <w:p>
            <w:pPr>
              <w:ind w:left="140"/>
              <w:spacing w:after="0"/>
              <w:rPr>
                <w:rFonts w:ascii="Arial" w:cs="Arial" w:eastAsia="Arial" w:hAnsi="Arial"/>
                <w:sz w:val="18"/>
                <w:szCs w:val="18"/>
                <w:color w:val="0000FF"/>
              </w:rPr>
            </w:pPr>
            <w:hyperlink w:anchor="page49">
              <w:r>
                <w:rPr>
                  <w:rFonts w:ascii="Arial" w:cs="Arial" w:eastAsia="Arial" w:hAnsi="Arial"/>
                  <w:sz w:val="18"/>
                  <w:szCs w:val="18"/>
                  <w:color w:val="0000FF"/>
                </w:rPr>
                <w:t>Key Principles</w:t>
              </w:r>
            </w:hyperlink>
          </w:p>
        </w:tc>
        <w:tc>
          <w:tcPr>
            <w:tcW w:w="300" w:type="dxa"/>
            <w:vAlign w:val="bottom"/>
            <w:gridSpan w:val="2"/>
          </w:tcPr>
          <w:p>
            <w:pPr>
              <w:jc w:val="right"/>
              <w:ind w:right="20"/>
              <w:spacing w:after="0"/>
              <w:rPr>
                <w:rFonts w:ascii="Arial" w:cs="Arial" w:eastAsia="Arial" w:hAnsi="Arial"/>
                <w:sz w:val="18"/>
                <w:szCs w:val="18"/>
                <w:color w:val="0000FF"/>
              </w:rPr>
            </w:pPr>
            <w:hyperlink w:anchor="page49">
              <w:r>
                <w:rPr>
                  <w:rFonts w:ascii="Arial" w:cs="Arial" w:eastAsia="Arial" w:hAnsi="Arial"/>
                  <w:sz w:val="18"/>
                  <w:szCs w:val="18"/>
                  <w:color w:val="0000FF"/>
                </w:rPr>
                <w:t>44</w:t>
              </w:r>
            </w:hyperlink>
          </w:p>
        </w:tc>
      </w:tr>
      <w:tr>
        <w:trPr>
          <w:trHeight w:val="230"/>
        </w:trPr>
        <w:tc>
          <w:tcPr>
            <w:tcW w:w="10940" w:type="dxa"/>
            <w:vAlign w:val="bottom"/>
          </w:tcPr>
          <w:p>
            <w:pPr>
              <w:ind w:left="140"/>
              <w:spacing w:after="0"/>
              <w:rPr>
                <w:rFonts w:ascii="Arial" w:cs="Arial" w:eastAsia="Arial" w:hAnsi="Arial"/>
                <w:sz w:val="18"/>
                <w:szCs w:val="18"/>
                <w:color w:val="0000FF"/>
              </w:rPr>
            </w:pPr>
            <w:hyperlink w:anchor="page53">
              <w:r>
                <w:rPr>
                  <w:rFonts w:ascii="Arial" w:cs="Arial" w:eastAsia="Arial" w:hAnsi="Arial"/>
                  <w:sz w:val="18"/>
                  <w:szCs w:val="18"/>
                  <w:color w:val="0000FF"/>
                </w:rPr>
                <w:t>Key Components of Our Programs</w:t>
              </w:r>
            </w:hyperlink>
          </w:p>
        </w:tc>
        <w:tc>
          <w:tcPr>
            <w:tcW w:w="300" w:type="dxa"/>
            <w:vAlign w:val="bottom"/>
            <w:gridSpan w:val="2"/>
          </w:tcPr>
          <w:p>
            <w:pPr>
              <w:jc w:val="right"/>
              <w:ind w:right="20"/>
              <w:spacing w:after="0"/>
              <w:rPr>
                <w:rFonts w:ascii="Arial" w:cs="Arial" w:eastAsia="Arial" w:hAnsi="Arial"/>
                <w:sz w:val="18"/>
                <w:szCs w:val="18"/>
                <w:color w:val="0000FF"/>
              </w:rPr>
            </w:pPr>
            <w:hyperlink w:anchor="page53">
              <w:r>
                <w:rPr>
                  <w:rFonts w:ascii="Arial" w:cs="Arial" w:eastAsia="Arial" w:hAnsi="Arial"/>
                  <w:sz w:val="18"/>
                  <w:szCs w:val="18"/>
                  <w:color w:val="0000FF"/>
                </w:rPr>
                <w:t>48</w:t>
              </w:r>
            </w:hyperlink>
          </w:p>
        </w:tc>
      </w:tr>
      <w:tr>
        <w:trPr>
          <w:trHeight w:val="538"/>
        </w:trPr>
        <w:tc>
          <w:tcPr>
            <w:tcW w:w="10940" w:type="dxa"/>
            <w:vAlign w:val="bottom"/>
            <w:tcBorders>
              <w:bottom w:val="single" w:sz="8" w:color="auto"/>
            </w:tcBorders>
          </w:tcPr>
          <w:p>
            <w:pPr>
              <w:ind w:left="20"/>
              <w:spacing w:after="0"/>
              <w:rPr>
                <w:rFonts w:ascii="Arial" w:cs="Arial" w:eastAsia="Arial" w:hAnsi="Arial"/>
                <w:sz w:val="22"/>
                <w:szCs w:val="22"/>
                <w:b w:val="1"/>
                <w:bCs w:val="1"/>
                <w:color w:val="00249C"/>
              </w:rPr>
            </w:pPr>
            <w:hyperlink w:anchor="page62">
              <w:r>
                <w:rPr>
                  <w:rFonts w:ascii="Arial" w:cs="Arial" w:eastAsia="Arial" w:hAnsi="Arial"/>
                  <w:sz w:val="22"/>
                  <w:szCs w:val="22"/>
                  <w:b w:val="1"/>
                  <w:bCs w:val="1"/>
                  <w:color w:val="00249C"/>
                </w:rPr>
                <w:t>COMPENSATION COMMITTEE REPORT</w:t>
              </w:r>
            </w:hyperlink>
          </w:p>
        </w:tc>
        <w:tc>
          <w:tcPr>
            <w:tcW w:w="300" w:type="dxa"/>
            <w:vAlign w:val="bottom"/>
            <w:tcBorders>
              <w:bottom w:val="single" w:sz="8" w:color="auto"/>
            </w:tcBorders>
            <w:gridSpan w:val="2"/>
          </w:tcPr>
          <w:p>
            <w:pPr>
              <w:jc w:val="right"/>
              <w:ind w:right="20"/>
              <w:spacing w:after="0"/>
              <w:rPr>
                <w:rFonts w:ascii="Arial" w:cs="Arial" w:eastAsia="Arial" w:hAnsi="Arial"/>
                <w:sz w:val="18"/>
                <w:szCs w:val="18"/>
                <w:color w:val="0000FF"/>
              </w:rPr>
            </w:pPr>
            <w:hyperlink w:anchor="page62">
              <w:r>
                <w:rPr>
                  <w:rFonts w:ascii="Arial" w:cs="Arial" w:eastAsia="Arial" w:hAnsi="Arial"/>
                  <w:sz w:val="18"/>
                  <w:szCs w:val="18"/>
                  <w:color w:val="0000FF"/>
                </w:rPr>
                <w:t>57</w:t>
              </w:r>
            </w:hyperlink>
          </w:p>
        </w:tc>
      </w:tr>
      <w:tr>
        <w:trPr>
          <w:trHeight w:val="520"/>
        </w:trPr>
        <w:tc>
          <w:tcPr>
            <w:tcW w:w="10940" w:type="dxa"/>
            <w:vAlign w:val="bottom"/>
            <w:tcBorders>
              <w:bottom w:val="single" w:sz="8" w:color="auto"/>
            </w:tcBorders>
          </w:tcPr>
          <w:p>
            <w:pPr>
              <w:ind w:left="20"/>
              <w:spacing w:after="0"/>
              <w:rPr>
                <w:rFonts w:ascii="Arial" w:cs="Arial" w:eastAsia="Arial" w:hAnsi="Arial"/>
                <w:sz w:val="22"/>
                <w:szCs w:val="22"/>
                <w:b w:val="1"/>
                <w:bCs w:val="1"/>
                <w:color w:val="00249C"/>
              </w:rPr>
            </w:pPr>
            <w:hyperlink w:anchor="page63">
              <w:r>
                <w:rPr>
                  <w:rFonts w:ascii="Arial" w:cs="Arial" w:eastAsia="Arial" w:hAnsi="Arial"/>
                  <w:sz w:val="22"/>
                  <w:szCs w:val="22"/>
                  <w:b w:val="1"/>
                  <w:bCs w:val="1"/>
                  <w:color w:val="00249C"/>
                </w:rPr>
                <w:t>COMPENSATION TABLES</w:t>
              </w:r>
            </w:hyperlink>
          </w:p>
        </w:tc>
        <w:tc>
          <w:tcPr>
            <w:tcW w:w="300" w:type="dxa"/>
            <w:vAlign w:val="bottom"/>
            <w:tcBorders>
              <w:bottom w:val="single" w:sz="8" w:color="auto"/>
            </w:tcBorders>
            <w:gridSpan w:val="2"/>
          </w:tcPr>
          <w:p>
            <w:pPr>
              <w:jc w:val="right"/>
              <w:ind w:right="20"/>
              <w:spacing w:after="0"/>
              <w:rPr>
                <w:rFonts w:ascii="Arial" w:cs="Arial" w:eastAsia="Arial" w:hAnsi="Arial"/>
                <w:sz w:val="18"/>
                <w:szCs w:val="18"/>
                <w:color w:val="0000FF"/>
              </w:rPr>
            </w:pPr>
            <w:hyperlink w:anchor="page63">
              <w:r>
                <w:rPr>
                  <w:rFonts w:ascii="Arial" w:cs="Arial" w:eastAsia="Arial" w:hAnsi="Arial"/>
                  <w:sz w:val="18"/>
                  <w:szCs w:val="18"/>
                  <w:color w:val="0000FF"/>
                </w:rPr>
                <w:t>58</w:t>
              </w:r>
            </w:hyperlink>
          </w:p>
        </w:tc>
      </w:tr>
      <w:tr>
        <w:trPr>
          <w:trHeight w:val="225"/>
        </w:trPr>
        <w:tc>
          <w:tcPr>
            <w:tcW w:w="10940" w:type="dxa"/>
            <w:vAlign w:val="bottom"/>
          </w:tcPr>
          <w:p>
            <w:pPr>
              <w:ind w:left="140"/>
              <w:spacing w:after="0"/>
              <w:rPr>
                <w:rFonts w:ascii="Arial" w:cs="Arial" w:eastAsia="Arial" w:hAnsi="Arial"/>
                <w:sz w:val="18"/>
                <w:szCs w:val="18"/>
                <w:color w:val="0000FF"/>
              </w:rPr>
            </w:pPr>
            <w:hyperlink w:anchor="page63">
              <w:r>
                <w:rPr>
                  <w:rFonts w:ascii="Arial" w:cs="Arial" w:eastAsia="Arial" w:hAnsi="Arial"/>
                  <w:sz w:val="18"/>
                  <w:szCs w:val="18"/>
                  <w:color w:val="0000FF"/>
                </w:rPr>
                <w:t>Summary Compensation Table</w:t>
              </w:r>
            </w:hyperlink>
          </w:p>
        </w:tc>
        <w:tc>
          <w:tcPr>
            <w:tcW w:w="300" w:type="dxa"/>
            <w:vAlign w:val="bottom"/>
            <w:gridSpan w:val="2"/>
          </w:tcPr>
          <w:p>
            <w:pPr>
              <w:jc w:val="right"/>
              <w:ind w:right="20"/>
              <w:spacing w:after="0"/>
              <w:rPr>
                <w:rFonts w:ascii="Arial" w:cs="Arial" w:eastAsia="Arial" w:hAnsi="Arial"/>
                <w:sz w:val="18"/>
                <w:szCs w:val="18"/>
                <w:color w:val="0000FF"/>
              </w:rPr>
            </w:pPr>
            <w:hyperlink w:anchor="page63">
              <w:r>
                <w:rPr>
                  <w:rFonts w:ascii="Arial" w:cs="Arial" w:eastAsia="Arial" w:hAnsi="Arial"/>
                  <w:sz w:val="18"/>
                  <w:szCs w:val="18"/>
                  <w:color w:val="0000FF"/>
                </w:rPr>
                <w:t>58</w:t>
              </w:r>
            </w:hyperlink>
          </w:p>
        </w:tc>
      </w:tr>
      <w:tr>
        <w:trPr>
          <w:trHeight w:val="230"/>
        </w:trPr>
        <w:tc>
          <w:tcPr>
            <w:tcW w:w="10940" w:type="dxa"/>
            <w:vAlign w:val="bottom"/>
          </w:tcPr>
          <w:p>
            <w:pPr>
              <w:ind w:left="140"/>
              <w:spacing w:after="0"/>
              <w:rPr>
                <w:rFonts w:ascii="Arial" w:cs="Arial" w:eastAsia="Arial" w:hAnsi="Arial"/>
                <w:sz w:val="18"/>
                <w:szCs w:val="18"/>
                <w:color w:val="0000FF"/>
              </w:rPr>
            </w:pPr>
            <w:hyperlink w:anchor="page65">
              <w:r>
                <w:rPr>
                  <w:rFonts w:ascii="Arial" w:cs="Arial" w:eastAsia="Arial" w:hAnsi="Arial"/>
                  <w:sz w:val="18"/>
                  <w:szCs w:val="18"/>
                  <w:color w:val="0000FF"/>
                </w:rPr>
                <w:t>Grants of Plan-Based Awards Table</w:t>
              </w:r>
            </w:hyperlink>
          </w:p>
        </w:tc>
        <w:tc>
          <w:tcPr>
            <w:tcW w:w="300" w:type="dxa"/>
            <w:vAlign w:val="bottom"/>
            <w:gridSpan w:val="2"/>
          </w:tcPr>
          <w:p>
            <w:pPr>
              <w:jc w:val="right"/>
              <w:ind w:right="20"/>
              <w:spacing w:after="0"/>
              <w:rPr>
                <w:rFonts w:ascii="Arial" w:cs="Arial" w:eastAsia="Arial" w:hAnsi="Arial"/>
                <w:sz w:val="18"/>
                <w:szCs w:val="18"/>
                <w:color w:val="0000FF"/>
              </w:rPr>
            </w:pPr>
            <w:hyperlink w:anchor="page65">
              <w:r>
                <w:rPr>
                  <w:rFonts w:ascii="Arial" w:cs="Arial" w:eastAsia="Arial" w:hAnsi="Arial"/>
                  <w:sz w:val="18"/>
                  <w:szCs w:val="18"/>
                  <w:color w:val="0000FF"/>
                </w:rPr>
                <w:t>60</w:t>
              </w:r>
            </w:hyperlink>
          </w:p>
        </w:tc>
      </w:tr>
      <w:tr>
        <w:trPr>
          <w:trHeight w:val="229"/>
        </w:trPr>
        <w:tc>
          <w:tcPr>
            <w:tcW w:w="10940" w:type="dxa"/>
            <w:vAlign w:val="bottom"/>
          </w:tcPr>
          <w:p>
            <w:pPr>
              <w:ind w:left="140"/>
              <w:spacing w:after="0"/>
              <w:rPr>
                <w:rFonts w:ascii="Arial" w:cs="Arial" w:eastAsia="Arial" w:hAnsi="Arial"/>
                <w:sz w:val="18"/>
                <w:szCs w:val="18"/>
                <w:color w:val="0000FF"/>
              </w:rPr>
            </w:pPr>
            <w:hyperlink w:anchor="page66">
              <w:r>
                <w:rPr>
                  <w:rFonts w:ascii="Arial" w:cs="Arial" w:eastAsia="Arial" w:hAnsi="Arial"/>
                  <w:sz w:val="18"/>
                  <w:szCs w:val="18"/>
                  <w:color w:val="0000FF"/>
                </w:rPr>
                <w:t>Outstanding Equity Awards Table</w:t>
              </w:r>
            </w:hyperlink>
          </w:p>
        </w:tc>
        <w:tc>
          <w:tcPr>
            <w:tcW w:w="300" w:type="dxa"/>
            <w:vAlign w:val="bottom"/>
            <w:gridSpan w:val="2"/>
          </w:tcPr>
          <w:p>
            <w:pPr>
              <w:jc w:val="right"/>
              <w:ind w:right="20"/>
              <w:spacing w:after="0"/>
              <w:rPr>
                <w:rFonts w:ascii="Arial" w:cs="Arial" w:eastAsia="Arial" w:hAnsi="Arial"/>
                <w:sz w:val="18"/>
                <w:szCs w:val="18"/>
                <w:color w:val="0000FF"/>
              </w:rPr>
            </w:pPr>
            <w:hyperlink w:anchor="page66">
              <w:r>
                <w:rPr>
                  <w:rFonts w:ascii="Arial" w:cs="Arial" w:eastAsia="Arial" w:hAnsi="Arial"/>
                  <w:sz w:val="18"/>
                  <w:szCs w:val="18"/>
                  <w:color w:val="0000FF"/>
                </w:rPr>
                <w:t>61</w:t>
              </w:r>
            </w:hyperlink>
          </w:p>
        </w:tc>
      </w:tr>
      <w:tr>
        <w:trPr>
          <w:trHeight w:val="229"/>
        </w:trPr>
        <w:tc>
          <w:tcPr>
            <w:tcW w:w="10940" w:type="dxa"/>
            <w:vAlign w:val="bottom"/>
          </w:tcPr>
          <w:p>
            <w:pPr>
              <w:ind w:left="140"/>
              <w:spacing w:after="0"/>
              <w:rPr>
                <w:rFonts w:ascii="Arial" w:cs="Arial" w:eastAsia="Arial" w:hAnsi="Arial"/>
                <w:sz w:val="18"/>
                <w:szCs w:val="18"/>
                <w:color w:val="0000FF"/>
              </w:rPr>
            </w:pPr>
            <w:hyperlink w:anchor="page67">
              <w:r>
                <w:rPr>
                  <w:rFonts w:ascii="Arial" w:cs="Arial" w:eastAsia="Arial" w:hAnsi="Arial"/>
                  <w:sz w:val="18"/>
                  <w:szCs w:val="18"/>
                  <w:color w:val="0000FF"/>
                </w:rPr>
                <w:t>Stock Vested Table</w:t>
              </w:r>
            </w:hyperlink>
          </w:p>
        </w:tc>
        <w:tc>
          <w:tcPr>
            <w:tcW w:w="300" w:type="dxa"/>
            <w:vAlign w:val="bottom"/>
            <w:gridSpan w:val="2"/>
          </w:tcPr>
          <w:p>
            <w:pPr>
              <w:jc w:val="right"/>
              <w:ind w:right="20"/>
              <w:spacing w:after="0"/>
              <w:rPr>
                <w:rFonts w:ascii="Arial" w:cs="Arial" w:eastAsia="Arial" w:hAnsi="Arial"/>
                <w:sz w:val="18"/>
                <w:szCs w:val="18"/>
                <w:color w:val="0000FF"/>
              </w:rPr>
            </w:pPr>
            <w:hyperlink w:anchor="page67">
              <w:r>
                <w:rPr>
                  <w:rFonts w:ascii="Arial" w:cs="Arial" w:eastAsia="Arial" w:hAnsi="Arial"/>
                  <w:sz w:val="18"/>
                  <w:szCs w:val="18"/>
                  <w:color w:val="0000FF"/>
                </w:rPr>
                <w:t>62</w:t>
              </w:r>
            </w:hyperlink>
          </w:p>
        </w:tc>
      </w:tr>
      <w:tr>
        <w:trPr>
          <w:trHeight w:val="230"/>
        </w:trPr>
        <w:tc>
          <w:tcPr>
            <w:tcW w:w="10940" w:type="dxa"/>
            <w:vAlign w:val="bottom"/>
          </w:tcPr>
          <w:p>
            <w:pPr>
              <w:ind w:left="140"/>
              <w:spacing w:after="0"/>
              <w:rPr>
                <w:rFonts w:ascii="Arial" w:cs="Arial" w:eastAsia="Arial" w:hAnsi="Arial"/>
                <w:sz w:val="18"/>
                <w:szCs w:val="18"/>
                <w:color w:val="0000FF"/>
              </w:rPr>
            </w:pPr>
            <w:hyperlink w:anchor="page68">
              <w:r>
                <w:rPr>
                  <w:rFonts w:ascii="Arial" w:cs="Arial" w:eastAsia="Arial" w:hAnsi="Arial"/>
                  <w:sz w:val="18"/>
                  <w:szCs w:val="18"/>
                  <w:color w:val="0000FF"/>
                </w:rPr>
                <w:t>Pension Benefits</w:t>
              </w:r>
            </w:hyperlink>
          </w:p>
        </w:tc>
        <w:tc>
          <w:tcPr>
            <w:tcW w:w="300" w:type="dxa"/>
            <w:vAlign w:val="bottom"/>
            <w:gridSpan w:val="2"/>
          </w:tcPr>
          <w:p>
            <w:pPr>
              <w:jc w:val="right"/>
              <w:ind w:right="20"/>
              <w:spacing w:after="0"/>
              <w:rPr>
                <w:rFonts w:ascii="Arial" w:cs="Arial" w:eastAsia="Arial" w:hAnsi="Arial"/>
                <w:sz w:val="18"/>
                <w:szCs w:val="18"/>
                <w:color w:val="0000FF"/>
              </w:rPr>
            </w:pPr>
            <w:hyperlink w:anchor="page68">
              <w:r>
                <w:rPr>
                  <w:rFonts w:ascii="Arial" w:cs="Arial" w:eastAsia="Arial" w:hAnsi="Arial"/>
                  <w:sz w:val="18"/>
                  <w:szCs w:val="18"/>
                  <w:color w:val="0000FF"/>
                </w:rPr>
                <w:t>63</w:t>
              </w:r>
            </w:hyperlink>
          </w:p>
        </w:tc>
      </w:tr>
      <w:tr>
        <w:trPr>
          <w:trHeight w:val="229"/>
        </w:trPr>
        <w:tc>
          <w:tcPr>
            <w:tcW w:w="10940" w:type="dxa"/>
            <w:vAlign w:val="bottom"/>
          </w:tcPr>
          <w:p>
            <w:pPr>
              <w:ind w:left="140"/>
              <w:spacing w:after="0"/>
              <w:rPr>
                <w:rFonts w:ascii="Arial" w:cs="Arial" w:eastAsia="Arial" w:hAnsi="Arial"/>
                <w:sz w:val="18"/>
                <w:szCs w:val="18"/>
                <w:color w:val="0000FF"/>
              </w:rPr>
            </w:pPr>
            <w:hyperlink w:anchor="page73">
              <w:r>
                <w:rPr>
                  <w:rFonts w:ascii="Arial" w:cs="Arial" w:eastAsia="Arial" w:hAnsi="Arial"/>
                  <w:sz w:val="18"/>
                  <w:szCs w:val="18"/>
                  <w:color w:val="0000FF"/>
                </w:rPr>
                <w:t>Nonqualified Deferred Compensation Table</w:t>
              </w:r>
            </w:hyperlink>
          </w:p>
        </w:tc>
        <w:tc>
          <w:tcPr>
            <w:tcW w:w="300" w:type="dxa"/>
            <w:vAlign w:val="bottom"/>
            <w:gridSpan w:val="2"/>
          </w:tcPr>
          <w:p>
            <w:pPr>
              <w:jc w:val="right"/>
              <w:ind w:right="20"/>
              <w:spacing w:after="0"/>
              <w:rPr>
                <w:rFonts w:ascii="Arial" w:cs="Arial" w:eastAsia="Arial" w:hAnsi="Arial"/>
                <w:sz w:val="18"/>
                <w:szCs w:val="18"/>
                <w:color w:val="0000FF"/>
              </w:rPr>
            </w:pPr>
            <w:hyperlink w:anchor="page73">
              <w:r>
                <w:rPr>
                  <w:rFonts w:ascii="Arial" w:cs="Arial" w:eastAsia="Arial" w:hAnsi="Arial"/>
                  <w:sz w:val="18"/>
                  <w:szCs w:val="18"/>
                  <w:color w:val="0000FF"/>
                </w:rPr>
                <w:t>68</w:t>
              </w:r>
            </w:hyperlink>
          </w:p>
        </w:tc>
      </w:tr>
      <w:tr>
        <w:trPr>
          <w:trHeight w:val="538"/>
        </w:trPr>
        <w:tc>
          <w:tcPr>
            <w:tcW w:w="10940" w:type="dxa"/>
            <w:vAlign w:val="bottom"/>
            <w:tcBorders>
              <w:bottom w:val="single" w:sz="8" w:color="auto"/>
            </w:tcBorders>
          </w:tcPr>
          <w:p>
            <w:pPr>
              <w:ind w:left="20"/>
              <w:spacing w:after="0"/>
              <w:rPr>
                <w:rFonts w:ascii="Arial" w:cs="Arial" w:eastAsia="Arial" w:hAnsi="Arial"/>
                <w:sz w:val="22"/>
                <w:szCs w:val="22"/>
                <w:b w:val="1"/>
                <w:bCs w:val="1"/>
                <w:color w:val="00249C"/>
              </w:rPr>
            </w:pPr>
            <w:hyperlink w:anchor="page75">
              <w:r>
                <w:rPr>
                  <w:rFonts w:ascii="Arial" w:cs="Arial" w:eastAsia="Arial" w:hAnsi="Arial"/>
                  <w:sz w:val="22"/>
                  <w:szCs w:val="22"/>
                  <w:b w:val="1"/>
                  <w:bCs w:val="1"/>
                  <w:color w:val="00249C"/>
                </w:rPr>
                <w:t>TERMINATION PAYMENTS AND BENEFITS</w:t>
              </w:r>
            </w:hyperlink>
          </w:p>
        </w:tc>
        <w:tc>
          <w:tcPr>
            <w:tcW w:w="300" w:type="dxa"/>
            <w:vAlign w:val="bottom"/>
            <w:tcBorders>
              <w:bottom w:val="single" w:sz="8" w:color="auto"/>
            </w:tcBorders>
            <w:gridSpan w:val="2"/>
          </w:tcPr>
          <w:p>
            <w:pPr>
              <w:jc w:val="right"/>
              <w:ind w:right="20"/>
              <w:spacing w:after="0"/>
              <w:rPr>
                <w:rFonts w:ascii="Arial" w:cs="Arial" w:eastAsia="Arial" w:hAnsi="Arial"/>
                <w:sz w:val="18"/>
                <w:szCs w:val="18"/>
                <w:color w:val="0000FF"/>
              </w:rPr>
            </w:pPr>
            <w:hyperlink w:anchor="page75">
              <w:r>
                <w:rPr>
                  <w:rFonts w:ascii="Arial" w:cs="Arial" w:eastAsia="Arial" w:hAnsi="Arial"/>
                  <w:sz w:val="18"/>
                  <w:szCs w:val="18"/>
                  <w:color w:val="0000FF"/>
                </w:rPr>
                <w:t>70</w:t>
              </w:r>
            </w:hyperlink>
          </w:p>
        </w:tc>
      </w:tr>
      <w:tr>
        <w:trPr>
          <w:trHeight w:val="225"/>
        </w:trPr>
        <w:tc>
          <w:tcPr>
            <w:tcW w:w="10940" w:type="dxa"/>
            <w:vAlign w:val="bottom"/>
          </w:tcPr>
          <w:p>
            <w:pPr>
              <w:ind w:left="140"/>
              <w:spacing w:after="0"/>
              <w:rPr>
                <w:rFonts w:ascii="Arial" w:cs="Arial" w:eastAsia="Arial" w:hAnsi="Arial"/>
                <w:sz w:val="18"/>
                <w:szCs w:val="18"/>
                <w:color w:val="0000FF"/>
              </w:rPr>
            </w:pPr>
            <w:hyperlink w:anchor="page77">
              <w:r>
                <w:rPr>
                  <w:rFonts w:ascii="Arial" w:cs="Arial" w:eastAsia="Arial" w:hAnsi="Arial"/>
                  <w:sz w:val="18"/>
                  <w:szCs w:val="18"/>
                  <w:color w:val="0000FF"/>
                </w:rPr>
                <w:t>Termination Payment Table</w:t>
              </w:r>
            </w:hyperlink>
          </w:p>
        </w:tc>
        <w:tc>
          <w:tcPr>
            <w:tcW w:w="300" w:type="dxa"/>
            <w:vAlign w:val="bottom"/>
            <w:gridSpan w:val="2"/>
          </w:tcPr>
          <w:p>
            <w:pPr>
              <w:jc w:val="right"/>
              <w:ind w:right="20"/>
              <w:spacing w:after="0"/>
              <w:rPr>
                <w:rFonts w:ascii="Arial" w:cs="Arial" w:eastAsia="Arial" w:hAnsi="Arial"/>
                <w:sz w:val="18"/>
                <w:szCs w:val="18"/>
                <w:color w:val="0000FF"/>
              </w:rPr>
            </w:pPr>
            <w:hyperlink w:anchor="page77">
              <w:r>
                <w:rPr>
                  <w:rFonts w:ascii="Arial" w:cs="Arial" w:eastAsia="Arial" w:hAnsi="Arial"/>
                  <w:sz w:val="18"/>
                  <w:szCs w:val="18"/>
                  <w:color w:val="0000FF"/>
                </w:rPr>
                <w:t>72</w:t>
              </w:r>
            </w:hyperlink>
          </w:p>
        </w:tc>
      </w:tr>
      <w:tr>
        <w:trPr>
          <w:trHeight w:val="538"/>
        </w:trPr>
        <w:tc>
          <w:tcPr>
            <w:tcW w:w="10940" w:type="dxa"/>
            <w:vAlign w:val="bottom"/>
            <w:tcBorders>
              <w:bottom w:val="single" w:sz="8" w:color="auto"/>
            </w:tcBorders>
          </w:tcPr>
          <w:p>
            <w:pPr>
              <w:ind w:left="20"/>
              <w:spacing w:after="0"/>
              <w:rPr>
                <w:rFonts w:ascii="Arial" w:cs="Arial" w:eastAsia="Arial" w:hAnsi="Arial"/>
                <w:sz w:val="22"/>
                <w:szCs w:val="22"/>
                <w:b w:val="1"/>
                <w:bCs w:val="1"/>
                <w:color w:val="00249C"/>
              </w:rPr>
            </w:pPr>
            <w:hyperlink w:anchor="page79">
              <w:r>
                <w:rPr>
                  <w:rFonts w:ascii="Arial" w:cs="Arial" w:eastAsia="Arial" w:hAnsi="Arial"/>
                  <w:sz w:val="22"/>
                  <w:szCs w:val="22"/>
                  <w:b w:val="1"/>
                  <w:bCs w:val="1"/>
                  <w:color w:val="00249C"/>
                </w:rPr>
                <w:t>CEO PAY RATIO</w:t>
              </w:r>
            </w:hyperlink>
          </w:p>
        </w:tc>
        <w:tc>
          <w:tcPr>
            <w:tcW w:w="300" w:type="dxa"/>
            <w:vAlign w:val="bottom"/>
            <w:tcBorders>
              <w:bottom w:val="single" w:sz="8" w:color="auto"/>
            </w:tcBorders>
            <w:gridSpan w:val="2"/>
          </w:tcPr>
          <w:p>
            <w:pPr>
              <w:jc w:val="right"/>
              <w:ind w:right="20"/>
              <w:spacing w:after="0"/>
              <w:rPr>
                <w:rFonts w:ascii="Arial" w:cs="Arial" w:eastAsia="Arial" w:hAnsi="Arial"/>
                <w:sz w:val="18"/>
                <w:szCs w:val="18"/>
                <w:color w:val="0000FF"/>
              </w:rPr>
            </w:pPr>
            <w:hyperlink w:anchor="page79">
              <w:r>
                <w:rPr>
                  <w:rFonts w:ascii="Arial" w:cs="Arial" w:eastAsia="Arial" w:hAnsi="Arial"/>
                  <w:sz w:val="18"/>
                  <w:szCs w:val="18"/>
                  <w:color w:val="0000FF"/>
                </w:rPr>
                <w:t>74</w:t>
              </w:r>
            </w:hyperlink>
          </w:p>
        </w:tc>
      </w:tr>
      <w:tr>
        <w:trPr>
          <w:trHeight w:val="520"/>
        </w:trPr>
        <w:tc>
          <w:tcPr>
            <w:tcW w:w="10940" w:type="dxa"/>
            <w:vAlign w:val="bottom"/>
            <w:tcBorders>
              <w:bottom w:val="single" w:sz="8" w:color="auto"/>
            </w:tcBorders>
          </w:tcPr>
          <w:p>
            <w:pPr>
              <w:ind w:left="20"/>
              <w:spacing w:after="0"/>
              <w:rPr>
                <w:rFonts w:ascii="Arial" w:cs="Arial" w:eastAsia="Arial" w:hAnsi="Arial"/>
                <w:sz w:val="22"/>
                <w:szCs w:val="22"/>
                <w:b w:val="1"/>
                <w:bCs w:val="1"/>
                <w:color w:val="00249C"/>
              </w:rPr>
            </w:pPr>
            <w:hyperlink w:anchor="page80">
              <w:r>
                <w:rPr>
                  <w:rFonts w:ascii="Arial" w:cs="Arial" w:eastAsia="Arial" w:hAnsi="Arial"/>
                  <w:sz w:val="22"/>
                  <w:szCs w:val="22"/>
                  <w:b w:val="1"/>
                  <w:bCs w:val="1"/>
                  <w:color w:val="00249C"/>
                </w:rPr>
                <w:t>PROPOSAL THREE: RATIFICATION OF APPOINTMENT OF INDEPENDENT AUDITOR</w:t>
              </w:r>
            </w:hyperlink>
          </w:p>
        </w:tc>
        <w:tc>
          <w:tcPr>
            <w:tcW w:w="300" w:type="dxa"/>
            <w:vAlign w:val="bottom"/>
            <w:tcBorders>
              <w:bottom w:val="single" w:sz="8" w:color="auto"/>
            </w:tcBorders>
            <w:gridSpan w:val="2"/>
          </w:tcPr>
          <w:p>
            <w:pPr>
              <w:jc w:val="right"/>
              <w:ind w:right="20"/>
              <w:spacing w:after="0"/>
              <w:rPr>
                <w:rFonts w:ascii="Arial" w:cs="Arial" w:eastAsia="Arial" w:hAnsi="Arial"/>
                <w:sz w:val="18"/>
                <w:szCs w:val="18"/>
                <w:color w:val="0000FF"/>
              </w:rPr>
            </w:pPr>
            <w:hyperlink w:anchor="page80">
              <w:r>
                <w:rPr>
                  <w:rFonts w:ascii="Arial" w:cs="Arial" w:eastAsia="Arial" w:hAnsi="Arial"/>
                  <w:sz w:val="18"/>
                  <w:szCs w:val="18"/>
                  <w:color w:val="0000FF"/>
                </w:rPr>
                <w:t>75</w:t>
              </w:r>
            </w:hyperlink>
          </w:p>
        </w:tc>
      </w:tr>
      <w:tr>
        <w:trPr>
          <w:trHeight w:val="225"/>
        </w:trPr>
        <w:tc>
          <w:tcPr>
            <w:tcW w:w="10940" w:type="dxa"/>
            <w:vAlign w:val="bottom"/>
          </w:tcPr>
          <w:p>
            <w:pPr>
              <w:ind w:left="140"/>
              <w:spacing w:after="0"/>
              <w:rPr>
                <w:rFonts w:ascii="Arial" w:cs="Arial" w:eastAsia="Arial" w:hAnsi="Arial"/>
                <w:sz w:val="18"/>
                <w:szCs w:val="18"/>
                <w:color w:val="0000FF"/>
              </w:rPr>
            </w:pPr>
            <w:hyperlink w:anchor="page80">
              <w:r>
                <w:rPr>
                  <w:rFonts w:ascii="Arial" w:cs="Arial" w:eastAsia="Arial" w:hAnsi="Arial"/>
                  <w:sz w:val="18"/>
                  <w:szCs w:val="18"/>
                  <w:color w:val="0000FF"/>
                </w:rPr>
                <w:t>Audit Fees and All Other Fees</w:t>
              </w:r>
            </w:hyperlink>
          </w:p>
        </w:tc>
        <w:tc>
          <w:tcPr>
            <w:tcW w:w="300" w:type="dxa"/>
            <w:vAlign w:val="bottom"/>
            <w:gridSpan w:val="2"/>
          </w:tcPr>
          <w:p>
            <w:pPr>
              <w:jc w:val="right"/>
              <w:ind w:right="20"/>
              <w:spacing w:after="0"/>
              <w:rPr>
                <w:rFonts w:ascii="Arial" w:cs="Arial" w:eastAsia="Arial" w:hAnsi="Arial"/>
                <w:sz w:val="18"/>
                <w:szCs w:val="18"/>
                <w:color w:val="0000FF"/>
              </w:rPr>
            </w:pPr>
            <w:hyperlink w:anchor="page80">
              <w:r>
                <w:rPr>
                  <w:rFonts w:ascii="Arial" w:cs="Arial" w:eastAsia="Arial" w:hAnsi="Arial"/>
                  <w:sz w:val="18"/>
                  <w:szCs w:val="18"/>
                  <w:color w:val="0000FF"/>
                </w:rPr>
                <w:t>75</w:t>
              </w:r>
            </w:hyperlink>
          </w:p>
        </w:tc>
      </w:tr>
      <w:tr>
        <w:trPr>
          <w:trHeight w:val="230"/>
        </w:trPr>
        <w:tc>
          <w:tcPr>
            <w:tcW w:w="10940" w:type="dxa"/>
            <w:vAlign w:val="bottom"/>
          </w:tcPr>
          <w:p>
            <w:pPr>
              <w:ind w:left="140"/>
              <w:spacing w:after="0"/>
              <w:rPr>
                <w:rFonts w:ascii="Arial" w:cs="Arial" w:eastAsia="Arial" w:hAnsi="Arial"/>
                <w:sz w:val="18"/>
                <w:szCs w:val="18"/>
                <w:color w:val="0000FF"/>
              </w:rPr>
            </w:pPr>
            <w:hyperlink w:anchor="page80">
              <w:r>
                <w:rPr>
                  <w:rFonts w:ascii="Arial" w:cs="Arial" w:eastAsia="Arial" w:hAnsi="Arial"/>
                  <w:sz w:val="18"/>
                  <w:szCs w:val="18"/>
                  <w:color w:val="0000FF"/>
                </w:rPr>
                <w:t>Policy on Audit Committee Pre-Approval of Audit and Permissible Non-Audit Services</w:t>
              </w:r>
            </w:hyperlink>
          </w:p>
        </w:tc>
        <w:tc>
          <w:tcPr>
            <w:tcW w:w="300" w:type="dxa"/>
            <w:vAlign w:val="bottom"/>
            <w:gridSpan w:val="2"/>
          </w:tcPr>
          <w:p>
            <w:pPr>
              <w:jc w:val="right"/>
              <w:ind w:right="20"/>
              <w:spacing w:after="0"/>
              <w:rPr>
                <w:rFonts w:ascii="Arial" w:cs="Arial" w:eastAsia="Arial" w:hAnsi="Arial"/>
                <w:sz w:val="18"/>
                <w:szCs w:val="18"/>
                <w:color w:val="0000FF"/>
              </w:rPr>
            </w:pPr>
            <w:hyperlink w:anchor="page80">
              <w:r>
                <w:rPr>
                  <w:rFonts w:ascii="Arial" w:cs="Arial" w:eastAsia="Arial" w:hAnsi="Arial"/>
                  <w:sz w:val="18"/>
                  <w:szCs w:val="18"/>
                  <w:color w:val="0000FF"/>
                </w:rPr>
                <w:t>75</w:t>
              </w:r>
            </w:hyperlink>
          </w:p>
        </w:tc>
      </w:tr>
      <w:tr>
        <w:trPr>
          <w:trHeight w:val="538"/>
        </w:trPr>
        <w:tc>
          <w:tcPr>
            <w:tcW w:w="10940" w:type="dxa"/>
            <w:vAlign w:val="bottom"/>
            <w:tcBorders>
              <w:bottom w:val="single" w:sz="8" w:color="auto"/>
            </w:tcBorders>
          </w:tcPr>
          <w:p>
            <w:pPr>
              <w:ind w:left="20"/>
              <w:spacing w:after="0"/>
              <w:rPr>
                <w:rFonts w:ascii="Arial" w:cs="Arial" w:eastAsia="Arial" w:hAnsi="Arial"/>
                <w:sz w:val="22"/>
                <w:szCs w:val="22"/>
                <w:b w:val="1"/>
                <w:bCs w:val="1"/>
                <w:color w:val="00249C"/>
              </w:rPr>
            </w:pPr>
            <w:hyperlink w:anchor="page82">
              <w:r>
                <w:rPr>
                  <w:rFonts w:ascii="Arial" w:cs="Arial" w:eastAsia="Arial" w:hAnsi="Arial"/>
                  <w:sz w:val="22"/>
                  <w:szCs w:val="22"/>
                  <w:b w:val="1"/>
                  <w:bCs w:val="1"/>
                  <w:color w:val="00249C"/>
                </w:rPr>
                <w:t>AUDIT AND RISK COMMITTEE REPORT</w:t>
              </w:r>
            </w:hyperlink>
          </w:p>
        </w:tc>
        <w:tc>
          <w:tcPr>
            <w:tcW w:w="300" w:type="dxa"/>
            <w:vAlign w:val="bottom"/>
            <w:tcBorders>
              <w:bottom w:val="single" w:sz="8" w:color="auto"/>
            </w:tcBorders>
            <w:gridSpan w:val="2"/>
          </w:tcPr>
          <w:p>
            <w:pPr>
              <w:jc w:val="right"/>
              <w:ind w:right="20"/>
              <w:spacing w:after="0"/>
              <w:rPr>
                <w:rFonts w:ascii="Arial" w:cs="Arial" w:eastAsia="Arial" w:hAnsi="Arial"/>
                <w:sz w:val="18"/>
                <w:szCs w:val="18"/>
                <w:color w:val="0000FF"/>
              </w:rPr>
            </w:pPr>
            <w:hyperlink w:anchor="page82">
              <w:r>
                <w:rPr>
                  <w:rFonts w:ascii="Arial" w:cs="Arial" w:eastAsia="Arial" w:hAnsi="Arial"/>
                  <w:sz w:val="18"/>
                  <w:szCs w:val="18"/>
                  <w:color w:val="0000FF"/>
                </w:rPr>
                <w:t>77</w:t>
              </w:r>
            </w:hyperlink>
          </w:p>
        </w:tc>
      </w:tr>
      <w:tr>
        <w:trPr>
          <w:trHeight w:val="520"/>
        </w:trPr>
        <w:tc>
          <w:tcPr>
            <w:tcW w:w="10940" w:type="dxa"/>
            <w:vAlign w:val="bottom"/>
            <w:tcBorders>
              <w:bottom w:val="single" w:sz="8" w:color="auto"/>
            </w:tcBorders>
          </w:tcPr>
          <w:p>
            <w:pPr>
              <w:ind w:left="20"/>
              <w:spacing w:after="0"/>
              <w:rPr>
                <w:rFonts w:ascii="Arial" w:cs="Arial" w:eastAsia="Arial" w:hAnsi="Arial"/>
                <w:sz w:val="22"/>
                <w:szCs w:val="22"/>
                <w:b w:val="1"/>
                <w:bCs w:val="1"/>
                <w:color w:val="00249C"/>
              </w:rPr>
            </w:pPr>
            <w:hyperlink w:anchor="page83">
              <w:r>
                <w:rPr>
                  <w:rFonts w:ascii="Arial" w:cs="Arial" w:eastAsia="Arial" w:hAnsi="Arial"/>
                  <w:sz w:val="22"/>
                  <w:szCs w:val="22"/>
                  <w:b w:val="1"/>
                  <w:bCs w:val="1"/>
                  <w:color w:val="00249C"/>
                </w:rPr>
                <w:t>PROPOSAL FOUR: SHAREHOLDER PROPOSAL</w:t>
              </w:r>
            </w:hyperlink>
          </w:p>
        </w:tc>
        <w:tc>
          <w:tcPr>
            <w:tcW w:w="300" w:type="dxa"/>
            <w:vAlign w:val="bottom"/>
            <w:tcBorders>
              <w:bottom w:val="single" w:sz="8" w:color="auto"/>
            </w:tcBorders>
            <w:gridSpan w:val="2"/>
          </w:tcPr>
          <w:p>
            <w:pPr>
              <w:jc w:val="right"/>
              <w:ind w:right="20"/>
              <w:spacing w:after="0"/>
              <w:rPr>
                <w:rFonts w:ascii="Arial" w:cs="Arial" w:eastAsia="Arial" w:hAnsi="Arial"/>
                <w:sz w:val="18"/>
                <w:szCs w:val="18"/>
                <w:color w:val="0000FF"/>
              </w:rPr>
            </w:pPr>
            <w:hyperlink w:anchor="page83">
              <w:r>
                <w:rPr>
                  <w:rFonts w:ascii="Arial" w:cs="Arial" w:eastAsia="Arial" w:hAnsi="Arial"/>
                  <w:sz w:val="18"/>
                  <w:szCs w:val="18"/>
                  <w:color w:val="0000FF"/>
                </w:rPr>
                <w:t>78</w:t>
              </w:r>
            </w:hyperlink>
          </w:p>
        </w:tc>
      </w:tr>
      <w:tr>
        <w:trPr>
          <w:trHeight w:val="520"/>
        </w:trPr>
        <w:tc>
          <w:tcPr>
            <w:tcW w:w="10940" w:type="dxa"/>
            <w:vAlign w:val="bottom"/>
            <w:tcBorders>
              <w:bottom w:val="single" w:sz="8" w:color="auto"/>
            </w:tcBorders>
          </w:tcPr>
          <w:p>
            <w:pPr>
              <w:ind w:left="20"/>
              <w:spacing w:after="0"/>
              <w:rPr>
                <w:rFonts w:ascii="Arial" w:cs="Arial" w:eastAsia="Arial" w:hAnsi="Arial"/>
                <w:sz w:val="22"/>
                <w:szCs w:val="22"/>
                <w:b w:val="1"/>
                <w:bCs w:val="1"/>
                <w:color w:val="00249C"/>
              </w:rPr>
            </w:pPr>
            <w:hyperlink w:anchor="page86">
              <w:r>
                <w:rPr>
                  <w:rFonts w:ascii="Arial" w:cs="Arial" w:eastAsia="Arial" w:hAnsi="Arial"/>
                  <w:sz w:val="22"/>
                  <w:szCs w:val="22"/>
                  <w:b w:val="1"/>
                  <w:bCs w:val="1"/>
                  <w:color w:val="00249C"/>
                </w:rPr>
                <w:t>PROPOSAL FIVE: SHAREHOLDER PROPOSAL</w:t>
              </w:r>
            </w:hyperlink>
          </w:p>
        </w:tc>
        <w:tc>
          <w:tcPr>
            <w:tcW w:w="300" w:type="dxa"/>
            <w:vAlign w:val="bottom"/>
            <w:tcBorders>
              <w:bottom w:val="single" w:sz="8" w:color="auto"/>
            </w:tcBorders>
            <w:gridSpan w:val="2"/>
          </w:tcPr>
          <w:p>
            <w:pPr>
              <w:jc w:val="right"/>
              <w:ind w:right="20"/>
              <w:spacing w:after="0"/>
              <w:rPr>
                <w:rFonts w:ascii="Arial" w:cs="Arial" w:eastAsia="Arial" w:hAnsi="Arial"/>
                <w:sz w:val="18"/>
                <w:szCs w:val="18"/>
                <w:color w:val="0000FF"/>
              </w:rPr>
            </w:pPr>
            <w:hyperlink w:anchor="page86">
              <w:r>
                <w:rPr>
                  <w:rFonts w:ascii="Arial" w:cs="Arial" w:eastAsia="Arial" w:hAnsi="Arial"/>
                  <w:sz w:val="18"/>
                  <w:szCs w:val="18"/>
                  <w:color w:val="0000FF"/>
                </w:rPr>
                <w:t>81</w:t>
              </w:r>
            </w:hyperlink>
          </w:p>
        </w:tc>
      </w:tr>
      <w:tr>
        <w:trPr>
          <w:trHeight w:val="520"/>
        </w:trPr>
        <w:tc>
          <w:tcPr>
            <w:tcW w:w="10940" w:type="dxa"/>
            <w:vAlign w:val="bottom"/>
            <w:tcBorders>
              <w:bottom w:val="single" w:sz="8" w:color="auto"/>
            </w:tcBorders>
          </w:tcPr>
          <w:p>
            <w:pPr>
              <w:ind w:left="20"/>
              <w:spacing w:after="0"/>
              <w:rPr>
                <w:rFonts w:ascii="Arial" w:cs="Arial" w:eastAsia="Arial" w:hAnsi="Arial"/>
                <w:sz w:val="22"/>
                <w:szCs w:val="22"/>
                <w:b w:val="1"/>
                <w:bCs w:val="1"/>
                <w:color w:val="00249C"/>
              </w:rPr>
            </w:pPr>
            <w:hyperlink w:anchor="page89">
              <w:r>
                <w:rPr>
                  <w:rFonts w:ascii="Arial" w:cs="Arial" w:eastAsia="Arial" w:hAnsi="Arial"/>
                  <w:sz w:val="22"/>
                  <w:szCs w:val="22"/>
                  <w:b w:val="1"/>
                  <w:bCs w:val="1"/>
                  <w:color w:val="00249C"/>
                </w:rPr>
                <w:t>QUESTIONS AND ANSWERS ABOUT THE ANNUAL MEETING</w:t>
              </w:r>
            </w:hyperlink>
          </w:p>
        </w:tc>
        <w:tc>
          <w:tcPr>
            <w:tcW w:w="300" w:type="dxa"/>
            <w:vAlign w:val="bottom"/>
            <w:tcBorders>
              <w:bottom w:val="single" w:sz="8" w:color="auto"/>
            </w:tcBorders>
            <w:gridSpan w:val="2"/>
          </w:tcPr>
          <w:p>
            <w:pPr>
              <w:jc w:val="right"/>
              <w:ind w:right="20"/>
              <w:spacing w:after="0"/>
              <w:rPr>
                <w:rFonts w:ascii="Arial" w:cs="Arial" w:eastAsia="Arial" w:hAnsi="Arial"/>
                <w:sz w:val="18"/>
                <w:szCs w:val="18"/>
                <w:color w:val="0000FF"/>
              </w:rPr>
            </w:pPr>
            <w:hyperlink w:anchor="page89">
              <w:r>
                <w:rPr>
                  <w:rFonts w:ascii="Arial" w:cs="Arial" w:eastAsia="Arial" w:hAnsi="Arial"/>
                  <w:sz w:val="18"/>
                  <w:szCs w:val="18"/>
                  <w:color w:val="0000FF"/>
                </w:rPr>
                <w:t>84</w:t>
              </w:r>
            </w:hyperlink>
          </w:p>
        </w:tc>
      </w:tr>
      <w:tr>
        <w:trPr>
          <w:trHeight w:val="520"/>
        </w:trPr>
        <w:tc>
          <w:tcPr>
            <w:tcW w:w="10940" w:type="dxa"/>
            <w:vAlign w:val="bottom"/>
            <w:tcBorders>
              <w:bottom w:val="single" w:sz="8" w:color="auto"/>
            </w:tcBorders>
          </w:tcPr>
          <w:p>
            <w:pPr>
              <w:ind w:left="20"/>
              <w:spacing w:after="0"/>
              <w:rPr>
                <w:rFonts w:ascii="Arial" w:cs="Arial" w:eastAsia="Arial" w:hAnsi="Arial"/>
                <w:sz w:val="22"/>
                <w:szCs w:val="22"/>
                <w:b w:val="1"/>
                <w:bCs w:val="1"/>
                <w:color w:val="00249C"/>
              </w:rPr>
            </w:pPr>
            <w:hyperlink w:anchor="page92">
              <w:r>
                <w:rPr>
                  <w:rFonts w:ascii="Arial" w:cs="Arial" w:eastAsia="Arial" w:hAnsi="Arial"/>
                  <w:sz w:val="22"/>
                  <w:szCs w:val="22"/>
                  <w:b w:val="1"/>
                  <w:bCs w:val="1"/>
                  <w:color w:val="00249C"/>
                </w:rPr>
                <w:t>MISCELLANEOUS</w:t>
              </w:r>
            </w:hyperlink>
          </w:p>
        </w:tc>
        <w:tc>
          <w:tcPr>
            <w:tcW w:w="300" w:type="dxa"/>
            <w:vAlign w:val="bottom"/>
            <w:tcBorders>
              <w:bottom w:val="single" w:sz="8" w:color="auto"/>
            </w:tcBorders>
            <w:gridSpan w:val="2"/>
          </w:tcPr>
          <w:p>
            <w:pPr>
              <w:jc w:val="right"/>
              <w:ind w:right="20"/>
              <w:spacing w:after="0"/>
              <w:rPr>
                <w:rFonts w:ascii="Arial" w:cs="Arial" w:eastAsia="Arial" w:hAnsi="Arial"/>
                <w:sz w:val="18"/>
                <w:szCs w:val="18"/>
                <w:color w:val="0000FF"/>
              </w:rPr>
            </w:pPr>
            <w:hyperlink w:anchor="page92">
              <w:r>
                <w:rPr>
                  <w:rFonts w:ascii="Arial" w:cs="Arial" w:eastAsia="Arial" w:hAnsi="Arial"/>
                  <w:sz w:val="18"/>
                  <w:szCs w:val="18"/>
                  <w:color w:val="0000FF"/>
                </w:rPr>
                <w:t>87</w:t>
              </w:r>
            </w:hyperlink>
          </w:p>
        </w:tc>
      </w:tr>
      <w:tr>
        <w:trPr>
          <w:trHeight w:val="225"/>
        </w:trPr>
        <w:tc>
          <w:tcPr>
            <w:tcW w:w="10940" w:type="dxa"/>
            <w:vAlign w:val="bottom"/>
          </w:tcPr>
          <w:p>
            <w:pPr>
              <w:ind w:left="140"/>
              <w:spacing w:after="0"/>
              <w:rPr>
                <w:rFonts w:ascii="Arial" w:cs="Arial" w:eastAsia="Arial" w:hAnsi="Arial"/>
                <w:sz w:val="18"/>
                <w:szCs w:val="18"/>
                <w:color w:val="0000FF"/>
              </w:rPr>
            </w:pPr>
            <w:hyperlink w:anchor="page92">
              <w:r>
                <w:rPr>
                  <w:rFonts w:ascii="Arial" w:cs="Arial" w:eastAsia="Arial" w:hAnsi="Arial"/>
                  <w:sz w:val="18"/>
                  <w:szCs w:val="18"/>
                  <w:color w:val="0000FF"/>
                </w:rPr>
                <w:t>Voting on Other Matters</w:t>
              </w:r>
            </w:hyperlink>
          </w:p>
        </w:tc>
        <w:tc>
          <w:tcPr>
            <w:tcW w:w="300" w:type="dxa"/>
            <w:vAlign w:val="bottom"/>
            <w:gridSpan w:val="2"/>
          </w:tcPr>
          <w:p>
            <w:pPr>
              <w:jc w:val="right"/>
              <w:ind w:right="20"/>
              <w:spacing w:after="0"/>
              <w:rPr>
                <w:rFonts w:ascii="Arial" w:cs="Arial" w:eastAsia="Arial" w:hAnsi="Arial"/>
                <w:sz w:val="18"/>
                <w:szCs w:val="18"/>
                <w:color w:val="0000FF"/>
              </w:rPr>
            </w:pPr>
            <w:hyperlink w:anchor="page92">
              <w:r>
                <w:rPr>
                  <w:rFonts w:ascii="Arial" w:cs="Arial" w:eastAsia="Arial" w:hAnsi="Arial"/>
                  <w:sz w:val="18"/>
                  <w:szCs w:val="18"/>
                  <w:color w:val="0000FF"/>
                </w:rPr>
                <w:t>87</w:t>
              </w:r>
            </w:hyperlink>
          </w:p>
        </w:tc>
      </w:tr>
      <w:tr>
        <w:trPr>
          <w:trHeight w:val="230"/>
        </w:trPr>
        <w:tc>
          <w:tcPr>
            <w:tcW w:w="10940" w:type="dxa"/>
            <w:vAlign w:val="bottom"/>
          </w:tcPr>
          <w:p>
            <w:pPr>
              <w:ind w:left="140"/>
              <w:spacing w:after="0"/>
              <w:rPr>
                <w:rFonts w:ascii="Arial" w:cs="Arial" w:eastAsia="Arial" w:hAnsi="Arial"/>
                <w:sz w:val="18"/>
                <w:szCs w:val="18"/>
                <w:color w:val="0000FF"/>
              </w:rPr>
            </w:pPr>
            <w:hyperlink w:anchor="page93">
              <w:r>
                <w:rPr>
                  <w:rFonts w:ascii="Arial" w:cs="Arial" w:eastAsia="Arial" w:hAnsi="Arial"/>
                  <w:sz w:val="18"/>
                  <w:szCs w:val="18"/>
                  <w:color w:val="0000FF"/>
                </w:rPr>
                <w:t>Shareholder Proposals for the 2022 Annual Meeting</w:t>
              </w:r>
            </w:hyperlink>
          </w:p>
        </w:tc>
        <w:tc>
          <w:tcPr>
            <w:tcW w:w="300" w:type="dxa"/>
            <w:vAlign w:val="bottom"/>
            <w:gridSpan w:val="2"/>
          </w:tcPr>
          <w:p>
            <w:pPr>
              <w:jc w:val="right"/>
              <w:ind w:right="20"/>
              <w:spacing w:after="0"/>
              <w:rPr>
                <w:rFonts w:ascii="Arial" w:cs="Arial" w:eastAsia="Arial" w:hAnsi="Arial"/>
                <w:sz w:val="18"/>
                <w:szCs w:val="18"/>
                <w:color w:val="0000FF"/>
              </w:rPr>
            </w:pPr>
            <w:hyperlink w:anchor="page93">
              <w:r>
                <w:rPr>
                  <w:rFonts w:ascii="Arial" w:cs="Arial" w:eastAsia="Arial" w:hAnsi="Arial"/>
                  <w:sz w:val="18"/>
                  <w:szCs w:val="18"/>
                  <w:color w:val="0000FF"/>
                </w:rPr>
                <w:t>87</w:t>
              </w:r>
            </w:hyperlink>
          </w:p>
        </w:tc>
      </w:tr>
      <w:tr>
        <w:trPr>
          <w:trHeight w:val="229"/>
        </w:trPr>
        <w:tc>
          <w:tcPr>
            <w:tcW w:w="10940" w:type="dxa"/>
            <w:vAlign w:val="bottom"/>
          </w:tcPr>
          <w:p>
            <w:pPr>
              <w:ind w:left="140"/>
              <w:spacing w:after="0"/>
              <w:rPr>
                <w:rFonts w:ascii="Arial" w:cs="Arial" w:eastAsia="Arial" w:hAnsi="Arial"/>
                <w:sz w:val="18"/>
                <w:szCs w:val="18"/>
                <w:color w:val="0000FF"/>
              </w:rPr>
            </w:pPr>
            <w:hyperlink w:anchor="page93">
              <w:r>
                <w:rPr>
                  <w:rFonts w:ascii="Arial" w:cs="Arial" w:eastAsia="Arial" w:hAnsi="Arial"/>
                  <w:sz w:val="18"/>
                  <w:szCs w:val="18"/>
                  <w:color w:val="0000FF"/>
                </w:rPr>
                <w:t>Shareholder Nominations for Director Election at the 2022 Annual Meeting</w:t>
              </w:r>
            </w:hyperlink>
          </w:p>
        </w:tc>
        <w:tc>
          <w:tcPr>
            <w:tcW w:w="300" w:type="dxa"/>
            <w:vAlign w:val="bottom"/>
            <w:gridSpan w:val="2"/>
          </w:tcPr>
          <w:p>
            <w:pPr>
              <w:jc w:val="right"/>
              <w:ind w:right="20"/>
              <w:spacing w:after="0"/>
              <w:rPr>
                <w:rFonts w:ascii="Arial" w:cs="Arial" w:eastAsia="Arial" w:hAnsi="Arial"/>
                <w:sz w:val="18"/>
                <w:szCs w:val="18"/>
                <w:color w:val="0000FF"/>
              </w:rPr>
            </w:pPr>
            <w:hyperlink w:anchor="page93">
              <w:r>
                <w:rPr>
                  <w:rFonts w:ascii="Arial" w:cs="Arial" w:eastAsia="Arial" w:hAnsi="Arial"/>
                  <w:sz w:val="18"/>
                  <w:szCs w:val="18"/>
                  <w:color w:val="0000FF"/>
                </w:rPr>
                <w:t>87</w:t>
              </w:r>
            </w:hyperlink>
          </w:p>
        </w:tc>
      </w:tr>
      <w:tr>
        <w:trPr>
          <w:trHeight w:val="230"/>
        </w:trPr>
        <w:tc>
          <w:tcPr>
            <w:tcW w:w="10940" w:type="dxa"/>
            <w:vAlign w:val="bottom"/>
          </w:tcPr>
          <w:p>
            <w:pPr>
              <w:ind w:left="140"/>
              <w:spacing w:after="0"/>
              <w:rPr>
                <w:rFonts w:ascii="Arial" w:cs="Arial" w:eastAsia="Arial" w:hAnsi="Arial"/>
                <w:sz w:val="18"/>
                <w:szCs w:val="18"/>
                <w:color w:val="0000FF"/>
              </w:rPr>
            </w:pPr>
            <w:hyperlink w:anchor="page93">
              <w:r>
                <w:rPr>
                  <w:rFonts w:ascii="Arial" w:cs="Arial" w:eastAsia="Arial" w:hAnsi="Arial"/>
                  <w:sz w:val="18"/>
                  <w:szCs w:val="18"/>
                  <w:color w:val="0000FF"/>
                </w:rPr>
                <w:t>Householding Information</w:t>
              </w:r>
            </w:hyperlink>
          </w:p>
        </w:tc>
        <w:tc>
          <w:tcPr>
            <w:tcW w:w="300" w:type="dxa"/>
            <w:vAlign w:val="bottom"/>
            <w:gridSpan w:val="2"/>
          </w:tcPr>
          <w:p>
            <w:pPr>
              <w:jc w:val="right"/>
              <w:ind w:right="20"/>
              <w:spacing w:after="0"/>
              <w:rPr>
                <w:rFonts w:ascii="Arial" w:cs="Arial" w:eastAsia="Arial" w:hAnsi="Arial"/>
                <w:sz w:val="18"/>
                <w:szCs w:val="18"/>
                <w:color w:val="0000FF"/>
              </w:rPr>
            </w:pPr>
            <w:hyperlink w:anchor="page93">
              <w:r>
                <w:rPr>
                  <w:rFonts w:ascii="Arial" w:cs="Arial" w:eastAsia="Arial" w:hAnsi="Arial"/>
                  <w:sz w:val="18"/>
                  <w:szCs w:val="18"/>
                  <w:color w:val="0000FF"/>
                </w:rPr>
                <w:t>87</w:t>
              </w:r>
            </w:hyperlink>
          </w:p>
        </w:tc>
      </w:tr>
      <w:tr>
        <w:trPr>
          <w:trHeight w:val="230"/>
        </w:trPr>
        <w:tc>
          <w:tcPr>
            <w:tcW w:w="10940" w:type="dxa"/>
            <w:vAlign w:val="bottom"/>
          </w:tcPr>
          <w:p>
            <w:pPr>
              <w:ind w:left="140"/>
              <w:spacing w:after="0"/>
              <w:rPr>
                <w:rFonts w:ascii="Arial" w:cs="Arial" w:eastAsia="Arial" w:hAnsi="Arial"/>
                <w:sz w:val="18"/>
                <w:szCs w:val="18"/>
                <w:color w:val="0000FF"/>
              </w:rPr>
            </w:pPr>
            <w:hyperlink w:anchor="page93">
              <w:r>
                <w:rPr>
                  <w:rFonts w:ascii="Arial" w:cs="Arial" w:eastAsia="Arial" w:hAnsi="Arial"/>
                  <w:sz w:val="18"/>
                  <w:szCs w:val="18"/>
                  <w:color w:val="0000FF"/>
                </w:rPr>
                <w:t>Cost of Soliciting Proxies</w:t>
              </w:r>
            </w:hyperlink>
          </w:p>
        </w:tc>
        <w:tc>
          <w:tcPr>
            <w:tcW w:w="300" w:type="dxa"/>
            <w:vAlign w:val="bottom"/>
            <w:gridSpan w:val="2"/>
          </w:tcPr>
          <w:p>
            <w:pPr>
              <w:jc w:val="right"/>
              <w:ind w:right="20"/>
              <w:spacing w:after="0"/>
              <w:rPr>
                <w:rFonts w:ascii="Arial" w:cs="Arial" w:eastAsia="Arial" w:hAnsi="Arial"/>
                <w:sz w:val="18"/>
                <w:szCs w:val="18"/>
                <w:color w:val="0000FF"/>
              </w:rPr>
            </w:pPr>
            <w:hyperlink w:anchor="page93">
              <w:r>
                <w:rPr>
                  <w:rFonts w:ascii="Arial" w:cs="Arial" w:eastAsia="Arial" w:hAnsi="Arial"/>
                  <w:sz w:val="18"/>
                  <w:szCs w:val="18"/>
                  <w:color w:val="0000FF"/>
                </w:rPr>
                <w:t>88</w:t>
              </w:r>
            </w:hyperlink>
          </w:p>
        </w:tc>
      </w:tr>
      <w:tr>
        <w:trPr>
          <w:trHeight w:val="230"/>
        </w:trPr>
        <w:tc>
          <w:tcPr>
            <w:tcW w:w="10940" w:type="dxa"/>
            <w:vAlign w:val="bottom"/>
          </w:tcPr>
          <w:p>
            <w:pPr>
              <w:ind w:left="140"/>
              <w:spacing w:after="0"/>
              <w:rPr>
                <w:rFonts w:ascii="Arial" w:cs="Arial" w:eastAsia="Arial" w:hAnsi="Arial"/>
                <w:sz w:val="18"/>
                <w:szCs w:val="18"/>
                <w:color w:val="0000FF"/>
              </w:rPr>
            </w:pPr>
            <w:hyperlink w:anchor="page94">
              <w:r>
                <w:rPr>
                  <w:rFonts w:ascii="Arial" w:cs="Arial" w:eastAsia="Arial" w:hAnsi="Arial"/>
                  <w:sz w:val="18"/>
                  <w:szCs w:val="18"/>
                  <w:color w:val="0000FF"/>
                </w:rPr>
                <w:t>Available Information</w:t>
              </w:r>
            </w:hyperlink>
          </w:p>
        </w:tc>
        <w:tc>
          <w:tcPr>
            <w:tcW w:w="300" w:type="dxa"/>
            <w:vAlign w:val="bottom"/>
            <w:gridSpan w:val="2"/>
          </w:tcPr>
          <w:p>
            <w:pPr>
              <w:jc w:val="right"/>
              <w:ind w:right="20"/>
              <w:spacing w:after="0"/>
              <w:rPr>
                <w:rFonts w:ascii="Arial" w:cs="Arial" w:eastAsia="Arial" w:hAnsi="Arial"/>
                <w:sz w:val="18"/>
                <w:szCs w:val="18"/>
                <w:color w:val="0000FF"/>
              </w:rPr>
            </w:pPr>
            <w:hyperlink w:anchor="page94">
              <w:r>
                <w:rPr>
                  <w:rFonts w:ascii="Arial" w:cs="Arial" w:eastAsia="Arial" w:hAnsi="Arial"/>
                  <w:sz w:val="18"/>
                  <w:szCs w:val="18"/>
                  <w:color w:val="0000FF"/>
                </w:rPr>
                <w:t>88</w:t>
              </w:r>
            </w:hyperlink>
          </w:p>
        </w:tc>
      </w:tr>
      <w:tr>
        <w:trPr>
          <w:trHeight w:val="229"/>
        </w:trPr>
        <w:tc>
          <w:tcPr>
            <w:tcW w:w="10940" w:type="dxa"/>
            <w:vAlign w:val="bottom"/>
          </w:tcPr>
          <w:p>
            <w:pPr>
              <w:ind w:left="140"/>
              <w:spacing w:after="0"/>
              <w:rPr>
                <w:rFonts w:ascii="Arial" w:cs="Arial" w:eastAsia="Arial" w:hAnsi="Arial"/>
                <w:sz w:val="18"/>
                <w:szCs w:val="18"/>
                <w:color w:val="0000FF"/>
              </w:rPr>
            </w:pPr>
            <w:hyperlink w:anchor="page94">
              <w:r>
                <w:rPr>
                  <w:rFonts w:ascii="Arial" w:cs="Arial" w:eastAsia="Arial" w:hAnsi="Arial"/>
                  <w:sz w:val="18"/>
                  <w:szCs w:val="18"/>
                  <w:color w:val="0000FF"/>
                </w:rPr>
                <w:t>Incorporation by Reference</w:t>
              </w:r>
            </w:hyperlink>
          </w:p>
        </w:tc>
        <w:tc>
          <w:tcPr>
            <w:tcW w:w="300" w:type="dxa"/>
            <w:vAlign w:val="bottom"/>
            <w:gridSpan w:val="2"/>
          </w:tcPr>
          <w:p>
            <w:pPr>
              <w:jc w:val="right"/>
              <w:ind w:right="20"/>
              <w:spacing w:after="0"/>
              <w:rPr>
                <w:rFonts w:ascii="Arial" w:cs="Arial" w:eastAsia="Arial" w:hAnsi="Arial"/>
                <w:sz w:val="18"/>
                <w:szCs w:val="18"/>
                <w:color w:val="0000FF"/>
              </w:rPr>
            </w:pPr>
            <w:hyperlink w:anchor="page94">
              <w:r>
                <w:rPr>
                  <w:rFonts w:ascii="Arial" w:cs="Arial" w:eastAsia="Arial" w:hAnsi="Arial"/>
                  <w:sz w:val="18"/>
                  <w:szCs w:val="18"/>
                  <w:color w:val="0000FF"/>
                </w:rPr>
                <w:t>88</w:t>
              </w:r>
            </w:hyperlink>
          </w:p>
        </w:tc>
      </w:tr>
      <w:tr>
        <w:trPr>
          <w:trHeight w:val="229"/>
        </w:trPr>
        <w:tc>
          <w:tcPr>
            <w:tcW w:w="10940" w:type="dxa"/>
            <w:vAlign w:val="bottom"/>
          </w:tcPr>
          <w:p>
            <w:pPr>
              <w:ind w:left="140"/>
              <w:spacing w:after="0"/>
              <w:rPr>
                <w:rFonts w:ascii="Arial" w:cs="Arial" w:eastAsia="Arial" w:hAnsi="Arial"/>
                <w:sz w:val="18"/>
                <w:szCs w:val="18"/>
                <w:color w:val="0000FF"/>
              </w:rPr>
            </w:pPr>
            <w:hyperlink w:anchor="page94">
              <w:r>
                <w:rPr>
                  <w:rFonts w:ascii="Arial" w:cs="Arial" w:eastAsia="Arial" w:hAnsi="Arial"/>
                  <w:sz w:val="18"/>
                  <w:szCs w:val="18"/>
                  <w:color w:val="0000FF"/>
                </w:rPr>
                <w:t>Annual Report</w:t>
              </w:r>
            </w:hyperlink>
          </w:p>
        </w:tc>
        <w:tc>
          <w:tcPr>
            <w:tcW w:w="300" w:type="dxa"/>
            <w:vAlign w:val="bottom"/>
            <w:gridSpan w:val="2"/>
          </w:tcPr>
          <w:p>
            <w:pPr>
              <w:jc w:val="right"/>
              <w:ind w:right="20"/>
              <w:spacing w:after="0"/>
              <w:rPr>
                <w:rFonts w:ascii="Arial" w:cs="Arial" w:eastAsia="Arial" w:hAnsi="Arial"/>
                <w:sz w:val="18"/>
                <w:szCs w:val="18"/>
                <w:color w:val="0000FF"/>
              </w:rPr>
            </w:pPr>
            <w:hyperlink w:anchor="page94">
              <w:r>
                <w:rPr>
                  <w:rFonts w:ascii="Arial" w:cs="Arial" w:eastAsia="Arial" w:hAnsi="Arial"/>
                  <w:sz w:val="18"/>
                  <w:szCs w:val="18"/>
                  <w:color w:val="0000FF"/>
                </w:rPr>
                <w:t>88</w:t>
              </w:r>
            </w:hyperlink>
          </w:p>
        </w:tc>
      </w:tr>
      <w:tr>
        <w:trPr>
          <w:trHeight w:val="459"/>
        </w:trPr>
        <w:tc>
          <w:tcPr>
            <w:tcW w:w="10940" w:type="dxa"/>
            <w:vAlign w:val="bottom"/>
          </w:tcPr>
          <w:p>
            <w:pPr>
              <w:ind w:left="20"/>
              <w:spacing w:after="0"/>
              <w:rPr>
                <w:sz w:val="20"/>
                <w:szCs w:val="20"/>
                <w:color w:val="auto"/>
              </w:rPr>
            </w:pPr>
            <w:r>
              <w:rPr>
                <w:rFonts w:ascii="Arial" w:cs="Arial" w:eastAsia="Arial" w:hAnsi="Arial"/>
                <w:sz w:val="22"/>
                <w:szCs w:val="22"/>
                <w:b w:val="1"/>
                <w:bCs w:val="1"/>
                <w:color w:val="00249C"/>
              </w:rPr>
              <w:t>APPENDIX A - USE OF NON-GAAP FINANCIAL MEASURES</w:t>
            </w:r>
          </w:p>
        </w:tc>
        <w:tc>
          <w:tcPr>
            <w:tcW w:w="280" w:type="dxa"/>
            <w:vAlign w:val="bottom"/>
            <w:tcBorders>
              <w:bottom w:val="single" w:sz="8" w:color="0000FF"/>
            </w:tcBorders>
          </w:tcPr>
          <w:p>
            <w:pPr>
              <w:jc w:val="right"/>
              <w:spacing w:after="0"/>
              <w:rPr>
                <w:rFonts w:ascii="Arial" w:cs="Arial" w:eastAsia="Arial" w:hAnsi="Arial"/>
                <w:sz w:val="18"/>
                <w:szCs w:val="18"/>
                <w:color w:val="0000FF"/>
                <w:w w:val="92"/>
              </w:rPr>
            </w:pPr>
            <w:hyperlink w:anchor="page94">
              <w:r>
                <w:rPr>
                  <w:rFonts w:ascii="Arial" w:cs="Arial" w:eastAsia="Arial" w:hAnsi="Arial"/>
                  <w:sz w:val="18"/>
                  <w:szCs w:val="18"/>
                  <w:color w:val="0000FF"/>
                  <w:w w:val="92"/>
                </w:rPr>
                <w:t>A-1</w:t>
              </w:r>
            </w:hyperlink>
          </w:p>
        </w:tc>
        <w:tc>
          <w:tcPr>
            <w:tcW w:w="20" w:type="dxa"/>
            <w:vAlign w:val="bottom"/>
          </w:tcPr>
          <w:p>
            <w:pPr>
              <w:spacing w:after="0"/>
              <w:rPr>
                <w:sz w:val="24"/>
                <w:szCs w:val="24"/>
                <w:color w:val="auto"/>
              </w:rPr>
            </w:pPr>
          </w:p>
        </w:tc>
      </w:tr>
      <w:tr>
        <w:trPr>
          <w:trHeight w:val="61"/>
        </w:trPr>
        <w:tc>
          <w:tcPr>
            <w:tcW w:w="109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0" w:hanging="112"/>
        <w:spacing w:after="0"/>
        <w:tabs>
          <w:tab w:leader="none" w:pos="120" w:val="left"/>
        </w:tabs>
        <w:numPr>
          <w:ilvl w:val="0"/>
          <w:numId w:val="5"/>
        </w:numPr>
        <w:rPr>
          <w:rFonts w:ascii="Arial" w:cs="Arial" w:eastAsia="Arial" w:hAnsi="Arial"/>
          <w:sz w:val="18"/>
          <w:szCs w:val="18"/>
          <w:color w:val="auto"/>
        </w:rPr>
      </w:pPr>
      <w:r>
        <w:rPr>
          <w:rFonts w:ascii="Arial" w:cs="Arial" w:eastAsia="Arial" w:hAnsi="Arial"/>
          <w:sz w:val="14"/>
          <w:szCs w:val="14"/>
          <w:color w:val="auto"/>
        </w:rPr>
        <w:t xml:space="preserve">I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1240"/>
          </w:cols>
          <w:pgMar w:left="320" w:top="607" w:right="339" w:bottom="1440" w:gutter="0" w:footer="0" w:header="0"/>
          <w:type w:val="continuous"/>
        </w:sectPr>
      </w:pPr>
    </w:p>
    <w:bookmarkStart w:id="6" w:name="page7"/>
    <w:bookmarkEnd w:id="6"/>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308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t>PROXY STATEMENT SUMMARY</w:t>
      </w:r>
    </w:p>
    <w:p>
      <w:pPr>
        <w:spacing w:after="0" w:line="200" w:lineRule="exact"/>
        <w:rPr>
          <w:sz w:val="20"/>
          <w:szCs w:val="20"/>
          <w:color w:val="auto"/>
        </w:rPr>
      </w:pPr>
    </w:p>
    <w:p>
      <w:pPr>
        <w:spacing w:after="0" w:line="37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This summary highlights information contained elsewhere in this Proxy Statement, reflecting certain business, compensation and corporate governance highlights. For additional information about these topics, please refer to the discussions contained in this Proxy Statement and in our Annual Report on Form 10-K for the year ended December 31, 2020 (2020 Form 10-K) filed with the United States (U.S.) Securities and Exchange Commission (SEC) on January 28, 2021. Please also refer to our Sustainability Report which can be found on our website at www.northropgrumman.com/sustainabilityreport. This Proxy Statement contains certain non-GAAP financial measures, which are identified with asterisks. For more information, including definitions, reconciliations to the most directly comparable GAAP (accounting principles generally accepted in the United States of America) measure and why we believe these measures may be useful to investors, see "Appendix A - Use of Non-GAAP Financial Measures." We intend to mail a Notice of Internet Availability of Proxy Materials to shareholders of record and to make this Proxy Statement and accompanying materials available on the internet on or about April 2, 2021.</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2020 Performance Highlights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2020 was an outstanding year for our Company. We began the year operating in a new sector structure that aligned our unique capabilities in space, missiles, advanced weapons, mission systems and aeronautics. Our financial results demonstrate that our strategy is creating value for our shareholders, customers and employees.</w:t>
      </w:r>
    </w:p>
    <w:p>
      <w:pPr>
        <w:spacing w:after="0" w:line="8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2020 sales rose 9%, operating income increased 2%, segment operating income* increased 5%, diluted earnings per share increased 44% and MTM-adjusted diluted earnings per share* increased 11.5%. Sales growth reflects higher revenue at all four of our sectors, with topline increases of 18% at Space Systems and 9% at Aeronautics Systems. We captured nearly $53 billion in new business, 1.4 times 2020 sales, and our total backlog increased 25% to approximately $81 billion. 2020 was the third consecutive year that our new awards exceeded sales. Cash provided by operating activities totaled $4.3 billion after the $750 million discretionary pension contribution, and adjusted free cash flow* increased 18% to $3.7 billion.</w:t>
      </w:r>
    </w:p>
    <w:p>
      <w:pPr>
        <w:spacing w:after="0" w:line="7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strong cash generation enabled us to continue deploying cash for the benefit of our customers, shareholders and employees. In 2020, our capital expenditures totaled $1.4 billion, and we invested $1.1 billion in R&amp;D. We are investing to strengthen the foundation for long-term profitable growth and drive affordability for our customers. We returned $1.4 billion to our shareholders through dividends and share repurchases. We increased our quarterly dividend by approximately 10% to $1.45 per share, and reduced our weighted average share count by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139065</wp:posOffset>
            </wp:positionV>
            <wp:extent cx="1156970" cy="1303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56970" cy="1303020"/>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left="320"/>
        <w:spacing w:after="0" w:line="213" w:lineRule="auto"/>
        <w:rPr>
          <w:sz w:val="20"/>
          <w:szCs w:val="20"/>
          <w:color w:val="auto"/>
        </w:rPr>
      </w:pPr>
      <w:r>
        <w:rPr>
          <w:rFonts w:ascii="Arial" w:cs="Arial" w:eastAsia="Arial" w:hAnsi="Arial"/>
          <w:sz w:val="22"/>
          <w:szCs w:val="22"/>
          <w:b w:val="1"/>
          <w:bCs w:val="1"/>
          <w:color w:val="00249C"/>
        </w:rPr>
        <w:t>Diluted EPS increases 44% to $19.03; MTM-</w:t>
      </w:r>
    </w:p>
    <w:p>
      <w:pPr>
        <w:jc w:val="both"/>
        <w:ind w:left="400" w:right="40" w:hanging="29"/>
        <w:spacing w:after="0" w:line="209" w:lineRule="auto"/>
        <w:rPr>
          <w:sz w:val="20"/>
          <w:szCs w:val="20"/>
          <w:color w:val="auto"/>
        </w:rPr>
      </w:pPr>
      <w:r>
        <w:rPr>
          <w:rFonts w:ascii="Arial" w:cs="Arial" w:eastAsia="Arial" w:hAnsi="Arial"/>
          <w:sz w:val="21"/>
          <w:szCs w:val="21"/>
          <w:b w:val="1"/>
          <w:bCs w:val="1"/>
          <w:color w:val="00249C"/>
        </w:rPr>
        <w:t>adjusted diluted EPS</w:t>
      </w:r>
      <w:r>
        <w:rPr>
          <w:rFonts w:ascii="Arial" w:cs="Arial" w:eastAsia="Arial" w:hAnsi="Arial"/>
          <w:sz w:val="27"/>
          <w:szCs w:val="27"/>
          <w:b w:val="1"/>
          <w:bCs w:val="1"/>
          <w:color w:val="00249C"/>
          <w:vertAlign w:val="superscript"/>
        </w:rPr>
        <w:t>*</w:t>
      </w:r>
      <w:r>
        <w:rPr>
          <w:rFonts w:ascii="Arial" w:cs="Arial" w:eastAsia="Arial" w:hAnsi="Arial"/>
          <w:sz w:val="21"/>
          <w:szCs w:val="21"/>
          <w:b w:val="1"/>
          <w:bCs w:val="1"/>
          <w:color w:val="00249C"/>
        </w:rPr>
        <w:t xml:space="preserve"> increases 11.5% to $23.65</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900" w:type="dxa"/>
            <w:vAlign w:val="bottom"/>
            <w:shd w:val="clear" w:color="auto" w:fill="CCD4DB"/>
          </w:tcPr>
          <w:p>
            <w:pPr>
              <w:spacing w:after="0"/>
              <w:rPr>
                <w:sz w:val="21"/>
                <w:szCs w:val="21"/>
                <w:color w:val="auto"/>
              </w:rPr>
            </w:pPr>
          </w:p>
        </w:tc>
        <w:tc>
          <w:tcPr>
            <w:tcW w:w="340" w:type="dxa"/>
            <w:vAlign w:val="bottom"/>
          </w:tcPr>
          <w:p>
            <w:pPr>
              <w:spacing w:after="0"/>
              <w:rPr>
                <w:sz w:val="21"/>
                <w:szCs w:val="21"/>
                <w:color w:val="auto"/>
              </w:rPr>
            </w:pPr>
          </w:p>
        </w:tc>
        <w:tc>
          <w:tcPr>
            <w:tcW w:w="1860" w:type="dxa"/>
            <w:vAlign w:val="bottom"/>
            <w:vMerge w:val="restart"/>
            <w:shd w:val="clear" w:color="auto" w:fill="CCD4DB"/>
          </w:tcPr>
          <w:p>
            <w:pPr>
              <w:jc w:val="center"/>
              <w:spacing w:after="0"/>
              <w:rPr>
                <w:sz w:val="20"/>
                <w:szCs w:val="20"/>
                <w:color w:val="auto"/>
              </w:rPr>
            </w:pPr>
            <w:r>
              <w:rPr>
                <w:rFonts w:ascii="Arial" w:cs="Arial" w:eastAsia="Arial" w:hAnsi="Arial"/>
                <w:sz w:val="22"/>
                <w:szCs w:val="22"/>
                <w:b w:val="1"/>
                <w:bCs w:val="1"/>
                <w:color w:val="00249C"/>
                <w:w w:val="98"/>
              </w:rPr>
              <w:t>Share</w:t>
            </w:r>
          </w:p>
        </w:tc>
        <w:tc>
          <w:tcPr>
            <w:tcW w:w="340" w:type="dxa"/>
            <w:vAlign w:val="bottom"/>
          </w:tcPr>
          <w:p>
            <w:pPr>
              <w:spacing w:after="0"/>
              <w:rPr>
                <w:sz w:val="21"/>
                <w:szCs w:val="21"/>
                <w:color w:val="auto"/>
              </w:rPr>
            </w:pPr>
          </w:p>
        </w:tc>
        <w:tc>
          <w:tcPr>
            <w:tcW w:w="1860" w:type="dxa"/>
            <w:vAlign w:val="bottom"/>
            <w:shd w:val="clear" w:color="auto" w:fill="CCD4DB"/>
          </w:tcPr>
          <w:p>
            <w:pPr>
              <w:spacing w:after="0"/>
              <w:rPr>
                <w:sz w:val="21"/>
                <w:szCs w:val="21"/>
                <w:color w:val="auto"/>
              </w:rPr>
            </w:pPr>
          </w:p>
        </w:tc>
        <w:tc>
          <w:tcPr>
            <w:tcW w:w="340" w:type="dxa"/>
            <w:vAlign w:val="bottom"/>
          </w:tcPr>
          <w:p>
            <w:pPr>
              <w:spacing w:after="0"/>
              <w:rPr>
                <w:sz w:val="21"/>
                <w:szCs w:val="21"/>
                <w:color w:val="auto"/>
              </w:rPr>
            </w:pPr>
          </w:p>
        </w:tc>
        <w:tc>
          <w:tcPr>
            <w:tcW w:w="1860" w:type="dxa"/>
            <w:vAlign w:val="bottom"/>
            <w:shd w:val="clear" w:color="auto" w:fill="CCD4DB"/>
          </w:tcPr>
          <w:p>
            <w:pPr>
              <w:jc w:val="center"/>
              <w:spacing w:after="0"/>
              <w:rPr>
                <w:sz w:val="20"/>
                <w:szCs w:val="20"/>
                <w:color w:val="auto"/>
              </w:rPr>
            </w:pPr>
            <w:r>
              <w:rPr>
                <w:rFonts w:ascii="Arial" w:cs="Arial" w:eastAsia="Arial" w:hAnsi="Arial"/>
                <w:sz w:val="22"/>
                <w:szCs w:val="22"/>
                <w:b w:val="1"/>
                <w:bCs w:val="1"/>
                <w:color w:val="00249C"/>
                <w:w w:val="97"/>
              </w:rPr>
              <w:t>$4.3 billion Cash</w:t>
            </w:r>
          </w:p>
        </w:tc>
        <w:tc>
          <w:tcPr>
            <w:tcW w:w="0" w:type="dxa"/>
            <w:vAlign w:val="bottom"/>
          </w:tcPr>
          <w:p>
            <w:pPr>
              <w:spacing w:after="0"/>
              <w:rPr>
                <w:sz w:val="1"/>
                <w:szCs w:val="1"/>
                <w:color w:val="auto"/>
              </w:rPr>
            </w:pPr>
          </w:p>
        </w:tc>
      </w:tr>
      <w:tr>
        <w:trPr>
          <w:trHeight w:val="122"/>
        </w:trPr>
        <w:tc>
          <w:tcPr>
            <w:tcW w:w="1900" w:type="dxa"/>
            <w:vAlign w:val="bottom"/>
            <w:vMerge w:val="restart"/>
            <w:shd w:val="clear" w:color="auto" w:fill="CCD4DB"/>
          </w:tcPr>
          <w:p>
            <w:pPr>
              <w:jc w:val="center"/>
              <w:spacing w:after="0" w:line="229" w:lineRule="exact"/>
              <w:rPr>
                <w:sz w:val="20"/>
                <w:szCs w:val="20"/>
                <w:color w:val="auto"/>
              </w:rPr>
            </w:pPr>
            <w:r>
              <w:rPr>
                <w:rFonts w:ascii="Arial" w:cs="Arial" w:eastAsia="Arial" w:hAnsi="Arial"/>
                <w:sz w:val="22"/>
                <w:szCs w:val="22"/>
                <w:b w:val="1"/>
                <w:bCs w:val="1"/>
                <w:color w:val="00249C"/>
                <w:w w:val="98"/>
              </w:rPr>
              <w:t>9% Sales</w:t>
            </w:r>
          </w:p>
        </w:tc>
        <w:tc>
          <w:tcPr>
            <w:tcW w:w="340" w:type="dxa"/>
            <w:vAlign w:val="bottom"/>
          </w:tcPr>
          <w:p>
            <w:pPr>
              <w:spacing w:after="0"/>
              <w:rPr>
                <w:sz w:val="10"/>
                <w:szCs w:val="10"/>
                <w:color w:val="auto"/>
              </w:rPr>
            </w:pPr>
          </w:p>
        </w:tc>
        <w:tc>
          <w:tcPr>
            <w:tcW w:w="1860" w:type="dxa"/>
            <w:vAlign w:val="bottom"/>
            <w:vMerge w:val="continue"/>
            <w:shd w:val="clear" w:color="auto" w:fill="CCD4DB"/>
          </w:tcPr>
          <w:p>
            <w:pPr>
              <w:spacing w:after="0"/>
              <w:rPr>
                <w:sz w:val="10"/>
                <w:szCs w:val="10"/>
                <w:color w:val="auto"/>
              </w:rPr>
            </w:pPr>
          </w:p>
        </w:tc>
        <w:tc>
          <w:tcPr>
            <w:tcW w:w="340" w:type="dxa"/>
            <w:vAlign w:val="bottom"/>
          </w:tcPr>
          <w:p>
            <w:pPr>
              <w:spacing w:after="0"/>
              <w:rPr>
                <w:sz w:val="10"/>
                <w:szCs w:val="10"/>
                <w:color w:val="auto"/>
              </w:rPr>
            </w:pPr>
          </w:p>
        </w:tc>
        <w:tc>
          <w:tcPr>
            <w:tcW w:w="1860" w:type="dxa"/>
            <w:vAlign w:val="bottom"/>
            <w:vMerge w:val="restart"/>
            <w:shd w:val="clear" w:color="auto" w:fill="CCD4DB"/>
          </w:tcPr>
          <w:p>
            <w:pPr>
              <w:jc w:val="center"/>
              <w:spacing w:after="0" w:line="229" w:lineRule="exact"/>
              <w:rPr>
                <w:sz w:val="20"/>
                <w:szCs w:val="20"/>
                <w:color w:val="auto"/>
              </w:rPr>
            </w:pPr>
            <w:r>
              <w:rPr>
                <w:rFonts w:ascii="Arial" w:cs="Arial" w:eastAsia="Arial" w:hAnsi="Arial"/>
                <w:sz w:val="22"/>
                <w:szCs w:val="22"/>
                <w:b w:val="1"/>
                <w:bCs w:val="1"/>
                <w:color w:val="00249C"/>
                <w:w w:val="98"/>
              </w:rPr>
              <w:t>$1.4 billion</w:t>
            </w:r>
          </w:p>
        </w:tc>
        <w:tc>
          <w:tcPr>
            <w:tcW w:w="340" w:type="dxa"/>
            <w:vAlign w:val="bottom"/>
          </w:tcPr>
          <w:p>
            <w:pPr>
              <w:spacing w:after="0"/>
              <w:rPr>
                <w:sz w:val="10"/>
                <w:szCs w:val="10"/>
                <w:color w:val="auto"/>
              </w:rPr>
            </w:pPr>
          </w:p>
        </w:tc>
        <w:tc>
          <w:tcPr>
            <w:tcW w:w="1860" w:type="dxa"/>
            <w:vAlign w:val="bottom"/>
            <w:vMerge w:val="restart"/>
            <w:shd w:val="clear" w:color="auto" w:fill="CCD4DB"/>
          </w:tcPr>
          <w:p>
            <w:pPr>
              <w:jc w:val="center"/>
              <w:spacing w:after="0" w:line="229" w:lineRule="exact"/>
              <w:rPr>
                <w:sz w:val="20"/>
                <w:szCs w:val="20"/>
                <w:color w:val="auto"/>
              </w:rPr>
            </w:pPr>
            <w:r>
              <w:rPr>
                <w:rFonts w:ascii="Arial" w:cs="Arial" w:eastAsia="Arial" w:hAnsi="Arial"/>
                <w:sz w:val="22"/>
                <w:szCs w:val="22"/>
                <w:b w:val="1"/>
                <w:bCs w:val="1"/>
                <w:color w:val="00249C"/>
                <w:w w:val="98"/>
              </w:rPr>
              <w:t>Provided by</w:t>
            </w:r>
          </w:p>
        </w:tc>
        <w:tc>
          <w:tcPr>
            <w:tcW w:w="0" w:type="dxa"/>
            <w:vAlign w:val="bottom"/>
          </w:tcPr>
          <w:p>
            <w:pPr>
              <w:spacing w:after="0"/>
              <w:rPr>
                <w:sz w:val="1"/>
                <w:szCs w:val="1"/>
                <w:color w:val="auto"/>
              </w:rPr>
            </w:pPr>
          </w:p>
        </w:tc>
      </w:tr>
      <w:tr>
        <w:trPr>
          <w:trHeight w:val="108"/>
        </w:trPr>
        <w:tc>
          <w:tcPr>
            <w:tcW w:w="1900" w:type="dxa"/>
            <w:vAlign w:val="bottom"/>
            <w:vMerge w:val="continue"/>
            <w:shd w:val="clear" w:color="auto" w:fill="CCD4DB"/>
          </w:tcPr>
          <w:p>
            <w:pPr>
              <w:spacing w:after="0"/>
              <w:rPr>
                <w:sz w:val="9"/>
                <w:szCs w:val="9"/>
                <w:color w:val="auto"/>
              </w:rPr>
            </w:pPr>
          </w:p>
        </w:tc>
        <w:tc>
          <w:tcPr>
            <w:tcW w:w="340" w:type="dxa"/>
            <w:vAlign w:val="bottom"/>
          </w:tcPr>
          <w:p>
            <w:pPr>
              <w:spacing w:after="0"/>
              <w:rPr>
                <w:sz w:val="9"/>
                <w:szCs w:val="9"/>
                <w:color w:val="auto"/>
              </w:rPr>
            </w:pPr>
          </w:p>
        </w:tc>
        <w:tc>
          <w:tcPr>
            <w:tcW w:w="1860" w:type="dxa"/>
            <w:vAlign w:val="bottom"/>
            <w:vMerge w:val="restart"/>
            <w:shd w:val="clear" w:color="auto" w:fill="CCD4DB"/>
          </w:tcPr>
          <w:p>
            <w:pPr>
              <w:jc w:val="center"/>
              <w:spacing w:after="0" w:line="216" w:lineRule="exact"/>
              <w:rPr>
                <w:sz w:val="20"/>
                <w:szCs w:val="20"/>
                <w:color w:val="auto"/>
              </w:rPr>
            </w:pPr>
            <w:r>
              <w:rPr>
                <w:rFonts w:ascii="Arial" w:cs="Arial" w:eastAsia="Arial" w:hAnsi="Arial"/>
                <w:sz w:val="22"/>
                <w:szCs w:val="22"/>
                <w:b w:val="1"/>
                <w:bCs w:val="1"/>
                <w:color w:val="00249C"/>
                <w:w w:val="97"/>
              </w:rPr>
              <w:t>repurchases and</w:t>
            </w:r>
          </w:p>
        </w:tc>
        <w:tc>
          <w:tcPr>
            <w:tcW w:w="340" w:type="dxa"/>
            <w:vAlign w:val="bottom"/>
          </w:tcPr>
          <w:p>
            <w:pPr>
              <w:spacing w:after="0"/>
              <w:rPr>
                <w:sz w:val="9"/>
                <w:szCs w:val="9"/>
                <w:color w:val="auto"/>
              </w:rPr>
            </w:pPr>
          </w:p>
        </w:tc>
        <w:tc>
          <w:tcPr>
            <w:tcW w:w="1860" w:type="dxa"/>
            <w:vAlign w:val="bottom"/>
            <w:vMerge w:val="continue"/>
            <w:shd w:val="clear" w:color="auto" w:fill="CCD4DB"/>
          </w:tcPr>
          <w:p>
            <w:pPr>
              <w:spacing w:after="0"/>
              <w:rPr>
                <w:sz w:val="9"/>
                <w:szCs w:val="9"/>
                <w:color w:val="auto"/>
              </w:rPr>
            </w:pPr>
          </w:p>
        </w:tc>
        <w:tc>
          <w:tcPr>
            <w:tcW w:w="340" w:type="dxa"/>
            <w:vAlign w:val="bottom"/>
          </w:tcPr>
          <w:p>
            <w:pPr>
              <w:spacing w:after="0"/>
              <w:rPr>
                <w:sz w:val="9"/>
                <w:szCs w:val="9"/>
                <w:color w:val="auto"/>
              </w:rPr>
            </w:pPr>
          </w:p>
        </w:tc>
        <w:tc>
          <w:tcPr>
            <w:tcW w:w="1860" w:type="dxa"/>
            <w:vAlign w:val="bottom"/>
            <w:vMerge w:val="continue"/>
            <w:shd w:val="clear" w:color="auto" w:fill="CCD4DB"/>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900" w:type="dxa"/>
            <w:vAlign w:val="bottom"/>
            <w:vMerge w:val="restart"/>
            <w:shd w:val="clear" w:color="auto" w:fill="CCD4DB"/>
          </w:tcPr>
          <w:p>
            <w:pPr>
              <w:jc w:val="center"/>
              <w:spacing w:after="0" w:line="216" w:lineRule="exact"/>
              <w:rPr>
                <w:sz w:val="20"/>
                <w:szCs w:val="20"/>
                <w:color w:val="auto"/>
              </w:rPr>
            </w:pPr>
            <w:r>
              <w:rPr>
                <w:rFonts w:ascii="Arial" w:cs="Arial" w:eastAsia="Arial" w:hAnsi="Arial"/>
                <w:sz w:val="22"/>
                <w:szCs w:val="22"/>
                <w:b w:val="1"/>
                <w:bCs w:val="1"/>
                <w:color w:val="00249C"/>
                <w:w w:val="98"/>
              </w:rPr>
              <w:t>increase to $36.8</w:t>
            </w:r>
          </w:p>
        </w:tc>
        <w:tc>
          <w:tcPr>
            <w:tcW w:w="340" w:type="dxa"/>
            <w:vAlign w:val="bottom"/>
          </w:tcPr>
          <w:p>
            <w:pPr>
              <w:spacing w:after="0"/>
              <w:rPr>
                <w:sz w:val="9"/>
                <w:szCs w:val="9"/>
                <w:color w:val="auto"/>
              </w:rPr>
            </w:pPr>
          </w:p>
        </w:tc>
        <w:tc>
          <w:tcPr>
            <w:tcW w:w="1860" w:type="dxa"/>
            <w:vAlign w:val="bottom"/>
            <w:vMerge w:val="continue"/>
            <w:shd w:val="clear" w:color="auto" w:fill="CCD4DB"/>
          </w:tcPr>
          <w:p>
            <w:pPr>
              <w:spacing w:after="0"/>
              <w:rPr>
                <w:sz w:val="9"/>
                <w:szCs w:val="9"/>
                <w:color w:val="auto"/>
              </w:rPr>
            </w:pPr>
          </w:p>
        </w:tc>
        <w:tc>
          <w:tcPr>
            <w:tcW w:w="340" w:type="dxa"/>
            <w:vAlign w:val="bottom"/>
          </w:tcPr>
          <w:p>
            <w:pPr>
              <w:spacing w:after="0"/>
              <w:rPr>
                <w:sz w:val="9"/>
                <w:szCs w:val="9"/>
                <w:color w:val="auto"/>
              </w:rPr>
            </w:pPr>
          </w:p>
        </w:tc>
        <w:tc>
          <w:tcPr>
            <w:tcW w:w="1860" w:type="dxa"/>
            <w:vAlign w:val="bottom"/>
            <w:vMerge w:val="restart"/>
            <w:shd w:val="clear" w:color="auto" w:fill="CCD4DB"/>
          </w:tcPr>
          <w:p>
            <w:pPr>
              <w:jc w:val="center"/>
              <w:spacing w:after="0" w:line="216" w:lineRule="exact"/>
              <w:rPr>
                <w:sz w:val="20"/>
                <w:szCs w:val="20"/>
                <w:color w:val="auto"/>
              </w:rPr>
            </w:pPr>
            <w:r>
              <w:rPr>
                <w:rFonts w:ascii="Arial" w:cs="Arial" w:eastAsia="Arial" w:hAnsi="Arial"/>
                <w:sz w:val="22"/>
                <w:szCs w:val="22"/>
                <w:b w:val="1"/>
                <w:bCs w:val="1"/>
                <w:color w:val="00249C"/>
                <w:w w:val="98"/>
              </w:rPr>
              <w:t>Capital</w:t>
            </w:r>
          </w:p>
        </w:tc>
        <w:tc>
          <w:tcPr>
            <w:tcW w:w="340" w:type="dxa"/>
            <w:vAlign w:val="bottom"/>
          </w:tcPr>
          <w:p>
            <w:pPr>
              <w:spacing w:after="0"/>
              <w:rPr>
                <w:sz w:val="9"/>
                <w:szCs w:val="9"/>
                <w:color w:val="auto"/>
              </w:rPr>
            </w:pPr>
          </w:p>
        </w:tc>
        <w:tc>
          <w:tcPr>
            <w:tcW w:w="1860" w:type="dxa"/>
            <w:vAlign w:val="bottom"/>
            <w:vMerge w:val="restart"/>
            <w:shd w:val="clear" w:color="auto" w:fill="CCD4DB"/>
          </w:tcPr>
          <w:p>
            <w:pPr>
              <w:jc w:val="center"/>
              <w:spacing w:after="0" w:line="216" w:lineRule="exact"/>
              <w:rPr>
                <w:sz w:val="20"/>
                <w:szCs w:val="20"/>
                <w:color w:val="auto"/>
              </w:rPr>
            </w:pPr>
            <w:r>
              <w:rPr>
                <w:rFonts w:ascii="Arial" w:cs="Arial" w:eastAsia="Arial" w:hAnsi="Arial"/>
                <w:sz w:val="22"/>
                <w:szCs w:val="22"/>
                <w:b w:val="1"/>
                <w:bCs w:val="1"/>
                <w:color w:val="00249C"/>
                <w:w w:val="97"/>
              </w:rPr>
              <w:t>Operations after</w:t>
            </w:r>
          </w:p>
        </w:tc>
        <w:tc>
          <w:tcPr>
            <w:tcW w:w="0" w:type="dxa"/>
            <w:vAlign w:val="bottom"/>
          </w:tcPr>
          <w:p>
            <w:pPr>
              <w:spacing w:after="0"/>
              <w:rPr>
                <w:sz w:val="1"/>
                <w:szCs w:val="1"/>
                <w:color w:val="auto"/>
              </w:rPr>
            </w:pPr>
          </w:p>
        </w:tc>
      </w:tr>
      <w:tr>
        <w:trPr>
          <w:trHeight w:val="108"/>
        </w:trPr>
        <w:tc>
          <w:tcPr>
            <w:tcW w:w="1900" w:type="dxa"/>
            <w:vAlign w:val="bottom"/>
            <w:vMerge w:val="continue"/>
            <w:shd w:val="clear" w:color="auto" w:fill="CCD4DB"/>
          </w:tcPr>
          <w:p>
            <w:pPr>
              <w:spacing w:after="0"/>
              <w:rPr>
                <w:sz w:val="9"/>
                <w:szCs w:val="9"/>
                <w:color w:val="auto"/>
              </w:rPr>
            </w:pPr>
          </w:p>
        </w:tc>
        <w:tc>
          <w:tcPr>
            <w:tcW w:w="340" w:type="dxa"/>
            <w:vAlign w:val="bottom"/>
          </w:tcPr>
          <w:p>
            <w:pPr>
              <w:spacing w:after="0"/>
              <w:rPr>
                <w:sz w:val="9"/>
                <w:szCs w:val="9"/>
                <w:color w:val="auto"/>
              </w:rPr>
            </w:pPr>
          </w:p>
        </w:tc>
        <w:tc>
          <w:tcPr>
            <w:tcW w:w="1860" w:type="dxa"/>
            <w:vAlign w:val="bottom"/>
            <w:vMerge w:val="restart"/>
            <w:shd w:val="clear" w:color="auto" w:fill="CCD4DB"/>
          </w:tcPr>
          <w:p>
            <w:pPr>
              <w:jc w:val="center"/>
              <w:spacing w:after="0" w:line="216" w:lineRule="exact"/>
              <w:rPr>
                <w:sz w:val="20"/>
                <w:szCs w:val="20"/>
                <w:color w:val="auto"/>
              </w:rPr>
            </w:pPr>
            <w:r>
              <w:rPr>
                <w:rFonts w:ascii="Arial" w:cs="Arial" w:eastAsia="Arial" w:hAnsi="Arial"/>
                <w:sz w:val="22"/>
                <w:szCs w:val="22"/>
                <w:b w:val="1"/>
                <w:bCs w:val="1"/>
                <w:color w:val="00249C"/>
                <w:w w:val="97"/>
              </w:rPr>
              <w:t>dividends total</w:t>
            </w:r>
          </w:p>
        </w:tc>
        <w:tc>
          <w:tcPr>
            <w:tcW w:w="340" w:type="dxa"/>
            <w:vAlign w:val="bottom"/>
          </w:tcPr>
          <w:p>
            <w:pPr>
              <w:spacing w:after="0"/>
              <w:rPr>
                <w:sz w:val="9"/>
                <w:szCs w:val="9"/>
                <w:color w:val="auto"/>
              </w:rPr>
            </w:pPr>
          </w:p>
        </w:tc>
        <w:tc>
          <w:tcPr>
            <w:tcW w:w="1860" w:type="dxa"/>
            <w:vAlign w:val="bottom"/>
            <w:vMerge w:val="continue"/>
            <w:shd w:val="clear" w:color="auto" w:fill="CCD4DB"/>
          </w:tcPr>
          <w:p>
            <w:pPr>
              <w:spacing w:after="0"/>
              <w:rPr>
                <w:sz w:val="9"/>
                <w:szCs w:val="9"/>
                <w:color w:val="auto"/>
              </w:rPr>
            </w:pPr>
          </w:p>
        </w:tc>
        <w:tc>
          <w:tcPr>
            <w:tcW w:w="340" w:type="dxa"/>
            <w:vAlign w:val="bottom"/>
          </w:tcPr>
          <w:p>
            <w:pPr>
              <w:spacing w:after="0"/>
              <w:rPr>
                <w:sz w:val="9"/>
                <w:szCs w:val="9"/>
                <w:color w:val="auto"/>
              </w:rPr>
            </w:pPr>
          </w:p>
        </w:tc>
        <w:tc>
          <w:tcPr>
            <w:tcW w:w="1860" w:type="dxa"/>
            <w:vAlign w:val="bottom"/>
            <w:vMerge w:val="continue"/>
            <w:shd w:val="clear" w:color="auto" w:fill="CCD4DB"/>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900" w:type="dxa"/>
            <w:vAlign w:val="bottom"/>
            <w:vMerge w:val="restart"/>
            <w:shd w:val="clear" w:color="auto" w:fill="CCD4DB"/>
          </w:tcPr>
          <w:p>
            <w:pPr>
              <w:jc w:val="center"/>
              <w:spacing w:after="0" w:line="216" w:lineRule="exact"/>
              <w:rPr>
                <w:sz w:val="20"/>
                <w:szCs w:val="20"/>
                <w:color w:val="auto"/>
              </w:rPr>
            </w:pPr>
            <w:r>
              <w:rPr>
                <w:rFonts w:ascii="Arial" w:cs="Arial" w:eastAsia="Arial" w:hAnsi="Arial"/>
                <w:sz w:val="22"/>
                <w:szCs w:val="22"/>
                <w:b w:val="1"/>
                <w:bCs w:val="1"/>
                <w:color w:val="00249C"/>
                <w:w w:val="98"/>
              </w:rPr>
              <w:t>billion</w:t>
            </w:r>
          </w:p>
        </w:tc>
        <w:tc>
          <w:tcPr>
            <w:tcW w:w="340" w:type="dxa"/>
            <w:vAlign w:val="bottom"/>
          </w:tcPr>
          <w:p>
            <w:pPr>
              <w:spacing w:after="0"/>
              <w:rPr>
                <w:sz w:val="9"/>
                <w:szCs w:val="9"/>
                <w:color w:val="auto"/>
              </w:rPr>
            </w:pPr>
          </w:p>
        </w:tc>
        <w:tc>
          <w:tcPr>
            <w:tcW w:w="1860" w:type="dxa"/>
            <w:vAlign w:val="bottom"/>
            <w:vMerge w:val="continue"/>
            <w:shd w:val="clear" w:color="auto" w:fill="CCD4DB"/>
          </w:tcPr>
          <w:p>
            <w:pPr>
              <w:spacing w:after="0"/>
              <w:rPr>
                <w:sz w:val="9"/>
                <w:szCs w:val="9"/>
                <w:color w:val="auto"/>
              </w:rPr>
            </w:pPr>
          </w:p>
        </w:tc>
        <w:tc>
          <w:tcPr>
            <w:tcW w:w="340" w:type="dxa"/>
            <w:vAlign w:val="bottom"/>
          </w:tcPr>
          <w:p>
            <w:pPr>
              <w:spacing w:after="0"/>
              <w:rPr>
                <w:sz w:val="9"/>
                <w:szCs w:val="9"/>
                <w:color w:val="auto"/>
              </w:rPr>
            </w:pPr>
          </w:p>
        </w:tc>
        <w:tc>
          <w:tcPr>
            <w:tcW w:w="1860" w:type="dxa"/>
            <w:vAlign w:val="bottom"/>
            <w:vMerge w:val="restart"/>
            <w:shd w:val="clear" w:color="auto" w:fill="CCD4DB"/>
          </w:tcPr>
          <w:p>
            <w:pPr>
              <w:jc w:val="center"/>
              <w:spacing w:after="0" w:line="216" w:lineRule="exact"/>
              <w:rPr>
                <w:sz w:val="20"/>
                <w:szCs w:val="20"/>
                <w:color w:val="auto"/>
              </w:rPr>
            </w:pPr>
            <w:r>
              <w:rPr>
                <w:rFonts w:ascii="Arial" w:cs="Arial" w:eastAsia="Arial" w:hAnsi="Arial"/>
                <w:sz w:val="22"/>
                <w:szCs w:val="22"/>
                <w:b w:val="1"/>
                <w:bCs w:val="1"/>
                <w:color w:val="00249C"/>
                <w:w w:val="97"/>
              </w:rPr>
              <w:t>Expenditures</w:t>
            </w:r>
          </w:p>
        </w:tc>
        <w:tc>
          <w:tcPr>
            <w:tcW w:w="340" w:type="dxa"/>
            <w:vAlign w:val="bottom"/>
          </w:tcPr>
          <w:p>
            <w:pPr>
              <w:spacing w:after="0"/>
              <w:rPr>
                <w:sz w:val="9"/>
                <w:szCs w:val="9"/>
                <w:color w:val="auto"/>
              </w:rPr>
            </w:pPr>
          </w:p>
        </w:tc>
        <w:tc>
          <w:tcPr>
            <w:tcW w:w="1860" w:type="dxa"/>
            <w:vAlign w:val="bottom"/>
            <w:vMerge w:val="restart"/>
            <w:shd w:val="clear" w:color="auto" w:fill="CCD4DB"/>
          </w:tcPr>
          <w:p>
            <w:pPr>
              <w:jc w:val="center"/>
              <w:spacing w:after="0" w:line="216" w:lineRule="exact"/>
              <w:rPr>
                <w:sz w:val="20"/>
                <w:szCs w:val="20"/>
                <w:color w:val="auto"/>
              </w:rPr>
            </w:pPr>
            <w:r>
              <w:rPr>
                <w:rFonts w:ascii="Arial" w:cs="Arial" w:eastAsia="Arial" w:hAnsi="Arial"/>
                <w:sz w:val="22"/>
                <w:szCs w:val="22"/>
                <w:b w:val="1"/>
                <w:bCs w:val="1"/>
                <w:color w:val="00249C"/>
                <w:w w:val="97"/>
              </w:rPr>
              <w:t>pension</w:t>
            </w:r>
          </w:p>
        </w:tc>
        <w:tc>
          <w:tcPr>
            <w:tcW w:w="0" w:type="dxa"/>
            <w:vAlign w:val="bottom"/>
          </w:tcPr>
          <w:p>
            <w:pPr>
              <w:spacing w:after="0"/>
              <w:rPr>
                <w:sz w:val="1"/>
                <w:szCs w:val="1"/>
                <w:color w:val="auto"/>
              </w:rPr>
            </w:pPr>
          </w:p>
        </w:tc>
      </w:tr>
      <w:tr>
        <w:trPr>
          <w:trHeight w:val="108"/>
        </w:trPr>
        <w:tc>
          <w:tcPr>
            <w:tcW w:w="1900" w:type="dxa"/>
            <w:vAlign w:val="bottom"/>
            <w:vMerge w:val="continue"/>
            <w:shd w:val="clear" w:color="auto" w:fill="CCD4DB"/>
          </w:tcPr>
          <w:p>
            <w:pPr>
              <w:spacing w:after="0"/>
              <w:rPr>
                <w:sz w:val="9"/>
                <w:szCs w:val="9"/>
                <w:color w:val="auto"/>
              </w:rPr>
            </w:pPr>
          </w:p>
        </w:tc>
        <w:tc>
          <w:tcPr>
            <w:tcW w:w="340" w:type="dxa"/>
            <w:vAlign w:val="bottom"/>
          </w:tcPr>
          <w:p>
            <w:pPr>
              <w:spacing w:after="0"/>
              <w:rPr>
                <w:sz w:val="9"/>
                <w:szCs w:val="9"/>
                <w:color w:val="auto"/>
              </w:rPr>
            </w:pPr>
          </w:p>
        </w:tc>
        <w:tc>
          <w:tcPr>
            <w:tcW w:w="1860" w:type="dxa"/>
            <w:vAlign w:val="bottom"/>
            <w:vMerge w:val="restart"/>
            <w:shd w:val="clear" w:color="auto" w:fill="CCD4DB"/>
          </w:tcPr>
          <w:p>
            <w:pPr>
              <w:jc w:val="center"/>
              <w:spacing w:after="0" w:line="216" w:lineRule="exact"/>
              <w:rPr>
                <w:sz w:val="20"/>
                <w:szCs w:val="20"/>
                <w:color w:val="auto"/>
              </w:rPr>
            </w:pPr>
            <w:r>
              <w:rPr>
                <w:rFonts w:ascii="Arial" w:cs="Arial" w:eastAsia="Arial" w:hAnsi="Arial"/>
                <w:sz w:val="22"/>
                <w:szCs w:val="22"/>
                <w:b w:val="1"/>
                <w:bCs w:val="1"/>
                <w:color w:val="00249C"/>
                <w:w w:val="97"/>
              </w:rPr>
              <w:t>$1.4 billion; ~10%</w:t>
            </w:r>
          </w:p>
        </w:tc>
        <w:tc>
          <w:tcPr>
            <w:tcW w:w="340" w:type="dxa"/>
            <w:vAlign w:val="bottom"/>
          </w:tcPr>
          <w:p>
            <w:pPr>
              <w:spacing w:after="0"/>
              <w:rPr>
                <w:sz w:val="9"/>
                <w:szCs w:val="9"/>
                <w:color w:val="auto"/>
              </w:rPr>
            </w:pPr>
          </w:p>
        </w:tc>
        <w:tc>
          <w:tcPr>
            <w:tcW w:w="1860" w:type="dxa"/>
            <w:vAlign w:val="bottom"/>
            <w:vMerge w:val="continue"/>
            <w:shd w:val="clear" w:color="auto" w:fill="CCD4DB"/>
          </w:tcPr>
          <w:p>
            <w:pPr>
              <w:spacing w:after="0"/>
              <w:rPr>
                <w:sz w:val="9"/>
                <w:szCs w:val="9"/>
                <w:color w:val="auto"/>
              </w:rPr>
            </w:pPr>
          </w:p>
        </w:tc>
        <w:tc>
          <w:tcPr>
            <w:tcW w:w="340" w:type="dxa"/>
            <w:vAlign w:val="bottom"/>
          </w:tcPr>
          <w:p>
            <w:pPr>
              <w:spacing w:after="0"/>
              <w:rPr>
                <w:sz w:val="9"/>
                <w:szCs w:val="9"/>
                <w:color w:val="auto"/>
              </w:rPr>
            </w:pPr>
          </w:p>
        </w:tc>
        <w:tc>
          <w:tcPr>
            <w:tcW w:w="1860" w:type="dxa"/>
            <w:vAlign w:val="bottom"/>
            <w:vMerge w:val="continue"/>
            <w:shd w:val="clear" w:color="auto" w:fill="CCD4DB"/>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900" w:type="dxa"/>
            <w:vAlign w:val="bottom"/>
            <w:shd w:val="clear" w:color="auto" w:fill="CCD4DB"/>
          </w:tcPr>
          <w:p>
            <w:pPr>
              <w:spacing w:after="0"/>
              <w:rPr>
                <w:sz w:val="9"/>
                <w:szCs w:val="9"/>
                <w:color w:val="auto"/>
              </w:rPr>
            </w:pPr>
          </w:p>
        </w:tc>
        <w:tc>
          <w:tcPr>
            <w:tcW w:w="340" w:type="dxa"/>
            <w:vAlign w:val="bottom"/>
          </w:tcPr>
          <w:p>
            <w:pPr>
              <w:spacing w:after="0"/>
              <w:rPr>
                <w:sz w:val="9"/>
                <w:szCs w:val="9"/>
                <w:color w:val="auto"/>
              </w:rPr>
            </w:pPr>
          </w:p>
        </w:tc>
        <w:tc>
          <w:tcPr>
            <w:tcW w:w="1860" w:type="dxa"/>
            <w:vAlign w:val="bottom"/>
            <w:vMerge w:val="continue"/>
            <w:shd w:val="clear" w:color="auto" w:fill="CCD4DB"/>
          </w:tcPr>
          <w:p>
            <w:pPr>
              <w:spacing w:after="0"/>
              <w:rPr>
                <w:sz w:val="9"/>
                <w:szCs w:val="9"/>
                <w:color w:val="auto"/>
              </w:rPr>
            </w:pPr>
          </w:p>
        </w:tc>
        <w:tc>
          <w:tcPr>
            <w:tcW w:w="340" w:type="dxa"/>
            <w:vAlign w:val="bottom"/>
          </w:tcPr>
          <w:p>
            <w:pPr>
              <w:spacing w:after="0"/>
              <w:rPr>
                <w:sz w:val="9"/>
                <w:szCs w:val="9"/>
                <w:color w:val="auto"/>
              </w:rPr>
            </w:pPr>
          </w:p>
        </w:tc>
        <w:tc>
          <w:tcPr>
            <w:tcW w:w="1860" w:type="dxa"/>
            <w:vAlign w:val="bottom"/>
            <w:shd w:val="clear" w:color="auto" w:fill="CCD4DB"/>
          </w:tcPr>
          <w:p>
            <w:pPr>
              <w:spacing w:after="0"/>
              <w:rPr>
                <w:sz w:val="9"/>
                <w:szCs w:val="9"/>
                <w:color w:val="auto"/>
              </w:rPr>
            </w:pPr>
          </w:p>
        </w:tc>
        <w:tc>
          <w:tcPr>
            <w:tcW w:w="340" w:type="dxa"/>
            <w:vAlign w:val="bottom"/>
          </w:tcPr>
          <w:p>
            <w:pPr>
              <w:spacing w:after="0"/>
              <w:rPr>
                <w:sz w:val="9"/>
                <w:szCs w:val="9"/>
                <w:color w:val="auto"/>
              </w:rPr>
            </w:pPr>
          </w:p>
        </w:tc>
        <w:tc>
          <w:tcPr>
            <w:tcW w:w="1860" w:type="dxa"/>
            <w:vAlign w:val="bottom"/>
            <w:vMerge w:val="restart"/>
            <w:shd w:val="clear" w:color="auto" w:fill="CCD4DB"/>
          </w:tcPr>
          <w:p>
            <w:pPr>
              <w:jc w:val="center"/>
              <w:spacing w:after="0"/>
              <w:rPr>
                <w:sz w:val="20"/>
                <w:szCs w:val="20"/>
                <w:color w:val="auto"/>
              </w:rPr>
            </w:pPr>
            <w:r>
              <w:rPr>
                <w:rFonts w:ascii="Arial" w:cs="Arial" w:eastAsia="Arial" w:hAnsi="Arial"/>
                <w:sz w:val="22"/>
                <w:szCs w:val="22"/>
                <w:b w:val="1"/>
                <w:bCs w:val="1"/>
                <w:color w:val="00249C"/>
                <w:w w:val="98"/>
              </w:rPr>
              <w:t>contribution</w:t>
            </w:r>
          </w:p>
        </w:tc>
        <w:tc>
          <w:tcPr>
            <w:tcW w:w="0" w:type="dxa"/>
            <w:vAlign w:val="bottom"/>
          </w:tcPr>
          <w:p>
            <w:pPr>
              <w:spacing w:after="0"/>
              <w:rPr>
                <w:sz w:val="1"/>
                <w:szCs w:val="1"/>
                <w:color w:val="auto"/>
              </w:rPr>
            </w:pPr>
          </w:p>
        </w:tc>
      </w:tr>
      <w:tr>
        <w:trPr>
          <w:trHeight w:val="177"/>
        </w:trPr>
        <w:tc>
          <w:tcPr>
            <w:tcW w:w="1900" w:type="dxa"/>
            <w:vAlign w:val="bottom"/>
            <w:vMerge w:val="restart"/>
            <w:shd w:val="clear" w:color="auto" w:fill="CCD4DB"/>
          </w:tcPr>
          <w:p>
            <w:pPr>
              <w:jc w:val="center"/>
              <w:spacing w:after="0"/>
              <w:rPr>
                <w:sz w:val="20"/>
                <w:szCs w:val="20"/>
                <w:color w:val="auto"/>
              </w:rPr>
            </w:pPr>
            <w:r>
              <w:rPr>
                <w:rFonts w:ascii="Arial" w:cs="Arial" w:eastAsia="Arial" w:hAnsi="Arial"/>
                <w:sz w:val="22"/>
                <w:szCs w:val="22"/>
                <w:b w:val="1"/>
                <w:bCs w:val="1"/>
                <w:color w:val="00249C"/>
                <w:w w:val="97"/>
              </w:rPr>
              <w:t>Total backlog</w:t>
            </w:r>
          </w:p>
        </w:tc>
        <w:tc>
          <w:tcPr>
            <w:tcW w:w="340" w:type="dxa"/>
            <w:vAlign w:val="bottom"/>
          </w:tcPr>
          <w:p>
            <w:pPr>
              <w:spacing w:after="0"/>
              <w:rPr>
                <w:sz w:val="15"/>
                <w:szCs w:val="15"/>
                <w:color w:val="auto"/>
              </w:rPr>
            </w:pPr>
          </w:p>
        </w:tc>
        <w:tc>
          <w:tcPr>
            <w:tcW w:w="1860" w:type="dxa"/>
            <w:vAlign w:val="bottom"/>
            <w:vMerge w:val="restart"/>
            <w:shd w:val="clear" w:color="auto" w:fill="CCD4DB"/>
          </w:tcPr>
          <w:p>
            <w:pPr>
              <w:jc w:val="center"/>
              <w:spacing w:after="0" w:line="216" w:lineRule="exact"/>
              <w:rPr>
                <w:sz w:val="20"/>
                <w:szCs w:val="20"/>
                <w:color w:val="auto"/>
              </w:rPr>
            </w:pPr>
            <w:r>
              <w:rPr>
                <w:rFonts w:ascii="Arial" w:cs="Arial" w:eastAsia="Arial" w:hAnsi="Arial"/>
                <w:sz w:val="22"/>
                <w:szCs w:val="22"/>
                <w:b w:val="1"/>
                <w:bCs w:val="1"/>
                <w:color w:val="00249C"/>
                <w:w w:val="97"/>
              </w:rPr>
              <w:t>increase in</w:t>
            </w:r>
          </w:p>
        </w:tc>
        <w:tc>
          <w:tcPr>
            <w:tcW w:w="340" w:type="dxa"/>
            <w:vAlign w:val="bottom"/>
          </w:tcPr>
          <w:p>
            <w:pPr>
              <w:spacing w:after="0"/>
              <w:rPr>
                <w:sz w:val="15"/>
                <w:szCs w:val="15"/>
                <w:color w:val="auto"/>
              </w:rPr>
            </w:pPr>
          </w:p>
        </w:tc>
        <w:tc>
          <w:tcPr>
            <w:tcW w:w="1860" w:type="dxa"/>
            <w:vAlign w:val="bottom"/>
            <w:vMerge w:val="restart"/>
            <w:shd w:val="clear" w:color="auto" w:fill="CCD4DB"/>
          </w:tcPr>
          <w:p>
            <w:pPr>
              <w:jc w:val="center"/>
              <w:spacing w:after="0"/>
              <w:rPr>
                <w:sz w:val="20"/>
                <w:szCs w:val="20"/>
                <w:color w:val="auto"/>
              </w:rPr>
            </w:pPr>
            <w:r>
              <w:rPr>
                <w:rFonts w:ascii="Arial" w:cs="Arial" w:eastAsia="Arial" w:hAnsi="Arial"/>
                <w:sz w:val="22"/>
                <w:szCs w:val="22"/>
                <w:b w:val="1"/>
                <w:bCs w:val="1"/>
                <w:color w:val="00249C"/>
                <w:w w:val="97"/>
              </w:rPr>
              <w:t>Internal R&amp;D</w:t>
            </w:r>
          </w:p>
        </w:tc>
        <w:tc>
          <w:tcPr>
            <w:tcW w:w="340" w:type="dxa"/>
            <w:vAlign w:val="bottom"/>
          </w:tcPr>
          <w:p>
            <w:pPr>
              <w:spacing w:after="0"/>
              <w:rPr>
                <w:sz w:val="15"/>
                <w:szCs w:val="15"/>
                <w:color w:val="auto"/>
              </w:rPr>
            </w:pPr>
          </w:p>
        </w:tc>
        <w:tc>
          <w:tcPr>
            <w:tcW w:w="1860" w:type="dxa"/>
            <w:vAlign w:val="bottom"/>
            <w:vMerge w:val="continue"/>
            <w:shd w:val="clear" w:color="auto" w:fill="CCD4DB"/>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1900" w:type="dxa"/>
            <w:vAlign w:val="bottom"/>
            <w:vMerge w:val="continue"/>
            <w:shd w:val="clear" w:color="auto" w:fill="CCD4DB"/>
          </w:tcPr>
          <w:p>
            <w:pPr>
              <w:spacing w:after="0"/>
              <w:rPr>
                <w:sz w:val="3"/>
                <w:szCs w:val="3"/>
                <w:color w:val="auto"/>
              </w:rPr>
            </w:pPr>
          </w:p>
        </w:tc>
        <w:tc>
          <w:tcPr>
            <w:tcW w:w="340" w:type="dxa"/>
            <w:vAlign w:val="bottom"/>
          </w:tcPr>
          <w:p>
            <w:pPr>
              <w:spacing w:after="0"/>
              <w:rPr>
                <w:sz w:val="3"/>
                <w:szCs w:val="3"/>
                <w:color w:val="auto"/>
              </w:rPr>
            </w:pPr>
          </w:p>
        </w:tc>
        <w:tc>
          <w:tcPr>
            <w:tcW w:w="1860" w:type="dxa"/>
            <w:vAlign w:val="bottom"/>
            <w:vMerge w:val="continue"/>
            <w:shd w:val="clear" w:color="auto" w:fill="CCD4DB"/>
          </w:tcPr>
          <w:p>
            <w:pPr>
              <w:spacing w:after="0"/>
              <w:rPr>
                <w:sz w:val="3"/>
                <w:szCs w:val="3"/>
                <w:color w:val="auto"/>
              </w:rPr>
            </w:pPr>
          </w:p>
        </w:tc>
        <w:tc>
          <w:tcPr>
            <w:tcW w:w="340" w:type="dxa"/>
            <w:vAlign w:val="bottom"/>
          </w:tcPr>
          <w:p>
            <w:pPr>
              <w:spacing w:after="0"/>
              <w:rPr>
                <w:sz w:val="3"/>
                <w:szCs w:val="3"/>
                <w:color w:val="auto"/>
              </w:rPr>
            </w:pPr>
          </w:p>
        </w:tc>
        <w:tc>
          <w:tcPr>
            <w:tcW w:w="1860" w:type="dxa"/>
            <w:vAlign w:val="bottom"/>
            <w:vMerge w:val="continue"/>
            <w:shd w:val="clear" w:color="auto" w:fill="CCD4DB"/>
          </w:tcPr>
          <w:p>
            <w:pPr>
              <w:spacing w:after="0"/>
              <w:rPr>
                <w:sz w:val="3"/>
                <w:szCs w:val="3"/>
                <w:color w:val="auto"/>
              </w:rPr>
            </w:pPr>
          </w:p>
        </w:tc>
        <w:tc>
          <w:tcPr>
            <w:tcW w:w="340" w:type="dxa"/>
            <w:vAlign w:val="bottom"/>
          </w:tcPr>
          <w:p>
            <w:pPr>
              <w:spacing w:after="0"/>
              <w:rPr>
                <w:sz w:val="3"/>
                <w:szCs w:val="3"/>
                <w:color w:val="auto"/>
              </w:rPr>
            </w:pPr>
          </w:p>
        </w:tc>
        <w:tc>
          <w:tcPr>
            <w:tcW w:w="1860" w:type="dxa"/>
            <w:vAlign w:val="bottom"/>
            <w:shd w:val="clear" w:color="auto" w:fill="CCD4DB"/>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900" w:type="dxa"/>
            <w:vAlign w:val="bottom"/>
            <w:vMerge w:val="continue"/>
            <w:shd w:val="clear" w:color="auto" w:fill="CCD4DB"/>
          </w:tcPr>
          <w:p>
            <w:pPr>
              <w:spacing w:after="0"/>
              <w:rPr>
                <w:sz w:val="10"/>
                <w:szCs w:val="10"/>
                <w:color w:val="auto"/>
              </w:rPr>
            </w:pPr>
          </w:p>
        </w:tc>
        <w:tc>
          <w:tcPr>
            <w:tcW w:w="340" w:type="dxa"/>
            <w:vAlign w:val="bottom"/>
          </w:tcPr>
          <w:p>
            <w:pPr>
              <w:spacing w:after="0"/>
              <w:rPr>
                <w:sz w:val="10"/>
                <w:szCs w:val="10"/>
                <w:color w:val="auto"/>
              </w:rPr>
            </w:pPr>
          </w:p>
        </w:tc>
        <w:tc>
          <w:tcPr>
            <w:tcW w:w="1860" w:type="dxa"/>
            <w:vAlign w:val="bottom"/>
            <w:vMerge w:val="restart"/>
            <w:shd w:val="clear" w:color="auto" w:fill="CCD4DB"/>
          </w:tcPr>
          <w:p>
            <w:pPr>
              <w:jc w:val="center"/>
              <w:spacing w:after="0" w:line="216" w:lineRule="exact"/>
              <w:rPr>
                <w:sz w:val="20"/>
                <w:szCs w:val="20"/>
                <w:color w:val="auto"/>
              </w:rPr>
            </w:pPr>
            <w:r>
              <w:rPr>
                <w:rFonts w:ascii="Arial" w:cs="Arial" w:eastAsia="Arial" w:hAnsi="Arial"/>
                <w:sz w:val="22"/>
                <w:szCs w:val="22"/>
                <w:b w:val="1"/>
                <w:bCs w:val="1"/>
                <w:color w:val="00249C"/>
                <w:w w:val="97"/>
              </w:rPr>
              <w:t>quarterly</w:t>
            </w:r>
          </w:p>
        </w:tc>
        <w:tc>
          <w:tcPr>
            <w:tcW w:w="340" w:type="dxa"/>
            <w:vAlign w:val="bottom"/>
          </w:tcPr>
          <w:p>
            <w:pPr>
              <w:spacing w:after="0"/>
              <w:rPr>
                <w:sz w:val="10"/>
                <w:szCs w:val="10"/>
                <w:color w:val="auto"/>
              </w:rPr>
            </w:pPr>
          </w:p>
        </w:tc>
        <w:tc>
          <w:tcPr>
            <w:tcW w:w="1860" w:type="dxa"/>
            <w:vAlign w:val="bottom"/>
            <w:vMerge w:val="continue"/>
            <w:shd w:val="clear" w:color="auto" w:fill="CCD4DB"/>
          </w:tcPr>
          <w:p>
            <w:pPr>
              <w:spacing w:after="0"/>
              <w:rPr>
                <w:sz w:val="10"/>
                <w:szCs w:val="10"/>
                <w:color w:val="auto"/>
              </w:rPr>
            </w:pPr>
          </w:p>
        </w:tc>
        <w:tc>
          <w:tcPr>
            <w:tcW w:w="340" w:type="dxa"/>
            <w:vAlign w:val="bottom"/>
          </w:tcPr>
          <w:p>
            <w:pPr>
              <w:spacing w:after="0"/>
              <w:rPr>
                <w:sz w:val="10"/>
                <w:szCs w:val="10"/>
                <w:color w:val="auto"/>
              </w:rPr>
            </w:pPr>
          </w:p>
        </w:tc>
        <w:tc>
          <w:tcPr>
            <w:tcW w:w="1860" w:type="dxa"/>
            <w:vAlign w:val="bottom"/>
            <w:shd w:val="clear" w:color="auto" w:fill="CCD4DB"/>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900" w:type="dxa"/>
            <w:vAlign w:val="bottom"/>
            <w:vMerge w:val="restart"/>
            <w:shd w:val="clear" w:color="auto" w:fill="CCD4DB"/>
          </w:tcPr>
          <w:p>
            <w:pPr>
              <w:jc w:val="center"/>
              <w:spacing w:after="0" w:line="216" w:lineRule="exact"/>
              <w:rPr>
                <w:sz w:val="20"/>
                <w:szCs w:val="20"/>
                <w:color w:val="auto"/>
              </w:rPr>
            </w:pPr>
            <w:r>
              <w:rPr>
                <w:rFonts w:ascii="Arial" w:cs="Arial" w:eastAsia="Arial" w:hAnsi="Arial"/>
                <w:sz w:val="22"/>
                <w:szCs w:val="22"/>
                <w:b w:val="1"/>
                <w:bCs w:val="1"/>
                <w:color w:val="00249C"/>
                <w:w w:val="98"/>
              </w:rPr>
              <w:t>increases 25% to</w:t>
            </w:r>
          </w:p>
        </w:tc>
        <w:tc>
          <w:tcPr>
            <w:tcW w:w="340" w:type="dxa"/>
            <w:vAlign w:val="bottom"/>
          </w:tcPr>
          <w:p>
            <w:pPr>
              <w:spacing w:after="0"/>
              <w:rPr>
                <w:sz w:val="8"/>
                <w:szCs w:val="8"/>
                <w:color w:val="auto"/>
              </w:rPr>
            </w:pPr>
          </w:p>
        </w:tc>
        <w:tc>
          <w:tcPr>
            <w:tcW w:w="1860" w:type="dxa"/>
            <w:vAlign w:val="bottom"/>
            <w:vMerge w:val="continue"/>
            <w:shd w:val="clear" w:color="auto" w:fill="CCD4DB"/>
          </w:tcPr>
          <w:p>
            <w:pPr>
              <w:spacing w:after="0"/>
              <w:rPr>
                <w:sz w:val="8"/>
                <w:szCs w:val="8"/>
                <w:color w:val="auto"/>
              </w:rPr>
            </w:pPr>
          </w:p>
        </w:tc>
        <w:tc>
          <w:tcPr>
            <w:tcW w:w="340" w:type="dxa"/>
            <w:vAlign w:val="bottom"/>
          </w:tcPr>
          <w:p>
            <w:pPr>
              <w:spacing w:after="0"/>
              <w:rPr>
                <w:sz w:val="8"/>
                <w:szCs w:val="8"/>
                <w:color w:val="auto"/>
              </w:rPr>
            </w:pPr>
          </w:p>
        </w:tc>
        <w:tc>
          <w:tcPr>
            <w:tcW w:w="1860" w:type="dxa"/>
            <w:vAlign w:val="bottom"/>
            <w:vMerge w:val="restart"/>
            <w:shd w:val="clear" w:color="auto" w:fill="CCD4DB"/>
          </w:tcPr>
          <w:p>
            <w:pPr>
              <w:jc w:val="center"/>
              <w:spacing w:after="0" w:line="216" w:lineRule="exact"/>
              <w:rPr>
                <w:sz w:val="20"/>
                <w:szCs w:val="20"/>
                <w:color w:val="auto"/>
              </w:rPr>
            </w:pPr>
            <w:r>
              <w:rPr>
                <w:rFonts w:ascii="Arial" w:cs="Arial" w:eastAsia="Arial" w:hAnsi="Arial"/>
                <w:sz w:val="22"/>
                <w:szCs w:val="22"/>
                <w:b w:val="1"/>
                <w:bCs w:val="1"/>
                <w:color w:val="00249C"/>
                <w:w w:val="97"/>
              </w:rPr>
              <w:t>spending of $1.1</w:t>
            </w:r>
          </w:p>
        </w:tc>
        <w:tc>
          <w:tcPr>
            <w:tcW w:w="340" w:type="dxa"/>
            <w:vAlign w:val="bottom"/>
          </w:tcPr>
          <w:p>
            <w:pPr>
              <w:spacing w:after="0"/>
              <w:rPr>
                <w:sz w:val="8"/>
                <w:szCs w:val="8"/>
                <w:color w:val="auto"/>
              </w:rPr>
            </w:pPr>
          </w:p>
        </w:tc>
        <w:tc>
          <w:tcPr>
            <w:tcW w:w="1860" w:type="dxa"/>
            <w:vAlign w:val="bottom"/>
            <w:vMerge w:val="restart"/>
            <w:shd w:val="clear" w:color="auto" w:fill="CCD4DB"/>
          </w:tcPr>
          <w:p>
            <w:pPr>
              <w:jc w:val="center"/>
              <w:spacing w:after="0" w:line="216" w:lineRule="exact"/>
              <w:rPr>
                <w:sz w:val="20"/>
                <w:szCs w:val="20"/>
                <w:color w:val="auto"/>
              </w:rPr>
            </w:pPr>
            <w:r>
              <w:rPr>
                <w:rFonts w:ascii="Arial" w:cs="Arial" w:eastAsia="Arial" w:hAnsi="Arial"/>
                <w:sz w:val="22"/>
                <w:szCs w:val="22"/>
                <w:b w:val="1"/>
                <w:bCs w:val="1"/>
                <w:color w:val="00249C"/>
                <w:w w:val="98"/>
              </w:rPr>
              <w:t>$3.7 billion</w:t>
            </w:r>
          </w:p>
        </w:tc>
        <w:tc>
          <w:tcPr>
            <w:tcW w:w="0" w:type="dxa"/>
            <w:vAlign w:val="bottom"/>
          </w:tcPr>
          <w:p>
            <w:pPr>
              <w:spacing w:after="0"/>
              <w:rPr>
                <w:sz w:val="1"/>
                <w:szCs w:val="1"/>
                <w:color w:val="auto"/>
              </w:rPr>
            </w:pPr>
          </w:p>
        </w:tc>
      </w:tr>
      <w:tr>
        <w:trPr>
          <w:trHeight w:val="122"/>
        </w:trPr>
        <w:tc>
          <w:tcPr>
            <w:tcW w:w="1900" w:type="dxa"/>
            <w:vAlign w:val="bottom"/>
            <w:vMerge w:val="continue"/>
            <w:shd w:val="clear" w:color="auto" w:fill="CCD4DB"/>
          </w:tcPr>
          <w:p>
            <w:pPr>
              <w:spacing w:after="0"/>
              <w:rPr>
                <w:sz w:val="10"/>
                <w:szCs w:val="10"/>
                <w:color w:val="auto"/>
              </w:rPr>
            </w:pPr>
          </w:p>
        </w:tc>
        <w:tc>
          <w:tcPr>
            <w:tcW w:w="340" w:type="dxa"/>
            <w:vAlign w:val="bottom"/>
          </w:tcPr>
          <w:p>
            <w:pPr>
              <w:spacing w:after="0"/>
              <w:rPr>
                <w:sz w:val="10"/>
                <w:szCs w:val="10"/>
                <w:color w:val="auto"/>
              </w:rPr>
            </w:pPr>
          </w:p>
        </w:tc>
        <w:tc>
          <w:tcPr>
            <w:tcW w:w="1860" w:type="dxa"/>
            <w:vAlign w:val="bottom"/>
            <w:vMerge w:val="restart"/>
            <w:shd w:val="clear" w:color="auto" w:fill="CCD4DB"/>
          </w:tcPr>
          <w:p>
            <w:pPr>
              <w:jc w:val="center"/>
              <w:spacing w:after="0" w:line="216" w:lineRule="exact"/>
              <w:rPr>
                <w:sz w:val="20"/>
                <w:szCs w:val="20"/>
                <w:color w:val="auto"/>
              </w:rPr>
            </w:pPr>
            <w:r>
              <w:rPr>
                <w:rFonts w:ascii="Arial" w:cs="Arial" w:eastAsia="Arial" w:hAnsi="Arial"/>
                <w:sz w:val="22"/>
                <w:szCs w:val="22"/>
                <w:b w:val="1"/>
                <w:bCs w:val="1"/>
                <w:color w:val="00249C"/>
                <w:w w:val="97"/>
              </w:rPr>
              <w:t>dividend per</w:t>
            </w:r>
          </w:p>
        </w:tc>
        <w:tc>
          <w:tcPr>
            <w:tcW w:w="340" w:type="dxa"/>
            <w:vAlign w:val="bottom"/>
          </w:tcPr>
          <w:p>
            <w:pPr>
              <w:spacing w:after="0"/>
              <w:rPr>
                <w:sz w:val="10"/>
                <w:szCs w:val="10"/>
                <w:color w:val="auto"/>
              </w:rPr>
            </w:pPr>
          </w:p>
        </w:tc>
        <w:tc>
          <w:tcPr>
            <w:tcW w:w="1860" w:type="dxa"/>
            <w:vAlign w:val="bottom"/>
            <w:vMerge w:val="continue"/>
            <w:shd w:val="clear" w:color="auto" w:fill="CCD4DB"/>
          </w:tcPr>
          <w:p>
            <w:pPr>
              <w:spacing w:after="0"/>
              <w:rPr>
                <w:sz w:val="10"/>
                <w:szCs w:val="10"/>
                <w:color w:val="auto"/>
              </w:rPr>
            </w:pPr>
          </w:p>
        </w:tc>
        <w:tc>
          <w:tcPr>
            <w:tcW w:w="340" w:type="dxa"/>
            <w:vAlign w:val="bottom"/>
          </w:tcPr>
          <w:p>
            <w:pPr>
              <w:spacing w:after="0"/>
              <w:rPr>
                <w:sz w:val="10"/>
                <w:szCs w:val="10"/>
                <w:color w:val="auto"/>
              </w:rPr>
            </w:pPr>
          </w:p>
        </w:tc>
        <w:tc>
          <w:tcPr>
            <w:tcW w:w="1860" w:type="dxa"/>
            <w:vAlign w:val="bottom"/>
            <w:vMerge w:val="continue"/>
            <w:shd w:val="clear" w:color="auto" w:fill="CCD4DB"/>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900" w:type="dxa"/>
            <w:vAlign w:val="bottom"/>
            <w:vMerge w:val="restart"/>
            <w:shd w:val="clear" w:color="auto" w:fill="CCD4DB"/>
          </w:tcPr>
          <w:p>
            <w:pPr>
              <w:jc w:val="center"/>
              <w:spacing w:after="0" w:line="216" w:lineRule="exact"/>
              <w:rPr>
                <w:sz w:val="20"/>
                <w:szCs w:val="20"/>
                <w:color w:val="auto"/>
              </w:rPr>
            </w:pPr>
            <w:r>
              <w:rPr>
                <w:rFonts w:ascii="Arial" w:cs="Arial" w:eastAsia="Arial" w:hAnsi="Arial"/>
                <w:sz w:val="22"/>
                <w:szCs w:val="22"/>
                <w:b w:val="1"/>
                <w:bCs w:val="1"/>
                <w:color w:val="00249C"/>
                <w:w w:val="97"/>
              </w:rPr>
              <w:t>~$81 billion</w:t>
            </w:r>
          </w:p>
        </w:tc>
        <w:tc>
          <w:tcPr>
            <w:tcW w:w="340" w:type="dxa"/>
            <w:vAlign w:val="bottom"/>
          </w:tcPr>
          <w:p>
            <w:pPr>
              <w:spacing w:after="0"/>
              <w:rPr>
                <w:sz w:val="8"/>
                <w:szCs w:val="8"/>
                <w:color w:val="auto"/>
              </w:rPr>
            </w:pPr>
          </w:p>
        </w:tc>
        <w:tc>
          <w:tcPr>
            <w:tcW w:w="1860" w:type="dxa"/>
            <w:vAlign w:val="bottom"/>
            <w:vMerge w:val="continue"/>
            <w:shd w:val="clear" w:color="auto" w:fill="CCD4DB"/>
          </w:tcPr>
          <w:p>
            <w:pPr>
              <w:spacing w:after="0"/>
              <w:rPr>
                <w:sz w:val="8"/>
                <w:szCs w:val="8"/>
                <w:color w:val="auto"/>
              </w:rPr>
            </w:pPr>
          </w:p>
        </w:tc>
        <w:tc>
          <w:tcPr>
            <w:tcW w:w="340" w:type="dxa"/>
            <w:vAlign w:val="bottom"/>
          </w:tcPr>
          <w:p>
            <w:pPr>
              <w:spacing w:after="0"/>
              <w:rPr>
                <w:sz w:val="8"/>
                <w:szCs w:val="8"/>
                <w:color w:val="auto"/>
              </w:rPr>
            </w:pPr>
          </w:p>
        </w:tc>
        <w:tc>
          <w:tcPr>
            <w:tcW w:w="1860" w:type="dxa"/>
            <w:vAlign w:val="bottom"/>
            <w:vMerge w:val="restart"/>
            <w:shd w:val="clear" w:color="auto" w:fill="CCD4DB"/>
          </w:tcPr>
          <w:p>
            <w:pPr>
              <w:jc w:val="center"/>
              <w:spacing w:after="0" w:line="216" w:lineRule="exact"/>
              <w:rPr>
                <w:sz w:val="20"/>
                <w:szCs w:val="20"/>
                <w:color w:val="auto"/>
              </w:rPr>
            </w:pPr>
            <w:r>
              <w:rPr>
                <w:rFonts w:ascii="Arial" w:cs="Arial" w:eastAsia="Arial" w:hAnsi="Arial"/>
                <w:sz w:val="22"/>
                <w:szCs w:val="22"/>
                <w:b w:val="1"/>
                <w:bCs w:val="1"/>
                <w:color w:val="00249C"/>
                <w:w w:val="98"/>
              </w:rPr>
              <w:t>billion</w:t>
            </w:r>
          </w:p>
        </w:tc>
        <w:tc>
          <w:tcPr>
            <w:tcW w:w="340" w:type="dxa"/>
            <w:vAlign w:val="bottom"/>
          </w:tcPr>
          <w:p>
            <w:pPr>
              <w:spacing w:after="0"/>
              <w:rPr>
                <w:sz w:val="8"/>
                <w:szCs w:val="8"/>
                <w:color w:val="auto"/>
              </w:rPr>
            </w:pPr>
          </w:p>
        </w:tc>
        <w:tc>
          <w:tcPr>
            <w:tcW w:w="1860" w:type="dxa"/>
            <w:vAlign w:val="bottom"/>
            <w:vMerge w:val="restart"/>
            <w:shd w:val="clear" w:color="auto" w:fill="CCD4DB"/>
          </w:tcPr>
          <w:p>
            <w:pPr>
              <w:jc w:val="center"/>
              <w:spacing w:after="0" w:line="216" w:lineRule="exact"/>
              <w:rPr>
                <w:sz w:val="20"/>
                <w:szCs w:val="20"/>
                <w:color w:val="auto"/>
              </w:rPr>
            </w:pPr>
            <w:r>
              <w:rPr>
                <w:rFonts w:ascii="Arial" w:cs="Arial" w:eastAsia="Arial" w:hAnsi="Arial"/>
                <w:sz w:val="22"/>
                <w:szCs w:val="22"/>
                <w:b w:val="1"/>
                <w:bCs w:val="1"/>
                <w:color w:val="00249C"/>
                <w:w w:val="98"/>
              </w:rPr>
              <w:t>Adjusted Free</w:t>
            </w:r>
          </w:p>
        </w:tc>
        <w:tc>
          <w:tcPr>
            <w:tcW w:w="0" w:type="dxa"/>
            <w:vAlign w:val="bottom"/>
          </w:tcPr>
          <w:p>
            <w:pPr>
              <w:spacing w:after="0"/>
              <w:rPr>
                <w:sz w:val="1"/>
                <w:szCs w:val="1"/>
                <w:color w:val="auto"/>
              </w:rPr>
            </w:pPr>
          </w:p>
        </w:tc>
      </w:tr>
      <w:tr>
        <w:trPr>
          <w:trHeight w:val="121"/>
        </w:trPr>
        <w:tc>
          <w:tcPr>
            <w:tcW w:w="1900" w:type="dxa"/>
            <w:vAlign w:val="bottom"/>
            <w:vMerge w:val="continue"/>
            <w:shd w:val="clear" w:color="auto" w:fill="CCD4DB"/>
          </w:tcPr>
          <w:p>
            <w:pPr>
              <w:spacing w:after="0"/>
              <w:rPr>
                <w:sz w:val="10"/>
                <w:szCs w:val="10"/>
                <w:color w:val="auto"/>
              </w:rPr>
            </w:pPr>
          </w:p>
        </w:tc>
        <w:tc>
          <w:tcPr>
            <w:tcW w:w="340" w:type="dxa"/>
            <w:vAlign w:val="bottom"/>
          </w:tcPr>
          <w:p>
            <w:pPr>
              <w:spacing w:after="0"/>
              <w:rPr>
                <w:sz w:val="10"/>
                <w:szCs w:val="10"/>
                <w:color w:val="auto"/>
              </w:rPr>
            </w:pPr>
          </w:p>
        </w:tc>
        <w:tc>
          <w:tcPr>
            <w:tcW w:w="1860" w:type="dxa"/>
            <w:vAlign w:val="bottom"/>
            <w:vMerge w:val="restart"/>
            <w:shd w:val="clear" w:color="auto" w:fill="CCD4DB"/>
          </w:tcPr>
          <w:p>
            <w:pPr>
              <w:jc w:val="center"/>
              <w:spacing w:after="0"/>
              <w:rPr>
                <w:sz w:val="20"/>
                <w:szCs w:val="20"/>
                <w:color w:val="auto"/>
              </w:rPr>
            </w:pPr>
            <w:r>
              <w:rPr>
                <w:rFonts w:ascii="Arial" w:cs="Arial" w:eastAsia="Arial" w:hAnsi="Arial"/>
                <w:sz w:val="22"/>
                <w:szCs w:val="22"/>
                <w:b w:val="1"/>
                <w:bCs w:val="1"/>
                <w:color w:val="00249C"/>
                <w:w w:val="98"/>
              </w:rPr>
              <w:t>share</w:t>
            </w:r>
          </w:p>
        </w:tc>
        <w:tc>
          <w:tcPr>
            <w:tcW w:w="340" w:type="dxa"/>
            <w:vAlign w:val="bottom"/>
          </w:tcPr>
          <w:p>
            <w:pPr>
              <w:spacing w:after="0"/>
              <w:rPr>
                <w:sz w:val="10"/>
                <w:szCs w:val="10"/>
                <w:color w:val="auto"/>
              </w:rPr>
            </w:pPr>
          </w:p>
        </w:tc>
        <w:tc>
          <w:tcPr>
            <w:tcW w:w="1860" w:type="dxa"/>
            <w:vAlign w:val="bottom"/>
            <w:vMerge w:val="continue"/>
            <w:shd w:val="clear" w:color="auto" w:fill="CCD4DB"/>
          </w:tcPr>
          <w:p>
            <w:pPr>
              <w:spacing w:after="0"/>
              <w:rPr>
                <w:sz w:val="10"/>
                <w:szCs w:val="10"/>
                <w:color w:val="auto"/>
              </w:rPr>
            </w:pPr>
          </w:p>
        </w:tc>
        <w:tc>
          <w:tcPr>
            <w:tcW w:w="340" w:type="dxa"/>
            <w:vAlign w:val="bottom"/>
          </w:tcPr>
          <w:p>
            <w:pPr>
              <w:spacing w:after="0"/>
              <w:rPr>
                <w:sz w:val="10"/>
                <w:szCs w:val="10"/>
                <w:color w:val="auto"/>
              </w:rPr>
            </w:pPr>
          </w:p>
        </w:tc>
        <w:tc>
          <w:tcPr>
            <w:tcW w:w="1860" w:type="dxa"/>
            <w:vAlign w:val="bottom"/>
            <w:vMerge w:val="continue"/>
            <w:shd w:val="clear" w:color="auto" w:fill="CCD4DB"/>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900" w:type="dxa"/>
            <w:vAlign w:val="bottom"/>
            <w:shd w:val="clear" w:color="auto" w:fill="CCD4DB"/>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vMerge w:val="continue"/>
            <w:shd w:val="clear" w:color="auto" w:fill="CCD4DB"/>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shd w:val="clear" w:color="auto" w:fill="CCD4DB"/>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vMerge w:val="restart"/>
            <w:shd w:val="clear" w:color="auto" w:fill="CCD4DB"/>
          </w:tcPr>
          <w:p>
            <w:pPr>
              <w:jc w:val="center"/>
              <w:spacing w:after="0"/>
              <w:rPr>
                <w:sz w:val="20"/>
                <w:szCs w:val="20"/>
                <w:color w:val="auto"/>
              </w:rPr>
            </w:pPr>
            <w:r>
              <w:rPr>
                <w:rFonts w:ascii="Arial" w:cs="Arial" w:eastAsia="Arial" w:hAnsi="Arial"/>
                <w:sz w:val="22"/>
                <w:szCs w:val="22"/>
                <w:b w:val="1"/>
                <w:bCs w:val="1"/>
                <w:color w:val="00249C"/>
                <w:w w:val="97"/>
              </w:rPr>
              <w:t>Cash Flow*</w:t>
            </w:r>
          </w:p>
        </w:tc>
        <w:tc>
          <w:tcPr>
            <w:tcW w:w="0" w:type="dxa"/>
            <w:vAlign w:val="bottom"/>
          </w:tcPr>
          <w:p>
            <w:pPr>
              <w:spacing w:after="0"/>
              <w:rPr>
                <w:sz w:val="1"/>
                <w:szCs w:val="1"/>
                <w:color w:val="auto"/>
              </w:rPr>
            </w:pPr>
          </w:p>
        </w:tc>
      </w:tr>
      <w:tr>
        <w:trPr>
          <w:trHeight w:val="133"/>
        </w:trPr>
        <w:tc>
          <w:tcPr>
            <w:tcW w:w="1900" w:type="dxa"/>
            <w:vAlign w:val="bottom"/>
            <w:shd w:val="clear" w:color="auto" w:fill="CCD4DB"/>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shd w:val="clear" w:color="auto" w:fill="CCD4DB"/>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shd w:val="clear" w:color="auto" w:fill="CCD4DB"/>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vMerge w:val="continue"/>
            <w:shd w:val="clear" w:color="auto" w:fill="CCD4DB"/>
          </w:tcPr>
          <w:p>
            <w:pPr>
              <w:spacing w:after="0"/>
              <w:rPr>
                <w:sz w:val="11"/>
                <w:szCs w:val="1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ectPr>
          <w:pgSz w:w="11900" w:h="16838" w:orient="portrait"/>
          <w:cols w:equalWidth="0" w:num="2">
            <w:col w:w="2080" w:space="380"/>
            <w:col w:w="8780"/>
          </w:cols>
          <w:pgMar w:left="320" w:top="607" w:right="339" w:bottom="1440" w:gutter="0" w:footer="0" w:header="0"/>
          <w:type w:val="continuous"/>
        </w:sectPr>
      </w:pPr>
    </w:p>
    <w:p>
      <w:pPr>
        <w:spacing w:after="0"/>
        <w:rPr>
          <w:sz w:val="20"/>
          <w:szCs w:val="20"/>
          <w:color w:val="auto"/>
        </w:rPr>
      </w:pPr>
      <w:r>
        <w:rPr>
          <w:rFonts w:ascii="Arial" w:cs="Arial" w:eastAsia="Arial" w:hAnsi="Arial"/>
          <w:sz w:val="18"/>
          <w:szCs w:val="18"/>
          <w:color w:val="auto"/>
        </w:rPr>
        <w:t>* This metric is a non-GAAP financial measure. For more information, see "Appendix A - Use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1</w:t>
      </w:r>
    </w:p>
    <w:p>
      <w:pPr>
        <w:sectPr>
          <w:pgSz w:w="11900" w:h="16838" w:orient="portrait"/>
          <w:cols w:equalWidth="0" w:num="1">
            <w:col w:w="11240"/>
          </w:cols>
          <w:pgMar w:left="320" w:top="607" w:right="339" w:bottom="1440" w:gutter="0" w:footer="0" w:header="0"/>
          <w:type w:val="continuous"/>
        </w:sectPr>
      </w:pPr>
    </w:p>
    <w:bookmarkStart w:id="7" w:name="page8"/>
    <w:bookmarkEnd w:id="7"/>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3086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2020 Executive Compensation Highlights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committed to performance-based executive compensation programs that align with shareholders' interests and our strategy of investing for and delivering long-term profitable growth. In 2020, despite the unique and challenging conditions that stemmed from the COVID-19 pandemic, we have continued to maintain robust pay-for-performance practices. All incentive plan performance payouts reflect our performance against our 2020 goals, with no adjustments for COVID-19 impacts. Consistent with prior years, we continued to tie compensation outcomes with critical non-financial metrics such as diversity, inclusion, environmental sustainability and safety.</w:t>
      </w:r>
    </w:p>
    <w:p>
      <w:pPr>
        <w:spacing w:after="0" w:line="8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sustained strong financial performance in 2020. Our 2020 Annual Incentive Plan (AIP) payout was 143%. Our 2020 Long-Term Incentive Plan (LTIP) payout was 105% for our named executive officers (NEOs). These payouts resulted from excellent execution even during a period of economic volatility driven by COVID-19 impacts on the broader market.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highlights the governing principles of our 2020 executive compensation programs:</w:t>
      </w:r>
    </w:p>
    <w:p>
      <w:pPr>
        <w:spacing w:after="0" w:line="54" w:lineRule="exact"/>
        <w:rPr>
          <w:sz w:val="20"/>
          <w:szCs w:val="20"/>
          <w:color w:val="auto"/>
        </w:rPr>
      </w:pPr>
    </w:p>
    <w:tbl>
      <w:tblPr>
        <w:tblLayout w:type="fixed"/>
        <w:tblInd w:w="380" w:type="dxa"/>
        <w:tblCellMar>
          <w:top w:w="0" w:type="dxa"/>
          <w:left w:w="0" w:type="dxa"/>
          <w:bottom w:w="0" w:type="dxa"/>
          <w:right w:w="0" w:type="dxa"/>
        </w:tblCellMar>
      </w:tblPr>
      <w:tr>
        <w:trPr>
          <w:trHeight w:val="253"/>
        </w:trPr>
        <w:tc>
          <w:tcPr>
            <w:tcW w:w="1580" w:type="dxa"/>
            <w:vAlign w:val="bottom"/>
            <w:vMerge w:val="restart"/>
            <w:shd w:val="clear" w:color="auto" w:fill="CCD4DB"/>
          </w:tcPr>
          <w:p>
            <w:pPr>
              <w:jc w:val="center"/>
              <w:spacing w:after="0"/>
              <w:rPr>
                <w:sz w:val="20"/>
                <w:szCs w:val="20"/>
                <w:color w:val="auto"/>
              </w:rPr>
            </w:pPr>
            <w:r>
              <w:rPr>
                <w:rFonts w:ascii="Arial" w:cs="Arial" w:eastAsia="Arial" w:hAnsi="Arial"/>
                <w:sz w:val="22"/>
                <w:szCs w:val="22"/>
                <w:color w:val="auto"/>
                <w:w w:val="98"/>
              </w:rPr>
              <w:t xml:space="preserve">Over </w:t>
            </w:r>
            <w:r>
              <w:rPr>
                <w:rFonts w:ascii="Arial" w:cs="Arial" w:eastAsia="Arial" w:hAnsi="Arial"/>
                <w:sz w:val="22"/>
                <w:szCs w:val="22"/>
                <w:b w:val="1"/>
                <w:bCs w:val="1"/>
                <w:color w:val="00249C"/>
                <w:w w:val="98"/>
              </w:rPr>
              <w:t>80%</w:t>
            </w:r>
            <w:r>
              <w:rPr>
                <w:rFonts w:ascii="Arial" w:cs="Arial" w:eastAsia="Arial" w:hAnsi="Arial"/>
                <w:sz w:val="22"/>
                <w:szCs w:val="22"/>
                <w:color w:val="auto"/>
                <w:w w:val="98"/>
              </w:rPr>
              <w:t xml:space="preserve"> of</w:t>
            </w:r>
          </w:p>
        </w:tc>
        <w:tc>
          <w:tcPr>
            <w:tcW w:w="240" w:type="dxa"/>
            <w:vAlign w:val="bottom"/>
          </w:tcPr>
          <w:p>
            <w:pPr>
              <w:spacing w:after="0"/>
              <w:rPr>
                <w:sz w:val="21"/>
                <w:szCs w:val="21"/>
                <w:color w:val="auto"/>
              </w:rPr>
            </w:pPr>
          </w:p>
        </w:tc>
        <w:tc>
          <w:tcPr>
            <w:tcW w:w="1580" w:type="dxa"/>
            <w:vAlign w:val="bottom"/>
            <w:shd w:val="clear" w:color="auto" w:fill="CCD4DB"/>
          </w:tcPr>
          <w:p>
            <w:pPr>
              <w:jc w:val="center"/>
              <w:spacing w:after="0"/>
              <w:rPr>
                <w:sz w:val="20"/>
                <w:szCs w:val="20"/>
                <w:color w:val="auto"/>
              </w:rPr>
            </w:pPr>
            <w:r>
              <w:rPr>
                <w:rFonts w:ascii="Arial" w:cs="Arial" w:eastAsia="Arial" w:hAnsi="Arial"/>
                <w:sz w:val="22"/>
                <w:szCs w:val="22"/>
                <w:b w:val="1"/>
                <w:bCs w:val="1"/>
                <w:color w:val="00249C"/>
                <w:w w:val="96"/>
              </w:rPr>
              <w:t>Stock</w:t>
            </w:r>
          </w:p>
        </w:tc>
        <w:tc>
          <w:tcPr>
            <w:tcW w:w="260" w:type="dxa"/>
            <w:vAlign w:val="bottom"/>
          </w:tcPr>
          <w:p>
            <w:pPr>
              <w:spacing w:after="0"/>
              <w:rPr>
                <w:sz w:val="21"/>
                <w:szCs w:val="21"/>
                <w:color w:val="auto"/>
              </w:rPr>
            </w:pPr>
          </w:p>
        </w:tc>
        <w:tc>
          <w:tcPr>
            <w:tcW w:w="1560" w:type="dxa"/>
            <w:vAlign w:val="bottom"/>
            <w:shd w:val="clear" w:color="auto" w:fill="CCD4DB"/>
          </w:tcPr>
          <w:p>
            <w:pPr>
              <w:jc w:val="center"/>
              <w:spacing w:after="0"/>
              <w:rPr>
                <w:sz w:val="20"/>
                <w:szCs w:val="20"/>
                <w:color w:val="auto"/>
              </w:rPr>
            </w:pPr>
            <w:r>
              <w:rPr>
                <w:rFonts w:ascii="Arial" w:cs="Arial" w:eastAsia="Arial" w:hAnsi="Arial"/>
                <w:sz w:val="22"/>
                <w:szCs w:val="22"/>
                <w:b w:val="1"/>
                <w:bCs w:val="1"/>
                <w:color w:val="00249C"/>
                <w:w w:val="98"/>
              </w:rPr>
              <w:t>3-Year</w:t>
            </w:r>
          </w:p>
        </w:tc>
        <w:tc>
          <w:tcPr>
            <w:tcW w:w="260" w:type="dxa"/>
            <w:vAlign w:val="bottom"/>
          </w:tcPr>
          <w:p>
            <w:pPr>
              <w:spacing w:after="0"/>
              <w:rPr>
                <w:sz w:val="21"/>
                <w:szCs w:val="21"/>
                <w:color w:val="auto"/>
              </w:rPr>
            </w:pPr>
          </w:p>
        </w:tc>
        <w:tc>
          <w:tcPr>
            <w:tcW w:w="1580" w:type="dxa"/>
            <w:vAlign w:val="bottom"/>
            <w:vMerge w:val="restart"/>
            <w:shd w:val="clear" w:color="auto" w:fill="CCD4DB"/>
          </w:tcPr>
          <w:p>
            <w:pPr>
              <w:jc w:val="center"/>
              <w:spacing w:after="0"/>
              <w:rPr>
                <w:sz w:val="20"/>
                <w:szCs w:val="20"/>
                <w:color w:val="auto"/>
              </w:rPr>
            </w:pPr>
            <w:r>
              <w:rPr>
                <w:rFonts w:ascii="Arial" w:cs="Arial" w:eastAsia="Arial" w:hAnsi="Arial"/>
                <w:sz w:val="22"/>
                <w:szCs w:val="22"/>
                <w:b w:val="1"/>
                <w:bCs w:val="1"/>
                <w:color w:val="00249C"/>
                <w:w w:val="97"/>
              </w:rPr>
              <w:t>Recoupment</w:t>
            </w:r>
          </w:p>
        </w:tc>
        <w:tc>
          <w:tcPr>
            <w:tcW w:w="280" w:type="dxa"/>
            <w:vAlign w:val="bottom"/>
          </w:tcPr>
          <w:p>
            <w:pPr>
              <w:spacing w:after="0"/>
              <w:rPr>
                <w:sz w:val="21"/>
                <w:szCs w:val="21"/>
                <w:color w:val="auto"/>
              </w:rPr>
            </w:pPr>
          </w:p>
        </w:tc>
        <w:tc>
          <w:tcPr>
            <w:tcW w:w="1580" w:type="dxa"/>
            <w:vAlign w:val="bottom"/>
            <w:shd w:val="clear" w:color="auto" w:fill="CCD4DB"/>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shd w:val="clear" w:color="auto" w:fill="CCD4DB"/>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shd w:val="clear" w:color="auto" w:fill="CCD4DB"/>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vMerge w:val="restart"/>
            <w:shd w:val="clear" w:color="auto" w:fill="CCD4DB"/>
          </w:tcPr>
          <w:p>
            <w:pPr>
              <w:jc w:val="center"/>
              <w:spacing w:after="0" w:line="216" w:lineRule="exact"/>
              <w:rPr>
                <w:sz w:val="20"/>
                <w:szCs w:val="20"/>
                <w:color w:val="auto"/>
              </w:rPr>
            </w:pPr>
            <w:r>
              <w:rPr>
                <w:rFonts w:ascii="Arial" w:cs="Arial" w:eastAsia="Arial" w:hAnsi="Arial"/>
                <w:sz w:val="22"/>
                <w:szCs w:val="22"/>
                <w:b w:val="1"/>
                <w:bCs w:val="1"/>
                <w:color w:val="00249C"/>
                <w:w w:val="98"/>
              </w:rPr>
              <w:t>Ownership</w:t>
            </w:r>
          </w:p>
        </w:tc>
        <w:tc>
          <w:tcPr>
            <w:tcW w:w="260" w:type="dxa"/>
            <w:vAlign w:val="bottom"/>
          </w:tcPr>
          <w:p>
            <w:pPr>
              <w:spacing w:after="0"/>
              <w:rPr>
                <w:sz w:val="9"/>
                <w:szCs w:val="9"/>
                <w:color w:val="auto"/>
              </w:rPr>
            </w:pPr>
          </w:p>
        </w:tc>
        <w:tc>
          <w:tcPr>
            <w:tcW w:w="1560" w:type="dxa"/>
            <w:vAlign w:val="bottom"/>
            <w:vMerge w:val="restart"/>
            <w:shd w:val="clear" w:color="auto" w:fill="CCD4DB"/>
          </w:tcPr>
          <w:p>
            <w:pPr>
              <w:jc w:val="center"/>
              <w:spacing w:after="0" w:line="216" w:lineRule="exact"/>
              <w:rPr>
                <w:sz w:val="20"/>
                <w:szCs w:val="20"/>
                <w:color w:val="auto"/>
              </w:rPr>
            </w:pPr>
            <w:r>
              <w:rPr>
                <w:rFonts w:ascii="Arial" w:cs="Arial" w:eastAsia="Arial" w:hAnsi="Arial"/>
                <w:sz w:val="22"/>
                <w:szCs w:val="22"/>
                <w:b w:val="1"/>
                <w:bCs w:val="1"/>
                <w:color w:val="00249C"/>
                <w:w w:val="98"/>
              </w:rPr>
              <w:t>Mandatory</w:t>
            </w:r>
          </w:p>
        </w:tc>
        <w:tc>
          <w:tcPr>
            <w:tcW w:w="260" w:type="dxa"/>
            <w:vAlign w:val="bottom"/>
          </w:tcPr>
          <w:p>
            <w:pPr>
              <w:spacing w:after="0"/>
              <w:rPr>
                <w:sz w:val="9"/>
                <w:szCs w:val="9"/>
                <w:color w:val="auto"/>
              </w:rPr>
            </w:pPr>
          </w:p>
        </w:tc>
        <w:tc>
          <w:tcPr>
            <w:tcW w:w="1580" w:type="dxa"/>
            <w:vAlign w:val="bottom"/>
            <w:vMerge w:val="continue"/>
            <w:shd w:val="clear" w:color="auto" w:fill="CCD4DB"/>
          </w:tcPr>
          <w:p>
            <w:pPr>
              <w:spacing w:after="0"/>
              <w:rPr>
                <w:sz w:val="9"/>
                <w:szCs w:val="9"/>
                <w:color w:val="auto"/>
              </w:rPr>
            </w:pPr>
          </w:p>
        </w:tc>
        <w:tc>
          <w:tcPr>
            <w:tcW w:w="280" w:type="dxa"/>
            <w:vAlign w:val="bottom"/>
          </w:tcPr>
          <w:p>
            <w:pPr>
              <w:spacing w:after="0"/>
              <w:rPr>
                <w:sz w:val="9"/>
                <w:szCs w:val="9"/>
                <w:color w:val="auto"/>
              </w:rPr>
            </w:pPr>
          </w:p>
        </w:tc>
        <w:tc>
          <w:tcPr>
            <w:tcW w:w="1580" w:type="dxa"/>
            <w:vAlign w:val="bottom"/>
            <w:vMerge w:val="restart"/>
            <w:shd w:val="clear" w:color="auto" w:fill="CCD4DB"/>
          </w:tcPr>
          <w:p>
            <w:pPr>
              <w:jc w:val="center"/>
              <w:spacing w:after="0" w:line="216" w:lineRule="exact"/>
              <w:rPr>
                <w:sz w:val="20"/>
                <w:szCs w:val="20"/>
                <w:color w:val="auto"/>
              </w:rPr>
            </w:pPr>
            <w:r>
              <w:rPr>
                <w:rFonts w:ascii="Arial" w:cs="Arial" w:eastAsia="Arial" w:hAnsi="Arial"/>
                <w:sz w:val="22"/>
                <w:szCs w:val="22"/>
                <w:b w:val="1"/>
                <w:bCs w:val="1"/>
                <w:color w:val="00249C"/>
                <w:w w:val="98"/>
              </w:rPr>
              <w:t xml:space="preserve">No </w:t>
            </w:r>
            <w:r>
              <w:rPr>
                <w:rFonts w:ascii="Arial" w:cs="Arial" w:eastAsia="Arial" w:hAnsi="Arial"/>
                <w:sz w:val="22"/>
                <w:szCs w:val="22"/>
                <w:color w:val="000000"/>
                <w:w w:val="98"/>
              </w:rPr>
              <w:t>Individual</w:t>
            </w:r>
          </w:p>
        </w:tc>
        <w:tc>
          <w:tcPr>
            <w:tcW w:w="260" w:type="dxa"/>
            <w:vAlign w:val="bottom"/>
          </w:tcPr>
          <w:p>
            <w:pPr>
              <w:spacing w:after="0"/>
              <w:rPr>
                <w:sz w:val="9"/>
                <w:szCs w:val="9"/>
                <w:color w:val="auto"/>
              </w:rPr>
            </w:pPr>
          </w:p>
        </w:tc>
        <w:tc>
          <w:tcPr>
            <w:tcW w:w="1560" w:type="dxa"/>
            <w:vAlign w:val="bottom"/>
            <w:vMerge w:val="restart"/>
            <w:shd w:val="clear" w:color="auto" w:fill="CCD4DB"/>
          </w:tcPr>
          <w:p>
            <w:pPr>
              <w:jc w:val="center"/>
              <w:spacing w:after="0" w:line="216" w:lineRule="exact"/>
              <w:rPr>
                <w:sz w:val="20"/>
                <w:szCs w:val="20"/>
                <w:color w:val="auto"/>
              </w:rPr>
            </w:pPr>
            <w:r>
              <w:rPr>
                <w:rFonts w:ascii="Arial" w:cs="Arial" w:eastAsia="Arial" w:hAnsi="Arial"/>
                <w:sz w:val="22"/>
                <w:szCs w:val="22"/>
                <w:b w:val="1"/>
                <w:bCs w:val="1"/>
                <w:color w:val="00249C"/>
                <w:w w:val="97"/>
              </w:rPr>
              <w:t>Non-financial</w:t>
            </w:r>
          </w:p>
        </w:tc>
        <w:tc>
          <w:tcPr>
            <w:tcW w:w="0" w:type="dxa"/>
            <w:vAlign w:val="bottom"/>
          </w:tcPr>
          <w:p>
            <w:pPr>
              <w:spacing w:after="0"/>
              <w:rPr>
                <w:sz w:val="1"/>
                <w:szCs w:val="1"/>
                <w:color w:val="auto"/>
              </w:rPr>
            </w:pPr>
          </w:p>
        </w:tc>
      </w:tr>
      <w:tr>
        <w:trPr>
          <w:trHeight w:val="108"/>
        </w:trPr>
        <w:tc>
          <w:tcPr>
            <w:tcW w:w="1580" w:type="dxa"/>
            <w:vAlign w:val="bottom"/>
            <w:vMerge w:val="restart"/>
            <w:shd w:val="clear" w:color="auto" w:fill="CCD4DB"/>
          </w:tcPr>
          <w:p>
            <w:pPr>
              <w:jc w:val="center"/>
              <w:spacing w:after="0" w:line="237" w:lineRule="exact"/>
              <w:rPr>
                <w:sz w:val="20"/>
                <w:szCs w:val="20"/>
                <w:color w:val="auto"/>
              </w:rPr>
            </w:pPr>
            <w:r>
              <w:rPr>
                <w:rFonts w:ascii="Arial" w:cs="Arial" w:eastAsia="Arial" w:hAnsi="Arial"/>
                <w:sz w:val="22"/>
                <w:szCs w:val="22"/>
                <w:color w:val="auto"/>
                <w:w w:val="98"/>
              </w:rPr>
              <w:t>Executive</w:t>
            </w:r>
          </w:p>
        </w:tc>
        <w:tc>
          <w:tcPr>
            <w:tcW w:w="240" w:type="dxa"/>
            <w:vAlign w:val="bottom"/>
          </w:tcPr>
          <w:p>
            <w:pPr>
              <w:spacing w:after="0"/>
              <w:rPr>
                <w:sz w:val="9"/>
                <w:szCs w:val="9"/>
                <w:color w:val="auto"/>
              </w:rPr>
            </w:pPr>
          </w:p>
        </w:tc>
        <w:tc>
          <w:tcPr>
            <w:tcW w:w="1580" w:type="dxa"/>
            <w:vAlign w:val="bottom"/>
            <w:vMerge w:val="continue"/>
            <w:shd w:val="clear" w:color="auto" w:fill="CCD4DB"/>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vMerge w:val="continue"/>
            <w:shd w:val="clear" w:color="auto" w:fill="CCD4DB"/>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vMerge w:val="restart"/>
            <w:shd w:val="clear" w:color="auto" w:fill="CCD4DB"/>
          </w:tcPr>
          <w:p>
            <w:pPr>
              <w:jc w:val="center"/>
              <w:spacing w:after="0" w:line="237" w:lineRule="exact"/>
              <w:rPr>
                <w:sz w:val="20"/>
                <w:szCs w:val="20"/>
                <w:color w:val="auto"/>
              </w:rPr>
            </w:pPr>
            <w:r>
              <w:rPr>
                <w:rFonts w:ascii="Arial" w:cs="Arial" w:eastAsia="Arial" w:hAnsi="Arial"/>
                <w:sz w:val="22"/>
                <w:szCs w:val="22"/>
                <w:b w:val="1"/>
                <w:bCs w:val="1"/>
                <w:color w:val="00249C"/>
                <w:w w:val="95"/>
              </w:rPr>
              <w:t>Policy</w:t>
            </w:r>
          </w:p>
        </w:tc>
        <w:tc>
          <w:tcPr>
            <w:tcW w:w="280" w:type="dxa"/>
            <w:vAlign w:val="bottom"/>
          </w:tcPr>
          <w:p>
            <w:pPr>
              <w:spacing w:after="0"/>
              <w:rPr>
                <w:sz w:val="9"/>
                <w:szCs w:val="9"/>
                <w:color w:val="auto"/>
              </w:rPr>
            </w:pPr>
          </w:p>
        </w:tc>
        <w:tc>
          <w:tcPr>
            <w:tcW w:w="1580" w:type="dxa"/>
            <w:vAlign w:val="bottom"/>
            <w:vMerge w:val="continue"/>
            <w:shd w:val="clear" w:color="auto" w:fill="CCD4DB"/>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vMerge w:val="continue"/>
            <w:shd w:val="clear" w:color="auto" w:fill="CCD4DB"/>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580" w:type="dxa"/>
            <w:vAlign w:val="bottom"/>
            <w:vMerge w:val="continue"/>
            <w:shd w:val="clear" w:color="auto" w:fill="CCD4DB"/>
          </w:tcPr>
          <w:p>
            <w:pPr>
              <w:spacing w:after="0"/>
              <w:rPr>
                <w:sz w:val="11"/>
                <w:szCs w:val="11"/>
                <w:color w:val="auto"/>
              </w:rPr>
            </w:pPr>
          </w:p>
        </w:tc>
        <w:tc>
          <w:tcPr>
            <w:tcW w:w="240" w:type="dxa"/>
            <w:vAlign w:val="bottom"/>
          </w:tcPr>
          <w:p>
            <w:pPr>
              <w:spacing w:after="0"/>
              <w:rPr>
                <w:sz w:val="11"/>
                <w:szCs w:val="11"/>
                <w:color w:val="auto"/>
              </w:rPr>
            </w:pPr>
          </w:p>
        </w:tc>
        <w:tc>
          <w:tcPr>
            <w:tcW w:w="1580" w:type="dxa"/>
            <w:vAlign w:val="bottom"/>
            <w:vMerge w:val="restart"/>
            <w:shd w:val="clear" w:color="auto" w:fill="CCD4DB"/>
          </w:tcPr>
          <w:p>
            <w:pPr>
              <w:jc w:val="center"/>
              <w:spacing w:after="0" w:line="216" w:lineRule="exact"/>
              <w:rPr>
                <w:sz w:val="20"/>
                <w:szCs w:val="20"/>
                <w:color w:val="auto"/>
              </w:rPr>
            </w:pPr>
            <w:r>
              <w:rPr>
                <w:rFonts w:ascii="Arial" w:cs="Arial" w:eastAsia="Arial" w:hAnsi="Arial"/>
                <w:sz w:val="22"/>
                <w:szCs w:val="22"/>
                <w:color w:val="auto"/>
                <w:w w:val="98"/>
              </w:rPr>
              <w:t>Guidelines for</w:t>
            </w:r>
          </w:p>
        </w:tc>
        <w:tc>
          <w:tcPr>
            <w:tcW w:w="260" w:type="dxa"/>
            <w:vAlign w:val="bottom"/>
          </w:tcPr>
          <w:p>
            <w:pPr>
              <w:spacing w:after="0"/>
              <w:rPr>
                <w:sz w:val="11"/>
                <w:szCs w:val="11"/>
                <w:color w:val="auto"/>
              </w:rPr>
            </w:pPr>
          </w:p>
        </w:tc>
        <w:tc>
          <w:tcPr>
            <w:tcW w:w="1560" w:type="dxa"/>
            <w:vAlign w:val="bottom"/>
            <w:vMerge w:val="restart"/>
            <w:shd w:val="clear" w:color="auto" w:fill="CCD4DB"/>
          </w:tcPr>
          <w:p>
            <w:pPr>
              <w:jc w:val="center"/>
              <w:spacing w:after="0" w:line="216" w:lineRule="exact"/>
              <w:rPr>
                <w:sz w:val="20"/>
                <w:szCs w:val="20"/>
                <w:color w:val="auto"/>
              </w:rPr>
            </w:pPr>
            <w:r>
              <w:rPr>
                <w:rFonts w:ascii="Arial" w:cs="Arial" w:eastAsia="Arial" w:hAnsi="Arial"/>
                <w:sz w:val="22"/>
                <w:szCs w:val="22"/>
                <w:b w:val="1"/>
                <w:bCs w:val="1"/>
                <w:color w:val="00249C"/>
                <w:w w:val="97"/>
              </w:rPr>
              <w:t>Holding</w:t>
            </w:r>
          </w:p>
        </w:tc>
        <w:tc>
          <w:tcPr>
            <w:tcW w:w="260" w:type="dxa"/>
            <w:vAlign w:val="bottom"/>
          </w:tcPr>
          <w:p>
            <w:pPr>
              <w:spacing w:after="0"/>
              <w:rPr>
                <w:sz w:val="11"/>
                <w:szCs w:val="11"/>
                <w:color w:val="auto"/>
              </w:rPr>
            </w:pPr>
          </w:p>
        </w:tc>
        <w:tc>
          <w:tcPr>
            <w:tcW w:w="1580" w:type="dxa"/>
            <w:vAlign w:val="bottom"/>
            <w:vMerge w:val="continue"/>
            <w:shd w:val="clear" w:color="auto" w:fill="CCD4DB"/>
          </w:tcPr>
          <w:p>
            <w:pPr>
              <w:spacing w:after="0"/>
              <w:rPr>
                <w:sz w:val="11"/>
                <w:szCs w:val="11"/>
                <w:color w:val="auto"/>
              </w:rPr>
            </w:pPr>
          </w:p>
        </w:tc>
        <w:tc>
          <w:tcPr>
            <w:tcW w:w="280" w:type="dxa"/>
            <w:vAlign w:val="bottom"/>
          </w:tcPr>
          <w:p>
            <w:pPr>
              <w:spacing w:after="0"/>
              <w:rPr>
                <w:sz w:val="11"/>
                <w:szCs w:val="11"/>
                <w:color w:val="auto"/>
              </w:rPr>
            </w:pPr>
          </w:p>
        </w:tc>
        <w:tc>
          <w:tcPr>
            <w:tcW w:w="1580" w:type="dxa"/>
            <w:vAlign w:val="bottom"/>
            <w:vMerge w:val="restart"/>
            <w:shd w:val="clear" w:color="auto" w:fill="CCD4DB"/>
          </w:tcPr>
          <w:p>
            <w:pPr>
              <w:jc w:val="center"/>
              <w:spacing w:after="0" w:line="216" w:lineRule="exact"/>
              <w:rPr>
                <w:sz w:val="20"/>
                <w:szCs w:val="20"/>
                <w:color w:val="auto"/>
              </w:rPr>
            </w:pPr>
            <w:r>
              <w:rPr>
                <w:rFonts w:ascii="Arial" w:cs="Arial" w:eastAsia="Arial" w:hAnsi="Arial"/>
                <w:sz w:val="22"/>
                <w:szCs w:val="22"/>
                <w:b w:val="1"/>
                <w:bCs w:val="1"/>
                <w:color w:val="00249C"/>
                <w:w w:val="97"/>
              </w:rPr>
              <w:t>Change in</w:t>
            </w:r>
          </w:p>
        </w:tc>
        <w:tc>
          <w:tcPr>
            <w:tcW w:w="260" w:type="dxa"/>
            <w:vAlign w:val="bottom"/>
          </w:tcPr>
          <w:p>
            <w:pPr>
              <w:spacing w:after="0"/>
              <w:rPr>
                <w:sz w:val="11"/>
                <w:szCs w:val="11"/>
                <w:color w:val="auto"/>
              </w:rPr>
            </w:pPr>
          </w:p>
        </w:tc>
        <w:tc>
          <w:tcPr>
            <w:tcW w:w="1560" w:type="dxa"/>
            <w:vAlign w:val="bottom"/>
            <w:vMerge w:val="restart"/>
            <w:shd w:val="clear" w:color="auto" w:fill="CCD4DB"/>
          </w:tcPr>
          <w:p>
            <w:pPr>
              <w:jc w:val="center"/>
              <w:spacing w:after="0" w:line="216" w:lineRule="exact"/>
              <w:rPr>
                <w:sz w:val="20"/>
                <w:szCs w:val="20"/>
                <w:color w:val="auto"/>
              </w:rPr>
            </w:pPr>
            <w:r>
              <w:rPr>
                <w:rFonts w:ascii="Arial" w:cs="Arial" w:eastAsia="Arial" w:hAnsi="Arial"/>
                <w:sz w:val="22"/>
                <w:szCs w:val="22"/>
                <w:b w:val="1"/>
                <w:bCs w:val="1"/>
                <w:color w:val="00249C"/>
                <w:w w:val="97"/>
              </w:rPr>
              <w:t xml:space="preserve">Metrics </w:t>
            </w:r>
            <w:r>
              <w:rPr>
                <w:rFonts w:ascii="Arial" w:cs="Arial" w:eastAsia="Arial" w:hAnsi="Arial"/>
                <w:sz w:val="22"/>
                <w:szCs w:val="22"/>
                <w:color w:val="000000"/>
                <w:w w:val="97"/>
              </w:rPr>
              <w:t>in</w:t>
            </w:r>
          </w:p>
        </w:tc>
        <w:tc>
          <w:tcPr>
            <w:tcW w:w="0" w:type="dxa"/>
            <w:vAlign w:val="bottom"/>
          </w:tcPr>
          <w:p>
            <w:pPr>
              <w:spacing w:after="0"/>
              <w:rPr>
                <w:sz w:val="1"/>
                <w:szCs w:val="1"/>
                <w:color w:val="auto"/>
              </w:rPr>
            </w:pPr>
          </w:p>
        </w:tc>
      </w:tr>
      <w:tr>
        <w:trPr>
          <w:trHeight w:val="87"/>
        </w:trPr>
        <w:tc>
          <w:tcPr>
            <w:tcW w:w="1580" w:type="dxa"/>
            <w:vAlign w:val="bottom"/>
            <w:vMerge w:val="restart"/>
            <w:shd w:val="clear" w:color="auto" w:fill="CCD4DB"/>
          </w:tcPr>
          <w:p>
            <w:pPr>
              <w:jc w:val="center"/>
              <w:spacing w:after="0" w:line="195" w:lineRule="exact"/>
              <w:rPr>
                <w:sz w:val="20"/>
                <w:szCs w:val="20"/>
                <w:color w:val="auto"/>
              </w:rPr>
            </w:pPr>
            <w:r>
              <w:rPr>
                <w:rFonts w:ascii="Arial" w:cs="Arial" w:eastAsia="Arial" w:hAnsi="Arial"/>
                <w:sz w:val="22"/>
                <w:szCs w:val="22"/>
                <w:color w:val="auto"/>
                <w:w w:val="98"/>
              </w:rPr>
              <w:t>Compensation</w:t>
            </w:r>
          </w:p>
        </w:tc>
        <w:tc>
          <w:tcPr>
            <w:tcW w:w="240" w:type="dxa"/>
            <w:vAlign w:val="bottom"/>
          </w:tcPr>
          <w:p>
            <w:pPr>
              <w:spacing w:after="0"/>
              <w:rPr>
                <w:sz w:val="7"/>
                <w:szCs w:val="7"/>
                <w:color w:val="auto"/>
              </w:rPr>
            </w:pPr>
          </w:p>
        </w:tc>
        <w:tc>
          <w:tcPr>
            <w:tcW w:w="1580" w:type="dxa"/>
            <w:vAlign w:val="bottom"/>
            <w:vMerge w:val="continue"/>
            <w:shd w:val="clear" w:color="auto" w:fill="CCD4DB"/>
          </w:tcPr>
          <w:p>
            <w:pPr>
              <w:spacing w:after="0"/>
              <w:rPr>
                <w:sz w:val="7"/>
                <w:szCs w:val="7"/>
                <w:color w:val="auto"/>
              </w:rPr>
            </w:pPr>
          </w:p>
        </w:tc>
        <w:tc>
          <w:tcPr>
            <w:tcW w:w="260" w:type="dxa"/>
            <w:vAlign w:val="bottom"/>
          </w:tcPr>
          <w:p>
            <w:pPr>
              <w:spacing w:after="0"/>
              <w:rPr>
                <w:sz w:val="7"/>
                <w:szCs w:val="7"/>
                <w:color w:val="auto"/>
              </w:rPr>
            </w:pPr>
          </w:p>
        </w:tc>
        <w:tc>
          <w:tcPr>
            <w:tcW w:w="1560" w:type="dxa"/>
            <w:vAlign w:val="bottom"/>
            <w:vMerge w:val="continue"/>
            <w:shd w:val="clear" w:color="auto" w:fill="CCD4DB"/>
          </w:tcPr>
          <w:p>
            <w:pPr>
              <w:spacing w:after="0"/>
              <w:rPr>
                <w:sz w:val="7"/>
                <w:szCs w:val="7"/>
                <w:color w:val="auto"/>
              </w:rPr>
            </w:pPr>
          </w:p>
        </w:tc>
        <w:tc>
          <w:tcPr>
            <w:tcW w:w="260" w:type="dxa"/>
            <w:vAlign w:val="bottom"/>
          </w:tcPr>
          <w:p>
            <w:pPr>
              <w:spacing w:after="0"/>
              <w:rPr>
                <w:sz w:val="7"/>
                <w:szCs w:val="7"/>
                <w:color w:val="auto"/>
              </w:rPr>
            </w:pPr>
          </w:p>
        </w:tc>
        <w:tc>
          <w:tcPr>
            <w:tcW w:w="1580" w:type="dxa"/>
            <w:vAlign w:val="bottom"/>
            <w:vMerge w:val="restart"/>
            <w:shd w:val="clear" w:color="auto" w:fill="CCD4DB"/>
          </w:tcPr>
          <w:p>
            <w:pPr>
              <w:jc w:val="center"/>
              <w:spacing w:after="0" w:line="195" w:lineRule="exact"/>
              <w:rPr>
                <w:sz w:val="20"/>
                <w:szCs w:val="20"/>
                <w:color w:val="auto"/>
              </w:rPr>
            </w:pPr>
            <w:r>
              <w:rPr>
                <w:rFonts w:ascii="Arial" w:cs="Arial" w:eastAsia="Arial" w:hAnsi="Arial"/>
                <w:sz w:val="22"/>
                <w:szCs w:val="22"/>
                <w:color w:val="auto"/>
                <w:w w:val="97"/>
              </w:rPr>
              <w:t>on Cash and</w:t>
            </w:r>
          </w:p>
        </w:tc>
        <w:tc>
          <w:tcPr>
            <w:tcW w:w="280" w:type="dxa"/>
            <w:vAlign w:val="bottom"/>
          </w:tcPr>
          <w:p>
            <w:pPr>
              <w:spacing w:after="0"/>
              <w:rPr>
                <w:sz w:val="7"/>
                <w:szCs w:val="7"/>
                <w:color w:val="auto"/>
              </w:rPr>
            </w:pPr>
          </w:p>
        </w:tc>
        <w:tc>
          <w:tcPr>
            <w:tcW w:w="1580" w:type="dxa"/>
            <w:vAlign w:val="bottom"/>
            <w:vMerge w:val="continue"/>
            <w:shd w:val="clear" w:color="auto" w:fill="CCD4DB"/>
          </w:tcPr>
          <w:p>
            <w:pPr>
              <w:spacing w:after="0"/>
              <w:rPr>
                <w:sz w:val="7"/>
                <w:szCs w:val="7"/>
                <w:color w:val="auto"/>
              </w:rPr>
            </w:pPr>
          </w:p>
        </w:tc>
        <w:tc>
          <w:tcPr>
            <w:tcW w:w="260" w:type="dxa"/>
            <w:vAlign w:val="bottom"/>
          </w:tcPr>
          <w:p>
            <w:pPr>
              <w:spacing w:after="0"/>
              <w:rPr>
                <w:sz w:val="7"/>
                <w:szCs w:val="7"/>
                <w:color w:val="auto"/>
              </w:rPr>
            </w:pPr>
          </w:p>
        </w:tc>
        <w:tc>
          <w:tcPr>
            <w:tcW w:w="1560" w:type="dxa"/>
            <w:vAlign w:val="bottom"/>
            <w:vMerge w:val="continue"/>
            <w:shd w:val="clear" w:color="auto" w:fill="CCD4DB"/>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shd w:val="clear" w:color="auto" w:fill="CCD4DB"/>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vMerge w:val="restart"/>
            <w:shd w:val="clear" w:color="auto" w:fill="CCD4DB"/>
          </w:tcPr>
          <w:p>
            <w:pPr>
              <w:jc w:val="center"/>
              <w:spacing w:after="0" w:line="216" w:lineRule="exact"/>
              <w:rPr>
                <w:sz w:val="20"/>
                <w:szCs w:val="20"/>
                <w:color w:val="auto"/>
              </w:rPr>
            </w:pPr>
            <w:r>
              <w:rPr>
                <w:rFonts w:ascii="Arial" w:cs="Arial" w:eastAsia="Arial" w:hAnsi="Arial"/>
                <w:sz w:val="22"/>
                <w:szCs w:val="22"/>
                <w:color w:val="auto"/>
                <w:w w:val="97"/>
              </w:rPr>
              <w:t>All Officers:</w:t>
            </w:r>
          </w:p>
        </w:tc>
        <w:tc>
          <w:tcPr>
            <w:tcW w:w="260" w:type="dxa"/>
            <w:vAlign w:val="bottom"/>
          </w:tcPr>
          <w:p>
            <w:pPr>
              <w:spacing w:after="0"/>
              <w:rPr>
                <w:sz w:val="9"/>
                <w:szCs w:val="9"/>
                <w:color w:val="auto"/>
              </w:rPr>
            </w:pPr>
          </w:p>
        </w:tc>
        <w:tc>
          <w:tcPr>
            <w:tcW w:w="1560" w:type="dxa"/>
            <w:vAlign w:val="bottom"/>
            <w:vMerge w:val="restart"/>
            <w:shd w:val="clear" w:color="auto" w:fill="CCD4DB"/>
          </w:tcPr>
          <w:p>
            <w:pPr>
              <w:jc w:val="center"/>
              <w:spacing w:after="0" w:line="216" w:lineRule="exact"/>
              <w:rPr>
                <w:sz w:val="20"/>
                <w:szCs w:val="20"/>
                <w:color w:val="auto"/>
              </w:rPr>
            </w:pPr>
            <w:r>
              <w:rPr>
                <w:rFonts w:ascii="Arial" w:cs="Arial" w:eastAsia="Arial" w:hAnsi="Arial"/>
                <w:sz w:val="22"/>
                <w:szCs w:val="22"/>
                <w:b w:val="1"/>
                <w:bCs w:val="1"/>
                <w:color w:val="00249C"/>
                <w:w w:val="98"/>
              </w:rPr>
              <w:t xml:space="preserve">Period </w:t>
            </w:r>
            <w:r>
              <w:rPr>
                <w:rFonts w:ascii="Arial" w:cs="Arial" w:eastAsia="Arial" w:hAnsi="Arial"/>
                <w:sz w:val="22"/>
                <w:szCs w:val="22"/>
                <w:color w:val="000000"/>
                <w:w w:val="98"/>
              </w:rPr>
              <w:t>for 50%</w:t>
            </w:r>
          </w:p>
        </w:tc>
        <w:tc>
          <w:tcPr>
            <w:tcW w:w="260" w:type="dxa"/>
            <w:vAlign w:val="bottom"/>
          </w:tcPr>
          <w:p>
            <w:pPr>
              <w:spacing w:after="0"/>
              <w:rPr>
                <w:sz w:val="9"/>
                <w:szCs w:val="9"/>
                <w:color w:val="auto"/>
              </w:rPr>
            </w:pPr>
          </w:p>
        </w:tc>
        <w:tc>
          <w:tcPr>
            <w:tcW w:w="1580" w:type="dxa"/>
            <w:vAlign w:val="bottom"/>
            <w:vMerge w:val="continue"/>
            <w:shd w:val="clear" w:color="auto" w:fill="CCD4DB"/>
          </w:tcPr>
          <w:p>
            <w:pPr>
              <w:spacing w:after="0"/>
              <w:rPr>
                <w:sz w:val="9"/>
                <w:szCs w:val="9"/>
                <w:color w:val="auto"/>
              </w:rPr>
            </w:pPr>
          </w:p>
        </w:tc>
        <w:tc>
          <w:tcPr>
            <w:tcW w:w="280" w:type="dxa"/>
            <w:vAlign w:val="bottom"/>
          </w:tcPr>
          <w:p>
            <w:pPr>
              <w:spacing w:after="0"/>
              <w:rPr>
                <w:sz w:val="9"/>
                <w:szCs w:val="9"/>
                <w:color w:val="auto"/>
              </w:rPr>
            </w:pPr>
          </w:p>
        </w:tc>
        <w:tc>
          <w:tcPr>
            <w:tcW w:w="1580" w:type="dxa"/>
            <w:vAlign w:val="bottom"/>
            <w:vMerge w:val="restart"/>
            <w:shd w:val="clear" w:color="auto" w:fill="CCD4DB"/>
          </w:tcPr>
          <w:p>
            <w:pPr>
              <w:jc w:val="center"/>
              <w:spacing w:after="0" w:line="216" w:lineRule="exact"/>
              <w:rPr>
                <w:sz w:val="20"/>
                <w:szCs w:val="20"/>
                <w:color w:val="auto"/>
              </w:rPr>
            </w:pPr>
            <w:r>
              <w:rPr>
                <w:rFonts w:ascii="Arial" w:cs="Arial" w:eastAsia="Arial" w:hAnsi="Arial"/>
                <w:sz w:val="22"/>
                <w:szCs w:val="22"/>
                <w:b w:val="1"/>
                <w:bCs w:val="1"/>
                <w:color w:val="00249C"/>
                <w:w w:val="97"/>
              </w:rPr>
              <w:t>Control</w:t>
            </w:r>
          </w:p>
        </w:tc>
        <w:tc>
          <w:tcPr>
            <w:tcW w:w="260" w:type="dxa"/>
            <w:vAlign w:val="bottom"/>
          </w:tcPr>
          <w:p>
            <w:pPr>
              <w:spacing w:after="0"/>
              <w:rPr>
                <w:sz w:val="9"/>
                <w:szCs w:val="9"/>
                <w:color w:val="auto"/>
              </w:rPr>
            </w:pPr>
          </w:p>
        </w:tc>
        <w:tc>
          <w:tcPr>
            <w:tcW w:w="1560" w:type="dxa"/>
            <w:vAlign w:val="bottom"/>
            <w:vMerge w:val="restart"/>
            <w:shd w:val="clear" w:color="auto" w:fill="CCD4DB"/>
          </w:tcPr>
          <w:p>
            <w:pPr>
              <w:jc w:val="center"/>
              <w:spacing w:after="0" w:line="216" w:lineRule="exact"/>
              <w:rPr>
                <w:sz w:val="20"/>
                <w:szCs w:val="20"/>
                <w:color w:val="auto"/>
              </w:rPr>
            </w:pPr>
            <w:r>
              <w:rPr>
                <w:rFonts w:ascii="Arial" w:cs="Arial" w:eastAsia="Arial" w:hAnsi="Arial"/>
                <w:sz w:val="22"/>
                <w:szCs w:val="22"/>
                <w:color w:val="auto"/>
                <w:w w:val="99"/>
              </w:rPr>
              <w:t>Annual</w:t>
            </w:r>
          </w:p>
        </w:tc>
        <w:tc>
          <w:tcPr>
            <w:tcW w:w="0" w:type="dxa"/>
            <w:vAlign w:val="bottom"/>
          </w:tcPr>
          <w:p>
            <w:pPr>
              <w:spacing w:after="0"/>
              <w:rPr>
                <w:sz w:val="1"/>
                <w:szCs w:val="1"/>
                <w:color w:val="auto"/>
              </w:rPr>
            </w:pPr>
          </w:p>
        </w:tc>
      </w:tr>
      <w:tr>
        <w:trPr>
          <w:trHeight w:val="108"/>
        </w:trPr>
        <w:tc>
          <w:tcPr>
            <w:tcW w:w="1580" w:type="dxa"/>
            <w:vAlign w:val="bottom"/>
            <w:vMerge w:val="restart"/>
            <w:shd w:val="clear" w:color="auto" w:fill="CCD4DB"/>
          </w:tcPr>
          <w:p>
            <w:pPr>
              <w:jc w:val="center"/>
              <w:spacing w:after="0" w:line="216" w:lineRule="exact"/>
              <w:rPr>
                <w:sz w:val="20"/>
                <w:szCs w:val="20"/>
                <w:color w:val="auto"/>
              </w:rPr>
            </w:pPr>
            <w:r>
              <w:rPr>
                <w:rFonts w:ascii="Arial" w:cs="Arial" w:eastAsia="Arial" w:hAnsi="Arial"/>
                <w:sz w:val="22"/>
                <w:szCs w:val="22"/>
                <w:color w:val="auto"/>
                <w:w w:val="96"/>
              </w:rPr>
              <w:t xml:space="preserve">is </w:t>
            </w:r>
            <w:r>
              <w:rPr>
                <w:rFonts w:ascii="Arial" w:cs="Arial" w:eastAsia="Arial" w:hAnsi="Arial"/>
                <w:sz w:val="22"/>
                <w:szCs w:val="22"/>
                <w:b w:val="1"/>
                <w:bCs w:val="1"/>
                <w:color w:val="00249C"/>
                <w:w w:val="96"/>
              </w:rPr>
              <w:t>Variable</w:t>
            </w:r>
          </w:p>
        </w:tc>
        <w:tc>
          <w:tcPr>
            <w:tcW w:w="240" w:type="dxa"/>
            <w:vAlign w:val="bottom"/>
          </w:tcPr>
          <w:p>
            <w:pPr>
              <w:spacing w:after="0"/>
              <w:rPr>
                <w:sz w:val="9"/>
                <w:szCs w:val="9"/>
                <w:color w:val="auto"/>
              </w:rPr>
            </w:pPr>
          </w:p>
        </w:tc>
        <w:tc>
          <w:tcPr>
            <w:tcW w:w="1580" w:type="dxa"/>
            <w:vAlign w:val="bottom"/>
            <w:vMerge w:val="continue"/>
            <w:shd w:val="clear" w:color="auto" w:fill="CCD4DB"/>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vMerge w:val="continue"/>
            <w:shd w:val="clear" w:color="auto" w:fill="CCD4DB"/>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vMerge w:val="restart"/>
            <w:shd w:val="clear" w:color="auto" w:fill="CCD4DB"/>
          </w:tcPr>
          <w:p>
            <w:pPr>
              <w:jc w:val="center"/>
              <w:spacing w:after="0" w:line="216" w:lineRule="exact"/>
              <w:rPr>
                <w:sz w:val="20"/>
                <w:szCs w:val="20"/>
                <w:color w:val="auto"/>
              </w:rPr>
            </w:pPr>
            <w:r>
              <w:rPr>
                <w:rFonts w:ascii="Arial" w:cs="Arial" w:eastAsia="Arial" w:hAnsi="Arial"/>
                <w:sz w:val="22"/>
                <w:szCs w:val="22"/>
                <w:color w:val="auto"/>
                <w:w w:val="99"/>
              </w:rPr>
              <w:t>Equity Incentive</w:t>
            </w:r>
          </w:p>
        </w:tc>
        <w:tc>
          <w:tcPr>
            <w:tcW w:w="280" w:type="dxa"/>
            <w:vAlign w:val="bottom"/>
          </w:tcPr>
          <w:p>
            <w:pPr>
              <w:spacing w:after="0"/>
              <w:rPr>
                <w:sz w:val="9"/>
                <w:szCs w:val="9"/>
                <w:color w:val="auto"/>
              </w:rPr>
            </w:pPr>
          </w:p>
        </w:tc>
        <w:tc>
          <w:tcPr>
            <w:tcW w:w="1580" w:type="dxa"/>
            <w:vAlign w:val="bottom"/>
            <w:vMerge w:val="continue"/>
            <w:shd w:val="clear" w:color="auto" w:fill="CCD4DB"/>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vMerge w:val="continue"/>
            <w:shd w:val="clear" w:color="auto" w:fill="CCD4DB"/>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shd w:val="clear" w:color="auto" w:fill="CCD4DB"/>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vMerge w:val="restart"/>
            <w:shd w:val="clear" w:color="auto" w:fill="CCD4DB"/>
          </w:tcPr>
          <w:p>
            <w:pPr>
              <w:jc w:val="center"/>
              <w:spacing w:after="0" w:line="216" w:lineRule="exact"/>
              <w:rPr>
                <w:sz w:val="20"/>
                <w:szCs w:val="20"/>
                <w:color w:val="auto"/>
              </w:rPr>
            </w:pPr>
            <w:r>
              <w:rPr>
                <w:rFonts w:ascii="Arial" w:cs="Arial" w:eastAsia="Arial" w:hAnsi="Arial"/>
                <w:sz w:val="22"/>
                <w:szCs w:val="22"/>
                <w:b w:val="1"/>
                <w:bCs w:val="1"/>
                <w:color w:val="00249C"/>
                <w:w w:val="97"/>
              </w:rPr>
              <w:t>CEO 7x</w:t>
            </w:r>
          </w:p>
        </w:tc>
        <w:tc>
          <w:tcPr>
            <w:tcW w:w="260" w:type="dxa"/>
            <w:vAlign w:val="bottom"/>
          </w:tcPr>
          <w:p>
            <w:pPr>
              <w:spacing w:after="0"/>
              <w:rPr>
                <w:sz w:val="9"/>
                <w:szCs w:val="9"/>
                <w:color w:val="auto"/>
              </w:rPr>
            </w:pPr>
          </w:p>
        </w:tc>
        <w:tc>
          <w:tcPr>
            <w:tcW w:w="1560" w:type="dxa"/>
            <w:vAlign w:val="bottom"/>
            <w:vMerge w:val="restart"/>
            <w:shd w:val="clear" w:color="auto" w:fill="CCD4DB"/>
          </w:tcPr>
          <w:p>
            <w:pPr>
              <w:jc w:val="center"/>
              <w:spacing w:after="0" w:line="216" w:lineRule="exact"/>
              <w:rPr>
                <w:sz w:val="20"/>
                <w:szCs w:val="20"/>
                <w:color w:val="auto"/>
              </w:rPr>
            </w:pPr>
            <w:r>
              <w:rPr>
                <w:rFonts w:ascii="Arial" w:cs="Arial" w:eastAsia="Arial" w:hAnsi="Arial"/>
                <w:sz w:val="22"/>
                <w:szCs w:val="22"/>
                <w:color w:val="auto"/>
                <w:w w:val="96"/>
              </w:rPr>
              <w:t>of Vested</w:t>
            </w:r>
          </w:p>
        </w:tc>
        <w:tc>
          <w:tcPr>
            <w:tcW w:w="260" w:type="dxa"/>
            <w:vAlign w:val="bottom"/>
          </w:tcPr>
          <w:p>
            <w:pPr>
              <w:spacing w:after="0"/>
              <w:rPr>
                <w:sz w:val="9"/>
                <w:szCs w:val="9"/>
                <w:color w:val="auto"/>
              </w:rPr>
            </w:pPr>
          </w:p>
        </w:tc>
        <w:tc>
          <w:tcPr>
            <w:tcW w:w="1580" w:type="dxa"/>
            <w:vAlign w:val="bottom"/>
            <w:vMerge w:val="continue"/>
            <w:shd w:val="clear" w:color="auto" w:fill="CCD4DB"/>
          </w:tcPr>
          <w:p>
            <w:pPr>
              <w:spacing w:after="0"/>
              <w:rPr>
                <w:sz w:val="9"/>
                <w:szCs w:val="9"/>
                <w:color w:val="auto"/>
              </w:rPr>
            </w:pPr>
          </w:p>
        </w:tc>
        <w:tc>
          <w:tcPr>
            <w:tcW w:w="280" w:type="dxa"/>
            <w:vAlign w:val="bottom"/>
          </w:tcPr>
          <w:p>
            <w:pPr>
              <w:spacing w:after="0"/>
              <w:rPr>
                <w:sz w:val="9"/>
                <w:szCs w:val="9"/>
                <w:color w:val="auto"/>
              </w:rPr>
            </w:pPr>
          </w:p>
        </w:tc>
        <w:tc>
          <w:tcPr>
            <w:tcW w:w="1580" w:type="dxa"/>
            <w:vAlign w:val="bottom"/>
            <w:vMerge w:val="restart"/>
            <w:shd w:val="clear" w:color="auto" w:fill="CCD4DB"/>
          </w:tcPr>
          <w:p>
            <w:pPr>
              <w:jc w:val="center"/>
              <w:spacing w:after="0" w:line="216" w:lineRule="exact"/>
              <w:rPr>
                <w:sz w:val="20"/>
                <w:szCs w:val="20"/>
                <w:color w:val="auto"/>
              </w:rPr>
            </w:pPr>
            <w:r>
              <w:rPr>
                <w:rFonts w:ascii="Arial" w:cs="Arial" w:eastAsia="Arial" w:hAnsi="Arial"/>
                <w:sz w:val="22"/>
                <w:szCs w:val="22"/>
                <w:color w:val="auto"/>
                <w:w w:val="97"/>
              </w:rPr>
              <w:t>Agreements</w:t>
            </w:r>
          </w:p>
        </w:tc>
        <w:tc>
          <w:tcPr>
            <w:tcW w:w="260" w:type="dxa"/>
            <w:vAlign w:val="bottom"/>
          </w:tcPr>
          <w:p>
            <w:pPr>
              <w:spacing w:after="0"/>
              <w:rPr>
                <w:sz w:val="9"/>
                <w:szCs w:val="9"/>
                <w:color w:val="auto"/>
              </w:rPr>
            </w:pPr>
          </w:p>
        </w:tc>
        <w:tc>
          <w:tcPr>
            <w:tcW w:w="1560" w:type="dxa"/>
            <w:vAlign w:val="bottom"/>
            <w:vMerge w:val="restart"/>
            <w:shd w:val="clear" w:color="auto" w:fill="CCD4DB"/>
          </w:tcPr>
          <w:p>
            <w:pPr>
              <w:jc w:val="center"/>
              <w:spacing w:after="0" w:line="216" w:lineRule="exact"/>
              <w:rPr>
                <w:sz w:val="20"/>
                <w:szCs w:val="20"/>
                <w:color w:val="auto"/>
              </w:rPr>
            </w:pPr>
            <w:r>
              <w:rPr>
                <w:rFonts w:ascii="Arial" w:cs="Arial" w:eastAsia="Arial" w:hAnsi="Arial"/>
                <w:sz w:val="22"/>
                <w:szCs w:val="22"/>
                <w:color w:val="auto"/>
                <w:w w:val="98"/>
              </w:rPr>
              <w:t>Incentives</w:t>
            </w:r>
          </w:p>
        </w:tc>
        <w:tc>
          <w:tcPr>
            <w:tcW w:w="0" w:type="dxa"/>
            <w:vAlign w:val="bottom"/>
          </w:tcPr>
          <w:p>
            <w:pPr>
              <w:spacing w:after="0"/>
              <w:rPr>
                <w:sz w:val="1"/>
                <w:szCs w:val="1"/>
                <w:color w:val="auto"/>
              </w:rPr>
            </w:pPr>
          </w:p>
        </w:tc>
      </w:tr>
      <w:tr>
        <w:trPr>
          <w:trHeight w:val="108"/>
        </w:trPr>
        <w:tc>
          <w:tcPr>
            <w:tcW w:w="1580" w:type="dxa"/>
            <w:vAlign w:val="bottom"/>
            <w:vMerge w:val="restart"/>
            <w:shd w:val="clear" w:color="auto" w:fill="CCD4DB"/>
          </w:tcPr>
          <w:p>
            <w:pPr>
              <w:jc w:val="center"/>
              <w:spacing w:after="0"/>
              <w:rPr>
                <w:sz w:val="20"/>
                <w:szCs w:val="20"/>
                <w:color w:val="auto"/>
              </w:rPr>
            </w:pPr>
            <w:r>
              <w:rPr>
                <w:rFonts w:ascii="Arial" w:cs="Arial" w:eastAsia="Arial" w:hAnsi="Arial"/>
                <w:sz w:val="22"/>
                <w:szCs w:val="22"/>
                <w:b w:val="1"/>
                <w:bCs w:val="1"/>
                <w:color w:val="00249C"/>
                <w:w w:val="96"/>
              </w:rPr>
              <w:t>Based</w:t>
            </w:r>
          </w:p>
        </w:tc>
        <w:tc>
          <w:tcPr>
            <w:tcW w:w="240" w:type="dxa"/>
            <w:vAlign w:val="bottom"/>
          </w:tcPr>
          <w:p>
            <w:pPr>
              <w:spacing w:after="0"/>
              <w:rPr>
                <w:sz w:val="9"/>
                <w:szCs w:val="9"/>
                <w:color w:val="auto"/>
              </w:rPr>
            </w:pPr>
          </w:p>
        </w:tc>
        <w:tc>
          <w:tcPr>
            <w:tcW w:w="1580" w:type="dxa"/>
            <w:vAlign w:val="bottom"/>
            <w:vMerge w:val="continue"/>
            <w:shd w:val="clear" w:color="auto" w:fill="CCD4DB"/>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vMerge w:val="continue"/>
            <w:shd w:val="clear" w:color="auto" w:fill="CCD4DB"/>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vMerge w:val="restart"/>
            <w:shd w:val="clear" w:color="auto" w:fill="CCD4DB"/>
          </w:tcPr>
          <w:p>
            <w:pPr>
              <w:jc w:val="center"/>
              <w:spacing w:after="0"/>
              <w:rPr>
                <w:sz w:val="20"/>
                <w:szCs w:val="20"/>
                <w:color w:val="auto"/>
              </w:rPr>
            </w:pPr>
            <w:r>
              <w:rPr>
                <w:rFonts w:ascii="Arial" w:cs="Arial" w:eastAsia="Arial" w:hAnsi="Arial"/>
                <w:sz w:val="22"/>
                <w:szCs w:val="22"/>
                <w:color w:val="auto"/>
                <w:w w:val="98"/>
              </w:rPr>
              <w:t>Payouts</w:t>
            </w:r>
          </w:p>
        </w:tc>
        <w:tc>
          <w:tcPr>
            <w:tcW w:w="280" w:type="dxa"/>
            <w:vAlign w:val="bottom"/>
          </w:tcPr>
          <w:p>
            <w:pPr>
              <w:spacing w:after="0"/>
              <w:rPr>
                <w:sz w:val="9"/>
                <w:szCs w:val="9"/>
                <w:color w:val="auto"/>
              </w:rPr>
            </w:pPr>
          </w:p>
        </w:tc>
        <w:tc>
          <w:tcPr>
            <w:tcW w:w="1580" w:type="dxa"/>
            <w:vAlign w:val="bottom"/>
            <w:vMerge w:val="continue"/>
            <w:shd w:val="clear" w:color="auto" w:fill="CCD4DB"/>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vMerge w:val="continue"/>
            <w:shd w:val="clear" w:color="auto" w:fill="CCD4DB"/>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1580" w:type="dxa"/>
            <w:vAlign w:val="bottom"/>
            <w:vMerge w:val="continue"/>
            <w:shd w:val="clear" w:color="auto" w:fill="CCD4DB"/>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vMerge w:val="restart"/>
            <w:shd w:val="clear" w:color="auto" w:fill="CCD4DB"/>
          </w:tcPr>
          <w:p>
            <w:pPr>
              <w:jc w:val="center"/>
              <w:spacing w:after="0"/>
              <w:rPr>
                <w:sz w:val="20"/>
                <w:szCs w:val="20"/>
                <w:color w:val="auto"/>
              </w:rPr>
            </w:pPr>
            <w:r>
              <w:rPr>
                <w:rFonts w:ascii="Arial" w:cs="Arial" w:eastAsia="Arial" w:hAnsi="Arial"/>
                <w:sz w:val="22"/>
                <w:szCs w:val="22"/>
                <w:b w:val="1"/>
                <w:bCs w:val="1"/>
                <w:color w:val="00249C"/>
                <w:w w:val="97"/>
              </w:rPr>
              <w:t>Other NEOs 3x</w:t>
            </w:r>
          </w:p>
        </w:tc>
        <w:tc>
          <w:tcPr>
            <w:tcW w:w="260" w:type="dxa"/>
            <w:vAlign w:val="bottom"/>
          </w:tcPr>
          <w:p>
            <w:pPr>
              <w:spacing w:after="0"/>
              <w:rPr>
                <w:sz w:val="15"/>
                <w:szCs w:val="15"/>
                <w:color w:val="auto"/>
              </w:rPr>
            </w:pPr>
          </w:p>
        </w:tc>
        <w:tc>
          <w:tcPr>
            <w:tcW w:w="1560" w:type="dxa"/>
            <w:vAlign w:val="bottom"/>
            <w:vMerge w:val="restart"/>
            <w:shd w:val="clear" w:color="auto" w:fill="CCD4DB"/>
          </w:tcPr>
          <w:p>
            <w:pPr>
              <w:jc w:val="center"/>
              <w:spacing w:after="0"/>
              <w:rPr>
                <w:sz w:val="20"/>
                <w:szCs w:val="20"/>
                <w:color w:val="auto"/>
              </w:rPr>
            </w:pPr>
            <w:r>
              <w:rPr>
                <w:rFonts w:ascii="Arial" w:cs="Arial" w:eastAsia="Arial" w:hAnsi="Arial"/>
                <w:sz w:val="22"/>
                <w:szCs w:val="22"/>
                <w:color w:val="auto"/>
                <w:w w:val="97"/>
              </w:rPr>
              <w:t>Shares</w:t>
            </w:r>
          </w:p>
        </w:tc>
        <w:tc>
          <w:tcPr>
            <w:tcW w:w="260" w:type="dxa"/>
            <w:vAlign w:val="bottom"/>
          </w:tcPr>
          <w:p>
            <w:pPr>
              <w:spacing w:after="0"/>
              <w:rPr>
                <w:sz w:val="15"/>
                <w:szCs w:val="15"/>
                <w:color w:val="auto"/>
              </w:rPr>
            </w:pPr>
          </w:p>
        </w:tc>
        <w:tc>
          <w:tcPr>
            <w:tcW w:w="1580" w:type="dxa"/>
            <w:vAlign w:val="bottom"/>
            <w:vMerge w:val="continue"/>
            <w:shd w:val="clear" w:color="auto" w:fill="CCD4DB"/>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shd w:val="clear" w:color="auto" w:fill="CCD4DB"/>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shd w:val="clear" w:color="auto" w:fill="CCD4DB"/>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580" w:type="dxa"/>
            <w:vAlign w:val="bottom"/>
            <w:shd w:val="clear" w:color="auto" w:fill="CCD4DB"/>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vMerge w:val="continue"/>
            <w:shd w:val="clear" w:color="auto" w:fill="CCD4DB"/>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vMerge w:val="continue"/>
            <w:shd w:val="clear" w:color="auto" w:fill="CCD4DB"/>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shd w:val="clear" w:color="auto" w:fill="CCD4DB"/>
          </w:tcPr>
          <w:p>
            <w:pPr>
              <w:spacing w:after="0"/>
              <w:rPr>
                <w:sz w:val="9"/>
                <w:szCs w:val="9"/>
                <w:color w:val="auto"/>
              </w:rPr>
            </w:pPr>
          </w:p>
        </w:tc>
        <w:tc>
          <w:tcPr>
            <w:tcW w:w="280" w:type="dxa"/>
            <w:vAlign w:val="bottom"/>
          </w:tcPr>
          <w:p>
            <w:pPr>
              <w:spacing w:after="0"/>
              <w:rPr>
                <w:sz w:val="9"/>
                <w:szCs w:val="9"/>
                <w:color w:val="auto"/>
              </w:rPr>
            </w:pPr>
          </w:p>
        </w:tc>
        <w:tc>
          <w:tcPr>
            <w:tcW w:w="1580" w:type="dxa"/>
            <w:vAlign w:val="bottom"/>
            <w:shd w:val="clear" w:color="auto" w:fill="CCD4DB"/>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shd w:val="clear" w:color="auto" w:fill="CCD4DB"/>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Board Nominees (pages 7-13)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5" w:lineRule="exact"/>
        <w:rPr>
          <w:sz w:val="20"/>
          <w:szCs w:val="20"/>
          <w:color w:val="auto"/>
        </w:rPr>
      </w:pPr>
    </w:p>
    <w:tbl>
      <w:tblPr>
        <w:tblLayout w:type="fixed"/>
        <w:tblInd w:w="70" w:type="dxa"/>
        <w:tblCellMar>
          <w:top w:w="0" w:type="dxa"/>
          <w:left w:w="0" w:type="dxa"/>
          <w:bottom w:w="0" w:type="dxa"/>
          <w:right w:w="0" w:type="dxa"/>
        </w:tblCellMar>
      </w:tblPr>
      <w:tr>
        <w:trPr>
          <w:trHeight w:val="216"/>
        </w:trPr>
        <w:tc>
          <w:tcPr>
            <w:tcW w:w="1760" w:type="dxa"/>
            <w:vAlign w:val="bottom"/>
            <w:tcBorders>
              <w:top w:val="single" w:sz="8" w:color="auto"/>
              <w:left w:val="single" w:sz="8" w:color="auto"/>
            </w:tcBorders>
            <w:shd w:val="clear" w:color="auto" w:fill="00249C"/>
          </w:tcPr>
          <w:p>
            <w:pPr>
              <w:spacing w:after="0"/>
              <w:rPr>
                <w:sz w:val="18"/>
                <w:szCs w:val="18"/>
                <w:color w:val="auto"/>
              </w:rPr>
            </w:pPr>
          </w:p>
        </w:tc>
        <w:tc>
          <w:tcPr>
            <w:tcW w:w="780" w:type="dxa"/>
            <w:vAlign w:val="bottom"/>
            <w:tcBorders>
              <w:top w:val="single" w:sz="8" w:color="auto"/>
            </w:tcBorders>
            <w:shd w:val="clear" w:color="auto" w:fill="00249C"/>
          </w:tcPr>
          <w:p>
            <w:pPr>
              <w:spacing w:after="0"/>
              <w:rPr>
                <w:sz w:val="18"/>
                <w:szCs w:val="18"/>
                <w:color w:val="auto"/>
              </w:rPr>
            </w:pPr>
          </w:p>
        </w:tc>
        <w:tc>
          <w:tcPr>
            <w:tcW w:w="800" w:type="dxa"/>
            <w:vAlign w:val="bottom"/>
            <w:tcBorders>
              <w:top w:val="single" w:sz="8" w:color="auto"/>
            </w:tcBorders>
            <w:vMerge w:val="restart"/>
            <w:shd w:val="clear" w:color="auto" w:fill="00249C"/>
          </w:tcPr>
          <w:p>
            <w:pPr>
              <w:ind w:left="80"/>
              <w:spacing w:after="0"/>
              <w:rPr>
                <w:sz w:val="20"/>
                <w:szCs w:val="20"/>
                <w:color w:val="auto"/>
              </w:rPr>
            </w:pPr>
            <w:r>
              <w:rPr>
                <w:rFonts w:ascii="Arial" w:cs="Arial" w:eastAsia="Arial" w:hAnsi="Arial"/>
                <w:sz w:val="16"/>
                <w:szCs w:val="16"/>
                <w:b w:val="1"/>
                <w:bCs w:val="1"/>
                <w:color w:val="FFFFFF"/>
              </w:rPr>
              <w:t>Director</w:t>
            </w:r>
          </w:p>
        </w:tc>
        <w:tc>
          <w:tcPr>
            <w:tcW w:w="3760" w:type="dxa"/>
            <w:vAlign w:val="bottom"/>
            <w:tcBorders>
              <w:top w:val="single" w:sz="8" w:color="auto"/>
            </w:tcBorders>
            <w:shd w:val="clear" w:color="auto" w:fill="00249C"/>
          </w:tcPr>
          <w:p>
            <w:pPr>
              <w:spacing w:after="0"/>
              <w:rPr>
                <w:sz w:val="18"/>
                <w:szCs w:val="18"/>
                <w:color w:val="auto"/>
              </w:rPr>
            </w:pPr>
          </w:p>
        </w:tc>
        <w:tc>
          <w:tcPr>
            <w:tcW w:w="2760" w:type="dxa"/>
            <w:vAlign w:val="bottom"/>
            <w:tcBorders>
              <w:top w:val="single" w:sz="8" w:color="auto"/>
            </w:tcBorders>
            <w:gridSpan w:val="4"/>
            <w:shd w:val="clear" w:color="auto" w:fill="00249C"/>
          </w:tcPr>
          <w:p>
            <w:pPr>
              <w:ind w:left="420"/>
              <w:spacing w:after="0"/>
              <w:rPr>
                <w:sz w:val="20"/>
                <w:szCs w:val="20"/>
                <w:color w:val="auto"/>
              </w:rPr>
            </w:pPr>
            <w:r>
              <w:rPr>
                <w:rFonts w:ascii="Arial" w:cs="Arial" w:eastAsia="Arial" w:hAnsi="Arial"/>
                <w:sz w:val="16"/>
                <w:szCs w:val="16"/>
                <w:b w:val="1"/>
                <w:bCs w:val="1"/>
                <w:color w:val="FFFFFF"/>
              </w:rPr>
              <w:t>Committee Memberships</w:t>
            </w:r>
          </w:p>
        </w:tc>
        <w:tc>
          <w:tcPr>
            <w:tcW w:w="1300" w:type="dxa"/>
            <w:vAlign w:val="bottom"/>
            <w:tcBorders>
              <w:top w:val="single" w:sz="8" w:color="auto"/>
              <w:right w:val="single" w:sz="8" w:color="auto"/>
            </w:tcBorders>
            <w:shd w:val="clear" w:color="auto" w:fill="00249C"/>
          </w:tcPr>
          <w:p>
            <w:pPr>
              <w:jc w:val="center"/>
              <w:spacing w:after="0"/>
              <w:rPr>
                <w:sz w:val="20"/>
                <w:szCs w:val="20"/>
                <w:color w:val="auto"/>
              </w:rPr>
            </w:pPr>
            <w:r>
              <w:rPr>
                <w:rFonts w:ascii="Arial" w:cs="Arial" w:eastAsia="Arial" w:hAnsi="Arial"/>
                <w:sz w:val="16"/>
                <w:szCs w:val="16"/>
                <w:b w:val="1"/>
                <w:bCs w:val="1"/>
                <w:color w:val="FFFFFF"/>
              </w:rPr>
              <w:t>Other Public</w:t>
            </w:r>
          </w:p>
        </w:tc>
        <w:tc>
          <w:tcPr>
            <w:tcW w:w="0" w:type="dxa"/>
            <w:vAlign w:val="bottom"/>
          </w:tcPr>
          <w:p>
            <w:pPr>
              <w:spacing w:after="0"/>
              <w:rPr>
                <w:sz w:val="1"/>
                <w:szCs w:val="1"/>
                <w:color w:val="auto"/>
              </w:rPr>
            </w:pPr>
          </w:p>
        </w:tc>
      </w:tr>
      <w:tr>
        <w:trPr>
          <w:trHeight w:val="121"/>
        </w:trPr>
        <w:tc>
          <w:tcPr>
            <w:tcW w:w="1760" w:type="dxa"/>
            <w:vAlign w:val="bottom"/>
            <w:tcBorders>
              <w:left w:val="single" w:sz="8" w:color="auto"/>
            </w:tcBorders>
            <w:vMerge w:val="restart"/>
            <w:shd w:val="clear" w:color="auto" w:fill="00249C"/>
          </w:tcPr>
          <w:p>
            <w:pPr>
              <w:ind w:left="20"/>
              <w:spacing w:after="0"/>
              <w:rPr>
                <w:sz w:val="20"/>
                <w:szCs w:val="20"/>
                <w:color w:val="auto"/>
              </w:rPr>
            </w:pPr>
            <w:r>
              <w:rPr>
                <w:rFonts w:ascii="Arial" w:cs="Arial" w:eastAsia="Arial" w:hAnsi="Arial"/>
                <w:sz w:val="16"/>
                <w:szCs w:val="16"/>
                <w:b w:val="1"/>
                <w:bCs w:val="1"/>
                <w:color w:val="FFFFFF"/>
              </w:rPr>
              <w:t>Name</w:t>
            </w:r>
          </w:p>
        </w:tc>
        <w:tc>
          <w:tcPr>
            <w:tcW w:w="780" w:type="dxa"/>
            <w:vAlign w:val="bottom"/>
            <w:vMerge w:val="restart"/>
            <w:shd w:val="clear" w:color="auto" w:fill="00249C"/>
          </w:tcPr>
          <w:p>
            <w:pPr>
              <w:ind w:left="160"/>
              <w:spacing w:after="0"/>
              <w:rPr>
                <w:sz w:val="20"/>
                <w:szCs w:val="20"/>
                <w:color w:val="auto"/>
              </w:rPr>
            </w:pPr>
            <w:r>
              <w:rPr>
                <w:rFonts w:ascii="Arial" w:cs="Arial" w:eastAsia="Arial" w:hAnsi="Arial"/>
                <w:sz w:val="16"/>
                <w:szCs w:val="16"/>
                <w:b w:val="1"/>
                <w:bCs w:val="1"/>
                <w:color w:val="FFFFFF"/>
              </w:rPr>
              <w:t>Age (1)</w:t>
            </w:r>
          </w:p>
        </w:tc>
        <w:tc>
          <w:tcPr>
            <w:tcW w:w="800" w:type="dxa"/>
            <w:vAlign w:val="bottom"/>
            <w:vMerge w:val="continue"/>
            <w:shd w:val="clear" w:color="auto" w:fill="00249C"/>
          </w:tcPr>
          <w:p>
            <w:pPr>
              <w:spacing w:after="0"/>
              <w:rPr>
                <w:sz w:val="10"/>
                <w:szCs w:val="10"/>
                <w:color w:val="auto"/>
              </w:rPr>
            </w:pPr>
          </w:p>
        </w:tc>
        <w:tc>
          <w:tcPr>
            <w:tcW w:w="3760" w:type="dxa"/>
            <w:vAlign w:val="bottom"/>
            <w:vMerge w:val="restart"/>
            <w:shd w:val="clear" w:color="auto" w:fill="00249C"/>
          </w:tcPr>
          <w:p>
            <w:pPr>
              <w:ind w:left="120"/>
              <w:spacing w:after="0"/>
              <w:rPr>
                <w:sz w:val="20"/>
                <w:szCs w:val="20"/>
                <w:color w:val="auto"/>
              </w:rPr>
            </w:pPr>
            <w:r>
              <w:rPr>
                <w:rFonts w:ascii="Arial" w:cs="Arial" w:eastAsia="Arial" w:hAnsi="Arial"/>
                <w:sz w:val="16"/>
                <w:szCs w:val="16"/>
                <w:b w:val="1"/>
                <w:bCs w:val="1"/>
                <w:color w:val="FFFFFF"/>
              </w:rPr>
              <w:t>Professional Background</w:t>
            </w:r>
          </w:p>
        </w:tc>
        <w:tc>
          <w:tcPr>
            <w:tcW w:w="600" w:type="dxa"/>
            <w:vAlign w:val="bottom"/>
            <w:vMerge w:val="restart"/>
            <w:shd w:val="clear" w:color="auto" w:fill="00249C"/>
          </w:tcPr>
          <w:p>
            <w:pPr>
              <w:jc w:val="center"/>
              <w:spacing w:after="0"/>
              <w:rPr>
                <w:sz w:val="20"/>
                <w:szCs w:val="20"/>
                <w:color w:val="auto"/>
              </w:rPr>
            </w:pPr>
            <w:r>
              <w:rPr>
                <w:rFonts w:ascii="Arial" w:cs="Arial" w:eastAsia="Arial" w:hAnsi="Arial"/>
                <w:sz w:val="16"/>
                <w:szCs w:val="16"/>
                <w:b w:val="1"/>
                <w:bCs w:val="1"/>
                <w:color w:val="FFFFFF"/>
              </w:rPr>
              <w:t>Audit</w:t>
            </w:r>
          </w:p>
        </w:tc>
        <w:tc>
          <w:tcPr>
            <w:tcW w:w="700" w:type="dxa"/>
            <w:vAlign w:val="bottom"/>
            <w:vMerge w:val="restart"/>
            <w:shd w:val="clear" w:color="auto" w:fill="00249C"/>
          </w:tcPr>
          <w:p>
            <w:pPr>
              <w:jc w:val="center"/>
              <w:spacing w:after="0"/>
              <w:rPr>
                <w:sz w:val="20"/>
                <w:szCs w:val="20"/>
                <w:color w:val="auto"/>
              </w:rPr>
            </w:pPr>
            <w:r>
              <w:rPr>
                <w:rFonts w:ascii="Arial" w:cs="Arial" w:eastAsia="Arial" w:hAnsi="Arial"/>
                <w:sz w:val="16"/>
                <w:szCs w:val="16"/>
                <w:b w:val="1"/>
                <w:bCs w:val="1"/>
                <w:color w:val="FFFFFF"/>
              </w:rPr>
              <w:t>Comp</w:t>
            </w:r>
          </w:p>
        </w:tc>
        <w:tc>
          <w:tcPr>
            <w:tcW w:w="640" w:type="dxa"/>
            <w:vAlign w:val="bottom"/>
            <w:vMerge w:val="restart"/>
            <w:shd w:val="clear" w:color="auto" w:fill="00249C"/>
          </w:tcPr>
          <w:p>
            <w:pPr>
              <w:jc w:val="center"/>
              <w:spacing w:after="0"/>
              <w:rPr>
                <w:sz w:val="20"/>
                <w:szCs w:val="20"/>
                <w:color w:val="auto"/>
              </w:rPr>
            </w:pPr>
            <w:r>
              <w:rPr>
                <w:rFonts w:ascii="Arial" w:cs="Arial" w:eastAsia="Arial" w:hAnsi="Arial"/>
                <w:sz w:val="16"/>
                <w:szCs w:val="16"/>
                <w:b w:val="1"/>
                <w:bCs w:val="1"/>
                <w:color w:val="FFFFFF"/>
                <w:w w:val="96"/>
              </w:rPr>
              <w:t>Gov</w:t>
            </w:r>
          </w:p>
        </w:tc>
        <w:tc>
          <w:tcPr>
            <w:tcW w:w="820" w:type="dxa"/>
            <w:vAlign w:val="bottom"/>
            <w:vMerge w:val="restart"/>
            <w:shd w:val="clear" w:color="auto" w:fill="00249C"/>
          </w:tcPr>
          <w:p>
            <w:pPr>
              <w:jc w:val="center"/>
              <w:spacing w:after="0"/>
              <w:rPr>
                <w:sz w:val="20"/>
                <w:szCs w:val="20"/>
                <w:color w:val="auto"/>
              </w:rPr>
            </w:pPr>
            <w:r>
              <w:rPr>
                <w:rFonts w:ascii="Arial" w:cs="Arial" w:eastAsia="Arial" w:hAnsi="Arial"/>
                <w:sz w:val="16"/>
                <w:szCs w:val="16"/>
                <w:b w:val="1"/>
                <w:bCs w:val="1"/>
                <w:color w:val="FFFFFF"/>
              </w:rPr>
              <w:t>Policy</w:t>
            </w:r>
          </w:p>
        </w:tc>
        <w:tc>
          <w:tcPr>
            <w:tcW w:w="1300" w:type="dxa"/>
            <w:vAlign w:val="bottom"/>
            <w:tcBorders>
              <w:right w:val="single" w:sz="8" w:color="auto"/>
            </w:tcBorders>
            <w:shd w:val="clear" w:color="auto" w:fill="00249C"/>
          </w:tcPr>
          <w:p>
            <w:pPr>
              <w:jc w:val="center"/>
              <w:spacing w:after="0" w:line="122" w:lineRule="exact"/>
              <w:rPr>
                <w:sz w:val="20"/>
                <w:szCs w:val="20"/>
                <w:color w:val="auto"/>
              </w:rPr>
            </w:pPr>
            <w:r>
              <w:rPr>
                <w:rFonts w:ascii="Arial" w:cs="Arial" w:eastAsia="Arial" w:hAnsi="Arial"/>
                <w:sz w:val="14"/>
                <w:szCs w:val="14"/>
                <w:b w:val="1"/>
                <w:bCs w:val="1"/>
                <w:color w:val="FFFFFF"/>
              </w:rPr>
              <w:t>Company</w:t>
            </w: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tcBorders>
            <w:vMerge w:val="continue"/>
            <w:shd w:val="clear" w:color="auto" w:fill="00249C"/>
          </w:tcPr>
          <w:p>
            <w:pPr>
              <w:spacing w:after="0"/>
              <w:rPr>
                <w:sz w:val="18"/>
                <w:szCs w:val="18"/>
                <w:color w:val="auto"/>
              </w:rPr>
            </w:pPr>
          </w:p>
        </w:tc>
        <w:tc>
          <w:tcPr>
            <w:tcW w:w="780" w:type="dxa"/>
            <w:vAlign w:val="bottom"/>
            <w:vMerge w:val="continue"/>
            <w:shd w:val="clear" w:color="auto" w:fill="00249C"/>
          </w:tcPr>
          <w:p>
            <w:pPr>
              <w:spacing w:after="0"/>
              <w:rPr>
                <w:sz w:val="18"/>
                <w:szCs w:val="18"/>
                <w:color w:val="auto"/>
              </w:rPr>
            </w:pPr>
          </w:p>
        </w:tc>
        <w:tc>
          <w:tcPr>
            <w:tcW w:w="800" w:type="dxa"/>
            <w:vAlign w:val="bottom"/>
            <w:shd w:val="clear" w:color="auto" w:fill="00249C"/>
          </w:tcPr>
          <w:p>
            <w:pPr>
              <w:ind w:left="80"/>
              <w:spacing w:after="0"/>
              <w:rPr>
                <w:sz w:val="20"/>
                <w:szCs w:val="20"/>
                <w:color w:val="auto"/>
              </w:rPr>
            </w:pPr>
            <w:r>
              <w:rPr>
                <w:rFonts w:ascii="Arial" w:cs="Arial" w:eastAsia="Arial" w:hAnsi="Arial"/>
                <w:sz w:val="16"/>
                <w:szCs w:val="16"/>
                <w:b w:val="1"/>
                <w:bCs w:val="1"/>
                <w:color w:val="FFFFFF"/>
              </w:rPr>
              <w:t>since</w:t>
            </w:r>
          </w:p>
        </w:tc>
        <w:tc>
          <w:tcPr>
            <w:tcW w:w="3760" w:type="dxa"/>
            <w:vAlign w:val="bottom"/>
            <w:vMerge w:val="continue"/>
            <w:shd w:val="clear" w:color="auto" w:fill="00249C"/>
          </w:tcPr>
          <w:p>
            <w:pPr>
              <w:spacing w:after="0"/>
              <w:rPr>
                <w:sz w:val="18"/>
                <w:szCs w:val="18"/>
                <w:color w:val="auto"/>
              </w:rPr>
            </w:pPr>
          </w:p>
        </w:tc>
        <w:tc>
          <w:tcPr>
            <w:tcW w:w="600" w:type="dxa"/>
            <w:vAlign w:val="bottom"/>
            <w:vMerge w:val="continue"/>
            <w:shd w:val="clear" w:color="auto" w:fill="00249C"/>
          </w:tcPr>
          <w:p>
            <w:pPr>
              <w:spacing w:after="0"/>
              <w:rPr>
                <w:sz w:val="18"/>
                <w:szCs w:val="18"/>
                <w:color w:val="auto"/>
              </w:rPr>
            </w:pPr>
          </w:p>
        </w:tc>
        <w:tc>
          <w:tcPr>
            <w:tcW w:w="700" w:type="dxa"/>
            <w:vAlign w:val="bottom"/>
            <w:vMerge w:val="continue"/>
            <w:shd w:val="clear" w:color="auto" w:fill="00249C"/>
          </w:tcPr>
          <w:p>
            <w:pPr>
              <w:spacing w:after="0"/>
              <w:rPr>
                <w:sz w:val="18"/>
                <w:szCs w:val="18"/>
                <w:color w:val="auto"/>
              </w:rPr>
            </w:pPr>
          </w:p>
        </w:tc>
        <w:tc>
          <w:tcPr>
            <w:tcW w:w="640" w:type="dxa"/>
            <w:vAlign w:val="bottom"/>
            <w:vMerge w:val="continue"/>
            <w:shd w:val="clear" w:color="auto" w:fill="00249C"/>
          </w:tcPr>
          <w:p>
            <w:pPr>
              <w:spacing w:after="0"/>
              <w:rPr>
                <w:sz w:val="18"/>
                <w:szCs w:val="18"/>
                <w:color w:val="auto"/>
              </w:rPr>
            </w:pPr>
          </w:p>
        </w:tc>
        <w:tc>
          <w:tcPr>
            <w:tcW w:w="820" w:type="dxa"/>
            <w:vAlign w:val="bottom"/>
            <w:vMerge w:val="continue"/>
            <w:shd w:val="clear" w:color="auto" w:fill="00249C"/>
          </w:tcPr>
          <w:p>
            <w:pPr>
              <w:spacing w:after="0"/>
              <w:rPr>
                <w:sz w:val="18"/>
                <w:szCs w:val="18"/>
                <w:color w:val="auto"/>
              </w:rPr>
            </w:pPr>
          </w:p>
        </w:tc>
        <w:tc>
          <w:tcPr>
            <w:tcW w:w="1300" w:type="dxa"/>
            <w:vAlign w:val="bottom"/>
            <w:tcBorders>
              <w:right w:val="single" w:sz="8" w:color="auto"/>
            </w:tcBorders>
            <w:shd w:val="clear" w:color="auto" w:fill="00249C"/>
          </w:tcPr>
          <w:p>
            <w:pPr>
              <w:jc w:val="center"/>
              <w:spacing w:after="0"/>
              <w:rPr>
                <w:sz w:val="20"/>
                <w:szCs w:val="20"/>
                <w:color w:val="auto"/>
              </w:rPr>
            </w:pPr>
            <w:r>
              <w:rPr>
                <w:rFonts w:ascii="Arial" w:cs="Arial" w:eastAsia="Arial" w:hAnsi="Arial"/>
                <w:sz w:val="16"/>
                <w:szCs w:val="16"/>
                <w:b w:val="1"/>
                <w:bCs w:val="1"/>
                <w:color w:val="FFFFFF"/>
              </w:rPr>
              <w:t>Boards</w:t>
            </w:r>
          </w:p>
        </w:tc>
        <w:tc>
          <w:tcPr>
            <w:tcW w:w="0" w:type="dxa"/>
            <w:vAlign w:val="bottom"/>
          </w:tcPr>
          <w:p>
            <w:pPr>
              <w:spacing w:after="0"/>
              <w:rPr>
                <w:sz w:val="1"/>
                <w:szCs w:val="1"/>
                <w:color w:val="auto"/>
              </w:rPr>
            </w:pPr>
          </w:p>
        </w:tc>
      </w:tr>
      <w:tr>
        <w:trPr>
          <w:trHeight w:val="177"/>
        </w:trPr>
        <w:tc>
          <w:tcPr>
            <w:tcW w:w="1760" w:type="dxa"/>
            <w:vAlign w:val="bottom"/>
            <w:tcBorders>
              <w:left w:val="single" w:sz="8" w:color="auto"/>
            </w:tcBorders>
          </w:tcPr>
          <w:p>
            <w:pPr>
              <w:ind w:left="20"/>
              <w:spacing w:after="0" w:line="178" w:lineRule="exact"/>
              <w:rPr>
                <w:sz w:val="20"/>
                <w:szCs w:val="20"/>
                <w:color w:val="auto"/>
              </w:rPr>
            </w:pPr>
            <w:r>
              <w:rPr>
                <w:rFonts w:ascii="Arial" w:cs="Arial" w:eastAsia="Arial" w:hAnsi="Arial"/>
                <w:sz w:val="16"/>
                <w:szCs w:val="16"/>
                <w:color w:val="auto"/>
              </w:rPr>
              <w:t>David P. Abney</w:t>
            </w:r>
          </w:p>
        </w:tc>
        <w:tc>
          <w:tcPr>
            <w:tcW w:w="780" w:type="dxa"/>
            <w:vAlign w:val="bottom"/>
          </w:tcPr>
          <w:p>
            <w:pPr>
              <w:ind w:left="160"/>
              <w:spacing w:after="0" w:line="178" w:lineRule="exact"/>
              <w:rPr>
                <w:sz w:val="20"/>
                <w:szCs w:val="20"/>
                <w:color w:val="auto"/>
              </w:rPr>
            </w:pPr>
            <w:r>
              <w:rPr>
                <w:rFonts w:ascii="Arial" w:cs="Arial" w:eastAsia="Arial" w:hAnsi="Arial"/>
                <w:sz w:val="16"/>
                <w:szCs w:val="16"/>
                <w:color w:val="auto"/>
              </w:rPr>
              <w:t>65</w:t>
            </w:r>
          </w:p>
        </w:tc>
        <w:tc>
          <w:tcPr>
            <w:tcW w:w="800" w:type="dxa"/>
            <w:vAlign w:val="bottom"/>
          </w:tcPr>
          <w:p>
            <w:pPr>
              <w:ind w:left="80"/>
              <w:spacing w:after="0" w:line="178" w:lineRule="exact"/>
              <w:rPr>
                <w:sz w:val="20"/>
                <w:szCs w:val="20"/>
                <w:color w:val="auto"/>
              </w:rPr>
            </w:pPr>
            <w:r>
              <w:rPr>
                <w:rFonts w:ascii="Arial" w:cs="Arial" w:eastAsia="Arial" w:hAnsi="Arial"/>
                <w:sz w:val="16"/>
                <w:szCs w:val="16"/>
                <w:color w:val="auto"/>
              </w:rPr>
              <w:t>06/2020</w:t>
            </w:r>
          </w:p>
        </w:tc>
        <w:tc>
          <w:tcPr>
            <w:tcW w:w="3760" w:type="dxa"/>
            <w:vAlign w:val="bottom"/>
          </w:tcPr>
          <w:p>
            <w:pPr>
              <w:ind w:left="120"/>
              <w:spacing w:after="0" w:line="178" w:lineRule="exact"/>
              <w:rPr>
                <w:sz w:val="20"/>
                <w:szCs w:val="20"/>
                <w:color w:val="auto"/>
              </w:rPr>
            </w:pPr>
            <w:r>
              <w:rPr>
                <w:rFonts w:ascii="Arial" w:cs="Arial" w:eastAsia="Arial" w:hAnsi="Arial"/>
                <w:sz w:val="16"/>
                <w:szCs w:val="16"/>
                <w:color w:val="auto"/>
              </w:rPr>
              <w:t>Former Executive Chairman of the Board of</w:t>
            </w: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2"/>
        </w:trPr>
        <w:tc>
          <w:tcPr>
            <w:tcW w:w="1760" w:type="dxa"/>
            <w:vAlign w:val="bottom"/>
            <w:tcBorders>
              <w:left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760" w:type="dxa"/>
            <w:vAlign w:val="bottom"/>
          </w:tcPr>
          <w:p>
            <w:pPr>
              <w:ind w:left="120"/>
              <w:spacing w:after="0" w:line="162" w:lineRule="exact"/>
              <w:rPr>
                <w:sz w:val="20"/>
                <w:szCs w:val="20"/>
                <w:color w:val="auto"/>
              </w:rPr>
            </w:pPr>
            <w:r>
              <w:rPr>
                <w:rFonts w:ascii="Arial" w:cs="Arial" w:eastAsia="Arial" w:hAnsi="Arial"/>
                <w:sz w:val="16"/>
                <w:szCs w:val="16"/>
                <w:color w:val="auto"/>
              </w:rPr>
              <w:t>Directors and Chief Executive Officer of United</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76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760" w:type="dxa"/>
            <w:vAlign w:val="bottom"/>
          </w:tcPr>
          <w:p>
            <w:pPr>
              <w:ind w:left="120"/>
              <w:spacing w:after="0"/>
              <w:rPr>
                <w:sz w:val="20"/>
                <w:szCs w:val="20"/>
                <w:color w:val="auto"/>
              </w:rPr>
            </w:pPr>
            <w:r>
              <w:rPr>
                <w:rFonts w:ascii="Arial" w:cs="Arial" w:eastAsia="Arial" w:hAnsi="Arial"/>
                <w:sz w:val="16"/>
                <w:szCs w:val="16"/>
                <w:color w:val="auto"/>
              </w:rPr>
              <w:t>Parcel Service, Inc. (UPS)</w:t>
            </w: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760" w:type="dxa"/>
            <w:vAlign w:val="bottom"/>
            <w:tcBorders>
              <w:left w:val="single" w:sz="8" w:color="auto"/>
            </w:tcBorders>
            <w:shd w:val="clear" w:color="auto" w:fill="D1DDE6"/>
          </w:tcPr>
          <w:p>
            <w:pPr>
              <w:ind w:left="20"/>
              <w:spacing w:after="0" w:line="181" w:lineRule="exact"/>
              <w:rPr>
                <w:sz w:val="20"/>
                <w:szCs w:val="20"/>
                <w:color w:val="auto"/>
              </w:rPr>
            </w:pPr>
            <w:r>
              <w:rPr>
                <w:rFonts w:ascii="Arial" w:cs="Arial" w:eastAsia="Arial" w:hAnsi="Arial"/>
                <w:sz w:val="16"/>
                <w:szCs w:val="16"/>
                <w:color w:val="auto"/>
              </w:rPr>
              <w:t>Marianne C. Brown</w:t>
            </w:r>
          </w:p>
        </w:tc>
        <w:tc>
          <w:tcPr>
            <w:tcW w:w="780" w:type="dxa"/>
            <w:vAlign w:val="bottom"/>
            <w:shd w:val="clear" w:color="auto" w:fill="D1DDE6"/>
          </w:tcPr>
          <w:p>
            <w:pPr>
              <w:ind w:left="160"/>
              <w:spacing w:after="0" w:line="181" w:lineRule="exact"/>
              <w:rPr>
                <w:sz w:val="20"/>
                <w:szCs w:val="20"/>
                <w:color w:val="auto"/>
              </w:rPr>
            </w:pPr>
            <w:r>
              <w:rPr>
                <w:rFonts w:ascii="Arial" w:cs="Arial" w:eastAsia="Arial" w:hAnsi="Arial"/>
                <w:sz w:val="16"/>
                <w:szCs w:val="16"/>
                <w:color w:val="auto"/>
              </w:rPr>
              <w:t>62</w:t>
            </w:r>
          </w:p>
        </w:tc>
        <w:tc>
          <w:tcPr>
            <w:tcW w:w="800" w:type="dxa"/>
            <w:vAlign w:val="bottom"/>
            <w:shd w:val="clear" w:color="auto" w:fill="D1DDE6"/>
          </w:tcPr>
          <w:p>
            <w:pPr>
              <w:ind w:left="80"/>
              <w:spacing w:after="0" w:line="181" w:lineRule="exact"/>
              <w:rPr>
                <w:sz w:val="20"/>
                <w:szCs w:val="20"/>
                <w:color w:val="auto"/>
              </w:rPr>
            </w:pPr>
            <w:r>
              <w:rPr>
                <w:rFonts w:ascii="Arial" w:cs="Arial" w:eastAsia="Arial" w:hAnsi="Arial"/>
                <w:sz w:val="16"/>
                <w:szCs w:val="16"/>
                <w:color w:val="auto"/>
              </w:rPr>
              <w:t>03/2015</w:t>
            </w:r>
          </w:p>
        </w:tc>
        <w:tc>
          <w:tcPr>
            <w:tcW w:w="3760" w:type="dxa"/>
            <w:vAlign w:val="bottom"/>
            <w:shd w:val="clear" w:color="auto" w:fill="D1DDE6"/>
          </w:tcPr>
          <w:p>
            <w:pPr>
              <w:ind w:left="120"/>
              <w:spacing w:after="0" w:line="181" w:lineRule="exact"/>
              <w:rPr>
                <w:sz w:val="20"/>
                <w:szCs w:val="20"/>
                <w:color w:val="auto"/>
              </w:rPr>
            </w:pPr>
            <w:r>
              <w:rPr>
                <w:rFonts w:ascii="Arial" w:cs="Arial" w:eastAsia="Arial" w:hAnsi="Arial"/>
                <w:sz w:val="16"/>
                <w:szCs w:val="16"/>
                <w:color w:val="auto"/>
              </w:rPr>
              <w:t>Former Chief Operating Officer, Global Financial</w:t>
            </w:r>
          </w:p>
        </w:tc>
        <w:tc>
          <w:tcPr>
            <w:tcW w:w="600" w:type="dxa"/>
            <w:vAlign w:val="bottom"/>
            <w:shd w:val="clear" w:color="auto" w:fill="D1DDE6"/>
          </w:tcPr>
          <w:p>
            <w:pPr>
              <w:spacing w:after="0"/>
              <w:rPr>
                <w:sz w:val="15"/>
                <w:szCs w:val="15"/>
                <w:color w:val="auto"/>
              </w:rPr>
            </w:pPr>
          </w:p>
        </w:tc>
        <w:tc>
          <w:tcPr>
            <w:tcW w:w="700" w:type="dxa"/>
            <w:vAlign w:val="bottom"/>
            <w:shd w:val="clear" w:color="auto" w:fill="D1DDE6"/>
          </w:tcPr>
          <w:p>
            <w:pPr>
              <w:spacing w:after="0"/>
              <w:rPr>
                <w:sz w:val="15"/>
                <w:szCs w:val="15"/>
                <w:color w:val="auto"/>
              </w:rPr>
            </w:pPr>
          </w:p>
        </w:tc>
        <w:tc>
          <w:tcPr>
            <w:tcW w:w="640" w:type="dxa"/>
            <w:vAlign w:val="bottom"/>
            <w:shd w:val="clear" w:color="auto" w:fill="D1DDE6"/>
          </w:tcPr>
          <w:p>
            <w:pPr>
              <w:spacing w:after="0"/>
              <w:rPr>
                <w:sz w:val="15"/>
                <w:szCs w:val="15"/>
                <w:color w:val="auto"/>
              </w:rPr>
            </w:pPr>
          </w:p>
        </w:tc>
        <w:tc>
          <w:tcPr>
            <w:tcW w:w="820" w:type="dxa"/>
            <w:vAlign w:val="bottom"/>
            <w:shd w:val="clear" w:color="auto" w:fill="D1DDE6"/>
          </w:tcPr>
          <w:p>
            <w:pPr>
              <w:spacing w:after="0"/>
              <w:rPr>
                <w:sz w:val="15"/>
                <w:szCs w:val="15"/>
                <w:color w:val="auto"/>
              </w:rPr>
            </w:pPr>
          </w:p>
        </w:tc>
        <w:tc>
          <w:tcPr>
            <w:tcW w:w="1300" w:type="dxa"/>
            <w:vAlign w:val="bottom"/>
            <w:tcBorders>
              <w:right w:val="single" w:sz="8" w:color="auto"/>
            </w:tcBorders>
            <w:shd w:val="clear" w:color="auto" w:fill="D1DDE6"/>
          </w:tcPr>
          <w:p>
            <w:pPr>
              <w:jc w:val="center"/>
              <w:spacing w:after="0" w:line="181"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62"/>
        </w:trPr>
        <w:tc>
          <w:tcPr>
            <w:tcW w:w="1760" w:type="dxa"/>
            <w:vAlign w:val="bottom"/>
            <w:tcBorders>
              <w:left w:val="single" w:sz="8" w:color="auto"/>
            </w:tcBorders>
            <w:shd w:val="clear" w:color="auto" w:fill="D1DDE6"/>
          </w:tcPr>
          <w:p>
            <w:pPr>
              <w:spacing w:after="0"/>
              <w:rPr>
                <w:sz w:val="14"/>
                <w:szCs w:val="14"/>
                <w:color w:val="auto"/>
              </w:rPr>
            </w:pPr>
          </w:p>
        </w:tc>
        <w:tc>
          <w:tcPr>
            <w:tcW w:w="780" w:type="dxa"/>
            <w:vAlign w:val="bottom"/>
            <w:shd w:val="clear" w:color="auto" w:fill="D1DDE6"/>
          </w:tcPr>
          <w:p>
            <w:pPr>
              <w:spacing w:after="0"/>
              <w:rPr>
                <w:sz w:val="14"/>
                <w:szCs w:val="14"/>
                <w:color w:val="auto"/>
              </w:rPr>
            </w:pPr>
          </w:p>
        </w:tc>
        <w:tc>
          <w:tcPr>
            <w:tcW w:w="800" w:type="dxa"/>
            <w:vAlign w:val="bottom"/>
            <w:shd w:val="clear" w:color="auto" w:fill="D1DDE6"/>
          </w:tcPr>
          <w:p>
            <w:pPr>
              <w:spacing w:after="0"/>
              <w:rPr>
                <w:sz w:val="14"/>
                <w:szCs w:val="14"/>
                <w:color w:val="auto"/>
              </w:rPr>
            </w:pPr>
          </w:p>
        </w:tc>
        <w:tc>
          <w:tcPr>
            <w:tcW w:w="3760" w:type="dxa"/>
            <w:vAlign w:val="bottom"/>
            <w:shd w:val="clear" w:color="auto" w:fill="D1DDE6"/>
          </w:tcPr>
          <w:p>
            <w:pPr>
              <w:ind w:left="120"/>
              <w:spacing w:after="0" w:line="162" w:lineRule="exact"/>
              <w:rPr>
                <w:sz w:val="20"/>
                <w:szCs w:val="20"/>
                <w:color w:val="auto"/>
              </w:rPr>
            </w:pPr>
            <w:r>
              <w:rPr>
                <w:rFonts w:ascii="Arial" w:cs="Arial" w:eastAsia="Arial" w:hAnsi="Arial"/>
                <w:sz w:val="16"/>
                <w:szCs w:val="16"/>
                <w:color w:val="auto"/>
              </w:rPr>
              <w:t>Solutions, Fidelity National Information Services,</w:t>
            </w:r>
          </w:p>
        </w:tc>
        <w:tc>
          <w:tcPr>
            <w:tcW w:w="600" w:type="dxa"/>
            <w:vAlign w:val="bottom"/>
            <w:shd w:val="clear" w:color="auto" w:fill="D1DDE6"/>
          </w:tcPr>
          <w:p>
            <w:pPr>
              <w:spacing w:after="0"/>
              <w:rPr>
                <w:sz w:val="14"/>
                <w:szCs w:val="14"/>
                <w:color w:val="auto"/>
              </w:rPr>
            </w:pPr>
          </w:p>
        </w:tc>
        <w:tc>
          <w:tcPr>
            <w:tcW w:w="700" w:type="dxa"/>
            <w:vAlign w:val="bottom"/>
            <w:shd w:val="clear" w:color="auto" w:fill="D1DDE6"/>
          </w:tcPr>
          <w:p>
            <w:pPr>
              <w:spacing w:after="0"/>
              <w:rPr>
                <w:sz w:val="14"/>
                <w:szCs w:val="14"/>
                <w:color w:val="auto"/>
              </w:rPr>
            </w:pPr>
          </w:p>
        </w:tc>
        <w:tc>
          <w:tcPr>
            <w:tcW w:w="640" w:type="dxa"/>
            <w:vAlign w:val="bottom"/>
            <w:shd w:val="clear" w:color="auto" w:fill="D1DDE6"/>
          </w:tcPr>
          <w:p>
            <w:pPr>
              <w:spacing w:after="0"/>
              <w:rPr>
                <w:sz w:val="14"/>
                <w:szCs w:val="14"/>
                <w:color w:val="auto"/>
              </w:rPr>
            </w:pPr>
          </w:p>
        </w:tc>
        <w:tc>
          <w:tcPr>
            <w:tcW w:w="820" w:type="dxa"/>
            <w:vAlign w:val="bottom"/>
            <w:shd w:val="clear" w:color="auto" w:fill="D1DDE6"/>
          </w:tcPr>
          <w:p>
            <w:pPr>
              <w:spacing w:after="0"/>
              <w:rPr>
                <w:sz w:val="14"/>
                <w:szCs w:val="14"/>
                <w:color w:val="auto"/>
              </w:rPr>
            </w:pPr>
          </w:p>
        </w:tc>
        <w:tc>
          <w:tcPr>
            <w:tcW w:w="1300" w:type="dxa"/>
            <w:vAlign w:val="bottom"/>
            <w:tcBorders>
              <w:right w:val="single" w:sz="8" w:color="auto"/>
            </w:tcBorders>
            <w:shd w:val="clear" w:color="auto" w:fill="D1DDE6"/>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760" w:type="dxa"/>
            <w:vAlign w:val="bottom"/>
            <w:tcBorders>
              <w:left w:val="single" w:sz="8" w:color="auto"/>
            </w:tcBorders>
            <w:shd w:val="clear" w:color="auto" w:fill="D1DDE6"/>
          </w:tcPr>
          <w:p>
            <w:pPr>
              <w:spacing w:after="0"/>
              <w:rPr>
                <w:sz w:val="17"/>
                <w:szCs w:val="17"/>
                <w:color w:val="auto"/>
              </w:rPr>
            </w:pPr>
          </w:p>
        </w:tc>
        <w:tc>
          <w:tcPr>
            <w:tcW w:w="780" w:type="dxa"/>
            <w:vAlign w:val="bottom"/>
            <w:shd w:val="clear" w:color="auto" w:fill="D1DDE6"/>
          </w:tcPr>
          <w:p>
            <w:pPr>
              <w:spacing w:after="0"/>
              <w:rPr>
                <w:sz w:val="17"/>
                <w:szCs w:val="17"/>
                <w:color w:val="auto"/>
              </w:rPr>
            </w:pPr>
          </w:p>
        </w:tc>
        <w:tc>
          <w:tcPr>
            <w:tcW w:w="800" w:type="dxa"/>
            <w:vAlign w:val="bottom"/>
            <w:shd w:val="clear" w:color="auto" w:fill="D1DDE6"/>
          </w:tcPr>
          <w:p>
            <w:pPr>
              <w:spacing w:after="0"/>
              <w:rPr>
                <w:sz w:val="17"/>
                <w:szCs w:val="17"/>
                <w:color w:val="auto"/>
              </w:rPr>
            </w:pPr>
          </w:p>
        </w:tc>
        <w:tc>
          <w:tcPr>
            <w:tcW w:w="3760" w:type="dxa"/>
            <w:vAlign w:val="bottom"/>
            <w:shd w:val="clear" w:color="auto" w:fill="D1DDE6"/>
          </w:tcPr>
          <w:p>
            <w:pPr>
              <w:ind w:left="120"/>
              <w:spacing w:after="0"/>
              <w:rPr>
                <w:sz w:val="20"/>
                <w:szCs w:val="20"/>
                <w:color w:val="auto"/>
              </w:rPr>
            </w:pPr>
            <w:r>
              <w:rPr>
                <w:rFonts w:ascii="Arial" w:cs="Arial" w:eastAsia="Arial" w:hAnsi="Arial"/>
                <w:sz w:val="16"/>
                <w:szCs w:val="16"/>
                <w:color w:val="auto"/>
              </w:rPr>
              <w:t>Inc.</w:t>
            </w:r>
          </w:p>
        </w:tc>
        <w:tc>
          <w:tcPr>
            <w:tcW w:w="600" w:type="dxa"/>
            <w:vAlign w:val="bottom"/>
            <w:shd w:val="clear" w:color="auto" w:fill="D1DDE6"/>
          </w:tcPr>
          <w:p>
            <w:pPr>
              <w:spacing w:after="0"/>
              <w:rPr>
                <w:sz w:val="17"/>
                <w:szCs w:val="17"/>
                <w:color w:val="auto"/>
              </w:rPr>
            </w:pPr>
          </w:p>
        </w:tc>
        <w:tc>
          <w:tcPr>
            <w:tcW w:w="700" w:type="dxa"/>
            <w:vAlign w:val="bottom"/>
            <w:shd w:val="clear" w:color="auto" w:fill="D1DDE6"/>
          </w:tcPr>
          <w:p>
            <w:pPr>
              <w:spacing w:after="0"/>
              <w:rPr>
                <w:sz w:val="17"/>
                <w:szCs w:val="17"/>
                <w:color w:val="auto"/>
              </w:rPr>
            </w:pPr>
          </w:p>
        </w:tc>
        <w:tc>
          <w:tcPr>
            <w:tcW w:w="640" w:type="dxa"/>
            <w:vAlign w:val="bottom"/>
            <w:shd w:val="clear" w:color="auto" w:fill="D1DDE6"/>
          </w:tcPr>
          <w:p>
            <w:pPr>
              <w:spacing w:after="0"/>
              <w:rPr>
                <w:sz w:val="17"/>
                <w:szCs w:val="17"/>
                <w:color w:val="auto"/>
              </w:rPr>
            </w:pPr>
          </w:p>
        </w:tc>
        <w:tc>
          <w:tcPr>
            <w:tcW w:w="820" w:type="dxa"/>
            <w:vAlign w:val="bottom"/>
            <w:shd w:val="clear" w:color="auto" w:fill="D1DDE6"/>
          </w:tcPr>
          <w:p>
            <w:pPr>
              <w:spacing w:after="0"/>
              <w:rPr>
                <w:sz w:val="17"/>
                <w:szCs w:val="17"/>
                <w:color w:val="auto"/>
              </w:rPr>
            </w:pPr>
          </w:p>
        </w:tc>
        <w:tc>
          <w:tcPr>
            <w:tcW w:w="1300" w:type="dxa"/>
            <w:vAlign w:val="bottom"/>
            <w:tcBorders>
              <w:right w:val="single" w:sz="8" w:color="auto"/>
            </w:tcBorders>
            <w:shd w:val="clear" w:color="auto" w:fill="D1DDE6"/>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760" w:type="dxa"/>
            <w:vAlign w:val="bottom"/>
            <w:tcBorders>
              <w:left w:val="single" w:sz="8" w:color="auto"/>
            </w:tcBorders>
          </w:tcPr>
          <w:p>
            <w:pPr>
              <w:ind w:left="20"/>
              <w:spacing w:after="0" w:line="178" w:lineRule="exact"/>
              <w:rPr>
                <w:sz w:val="20"/>
                <w:szCs w:val="20"/>
                <w:color w:val="auto"/>
              </w:rPr>
            </w:pPr>
            <w:r>
              <w:rPr>
                <w:rFonts w:ascii="Arial" w:cs="Arial" w:eastAsia="Arial" w:hAnsi="Arial"/>
                <w:sz w:val="16"/>
                <w:szCs w:val="16"/>
                <w:color w:val="auto"/>
              </w:rPr>
              <w:t>Donald E. Felsinger</w:t>
            </w:r>
          </w:p>
        </w:tc>
        <w:tc>
          <w:tcPr>
            <w:tcW w:w="780" w:type="dxa"/>
            <w:vAlign w:val="bottom"/>
          </w:tcPr>
          <w:p>
            <w:pPr>
              <w:ind w:left="160"/>
              <w:spacing w:after="0" w:line="178" w:lineRule="exact"/>
              <w:rPr>
                <w:sz w:val="20"/>
                <w:szCs w:val="20"/>
                <w:color w:val="auto"/>
              </w:rPr>
            </w:pPr>
            <w:r>
              <w:rPr>
                <w:rFonts w:ascii="Arial" w:cs="Arial" w:eastAsia="Arial" w:hAnsi="Arial"/>
                <w:sz w:val="16"/>
                <w:szCs w:val="16"/>
                <w:color w:val="auto"/>
              </w:rPr>
              <w:t>73</w:t>
            </w:r>
          </w:p>
        </w:tc>
        <w:tc>
          <w:tcPr>
            <w:tcW w:w="800" w:type="dxa"/>
            <w:vAlign w:val="bottom"/>
          </w:tcPr>
          <w:p>
            <w:pPr>
              <w:ind w:left="80"/>
              <w:spacing w:after="0" w:line="178" w:lineRule="exact"/>
              <w:rPr>
                <w:sz w:val="20"/>
                <w:szCs w:val="20"/>
                <w:color w:val="auto"/>
              </w:rPr>
            </w:pPr>
            <w:r>
              <w:rPr>
                <w:rFonts w:ascii="Arial" w:cs="Arial" w:eastAsia="Arial" w:hAnsi="Arial"/>
                <w:sz w:val="16"/>
                <w:szCs w:val="16"/>
                <w:color w:val="auto"/>
              </w:rPr>
              <w:t>02/2007</w:t>
            </w:r>
          </w:p>
        </w:tc>
        <w:tc>
          <w:tcPr>
            <w:tcW w:w="3760" w:type="dxa"/>
            <w:vAlign w:val="bottom"/>
          </w:tcPr>
          <w:p>
            <w:pPr>
              <w:ind w:left="120"/>
              <w:spacing w:after="0" w:line="178" w:lineRule="exact"/>
              <w:rPr>
                <w:sz w:val="20"/>
                <w:szCs w:val="20"/>
                <w:color w:val="auto"/>
              </w:rPr>
            </w:pPr>
            <w:r>
              <w:rPr>
                <w:rFonts w:ascii="Arial" w:cs="Arial" w:eastAsia="Arial" w:hAnsi="Arial"/>
                <w:sz w:val="16"/>
                <w:szCs w:val="16"/>
                <w:color w:val="auto"/>
              </w:rPr>
              <w:t>Lead Independent Director, Northrop Grumman</w:t>
            </w: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2"/>
        </w:trPr>
        <w:tc>
          <w:tcPr>
            <w:tcW w:w="1760" w:type="dxa"/>
            <w:vAlign w:val="bottom"/>
            <w:tcBorders>
              <w:left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760" w:type="dxa"/>
            <w:vAlign w:val="bottom"/>
          </w:tcPr>
          <w:p>
            <w:pPr>
              <w:ind w:left="120"/>
              <w:spacing w:after="0" w:line="162" w:lineRule="exact"/>
              <w:rPr>
                <w:sz w:val="20"/>
                <w:szCs w:val="20"/>
                <w:color w:val="auto"/>
              </w:rPr>
            </w:pPr>
            <w:r>
              <w:rPr>
                <w:rFonts w:ascii="Arial" w:cs="Arial" w:eastAsia="Arial" w:hAnsi="Arial"/>
                <w:sz w:val="16"/>
                <w:szCs w:val="16"/>
                <w:color w:val="auto"/>
              </w:rPr>
              <w:t>Corporation; Former Chairman and CEO, Sempra</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76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760" w:type="dxa"/>
            <w:vAlign w:val="bottom"/>
          </w:tcPr>
          <w:p>
            <w:pPr>
              <w:ind w:left="120"/>
              <w:spacing w:after="0"/>
              <w:rPr>
                <w:sz w:val="20"/>
                <w:szCs w:val="20"/>
                <w:color w:val="auto"/>
              </w:rPr>
            </w:pPr>
            <w:r>
              <w:rPr>
                <w:rFonts w:ascii="Arial" w:cs="Arial" w:eastAsia="Arial" w:hAnsi="Arial"/>
                <w:sz w:val="16"/>
                <w:szCs w:val="16"/>
                <w:color w:val="auto"/>
              </w:rPr>
              <w:t>Energy</w:t>
            </w: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760" w:type="dxa"/>
            <w:vAlign w:val="bottom"/>
            <w:tcBorders>
              <w:left w:val="single" w:sz="8" w:color="auto"/>
            </w:tcBorders>
            <w:shd w:val="clear" w:color="auto" w:fill="D1DDE6"/>
          </w:tcPr>
          <w:p>
            <w:pPr>
              <w:ind w:left="20"/>
              <w:spacing w:after="0" w:line="181" w:lineRule="exact"/>
              <w:rPr>
                <w:sz w:val="20"/>
                <w:szCs w:val="20"/>
                <w:color w:val="auto"/>
              </w:rPr>
            </w:pPr>
            <w:r>
              <w:rPr>
                <w:rFonts w:ascii="Arial" w:cs="Arial" w:eastAsia="Arial" w:hAnsi="Arial"/>
                <w:sz w:val="16"/>
                <w:szCs w:val="16"/>
                <w:color w:val="auto"/>
              </w:rPr>
              <w:t>Ann M. Fudge</w:t>
            </w:r>
          </w:p>
        </w:tc>
        <w:tc>
          <w:tcPr>
            <w:tcW w:w="780" w:type="dxa"/>
            <w:vAlign w:val="bottom"/>
            <w:shd w:val="clear" w:color="auto" w:fill="D1DDE6"/>
          </w:tcPr>
          <w:p>
            <w:pPr>
              <w:ind w:left="160"/>
              <w:spacing w:after="0" w:line="181" w:lineRule="exact"/>
              <w:rPr>
                <w:sz w:val="20"/>
                <w:szCs w:val="20"/>
                <w:color w:val="auto"/>
              </w:rPr>
            </w:pPr>
            <w:r>
              <w:rPr>
                <w:rFonts w:ascii="Arial" w:cs="Arial" w:eastAsia="Arial" w:hAnsi="Arial"/>
                <w:sz w:val="16"/>
                <w:szCs w:val="16"/>
                <w:color w:val="auto"/>
              </w:rPr>
              <w:t>69</w:t>
            </w:r>
          </w:p>
        </w:tc>
        <w:tc>
          <w:tcPr>
            <w:tcW w:w="800" w:type="dxa"/>
            <w:vAlign w:val="bottom"/>
            <w:shd w:val="clear" w:color="auto" w:fill="D1DDE6"/>
          </w:tcPr>
          <w:p>
            <w:pPr>
              <w:ind w:left="80"/>
              <w:spacing w:after="0" w:line="181" w:lineRule="exact"/>
              <w:rPr>
                <w:sz w:val="20"/>
                <w:szCs w:val="20"/>
                <w:color w:val="auto"/>
              </w:rPr>
            </w:pPr>
            <w:r>
              <w:rPr>
                <w:rFonts w:ascii="Arial" w:cs="Arial" w:eastAsia="Arial" w:hAnsi="Arial"/>
                <w:sz w:val="16"/>
                <w:szCs w:val="16"/>
                <w:color w:val="auto"/>
              </w:rPr>
              <w:t>03/2016</w:t>
            </w:r>
          </w:p>
        </w:tc>
        <w:tc>
          <w:tcPr>
            <w:tcW w:w="3760" w:type="dxa"/>
            <w:vAlign w:val="bottom"/>
            <w:shd w:val="clear" w:color="auto" w:fill="D1DDE6"/>
          </w:tcPr>
          <w:p>
            <w:pPr>
              <w:ind w:left="120"/>
              <w:spacing w:after="0" w:line="181" w:lineRule="exact"/>
              <w:rPr>
                <w:sz w:val="20"/>
                <w:szCs w:val="20"/>
                <w:color w:val="auto"/>
              </w:rPr>
            </w:pPr>
            <w:r>
              <w:rPr>
                <w:rFonts w:ascii="Arial" w:cs="Arial" w:eastAsia="Arial" w:hAnsi="Arial"/>
                <w:sz w:val="16"/>
                <w:szCs w:val="16"/>
                <w:color w:val="auto"/>
              </w:rPr>
              <w:t>Former Chairman and Chief Executive Officer,</w:t>
            </w:r>
          </w:p>
        </w:tc>
        <w:tc>
          <w:tcPr>
            <w:tcW w:w="600" w:type="dxa"/>
            <w:vAlign w:val="bottom"/>
            <w:shd w:val="clear" w:color="auto" w:fill="D1DDE6"/>
          </w:tcPr>
          <w:p>
            <w:pPr>
              <w:spacing w:after="0"/>
              <w:rPr>
                <w:sz w:val="15"/>
                <w:szCs w:val="15"/>
                <w:color w:val="auto"/>
              </w:rPr>
            </w:pPr>
          </w:p>
        </w:tc>
        <w:tc>
          <w:tcPr>
            <w:tcW w:w="700" w:type="dxa"/>
            <w:vAlign w:val="bottom"/>
            <w:shd w:val="clear" w:color="auto" w:fill="D1DDE6"/>
          </w:tcPr>
          <w:p>
            <w:pPr>
              <w:spacing w:after="0"/>
              <w:rPr>
                <w:sz w:val="15"/>
                <w:szCs w:val="15"/>
                <w:color w:val="auto"/>
              </w:rPr>
            </w:pPr>
          </w:p>
        </w:tc>
        <w:tc>
          <w:tcPr>
            <w:tcW w:w="640" w:type="dxa"/>
            <w:vAlign w:val="bottom"/>
            <w:shd w:val="clear" w:color="auto" w:fill="D1DDE6"/>
          </w:tcPr>
          <w:p>
            <w:pPr>
              <w:spacing w:after="0"/>
              <w:rPr>
                <w:sz w:val="15"/>
                <w:szCs w:val="15"/>
                <w:color w:val="auto"/>
              </w:rPr>
            </w:pPr>
          </w:p>
        </w:tc>
        <w:tc>
          <w:tcPr>
            <w:tcW w:w="820" w:type="dxa"/>
            <w:vAlign w:val="bottom"/>
            <w:shd w:val="clear" w:color="auto" w:fill="D1DDE6"/>
          </w:tcPr>
          <w:p>
            <w:pPr>
              <w:spacing w:after="0"/>
              <w:rPr>
                <w:sz w:val="15"/>
                <w:szCs w:val="15"/>
                <w:color w:val="auto"/>
              </w:rPr>
            </w:pPr>
          </w:p>
        </w:tc>
        <w:tc>
          <w:tcPr>
            <w:tcW w:w="1300" w:type="dxa"/>
            <w:vAlign w:val="bottom"/>
            <w:tcBorders>
              <w:right w:val="single" w:sz="8" w:color="auto"/>
            </w:tcBorders>
            <w:shd w:val="clear" w:color="auto" w:fill="D1DDE6"/>
          </w:tcPr>
          <w:p>
            <w:pPr>
              <w:jc w:val="center"/>
              <w:spacing w:after="0" w:line="181"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4"/>
        </w:trPr>
        <w:tc>
          <w:tcPr>
            <w:tcW w:w="1760" w:type="dxa"/>
            <w:vAlign w:val="bottom"/>
            <w:tcBorders>
              <w:left w:val="single" w:sz="8" w:color="auto"/>
            </w:tcBorders>
            <w:shd w:val="clear" w:color="auto" w:fill="D1DDE6"/>
          </w:tcPr>
          <w:p>
            <w:pPr>
              <w:spacing w:after="0"/>
              <w:rPr>
                <w:sz w:val="18"/>
                <w:szCs w:val="18"/>
                <w:color w:val="auto"/>
              </w:rPr>
            </w:pPr>
          </w:p>
        </w:tc>
        <w:tc>
          <w:tcPr>
            <w:tcW w:w="780" w:type="dxa"/>
            <w:vAlign w:val="bottom"/>
            <w:shd w:val="clear" w:color="auto" w:fill="D1DDE6"/>
          </w:tcPr>
          <w:p>
            <w:pPr>
              <w:spacing w:after="0"/>
              <w:rPr>
                <w:sz w:val="18"/>
                <w:szCs w:val="18"/>
                <w:color w:val="auto"/>
              </w:rPr>
            </w:pPr>
          </w:p>
        </w:tc>
        <w:tc>
          <w:tcPr>
            <w:tcW w:w="800" w:type="dxa"/>
            <w:vAlign w:val="bottom"/>
            <w:shd w:val="clear" w:color="auto" w:fill="D1DDE6"/>
          </w:tcPr>
          <w:p>
            <w:pPr>
              <w:spacing w:after="0"/>
              <w:rPr>
                <w:sz w:val="18"/>
                <w:szCs w:val="18"/>
                <w:color w:val="auto"/>
              </w:rPr>
            </w:pPr>
          </w:p>
        </w:tc>
        <w:tc>
          <w:tcPr>
            <w:tcW w:w="3760" w:type="dxa"/>
            <w:vAlign w:val="bottom"/>
            <w:shd w:val="clear" w:color="auto" w:fill="D1DDE6"/>
          </w:tcPr>
          <w:p>
            <w:pPr>
              <w:ind w:left="120"/>
              <w:spacing w:after="0"/>
              <w:rPr>
                <w:sz w:val="20"/>
                <w:szCs w:val="20"/>
                <w:color w:val="auto"/>
              </w:rPr>
            </w:pPr>
            <w:r>
              <w:rPr>
                <w:rFonts w:ascii="Arial" w:cs="Arial" w:eastAsia="Arial" w:hAnsi="Arial"/>
                <w:sz w:val="16"/>
                <w:szCs w:val="16"/>
                <w:color w:val="auto"/>
              </w:rPr>
              <w:t>Young &amp; Rubicam Brands</w:t>
            </w:r>
          </w:p>
        </w:tc>
        <w:tc>
          <w:tcPr>
            <w:tcW w:w="600" w:type="dxa"/>
            <w:vAlign w:val="bottom"/>
            <w:shd w:val="clear" w:color="auto" w:fill="D1DDE6"/>
          </w:tcPr>
          <w:p>
            <w:pPr>
              <w:spacing w:after="0"/>
              <w:rPr>
                <w:sz w:val="18"/>
                <w:szCs w:val="18"/>
                <w:color w:val="auto"/>
              </w:rPr>
            </w:pPr>
          </w:p>
        </w:tc>
        <w:tc>
          <w:tcPr>
            <w:tcW w:w="700" w:type="dxa"/>
            <w:vAlign w:val="bottom"/>
            <w:shd w:val="clear" w:color="auto" w:fill="D1DDE6"/>
          </w:tcPr>
          <w:p>
            <w:pPr>
              <w:spacing w:after="0"/>
              <w:rPr>
                <w:sz w:val="18"/>
                <w:szCs w:val="18"/>
                <w:color w:val="auto"/>
              </w:rPr>
            </w:pPr>
          </w:p>
        </w:tc>
        <w:tc>
          <w:tcPr>
            <w:tcW w:w="640" w:type="dxa"/>
            <w:vAlign w:val="bottom"/>
            <w:shd w:val="clear" w:color="auto" w:fill="D1DDE6"/>
          </w:tcPr>
          <w:p>
            <w:pPr>
              <w:spacing w:after="0"/>
              <w:rPr>
                <w:sz w:val="18"/>
                <w:szCs w:val="18"/>
                <w:color w:val="auto"/>
              </w:rPr>
            </w:pPr>
          </w:p>
        </w:tc>
        <w:tc>
          <w:tcPr>
            <w:tcW w:w="820" w:type="dxa"/>
            <w:vAlign w:val="bottom"/>
            <w:shd w:val="clear" w:color="auto" w:fill="D1DDE6"/>
          </w:tcPr>
          <w:p>
            <w:pPr>
              <w:spacing w:after="0"/>
              <w:rPr>
                <w:sz w:val="18"/>
                <w:szCs w:val="18"/>
                <w:color w:val="auto"/>
              </w:rPr>
            </w:pPr>
          </w:p>
        </w:tc>
        <w:tc>
          <w:tcPr>
            <w:tcW w:w="1300" w:type="dxa"/>
            <w:vAlign w:val="bottom"/>
            <w:tcBorders>
              <w:right w:val="single" w:sz="8" w:color="auto"/>
            </w:tcBorders>
            <w:shd w:val="clear" w:color="auto" w:fill="D1DDE6"/>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1760" w:type="dxa"/>
            <w:vAlign w:val="bottom"/>
            <w:tcBorders>
              <w:left w:val="single" w:sz="8" w:color="auto"/>
            </w:tcBorders>
          </w:tcPr>
          <w:p>
            <w:pPr>
              <w:ind w:left="20"/>
              <w:spacing w:after="0" w:line="178" w:lineRule="exact"/>
              <w:rPr>
                <w:sz w:val="20"/>
                <w:szCs w:val="20"/>
                <w:color w:val="auto"/>
              </w:rPr>
            </w:pPr>
            <w:r>
              <w:rPr>
                <w:rFonts w:ascii="Arial" w:cs="Arial" w:eastAsia="Arial" w:hAnsi="Arial"/>
                <w:sz w:val="16"/>
                <w:szCs w:val="16"/>
                <w:color w:val="auto"/>
              </w:rPr>
              <w:t>William H. Hernandez</w:t>
            </w:r>
          </w:p>
        </w:tc>
        <w:tc>
          <w:tcPr>
            <w:tcW w:w="780" w:type="dxa"/>
            <w:vAlign w:val="bottom"/>
          </w:tcPr>
          <w:p>
            <w:pPr>
              <w:ind w:left="160"/>
              <w:spacing w:after="0" w:line="178" w:lineRule="exact"/>
              <w:rPr>
                <w:sz w:val="20"/>
                <w:szCs w:val="20"/>
                <w:color w:val="auto"/>
              </w:rPr>
            </w:pPr>
            <w:r>
              <w:rPr>
                <w:rFonts w:ascii="Arial" w:cs="Arial" w:eastAsia="Arial" w:hAnsi="Arial"/>
                <w:sz w:val="16"/>
                <w:szCs w:val="16"/>
                <w:color w:val="auto"/>
              </w:rPr>
              <w:t>73</w:t>
            </w:r>
          </w:p>
        </w:tc>
        <w:tc>
          <w:tcPr>
            <w:tcW w:w="800" w:type="dxa"/>
            <w:vAlign w:val="bottom"/>
          </w:tcPr>
          <w:p>
            <w:pPr>
              <w:ind w:left="80"/>
              <w:spacing w:after="0" w:line="178" w:lineRule="exact"/>
              <w:rPr>
                <w:sz w:val="20"/>
                <w:szCs w:val="20"/>
                <w:color w:val="auto"/>
              </w:rPr>
            </w:pPr>
            <w:r>
              <w:rPr>
                <w:rFonts w:ascii="Arial" w:cs="Arial" w:eastAsia="Arial" w:hAnsi="Arial"/>
                <w:sz w:val="16"/>
                <w:szCs w:val="16"/>
                <w:color w:val="auto"/>
              </w:rPr>
              <w:t>09/2013</w:t>
            </w:r>
          </w:p>
        </w:tc>
        <w:tc>
          <w:tcPr>
            <w:tcW w:w="3760" w:type="dxa"/>
            <w:vAlign w:val="bottom"/>
          </w:tcPr>
          <w:p>
            <w:pPr>
              <w:ind w:left="120"/>
              <w:spacing w:after="0" w:line="178" w:lineRule="exact"/>
              <w:rPr>
                <w:sz w:val="20"/>
                <w:szCs w:val="20"/>
                <w:color w:val="auto"/>
              </w:rPr>
            </w:pPr>
            <w:r>
              <w:rPr>
                <w:rFonts w:ascii="Arial" w:cs="Arial" w:eastAsia="Arial" w:hAnsi="Arial"/>
                <w:sz w:val="16"/>
                <w:szCs w:val="16"/>
                <w:color w:val="auto"/>
              </w:rPr>
              <w:t>Former Senior Vice President and CFO, PPG</w:t>
            </w: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4"/>
        </w:trPr>
        <w:tc>
          <w:tcPr>
            <w:tcW w:w="176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760" w:type="dxa"/>
            <w:vAlign w:val="bottom"/>
          </w:tcPr>
          <w:p>
            <w:pPr>
              <w:ind w:left="120"/>
              <w:spacing w:after="0"/>
              <w:rPr>
                <w:sz w:val="20"/>
                <w:szCs w:val="20"/>
                <w:color w:val="auto"/>
              </w:rPr>
            </w:pPr>
            <w:r>
              <w:rPr>
                <w:rFonts w:ascii="Arial" w:cs="Arial" w:eastAsia="Arial" w:hAnsi="Arial"/>
                <w:sz w:val="16"/>
                <w:szCs w:val="16"/>
                <w:color w:val="auto"/>
              </w:rPr>
              <w:t>Industries, Inc.</w:t>
            </w: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760" w:type="dxa"/>
            <w:vAlign w:val="bottom"/>
            <w:tcBorders>
              <w:left w:val="single" w:sz="8" w:color="auto"/>
            </w:tcBorders>
            <w:shd w:val="clear" w:color="auto" w:fill="D1DDE6"/>
          </w:tcPr>
          <w:p>
            <w:pPr>
              <w:ind w:left="20"/>
              <w:spacing w:after="0"/>
              <w:rPr>
                <w:sz w:val="20"/>
                <w:szCs w:val="20"/>
                <w:color w:val="auto"/>
              </w:rPr>
            </w:pPr>
            <w:r>
              <w:rPr>
                <w:rFonts w:ascii="Arial" w:cs="Arial" w:eastAsia="Arial" w:hAnsi="Arial"/>
                <w:sz w:val="16"/>
                <w:szCs w:val="16"/>
                <w:color w:val="auto"/>
              </w:rPr>
              <w:t>Madeleine A. Kleiner</w:t>
            </w:r>
          </w:p>
        </w:tc>
        <w:tc>
          <w:tcPr>
            <w:tcW w:w="780" w:type="dxa"/>
            <w:vAlign w:val="bottom"/>
            <w:shd w:val="clear" w:color="auto" w:fill="D1DDE6"/>
          </w:tcPr>
          <w:p>
            <w:pPr>
              <w:ind w:left="160"/>
              <w:spacing w:after="0"/>
              <w:rPr>
                <w:sz w:val="20"/>
                <w:szCs w:val="20"/>
                <w:color w:val="auto"/>
              </w:rPr>
            </w:pPr>
            <w:r>
              <w:rPr>
                <w:rFonts w:ascii="Arial" w:cs="Arial" w:eastAsia="Arial" w:hAnsi="Arial"/>
                <w:sz w:val="16"/>
                <w:szCs w:val="16"/>
                <w:color w:val="auto"/>
              </w:rPr>
              <w:t>69</w:t>
            </w:r>
          </w:p>
        </w:tc>
        <w:tc>
          <w:tcPr>
            <w:tcW w:w="800" w:type="dxa"/>
            <w:vAlign w:val="bottom"/>
            <w:shd w:val="clear" w:color="auto" w:fill="D1DDE6"/>
          </w:tcPr>
          <w:p>
            <w:pPr>
              <w:ind w:left="80"/>
              <w:spacing w:after="0"/>
              <w:rPr>
                <w:sz w:val="20"/>
                <w:szCs w:val="20"/>
                <w:color w:val="auto"/>
              </w:rPr>
            </w:pPr>
            <w:r>
              <w:rPr>
                <w:rFonts w:ascii="Arial" w:cs="Arial" w:eastAsia="Arial" w:hAnsi="Arial"/>
                <w:sz w:val="16"/>
                <w:szCs w:val="16"/>
                <w:color w:val="auto"/>
              </w:rPr>
              <w:t>10/2008</w:t>
            </w:r>
          </w:p>
        </w:tc>
        <w:tc>
          <w:tcPr>
            <w:tcW w:w="3760" w:type="dxa"/>
            <w:vAlign w:val="bottom"/>
            <w:shd w:val="clear" w:color="auto" w:fill="D1DDE6"/>
          </w:tcPr>
          <w:p>
            <w:pPr>
              <w:ind w:left="120"/>
              <w:spacing w:after="0"/>
              <w:rPr>
                <w:sz w:val="20"/>
                <w:szCs w:val="20"/>
                <w:color w:val="auto"/>
              </w:rPr>
            </w:pPr>
            <w:r>
              <w:rPr>
                <w:rFonts w:ascii="Arial" w:cs="Arial" w:eastAsia="Arial" w:hAnsi="Arial"/>
                <w:sz w:val="16"/>
                <w:szCs w:val="16"/>
                <w:color w:val="auto"/>
              </w:rPr>
              <w:t>Former Executive Vice President and General</w:t>
            </w:r>
          </w:p>
        </w:tc>
        <w:tc>
          <w:tcPr>
            <w:tcW w:w="600" w:type="dxa"/>
            <w:vAlign w:val="bottom"/>
            <w:shd w:val="clear" w:color="auto" w:fill="D1DDE6"/>
          </w:tcPr>
          <w:p>
            <w:pPr>
              <w:spacing w:after="0"/>
              <w:rPr>
                <w:sz w:val="16"/>
                <w:szCs w:val="16"/>
                <w:color w:val="auto"/>
              </w:rPr>
            </w:pPr>
          </w:p>
        </w:tc>
        <w:tc>
          <w:tcPr>
            <w:tcW w:w="700" w:type="dxa"/>
            <w:vAlign w:val="bottom"/>
            <w:shd w:val="clear" w:color="auto" w:fill="D1DDE6"/>
          </w:tcPr>
          <w:p>
            <w:pPr>
              <w:spacing w:after="0"/>
              <w:rPr>
                <w:sz w:val="16"/>
                <w:szCs w:val="16"/>
                <w:color w:val="auto"/>
              </w:rPr>
            </w:pPr>
          </w:p>
        </w:tc>
        <w:tc>
          <w:tcPr>
            <w:tcW w:w="640" w:type="dxa"/>
            <w:vAlign w:val="bottom"/>
            <w:shd w:val="clear" w:color="auto" w:fill="D1DDE6"/>
          </w:tcPr>
          <w:p>
            <w:pPr>
              <w:spacing w:after="0"/>
              <w:rPr>
                <w:sz w:val="16"/>
                <w:szCs w:val="16"/>
                <w:color w:val="auto"/>
              </w:rPr>
            </w:pPr>
          </w:p>
        </w:tc>
        <w:tc>
          <w:tcPr>
            <w:tcW w:w="820" w:type="dxa"/>
            <w:vAlign w:val="bottom"/>
            <w:shd w:val="clear" w:color="auto" w:fill="D1DDE6"/>
          </w:tcPr>
          <w:p>
            <w:pPr>
              <w:spacing w:after="0"/>
              <w:rPr>
                <w:sz w:val="16"/>
                <w:szCs w:val="16"/>
                <w:color w:val="auto"/>
              </w:rPr>
            </w:pPr>
          </w:p>
        </w:tc>
        <w:tc>
          <w:tcPr>
            <w:tcW w:w="1300" w:type="dxa"/>
            <w:vAlign w:val="bottom"/>
            <w:tcBorders>
              <w:right w:val="single" w:sz="8" w:color="auto"/>
            </w:tcBorders>
            <w:shd w:val="clear" w:color="auto" w:fill="D1DDE6"/>
          </w:tcPr>
          <w:p>
            <w:pPr>
              <w:jc w:val="center"/>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4"/>
        </w:trPr>
        <w:tc>
          <w:tcPr>
            <w:tcW w:w="1760" w:type="dxa"/>
            <w:vAlign w:val="bottom"/>
            <w:tcBorders>
              <w:left w:val="single" w:sz="8" w:color="auto"/>
            </w:tcBorders>
            <w:shd w:val="clear" w:color="auto" w:fill="D1DDE6"/>
          </w:tcPr>
          <w:p>
            <w:pPr>
              <w:spacing w:after="0"/>
              <w:rPr>
                <w:sz w:val="18"/>
                <w:szCs w:val="18"/>
                <w:color w:val="auto"/>
              </w:rPr>
            </w:pPr>
          </w:p>
        </w:tc>
        <w:tc>
          <w:tcPr>
            <w:tcW w:w="780" w:type="dxa"/>
            <w:vAlign w:val="bottom"/>
            <w:shd w:val="clear" w:color="auto" w:fill="D1DDE6"/>
          </w:tcPr>
          <w:p>
            <w:pPr>
              <w:spacing w:after="0"/>
              <w:rPr>
                <w:sz w:val="18"/>
                <w:szCs w:val="18"/>
                <w:color w:val="auto"/>
              </w:rPr>
            </w:pPr>
          </w:p>
        </w:tc>
        <w:tc>
          <w:tcPr>
            <w:tcW w:w="800" w:type="dxa"/>
            <w:vAlign w:val="bottom"/>
            <w:shd w:val="clear" w:color="auto" w:fill="D1DDE6"/>
          </w:tcPr>
          <w:p>
            <w:pPr>
              <w:spacing w:after="0"/>
              <w:rPr>
                <w:sz w:val="18"/>
                <w:szCs w:val="18"/>
                <w:color w:val="auto"/>
              </w:rPr>
            </w:pPr>
          </w:p>
        </w:tc>
        <w:tc>
          <w:tcPr>
            <w:tcW w:w="3760" w:type="dxa"/>
            <w:vAlign w:val="bottom"/>
            <w:shd w:val="clear" w:color="auto" w:fill="D1DDE6"/>
          </w:tcPr>
          <w:p>
            <w:pPr>
              <w:ind w:left="120"/>
              <w:spacing w:after="0"/>
              <w:rPr>
                <w:sz w:val="20"/>
                <w:szCs w:val="20"/>
                <w:color w:val="auto"/>
              </w:rPr>
            </w:pPr>
            <w:r>
              <w:rPr>
                <w:rFonts w:ascii="Arial" w:cs="Arial" w:eastAsia="Arial" w:hAnsi="Arial"/>
                <w:sz w:val="16"/>
                <w:szCs w:val="16"/>
                <w:color w:val="auto"/>
              </w:rPr>
              <w:t>Counsel, Hilton Hotels Corporation</w:t>
            </w:r>
          </w:p>
        </w:tc>
        <w:tc>
          <w:tcPr>
            <w:tcW w:w="600" w:type="dxa"/>
            <w:vAlign w:val="bottom"/>
            <w:shd w:val="clear" w:color="auto" w:fill="D1DDE6"/>
          </w:tcPr>
          <w:p>
            <w:pPr>
              <w:spacing w:after="0"/>
              <w:rPr>
                <w:sz w:val="18"/>
                <w:szCs w:val="18"/>
                <w:color w:val="auto"/>
              </w:rPr>
            </w:pPr>
          </w:p>
        </w:tc>
        <w:tc>
          <w:tcPr>
            <w:tcW w:w="700" w:type="dxa"/>
            <w:vAlign w:val="bottom"/>
            <w:shd w:val="clear" w:color="auto" w:fill="D1DDE6"/>
          </w:tcPr>
          <w:p>
            <w:pPr>
              <w:spacing w:after="0"/>
              <w:rPr>
                <w:sz w:val="18"/>
                <w:szCs w:val="18"/>
                <w:color w:val="auto"/>
              </w:rPr>
            </w:pPr>
          </w:p>
        </w:tc>
        <w:tc>
          <w:tcPr>
            <w:tcW w:w="640" w:type="dxa"/>
            <w:vAlign w:val="bottom"/>
            <w:shd w:val="clear" w:color="auto" w:fill="D1DDE6"/>
          </w:tcPr>
          <w:p>
            <w:pPr>
              <w:spacing w:after="0"/>
              <w:rPr>
                <w:sz w:val="18"/>
                <w:szCs w:val="18"/>
                <w:color w:val="auto"/>
              </w:rPr>
            </w:pPr>
          </w:p>
        </w:tc>
        <w:tc>
          <w:tcPr>
            <w:tcW w:w="820" w:type="dxa"/>
            <w:vAlign w:val="bottom"/>
            <w:shd w:val="clear" w:color="auto" w:fill="D1DDE6"/>
          </w:tcPr>
          <w:p>
            <w:pPr>
              <w:spacing w:after="0"/>
              <w:rPr>
                <w:sz w:val="18"/>
                <w:szCs w:val="18"/>
                <w:color w:val="auto"/>
              </w:rPr>
            </w:pPr>
          </w:p>
        </w:tc>
        <w:tc>
          <w:tcPr>
            <w:tcW w:w="1300" w:type="dxa"/>
            <w:vAlign w:val="bottom"/>
            <w:tcBorders>
              <w:right w:val="single" w:sz="8" w:color="auto"/>
            </w:tcBorders>
            <w:shd w:val="clear" w:color="auto" w:fill="D1DDE6"/>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1760" w:type="dxa"/>
            <w:vAlign w:val="bottom"/>
            <w:tcBorders>
              <w:left w:val="single" w:sz="8" w:color="auto"/>
            </w:tcBorders>
          </w:tcPr>
          <w:p>
            <w:pPr>
              <w:ind w:left="20"/>
              <w:spacing w:after="0" w:line="178" w:lineRule="exact"/>
              <w:rPr>
                <w:sz w:val="20"/>
                <w:szCs w:val="20"/>
                <w:color w:val="auto"/>
              </w:rPr>
            </w:pPr>
            <w:r>
              <w:rPr>
                <w:rFonts w:ascii="Arial" w:cs="Arial" w:eastAsia="Arial" w:hAnsi="Arial"/>
                <w:sz w:val="16"/>
                <w:szCs w:val="16"/>
                <w:color w:val="auto"/>
              </w:rPr>
              <w:t>Karl J. Krapek</w:t>
            </w:r>
          </w:p>
        </w:tc>
        <w:tc>
          <w:tcPr>
            <w:tcW w:w="780" w:type="dxa"/>
            <w:vAlign w:val="bottom"/>
          </w:tcPr>
          <w:p>
            <w:pPr>
              <w:ind w:left="160"/>
              <w:spacing w:after="0" w:line="178" w:lineRule="exact"/>
              <w:rPr>
                <w:sz w:val="20"/>
                <w:szCs w:val="20"/>
                <w:color w:val="auto"/>
              </w:rPr>
            </w:pPr>
            <w:r>
              <w:rPr>
                <w:rFonts w:ascii="Arial" w:cs="Arial" w:eastAsia="Arial" w:hAnsi="Arial"/>
                <w:sz w:val="16"/>
                <w:szCs w:val="16"/>
                <w:color w:val="auto"/>
              </w:rPr>
              <w:t>72</w:t>
            </w:r>
          </w:p>
        </w:tc>
        <w:tc>
          <w:tcPr>
            <w:tcW w:w="800" w:type="dxa"/>
            <w:vAlign w:val="bottom"/>
          </w:tcPr>
          <w:p>
            <w:pPr>
              <w:ind w:left="80"/>
              <w:spacing w:after="0" w:line="178" w:lineRule="exact"/>
              <w:rPr>
                <w:sz w:val="20"/>
                <w:szCs w:val="20"/>
                <w:color w:val="auto"/>
              </w:rPr>
            </w:pPr>
            <w:r>
              <w:rPr>
                <w:rFonts w:ascii="Arial" w:cs="Arial" w:eastAsia="Arial" w:hAnsi="Arial"/>
                <w:sz w:val="16"/>
                <w:szCs w:val="16"/>
                <w:color w:val="auto"/>
              </w:rPr>
              <w:t>09/2008</w:t>
            </w:r>
          </w:p>
        </w:tc>
        <w:tc>
          <w:tcPr>
            <w:tcW w:w="3760" w:type="dxa"/>
            <w:vAlign w:val="bottom"/>
          </w:tcPr>
          <w:p>
            <w:pPr>
              <w:ind w:left="120"/>
              <w:spacing w:after="0" w:line="178" w:lineRule="exact"/>
              <w:rPr>
                <w:sz w:val="20"/>
                <w:szCs w:val="20"/>
                <w:color w:val="auto"/>
              </w:rPr>
            </w:pPr>
            <w:r>
              <w:rPr>
                <w:rFonts w:ascii="Arial" w:cs="Arial" w:eastAsia="Arial" w:hAnsi="Arial"/>
                <w:sz w:val="16"/>
                <w:szCs w:val="16"/>
                <w:color w:val="auto"/>
              </w:rPr>
              <w:t>Former President and COO, United Technologies</w:t>
            </w: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4"/>
        </w:trPr>
        <w:tc>
          <w:tcPr>
            <w:tcW w:w="176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760" w:type="dxa"/>
            <w:vAlign w:val="bottom"/>
          </w:tcPr>
          <w:p>
            <w:pPr>
              <w:ind w:left="120"/>
              <w:spacing w:after="0"/>
              <w:rPr>
                <w:sz w:val="20"/>
                <w:szCs w:val="20"/>
                <w:color w:val="auto"/>
              </w:rPr>
            </w:pPr>
            <w:r>
              <w:rPr>
                <w:rFonts w:ascii="Arial" w:cs="Arial" w:eastAsia="Arial" w:hAnsi="Arial"/>
                <w:sz w:val="16"/>
                <w:szCs w:val="16"/>
                <w:color w:val="auto"/>
              </w:rPr>
              <w:t>Corporation</w:t>
            </w: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760" w:type="dxa"/>
            <w:vAlign w:val="bottom"/>
            <w:tcBorders>
              <w:left w:val="single" w:sz="8" w:color="auto"/>
            </w:tcBorders>
            <w:shd w:val="clear" w:color="auto" w:fill="D1DDE6"/>
          </w:tcPr>
          <w:p>
            <w:pPr>
              <w:ind w:left="20"/>
              <w:spacing w:after="0"/>
              <w:rPr>
                <w:sz w:val="20"/>
                <w:szCs w:val="20"/>
                <w:color w:val="auto"/>
              </w:rPr>
            </w:pPr>
            <w:r>
              <w:rPr>
                <w:rFonts w:ascii="Arial" w:cs="Arial" w:eastAsia="Arial" w:hAnsi="Arial"/>
                <w:sz w:val="16"/>
                <w:szCs w:val="16"/>
                <w:color w:val="auto"/>
              </w:rPr>
              <w:t>Gary Roughead</w:t>
            </w:r>
          </w:p>
        </w:tc>
        <w:tc>
          <w:tcPr>
            <w:tcW w:w="780" w:type="dxa"/>
            <w:vAlign w:val="bottom"/>
            <w:shd w:val="clear" w:color="auto" w:fill="D1DDE6"/>
          </w:tcPr>
          <w:p>
            <w:pPr>
              <w:ind w:left="160"/>
              <w:spacing w:after="0"/>
              <w:rPr>
                <w:sz w:val="20"/>
                <w:szCs w:val="20"/>
                <w:color w:val="auto"/>
              </w:rPr>
            </w:pPr>
            <w:r>
              <w:rPr>
                <w:rFonts w:ascii="Arial" w:cs="Arial" w:eastAsia="Arial" w:hAnsi="Arial"/>
                <w:sz w:val="16"/>
                <w:szCs w:val="16"/>
                <w:color w:val="auto"/>
              </w:rPr>
              <w:t>69</w:t>
            </w:r>
          </w:p>
        </w:tc>
        <w:tc>
          <w:tcPr>
            <w:tcW w:w="800" w:type="dxa"/>
            <w:vAlign w:val="bottom"/>
            <w:shd w:val="clear" w:color="auto" w:fill="D1DDE6"/>
          </w:tcPr>
          <w:p>
            <w:pPr>
              <w:ind w:left="80"/>
              <w:spacing w:after="0"/>
              <w:rPr>
                <w:sz w:val="20"/>
                <w:szCs w:val="20"/>
                <w:color w:val="auto"/>
              </w:rPr>
            </w:pPr>
            <w:r>
              <w:rPr>
                <w:rFonts w:ascii="Arial" w:cs="Arial" w:eastAsia="Arial" w:hAnsi="Arial"/>
                <w:sz w:val="16"/>
                <w:szCs w:val="16"/>
                <w:color w:val="auto"/>
              </w:rPr>
              <w:t>02/2012</w:t>
            </w:r>
          </w:p>
        </w:tc>
        <w:tc>
          <w:tcPr>
            <w:tcW w:w="3760" w:type="dxa"/>
            <w:vAlign w:val="bottom"/>
            <w:shd w:val="clear" w:color="auto" w:fill="D1DDE6"/>
          </w:tcPr>
          <w:p>
            <w:pPr>
              <w:ind w:left="120"/>
              <w:spacing w:after="0"/>
              <w:rPr>
                <w:sz w:val="20"/>
                <w:szCs w:val="20"/>
                <w:color w:val="auto"/>
              </w:rPr>
            </w:pPr>
            <w:r>
              <w:rPr>
                <w:rFonts w:ascii="Arial" w:cs="Arial" w:eastAsia="Arial" w:hAnsi="Arial"/>
                <w:sz w:val="16"/>
                <w:szCs w:val="16"/>
                <w:color w:val="auto"/>
              </w:rPr>
              <w:t>Retired Admiral, United States Navy and Former</w:t>
            </w:r>
          </w:p>
        </w:tc>
        <w:tc>
          <w:tcPr>
            <w:tcW w:w="600" w:type="dxa"/>
            <w:vAlign w:val="bottom"/>
            <w:shd w:val="clear" w:color="auto" w:fill="D1DDE6"/>
          </w:tcPr>
          <w:p>
            <w:pPr>
              <w:spacing w:after="0"/>
              <w:rPr>
                <w:sz w:val="16"/>
                <w:szCs w:val="16"/>
                <w:color w:val="auto"/>
              </w:rPr>
            </w:pPr>
          </w:p>
        </w:tc>
        <w:tc>
          <w:tcPr>
            <w:tcW w:w="700" w:type="dxa"/>
            <w:vAlign w:val="bottom"/>
            <w:shd w:val="clear" w:color="auto" w:fill="D1DDE6"/>
          </w:tcPr>
          <w:p>
            <w:pPr>
              <w:spacing w:after="0"/>
              <w:rPr>
                <w:sz w:val="16"/>
                <w:szCs w:val="16"/>
                <w:color w:val="auto"/>
              </w:rPr>
            </w:pPr>
          </w:p>
        </w:tc>
        <w:tc>
          <w:tcPr>
            <w:tcW w:w="640" w:type="dxa"/>
            <w:vAlign w:val="bottom"/>
            <w:shd w:val="clear" w:color="auto" w:fill="D1DDE6"/>
          </w:tcPr>
          <w:p>
            <w:pPr>
              <w:spacing w:after="0"/>
              <w:rPr>
                <w:sz w:val="16"/>
                <w:szCs w:val="16"/>
                <w:color w:val="auto"/>
              </w:rPr>
            </w:pPr>
          </w:p>
        </w:tc>
        <w:tc>
          <w:tcPr>
            <w:tcW w:w="820" w:type="dxa"/>
            <w:vAlign w:val="bottom"/>
            <w:shd w:val="clear" w:color="auto" w:fill="D1DDE6"/>
          </w:tcPr>
          <w:p>
            <w:pPr>
              <w:spacing w:after="0"/>
              <w:rPr>
                <w:sz w:val="16"/>
                <w:szCs w:val="16"/>
                <w:color w:val="auto"/>
              </w:rPr>
            </w:pPr>
          </w:p>
        </w:tc>
        <w:tc>
          <w:tcPr>
            <w:tcW w:w="1300" w:type="dxa"/>
            <w:vAlign w:val="bottom"/>
            <w:tcBorders>
              <w:right w:val="single" w:sz="8" w:color="auto"/>
            </w:tcBorders>
            <w:shd w:val="clear" w:color="auto" w:fill="D1DDE6"/>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4"/>
        </w:trPr>
        <w:tc>
          <w:tcPr>
            <w:tcW w:w="1760" w:type="dxa"/>
            <w:vAlign w:val="bottom"/>
            <w:tcBorders>
              <w:left w:val="single" w:sz="8" w:color="auto"/>
            </w:tcBorders>
            <w:shd w:val="clear" w:color="auto" w:fill="D1DDE6"/>
          </w:tcPr>
          <w:p>
            <w:pPr>
              <w:spacing w:after="0"/>
              <w:rPr>
                <w:sz w:val="18"/>
                <w:szCs w:val="18"/>
                <w:color w:val="auto"/>
              </w:rPr>
            </w:pPr>
          </w:p>
        </w:tc>
        <w:tc>
          <w:tcPr>
            <w:tcW w:w="780" w:type="dxa"/>
            <w:vAlign w:val="bottom"/>
            <w:shd w:val="clear" w:color="auto" w:fill="D1DDE6"/>
          </w:tcPr>
          <w:p>
            <w:pPr>
              <w:spacing w:after="0"/>
              <w:rPr>
                <w:sz w:val="18"/>
                <w:szCs w:val="18"/>
                <w:color w:val="auto"/>
              </w:rPr>
            </w:pPr>
          </w:p>
        </w:tc>
        <w:tc>
          <w:tcPr>
            <w:tcW w:w="800" w:type="dxa"/>
            <w:vAlign w:val="bottom"/>
            <w:shd w:val="clear" w:color="auto" w:fill="D1DDE6"/>
          </w:tcPr>
          <w:p>
            <w:pPr>
              <w:spacing w:after="0"/>
              <w:rPr>
                <w:sz w:val="18"/>
                <w:szCs w:val="18"/>
                <w:color w:val="auto"/>
              </w:rPr>
            </w:pPr>
          </w:p>
        </w:tc>
        <w:tc>
          <w:tcPr>
            <w:tcW w:w="3760" w:type="dxa"/>
            <w:vAlign w:val="bottom"/>
            <w:shd w:val="clear" w:color="auto" w:fill="D1DDE6"/>
          </w:tcPr>
          <w:p>
            <w:pPr>
              <w:ind w:left="120"/>
              <w:spacing w:after="0"/>
              <w:rPr>
                <w:sz w:val="20"/>
                <w:szCs w:val="20"/>
                <w:color w:val="auto"/>
              </w:rPr>
            </w:pPr>
            <w:r>
              <w:rPr>
                <w:rFonts w:ascii="Arial" w:cs="Arial" w:eastAsia="Arial" w:hAnsi="Arial"/>
                <w:sz w:val="16"/>
                <w:szCs w:val="16"/>
                <w:color w:val="auto"/>
              </w:rPr>
              <w:t>Chief of Naval Operations</w:t>
            </w:r>
          </w:p>
        </w:tc>
        <w:tc>
          <w:tcPr>
            <w:tcW w:w="600" w:type="dxa"/>
            <w:vAlign w:val="bottom"/>
            <w:shd w:val="clear" w:color="auto" w:fill="D1DDE6"/>
          </w:tcPr>
          <w:p>
            <w:pPr>
              <w:spacing w:after="0"/>
              <w:rPr>
                <w:sz w:val="18"/>
                <w:szCs w:val="18"/>
                <w:color w:val="auto"/>
              </w:rPr>
            </w:pPr>
          </w:p>
        </w:tc>
        <w:tc>
          <w:tcPr>
            <w:tcW w:w="700" w:type="dxa"/>
            <w:vAlign w:val="bottom"/>
            <w:shd w:val="clear" w:color="auto" w:fill="D1DDE6"/>
          </w:tcPr>
          <w:p>
            <w:pPr>
              <w:spacing w:after="0"/>
              <w:rPr>
                <w:sz w:val="18"/>
                <w:szCs w:val="18"/>
                <w:color w:val="auto"/>
              </w:rPr>
            </w:pPr>
          </w:p>
        </w:tc>
        <w:tc>
          <w:tcPr>
            <w:tcW w:w="640" w:type="dxa"/>
            <w:vAlign w:val="bottom"/>
            <w:shd w:val="clear" w:color="auto" w:fill="D1DDE6"/>
          </w:tcPr>
          <w:p>
            <w:pPr>
              <w:spacing w:after="0"/>
              <w:rPr>
                <w:sz w:val="18"/>
                <w:szCs w:val="18"/>
                <w:color w:val="auto"/>
              </w:rPr>
            </w:pPr>
          </w:p>
        </w:tc>
        <w:tc>
          <w:tcPr>
            <w:tcW w:w="820" w:type="dxa"/>
            <w:vAlign w:val="bottom"/>
            <w:shd w:val="clear" w:color="auto" w:fill="D1DDE6"/>
          </w:tcPr>
          <w:p>
            <w:pPr>
              <w:spacing w:after="0"/>
              <w:rPr>
                <w:sz w:val="18"/>
                <w:szCs w:val="18"/>
                <w:color w:val="auto"/>
              </w:rPr>
            </w:pPr>
          </w:p>
        </w:tc>
        <w:tc>
          <w:tcPr>
            <w:tcW w:w="1300" w:type="dxa"/>
            <w:vAlign w:val="bottom"/>
            <w:tcBorders>
              <w:right w:val="single" w:sz="8" w:color="auto"/>
            </w:tcBorders>
            <w:shd w:val="clear" w:color="auto" w:fill="D1DDE6"/>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1760" w:type="dxa"/>
            <w:vAlign w:val="bottom"/>
            <w:tcBorders>
              <w:left w:val="single" w:sz="8" w:color="auto"/>
            </w:tcBorders>
          </w:tcPr>
          <w:p>
            <w:pPr>
              <w:ind w:left="20"/>
              <w:spacing w:after="0" w:line="178" w:lineRule="exact"/>
              <w:rPr>
                <w:sz w:val="20"/>
                <w:szCs w:val="20"/>
                <w:color w:val="auto"/>
              </w:rPr>
            </w:pPr>
            <w:r>
              <w:rPr>
                <w:rFonts w:ascii="Arial" w:cs="Arial" w:eastAsia="Arial" w:hAnsi="Arial"/>
                <w:sz w:val="16"/>
                <w:szCs w:val="16"/>
                <w:color w:val="auto"/>
              </w:rPr>
              <w:t>Thomas M. Schoewe</w:t>
            </w:r>
          </w:p>
        </w:tc>
        <w:tc>
          <w:tcPr>
            <w:tcW w:w="780" w:type="dxa"/>
            <w:vAlign w:val="bottom"/>
          </w:tcPr>
          <w:p>
            <w:pPr>
              <w:ind w:left="160"/>
              <w:spacing w:after="0" w:line="178" w:lineRule="exact"/>
              <w:rPr>
                <w:sz w:val="20"/>
                <w:szCs w:val="20"/>
                <w:color w:val="auto"/>
              </w:rPr>
            </w:pPr>
            <w:r>
              <w:rPr>
                <w:rFonts w:ascii="Arial" w:cs="Arial" w:eastAsia="Arial" w:hAnsi="Arial"/>
                <w:sz w:val="16"/>
                <w:szCs w:val="16"/>
                <w:color w:val="auto"/>
              </w:rPr>
              <w:t>68</w:t>
            </w:r>
          </w:p>
        </w:tc>
        <w:tc>
          <w:tcPr>
            <w:tcW w:w="800" w:type="dxa"/>
            <w:vAlign w:val="bottom"/>
          </w:tcPr>
          <w:p>
            <w:pPr>
              <w:ind w:left="80"/>
              <w:spacing w:after="0" w:line="178" w:lineRule="exact"/>
              <w:rPr>
                <w:sz w:val="20"/>
                <w:szCs w:val="20"/>
                <w:color w:val="auto"/>
              </w:rPr>
            </w:pPr>
            <w:r>
              <w:rPr>
                <w:rFonts w:ascii="Arial" w:cs="Arial" w:eastAsia="Arial" w:hAnsi="Arial"/>
                <w:sz w:val="16"/>
                <w:szCs w:val="16"/>
                <w:color w:val="auto"/>
              </w:rPr>
              <w:t>08/2011</w:t>
            </w:r>
          </w:p>
        </w:tc>
        <w:tc>
          <w:tcPr>
            <w:tcW w:w="3760" w:type="dxa"/>
            <w:vAlign w:val="bottom"/>
          </w:tcPr>
          <w:p>
            <w:pPr>
              <w:ind w:left="120"/>
              <w:spacing w:after="0" w:line="178" w:lineRule="exact"/>
              <w:rPr>
                <w:sz w:val="20"/>
                <w:szCs w:val="20"/>
                <w:color w:val="auto"/>
              </w:rPr>
            </w:pPr>
            <w:r>
              <w:rPr>
                <w:rFonts w:ascii="Arial" w:cs="Arial" w:eastAsia="Arial" w:hAnsi="Arial"/>
                <w:sz w:val="16"/>
                <w:szCs w:val="16"/>
                <w:color w:val="auto"/>
              </w:rPr>
              <w:t>Former Executive Vice President and CFO, Wal-</w:t>
            </w: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4"/>
        </w:trPr>
        <w:tc>
          <w:tcPr>
            <w:tcW w:w="176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760" w:type="dxa"/>
            <w:vAlign w:val="bottom"/>
          </w:tcPr>
          <w:p>
            <w:pPr>
              <w:ind w:left="120"/>
              <w:spacing w:after="0"/>
              <w:rPr>
                <w:sz w:val="20"/>
                <w:szCs w:val="20"/>
                <w:color w:val="auto"/>
              </w:rPr>
            </w:pPr>
            <w:r>
              <w:rPr>
                <w:rFonts w:ascii="Arial" w:cs="Arial" w:eastAsia="Arial" w:hAnsi="Arial"/>
                <w:sz w:val="16"/>
                <w:szCs w:val="16"/>
                <w:color w:val="auto"/>
              </w:rPr>
              <w:t>Mart Stores, Inc.</w:t>
            </w: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760" w:type="dxa"/>
            <w:vAlign w:val="bottom"/>
            <w:tcBorders>
              <w:left w:val="single" w:sz="8" w:color="auto"/>
            </w:tcBorders>
            <w:shd w:val="clear" w:color="auto" w:fill="D1DDE6"/>
          </w:tcPr>
          <w:p>
            <w:pPr>
              <w:ind w:left="20"/>
              <w:spacing w:after="0"/>
              <w:rPr>
                <w:sz w:val="20"/>
                <w:szCs w:val="20"/>
                <w:color w:val="auto"/>
              </w:rPr>
            </w:pPr>
            <w:r>
              <w:rPr>
                <w:rFonts w:ascii="Arial" w:cs="Arial" w:eastAsia="Arial" w:hAnsi="Arial"/>
                <w:sz w:val="16"/>
                <w:szCs w:val="16"/>
                <w:color w:val="auto"/>
              </w:rPr>
              <w:t>James S. Turley</w:t>
            </w:r>
          </w:p>
        </w:tc>
        <w:tc>
          <w:tcPr>
            <w:tcW w:w="780" w:type="dxa"/>
            <w:vAlign w:val="bottom"/>
            <w:shd w:val="clear" w:color="auto" w:fill="D1DDE6"/>
          </w:tcPr>
          <w:p>
            <w:pPr>
              <w:ind w:left="160"/>
              <w:spacing w:after="0"/>
              <w:rPr>
                <w:sz w:val="20"/>
                <w:szCs w:val="20"/>
                <w:color w:val="auto"/>
              </w:rPr>
            </w:pPr>
            <w:r>
              <w:rPr>
                <w:rFonts w:ascii="Arial" w:cs="Arial" w:eastAsia="Arial" w:hAnsi="Arial"/>
                <w:sz w:val="16"/>
                <w:szCs w:val="16"/>
                <w:color w:val="auto"/>
              </w:rPr>
              <w:t>65</w:t>
            </w:r>
          </w:p>
        </w:tc>
        <w:tc>
          <w:tcPr>
            <w:tcW w:w="800" w:type="dxa"/>
            <w:vAlign w:val="bottom"/>
            <w:shd w:val="clear" w:color="auto" w:fill="D1DDE6"/>
          </w:tcPr>
          <w:p>
            <w:pPr>
              <w:ind w:left="80"/>
              <w:spacing w:after="0"/>
              <w:rPr>
                <w:sz w:val="20"/>
                <w:szCs w:val="20"/>
                <w:color w:val="auto"/>
              </w:rPr>
            </w:pPr>
            <w:r>
              <w:rPr>
                <w:rFonts w:ascii="Arial" w:cs="Arial" w:eastAsia="Arial" w:hAnsi="Arial"/>
                <w:sz w:val="16"/>
                <w:szCs w:val="16"/>
                <w:color w:val="auto"/>
              </w:rPr>
              <w:t>02/2015</w:t>
            </w:r>
          </w:p>
        </w:tc>
        <w:tc>
          <w:tcPr>
            <w:tcW w:w="3760" w:type="dxa"/>
            <w:vAlign w:val="bottom"/>
            <w:shd w:val="clear" w:color="auto" w:fill="D1DDE6"/>
          </w:tcPr>
          <w:p>
            <w:pPr>
              <w:ind w:left="120"/>
              <w:spacing w:after="0"/>
              <w:rPr>
                <w:sz w:val="20"/>
                <w:szCs w:val="20"/>
                <w:color w:val="auto"/>
              </w:rPr>
            </w:pPr>
            <w:r>
              <w:rPr>
                <w:rFonts w:ascii="Arial" w:cs="Arial" w:eastAsia="Arial" w:hAnsi="Arial"/>
                <w:sz w:val="16"/>
                <w:szCs w:val="16"/>
                <w:color w:val="auto"/>
              </w:rPr>
              <w:t>Former Chairman and Chief Executive Officer,</w:t>
            </w:r>
          </w:p>
        </w:tc>
        <w:tc>
          <w:tcPr>
            <w:tcW w:w="600" w:type="dxa"/>
            <w:vAlign w:val="bottom"/>
            <w:shd w:val="clear" w:color="auto" w:fill="D1DDE6"/>
          </w:tcPr>
          <w:p>
            <w:pPr>
              <w:spacing w:after="0"/>
              <w:rPr>
                <w:sz w:val="16"/>
                <w:szCs w:val="16"/>
                <w:color w:val="auto"/>
              </w:rPr>
            </w:pPr>
          </w:p>
        </w:tc>
        <w:tc>
          <w:tcPr>
            <w:tcW w:w="700" w:type="dxa"/>
            <w:vAlign w:val="bottom"/>
            <w:shd w:val="clear" w:color="auto" w:fill="D1DDE6"/>
          </w:tcPr>
          <w:p>
            <w:pPr>
              <w:spacing w:after="0"/>
              <w:rPr>
                <w:sz w:val="16"/>
                <w:szCs w:val="16"/>
                <w:color w:val="auto"/>
              </w:rPr>
            </w:pPr>
          </w:p>
        </w:tc>
        <w:tc>
          <w:tcPr>
            <w:tcW w:w="640" w:type="dxa"/>
            <w:vAlign w:val="bottom"/>
            <w:shd w:val="clear" w:color="auto" w:fill="D1DDE6"/>
          </w:tcPr>
          <w:p>
            <w:pPr>
              <w:spacing w:after="0"/>
              <w:rPr>
                <w:sz w:val="16"/>
                <w:szCs w:val="16"/>
                <w:color w:val="auto"/>
              </w:rPr>
            </w:pPr>
          </w:p>
        </w:tc>
        <w:tc>
          <w:tcPr>
            <w:tcW w:w="820" w:type="dxa"/>
            <w:vAlign w:val="bottom"/>
            <w:shd w:val="clear" w:color="auto" w:fill="D1DDE6"/>
          </w:tcPr>
          <w:p>
            <w:pPr>
              <w:spacing w:after="0"/>
              <w:rPr>
                <w:sz w:val="16"/>
                <w:szCs w:val="16"/>
                <w:color w:val="auto"/>
              </w:rPr>
            </w:pPr>
          </w:p>
        </w:tc>
        <w:tc>
          <w:tcPr>
            <w:tcW w:w="1300" w:type="dxa"/>
            <w:vAlign w:val="bottom"/>
            <w:tcBorders>
              <w:right w:val="single" w:sz="8" w:color="auto"/>
            </w:tcBorders>
            <w:shd w:val="clear" w:color="auto" w:fill="D1DDE6"/>
          </w:tcPr>
          <w:p>
            <w:pPr>
              <w:jc w:val="cente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4"/>
        </w:trPr>
        <w:tc>
          <w:tcPr>
            <w:tcW w:w="1760" w:type="dxa"/>
            <w:vAlign w:val="bottom"/>
            <w:tcBorders>
              <w:left w:val="single" w:sz="8" w:color="auto"/>
            </w:tcBorders>
            <w:shd w:val="clear" w:color="auto" w:fill="D1DDE6"/>
          </w:tcPr>
          <w:p>
            <w:pPr>
              <w:spacing w:after="0"/>
              <w:rPr>
                <w:sz w:val="18"/>
                <w:szCs w:val="18"/>
                <w:color w:val="auto"/>
              </w:rPr>
            </w:pPr>
          </w:p>
        </w:tc>
        <w:tc>
          <w:tcPr>
            <w:tcW w:w="780" w:type="dxa"/>
            <w:vAlign w:val="bottom"/>
            <w:shd w:val="clear" w:color="auto" w:fill="D1DDE6"/>
          </w:tcPr>
          <w:p>
            <w:pPr>
              <w:spacing w:after="0"/>
              <w:rPr>
                <w:sz w:val="18"/>
                <w:szCs w:val="18"/>
                <w:color w:val="auto"/>
              </w:rPr>
            </w:pPr>
          </w:p>
        </w:tc>
        <w:tc>
          <w:tcPr>
            <w:tcW w:w="800" w:type="dxa"/>
            <w:vAlign w:val="bottom"/>
            <w:shd w:val="clear" w:color="auto" w:fill="D1DDE6"/>
          </w:tcPr>
          <w:p>
            <w:pPr>
              <w:spacing w:after="0"/>
              <w:rPr>
                <w:sz w:val="18"/>
                <w:szCs w:val="18"/>
                <w:color w:val="auto"/>
              </w:rPr>
            </w:pPr>
          </w:p>
        </w:tc>
        <w:tc>
          <w:tcPr>
            <w:tcW w:w="3760" w:type="dxa"/>
            <w:vAlign w:val="bottom"/>
            <w:shd w:val="clear" w:color="auto" w:fill="D1DDE6"/>
          </w:tcPr>
          <w:p>
            <w:pPr>
              <w:ind w:left="120"/>
              <w:spacing w:after="0"/>
              <w:rPr>
                <w:sz w:val="20"/>
                <w:szCs w:val="20"/>
                <w:color w:val="auto"/>
              </w:rPr>
            </w:pPr>
            <w:r>
              <w:rPr>
                <w:rFonts w:ascii="Arial" w:cs="Arial" w:eastAsia="Arial" w:hAnsi="Arial"/>
                <w:sz w:val="16"/>
                <w:szCs w:val="16"/>
                <w:color w:val="auto"/>
              </w:rPr>
              <w:t>Ernst &amp; Young</w:t>
            </w:r>
          </w:p>
        </w:tc>
        <w:tc>
          <w:tcPr>
            <w:tcW w:w="600" w:type="dxa"/>
            <w:vAlign w:val="bottom"/>
            <w:shd w:val="clear" w:color="auto" w:fill="D1DDE6"/>
          </w:tcPr>
          <w:p>
            <w:pPr>
              <w:spacing w:after="0"/>
              <w:rPr>
                <w:sz w:val="18"/>
                <w:szCs w:val="18"/>
                <w:color w:val="auto"/>
              </w:rPr>
            </w:pPr>
          </w:p>
        </w:tc>
        <w:tc>
          <w:tcPr>
            <w:tcW w:w="700" w:type="dxa"/>
            <w:vAlign w:val="bottom"/>
            <w:shd w:val="clear" w:color="auto" w:fill="D1DDE6"/>
          </w:tcPr>
          <w:p>
            <w:pPr>
              <w:spacing w:after="0"/>
              <w:rPr>
                <w:sz w:val="18"/>
                <w:szCs w:val="18"/>
                <w:color w:val="auto"/>
              </w:rPr>
            </w:pPr>
          </w:p>
        </w:tc>
        <w:tc>
          <w:tcPr>
            <w:tcW w:w="640" w:type="dxa"/>
            <w:vAlign w:val="bottom"/>
            <w:shd w:val="clear" w:color="auto" w:fill="D1DDE6"/>
          </w:tcPr>
          <w:p>
            <w:pPr>
              <w:spacing w:after="0"/>
              <w:rPr>
                <w:sz w:val="18"/>
                <w:szCs w:val="18"/>
                <w:color w:val="auto"/>
              </w:rPr>
            </w:pPr>
          </w:p>
        </w:tc>
        <w:tc>
          <w:tcPr>
            <w:tcW w:w="820" w:type="dxa"/>
            <w:vAlign w:val="bottom"/>
            <w:shd w:val="clear" w:color="auto" w:fill="D1DDE6"/>
          </w:tcPr>
          <w:p>
            <w:pPr>
              <w:spacing w:after="0"/>
              <w:rPr>
                <w:sz w:val="18"/>
                <w:szCs w:val="18"/>
                <w:color w:val="auto"/>
              </w:rPr>
            </w:pPr>
          </w:p>
        </w:tc>
        <w:tc>
          <w:tcPr>
            <w:tcW w:w="1300" w:type="dxa"/>
            <w:vAlign w:val="bottom"/>
            <w:tcBorders>
              <w:right w:val="single" w:sz="8" w:color="auto"/>
            </w:tcBorders>
            <w:shd w:val="clear" w:color="auto" w:fill="D1DDE6"/>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1760" w:type="dxa"/>
            <w:vAlign w:val="bottom"/>
            <w:tcBorders>
              <w:left w:val="single" w:sz="8" w:color="auto"/>
            </w:tcBorders>
          </w:tcPr>
          <w:p>
            <w:pPr>
              <w:ind w:left="20"/>
              <w:spacing w:after="0" w:line="178" w:lineRule="exact"/>
              <w:rPr>
                <w:sz w:val="20"/>
                <w:szCs w:val="20"/>
                <w:color w:val="auto"/>
              </w:rPr>
            </w:pPr>
            <w:r>
              <w:rPr>
                <w:rFonts w:ascii="Arial" w:cs="Arial" w:eastAsia="Arial" w:hAnsi="Arial"/>
                <w:sz w:val="16"/>
                <w:szCs w:val="16"/>
                <w:color w:val="auto"/>
              </w:rPr>
              <w:t>Kathy J. Warden</w:t>
            </w:r>
          </w:p>
        </w:tc>
        <w:tc>
          <w:tcPr>
            <w:tcW w:w="780" w:type="dxa"/>
            <w:vAlign w:val="bottom"/>
          </w:tcPr>
          <w:p>
            <w:pPr>
              <w:ind w:left="160"/>
              <w:spacing w:after="0" w:line="178" w:lineRule="exact"/>
              <w:rPr>
                <w:sz w:val="20"/>
                <w:szCs w:val="20"/>
                <w:color w:val="auto"/>
              </w:rPr>
            </w:pPr>
            <w:r>
              <w:rPr>
                <w:rFonts w:ascii="Arial" w:cs="Arial" w:eastAsia="Arial" w:hAnsi="Arial"/>
                <w:sz w:val="16"/>
                <w:szCs w:val="16"/>
                <w:color w:val="auto"/>
              </w:rPr>
              <w:t>49</w:t>
            </w:r>
          </w:p>
        </w:tc>
        <w:tc>
          <w:tcPr>
            <w:tcW w:w="800" w:type="dxa"/>
            <w:vAlign w:val="bottom"/>
          </w:tcPr>
          <w:p>
            <w:pPr>
              <w:ind w:left="80"/>
              <w:spacing w:after="0" w:line="178" w:lineRule="exact"/>
              <w:rPr>
                <w:sz w:val="20"/>
                <w:szCs w:val="20"/>
                <w:color w:val="auto"/>
              </w:rPr>
            </w:pPr>
            <w:r>
              <w:rPr>
                <w:rFonts w:ascii="Arial" w:cs="Arial" w:eastAsia="Arial" w:hAnsi="Arial"/>
                <w:sz w:val="16"/>
                <w:szCs w:val="16"/>
                <w:color w:val="auto"/>
              </w:rPr>
              <w:t>07/2018</w:t>
            </w:r>
          </w:p>
        </w:tc>
        <w:tc>
          <w:tcPr>
            <w:tcW w:w="3760" w:type="dxa"/>
            <w:vAlign w:val="bottom"/>
          </w:tcPr>
          <w:p>
            <w:pPr>
              <w:ind w:left="120"/>
              <w:spacing w:after="0" w:line="178" w:lineRule="exact"/>
              <w:rPr>
                <w:sz w:val="20"/>
                <w:szCs w:val="20"/>
                <w:color w:val="auto"/>
              </w:rPr>
            </w:pPr>
            <w:r>
              <w:rPr>
                <w:rFonts w:ascii="Arial" w:cs="Arial" w:eastAsia="Arial" w:hAnsi="Arial"/>
                <w:sz w:val="16"/>
                <w:szCs w:val="16"/>
                <w:color w:val="auto"/>
              </w:rPr>
              <w:t>Chairman, Chief Executive Officer and President,</w:t>
            </w:r>
          </w:p>
        </w:tc>
        <w:tc>
          <w:tcPr>
            <w:tcW w:w="600" w:type="dxa"/>
            <w:vAlign w:val="bottom"/>
          </w:tcPr>
          <w:p>
            <w:pPr>
              <w:jc w:val="center"/>
              <w:spacing w:after="0" w:line="178" w:lineRule="exact"/>
              <w:rPr>
                <w:sz w:val="20"/>
                <w:szCs w:val="20"/>
                <w:color w:val="auto"/>
              </w:rPr>
            </w:pPr>
            <w:r>
              <w:rPr>
                <w:rFonts w:ascii="Arial" w:cs="Arial" w:eastAsia="Arial" w:hAnsi="Arial"/>
                <w:sz w:val="16"/>
                <w:szCs w:val="16"/>
                <w:color w:val="auto"/>
                <w:w w:val="99"/>
              </w:rPr>
              <w:t>—</w:t>
            </w:r>
          </w:p>
        </w:tc>
        <w:tc>
          <w:tcPr>
            <w:tcW w:w="700" w:type="dxa"/>
            <w:vAlign w:val="bottom"/>
          </w:tcPr>
          <w:p>
            <w:pPr>
              <w:jc w:val="center"/>
              <w:spacing w:after="0" w:line="178" w:lineRule="exact"/>
              <w:rPr>
                <w:sz w:val="20"/>
                <w:szCs w:val="20"/>
                <w:color w:val="auto"/>
              </w:rPr>
            </w:pPr>
            <w:r>
              <w:rPr>
                <w:rFonts w:ascii="Arial" w:cs="Arial" w:eastAsia="Arial" w:hAnsi="Arial"/>
                <w:sz w:val="16"/>
                <w:szCs w:val="16"/>
                <w:color w:val="auto"/>
                <w:w w:val="99"/>
              </w:rPr>
              <w:t>—</w:t>
            </w:r>
          </w:p>
        </w:tc>
        <w:tc>
          <w:tcPr>
            <w:tcW w:w="640" w:type="dxa"/>
            <w:vAlign w:val="bottom"/>
          </w:tcPr>
          <w:p>
            <w:pPr>
              <w:jc w:val="center"/>
              <w:spacing w:after="0" w:line="178" w:lineRule="exact"/>
              <w:rPr>
                <w:sz w:val="20"/>
                <w:szCs w:val="20"/>
                <w:color w:val="auto"/>
              </w:rPr>
            </w:pPr>
            <w:r>
              <w:rPr>
                <w:rFonts w:ascii="Arial" w:cs="Arial" w:eastAsia="Arial" w:hAnsi="Arial"/>
                <w:sz w:val="16"/>
                <w:szCs w:val="16"/>
                <w:color w:val="auto"/>
              </w:rPr>
              <w:t>—</w:t>
            </w:r>
          </w:p>
        </w:tc>
        <w:tc>
          <w:tcPr>
            <w:tcW w:w="820" w:type="dxa"/>
            <w:vAlign w:val="bottom"/>
          </w:tcPr>
          <w:p>
            <w:pPr>
              <w:jc w:val="center"/>
              <w:spacing w:after="0" w:line="178" w:lineRule="exact"/>
              <w:rPr>
                <w:sz w:val="20"/>
                <w:szCs w:val="20"/>
                <w:color w:val="auto"/>
              </w:rPr>
            </w:pPr>
            <w:r>
              <w:rPr>
                <w:rFonts w:ascii="Arial" w:cs="Arial" w:eastAsia="Arial" w:hAnsi="Arial"/>
                <w:sz w:val="16"/>
                <w:szCs w:val="16"/>
                <w:color w:val="auto"/>
                <w:w w:val="99"/>
              </w:rPr>
              <w:t>—</w:t>
            </w:r>
          </w:p>
        </w:tc>
        <w:tc>
          <w:tcPr>
            <w:tcW w:w="130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8"/>
        </w:trPr>
        <w:tc>
          <w:tcPr>
            <w:tcW w:w="176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760" w:type="dxa"/>
            <w:vAlign w:val="bottom"/>
          </w:tcPr>
          <w:p>
            <w:pPr>
              <w:ind w:left="120"/>
              <w:spacing w:after="0"/>
              <w:rPr>
                <w:sz w:val="20"/>
                <w:szCs w:val="20"/>
                <w:color w:val="auto"/>
              </w:rPr>
            </w:pPr>
            <w:r>
              <w:rPr>
                <w:rFonts w:ascii="Arial" w:cs="Arial" w:eastAsia="Arial" w:hAnsi="Arial"/>
                <w:sz w:val="16"/>
                <w:szCs w:val="16"/>
                <w:color w:val="auto"/>
              </w:rPr>
              <w:t>Northrop Grumman Corporation</w:t>
            </w: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760" w:type="dxa"/>
            <w:vAlign w:val="bottom"/>
            <w:tcBorders>
              <w:left w:val="single" w:sz="8" w:color="auto"/>
            </w:tcBorders>
            <w:shd w:val="clear" w:color="auto" w:fill="D1DDE6"/>
          </w:tcPr>
          <w:p>
            <w:pPr>
              <w:ind w:left="20"/>
              <w:spacing w:after="0" w:line="181" w:lineRule="exact"/>
              <w:rPr>
                <w:sz w:val="20"/>
                <w:szCs w:val="20"/>
                <w:color w:val="auto"/>
              </w:rPr>
            </w:pPr>
            <w:r>
              <w:rPr>
                <w:rFonts w:ascii="Arial" w:cs="Arial" w:eastAsia="Arial" w:hAnsi="Arial"/>
                <w:sz w:val="16"/>
                <w:szCs w:val="16"/>
                <w:color w:val="auto"/>
              </w:rPr>
              <w:t>Mark A. Welsh III</w:t>
            </w:r>
          </w:p>
        </w:tc>
        <w:tc>
          <w:tcPr>
            <w:tcW w:w="780" w:type="dxa"/>
            <w:vAlign w:val="bottom"/>
            <w:shd w:val="clear" w:color="auto" w:fill="D1DDE6"/>
          </w:tcPr>
          <w:p>
            <w:pPr>
              <w:ind w:left="160"/>
              <w:spacing w:after="0" w:line="181" w:lineRule="exact"/>
              <w:rPr>
                <w:sz w:val="20"/>
                <w:szCs w:val="20"/>
                <w:color w:val="auto"/>
              </w:rPr>
            </w:pPr>
            <w:r>
              <w:rPr>
                <w:rFonts w:ascii="Arial" w:cs="Arial" w:eastAsia="Arial" w:hAnsi="Arial"/>
                <w:sz w:val="16"/>
                <w:szCs w:val="16"/>
                <w:color w:val="auto"/>
              </w:rPr>
              <w:t>67</w:t>
            </w:r>
          </w:p>
        </w:tc>
        <w:tc>
          <w:tcPr>
            <w:tcW w:w="800" w:type="dxa"/>
            <w:vAlign w:val="bottom"/>
            <w:shd w:val="clear" w:color="auto" w:fill="D1DDE6"/>
          </w:tcPr>
          <w:p>
            <w:pPr>
              <w:ind w:left="80"/>
              <w:spacing w:after="0" w:line="181" w:lineRule="exact"/>
              <w:rPr>
                <w:sz w:val="20"/>
                <w:szCs w:val="20"/>
                <w:color w:val="auto"/>
              </w:rPr>
            </w:pPr>
            <w:r>
              <w:rPr>
                <w:rFonts w:ascii="Arial" w:cs="Arial" w:eastAsia="Arial" w:hAnsi="Arial"/>
                <w:sz w:val="16"/>
                <w:szCs w:val="16"/>
                <w:color w:val="auto"/>
              </w:rPr>
              <w:t>12/2016</w:t>
            </w:r>
          </w:p>
        </w:tc>
        <w:tc>
          <w:tcPr>
            <w:tcW w:w="3760" w:type="dxa"/>
            <w:vAlign w:val="bottom"/>
            <w:shd w:val="clear" w:color="auto" w:fill="D1DDE6"/>
          </w:tcPr>
          <w:p>
            <w:pPr>
              <w:ind w:left="120"/>
              <w:spacing w:after="0" w:line="181" w:lineRule="exact"/>
              <w:rPr>
                <w:sz w:val="20"/>
                <w:szCs w:val="20"/>
                <w:color w:val="auto"/>
              </w:rPr>
            </w:pPr>
            <w:r>
              <w:rPr>
                <w:rFonts w:ascii="Arial" w:cs="Arial" w:eastAsia="Arial" w:hAnsi="Arial"/>
                <w:sz w:val="16"/>
                <w:szCs w:val="16"/>
                <w:color w:val="auto"/>
              </w:rPr>
              <w:t>Dean of the Bush School of Government and</w:t>
            </w:r>
          </w:p>
        </w:tc>
        <w:tc>
          <w:tcPr>
            <w:tcW w:w="600" w:type="dxa"/>
            <w:vAlign w:val="bottom"/>
            <w:shd w:val="clear" w:color="auto" w:fill="D1DDE6"/>
          </w:tcPr>
          <w:p>
            <w:pPr>
              <w:spacing w:after="0"/>
              <w:rPr>
                <w:sz w:val="15"/>
                <w:szCs w:val="15"/>
                <w:color w:val="auto"/>
              </w:rPr>
            </w:pPr>
          </w:p>
        </w:tc>
        <w:tc>
          <w:tcPr>
            <w:tcW w:w="700" w:type="dxa"/>
            <w:vAlign w:val="bottom"/>
            <w:shd w:val="clear" w:color="auto" w:fill="D1DDE6"/>
          </w:tcPr>
          <w:p>
            <w:pPr>
              <w:spacing w:after="0"/>
              <w:rPr>
                <w:sz w:val="15"/>
                <w:szCs w:val="15"/>
                <w:color w:val="auto"/>
              </w:rPr>
            </w:pPr>
          </w:p>
        </w:tc>
        <w:tc>
          <w:tcPr>
            <w:tcW w:w="640" w:type="dxa"/>
            <w:vAlign w:val="bottom"/>
            <w:shd w:val="clear" w:color="auto" w:fill="D1DDE6"/>
          </w:tcPr>
          <w:p>
            <w:pPr>
              <w:spacing w:after="0"/>
              <w:rPr>
                <w:sz w:val="15"/>
                <w:szCs w:val="15"/>
                <w:color w:val="auto"/>
              </w:rPr>
            </w:pPr>
          </w:p>
        </w:tc>
        <w:tc>
          <w:tcPr>
            <w:tcW w:w="820" w:type="dxa"/>
            <w:vAlign w:val="bottom"/>
            <w:shd w:val="clear" w:color="auto" w:fill="D1DDE6"/>
          </w:tcPr>
          <w:p>
            <w:pPr>
              <w:spacing w:after="0"/>
              <w:rPr>
                <w:sz w:val="15"/>
                <w:szCs w:val="15"/>
                <w:color w:val="auto"/>
              </w:rPr>
            </w:pPr>
          </w:p>
        </w:tc>
        <w:tc>
          <w:tcPr>
            <w:tcW w:w="1300" w:type="dxa"/>
            <w:vAlign w:val="bottom"/>
            <w:tcBorders>
              <w:right w:val="single" w:sz="8" w:color="auto"/>
            </w:tcBorders>
            <w:shd w:val="clear" w:color="auto" w:fill="D1DDE6"/>
          </w:tcPr>
          <w:p>
            <w:pPr>
              <w:jc w:val="center"/>
              <w:spacing w:after="0" w:line="181" w:lineRule="exact"/>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62"/>
        </w:trPr>
        <w:tc>
          <w:tcPr>
            <w:tcW w:w="1760" w:type="dxa"/>
            <w:vAlign w:val="bottom"/>
            <w:tcBorders>
              <w:left w:val="single" w:sz="8" w:color="auto"/>
            </w:tcBorders>
            <w:shd w:val="clear" w:color="auto" w:fill="D1DDE6"/>
          </w:tcPr>
          <w:p>
            <w:pPr>
              <w:spacing w:after="0"/>
              <w:rPr>
                <w:sz w:val="14"/>
                <w:szCs w:val="14"/>
                <w:color w:val="auto"/>
              </w:rPr>
            </w:pPr>
          </w:p>
        </w:tc>
        <w:tc>
          <w:tcPr>
            <w:tcW w:w="780" w:type="dxa"/>
            <w:vAlign w:val="bottom"/>
            <w:shd w:val="clear" w:color="auto" w:fill="D1DDE6"/>
          </w:tcPr>
          <w:p>
            <w:pPr>
              <w:spacing w:after="0"/>
              <w:rPr>
                <w:sz w:val="14"/>
                <w:szCs w:val="14"/>
                <w:color w:val="auto"/>
              </w:rPr>
            </w:pPr>
          </w:p>
        </w:tc>
        <w:tc>
          <w:tcPr>
            <w:tcW w:w="800" w:type="dxa"/>
            <w:vAlign w:val="bottom"/>
            <w:shd w:val="clear" w:color="auto" w:fill="D1DDE6"/>
          </w:tcPr>
          <w:p>
            <w:pPr>
              <w:spacing w:after="0"/>
              <w:rPr>
                <w:sz w:val="14"/>
                <w:szCs w:val="14"/>
                <w:color w:val="auto"/>
              </w:rPr>
            </w:pPr>
          </w:p>
        </w:tc>
        <w:tc>
          <w:tcPr>
            <w:tcW w:w="3760" w:type="dxa"/>
            <w:vAlign w:val="bottom"/>
            <w:shd w:val="clear" w:color="auto" w:fill="D1DDE6"/>
          </w:tcPr>
          <w:p>
            <w:pPr>
              <w:ind w:left="120"/>
              <w:spacing w:after="0" w:line="162" w:lineRule="exact"/>
              <w:rPr>
                <w:sz w:val="20"/>
                <w:szCs w:val="20"/>
                <w:color w:val="auto"/>
              </w:rPr>
            </w:pPr>
            <w:r>
              <w:rPr>
                <w:rFonts w:ascii="Arial" w:cs="Arial" w:eastAsia="Arial" w:hAnsi="Arial"/>
                <w:sz w:val="16"/>
                <w:szCs w:val="16"/>
                <w:color w:val="auto"/>
              </w:rPr>
              <w:t>Public Service, Texas A&amp;M University; Retired</w:t>
            </w:r>
          </w:p>
        </w:tc>
        <w:tc>
          <w:tcPr>
            <w:tcW w:w="600" w:type="dxa"/>
            <w:vAlign w:val="bottom"/>
            <w:shd w:val="clear" w:color="auto" w:fill="D1DDE6"/>
          </w:tcPr>
          <w:p>
            <w:pPr>
              <w:spacing w:after="0"/>
              <w:rPr>
                <w:sz w:val="14"/>
                <w:szCs w:val="14"/>
                <w:color w:val="auto"/>
              </w:rPr>
            </w:pPr>
          </w:p>
        </w:tc>
        <w:tc>
          <w:tcPr>
            <w:tcW w:w="700" w:type="dxa"/>
            <w:vAlign w:val="bottom"/>
            <w:shd w:val="clear" w:color="auto" w:fill="D1DDE6"/>
          </w:tcPr>
          <w:p>
            <w:pPr>
              <w:spacing w:after="0"/>
              <w:rPr>
                <w:sz w:val="14"/>
                <w:szCs w:val="14"/>
                <w:color w:val="auto"/>
              </w:rPr>
            </w:pPr>
          </w:p>
        </w:tc>
        <w:tc>
          <w:tcPr>
            <w:tcW w:w="640" w:type="dxa"/>
            <w:vAlign w:val="bottom"/>
            <w:shd w:val="clear" w:color="auto" w:fill="D1DDE6"/>
          </w:tcPr>
          <w:p>
            <w:pPr>
              <w:spacing w:after="0"/>
              <w:rPr>
                <w:sz w:val="14"/>
                <w:szCs w:val="14"/>
                <w:color w:val="auto"/>
              </w:rPr>
            </w:pPr>
          </w:p>
        </w:tc>
        <w:tc>
          <w:tcPr>
            <w:tcW w:w="820" w:type="dxa"/>
            <w:vAlign w:val="bottom"/>
            <w:shd w:val="clear" w:color="auto" w:fill="D1DDE6"/>
          </w:tcPr>
          <w:p>
            <w:pPr>
              <w:spacing w:after="0"/>
              <w:rPr>
                <w:sz w:val="14"/>
                <w:szCs w:val="14"/>
                <w:color w:val="auto"/>
              </w:rPr>
            </w:pPr>
          </w:p>
        </w:tc>
        <w:tc>
          <w:tcPr>
            <w:tcW w:w="1300" w:type="dxa"/>
            <w:vAlign w:val="bottom"/>
            <w:tcBorders>
              <w:right w:val="single" w:sz="8" w:color="auto"/>
            </w:tcBorders>
            <w:shd w:val="clear" w:color="auto" w:fill="D1DDE6"/>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60" w:type="dxa"/>
            <w:vAlign w:val="bottom"/>
            <w:tcBorders>
              <w:left w:val="single" w:sz="8" w:color="auto"/>
            </w:tcBorders>
            <w:shd w:val="clear" w:color="auto" w:fill="D1DDE6"/>
          </w:tcPr>
          <w:p>
            <w:pPr>
              <w:spacing w:after="0"/>
              <w:rPr>
                <w:sz w:val="14"/>
                <w:szCs w:val="14"/>
                <w:color w:val="auto"/>
              </w:rPr>
            </w:pPr>
          </w:p>
        </w:tc>
        <w:tc>
          <w:tcPr>
            <w:tcW w:w="780" w:type="dxa"/>
            <w:vAlign w:val="bottom"/>
            <w:shd w:val="clear" w:color="auto" w:fill="D1DDE6"/>
          </w:tcPr>
          <w:p>
            <w:pPr>
              <w:spacing w:after="0"/>
              <w:rPr>
                <w:sz w:val="14"/>
                <w:szCs w:val="14"/>
                <w:color w:val="auto"/>
              </w:rPr>
            </w:pPr>
          </w:p>
        </w:tc>
        <w:tc>
          <w:tcPr>
            <w:tcW w:w="800" w:type="dxa"/>
            <w:vAlign w:val="bottom"/>
            <w:shd w:val="clear" w:color="auto" w:fill="D1DDE6"/>
          </w:tcPr>
          <w:p>
            <w:pPr>
              <w:spacing w:after="0"/>
              <w:rPr>
                <w:sz w:val="14"/>
                <w:szCs w:val="14"/>
                <w:color w:val="auto"/>
              </w:rPr>
            </w:pPr>
          </w:p>
        </w:tc>
        <w:tc>
          <w:tcPr>
            <w:tcW w:w="3760" w:type="dxa"/>
            <w:vAlign w:val="bottom"/>
            <w:shd w:val="clear" w:color="auto" w:fill="D1DDE6"/>
          </w:tcPr>
          <w:p>
            <w:pPr>
              <w:ind w:left="120"/>
              <w:spacing w:after="0" w:line="162" w:lineRule="exact"/>
              <w:rPr>
                <w:sz w:val="20"/>
                <w:szCs w:val="20"/>
                <w:color w:val="auto"/>
              </w:rPr>
            </w:pPr>
            <w:r>
              <w:rPr>
                <w:rFonts w:ascii="Arial" w:cs="Arial" w:eastAsia="Arial" w:hAnsi="Arial"/>
                <w:sz w:val="16"/>
                <w:szCs w:val="16"/>
                <w:color w:val="auto"/>
              </w:rPr>
              <w:t>General, United States Air Force and Former</w:t>
            </w:r>
          </w:p>
        </w:tc>
        <w:tc>
          <w:tcPr>
            <w:tcW w:w="600" w:type="dxa"/>
            <w:vAlign w:val="bottom"/>
            <w:shd w:val="clear" w:color="auto" w:fill="D1DDE6"/>
          </w:tcPr>
          <w:p>
            <w:pPr>
              <w:spacing w:after="0"/>
              <w:rPr>
                <w:sz w:val="14"/>
                <w:szCs w:val="14"/>
                <w:color w:val="auto"/>
              </w:rPr>
            </w:pPr>
          </w:p>
        </w:tc>
        <w:tc>
          <w:tcPr>
            <w:tcW w:w="700" w:type="dxa"/>
            <w:vAlign w:val="bottom"/>
            <w:shd w:val="clear" w:color="auto" w:fill="D1DDE6"/>
          </w:tcPr>
          <w:p>
            <w:pPr>
              <w:spacing w:after="0"/>
              <w:rPr>
                <w:sz w:val="14"/>
                <w:szCs w:val="14"/>
                <w:color w:val="auto"/>
              </w:rPr>
            </w:pPr>
          </w:p>
        </w:tc>
        <w:tc>
          <w:tcPr>
            <w:tcW w:w="640" w:type="dxa"/>
            <w:vAlign w:val="bottom"/>
            <w:shd w:val="clear" w:color="auto" w:fill="D1DDE6"/>
          </w:tcPr>
          <w:p>
            <w:pPr>
              <w:spacing w:after="0"/>
              <w:rPr>
                <w:sz w:val="14"/>
                <w:szCs w:val="14"/>
                <w:color w:val="auto"/>
              </w:rPr>
            </w:pPr>
          </w:p>
        </w:tc>
        <w:tc>
          <w:tcPr>
            <w:tcW w:w="820" w:type="dxa"/>
            <w:vAlign w:val="bottom"/>
            <w:shd w:val="clear" w:color="auto" w:fill="D1DDE6"/>
          </w:tcPr>
          <w:p>
            <w:pPr>
              <w:spacing w:after="0"/>
              <w:rPr>
                <w:sz w:val="14"/>
                <w:szCs w:val="14"/>
                <w:color w:val="auto"/>
              </w:rPr>
            </w:pPr>
          </w:p>
        </w:tc>
        <w:tc>
          <w:tcPr>
            <w:tcW w:w="1300" w:type="dxa"/>
            <w:vAlign w:val="bottom"/>
            <w:tcBorders>
              <w:right w:val="single" w:sz="8" w:color="auto"/>
            </w:tcBorders>
            <w:shd w:val="clear" w:color="auto" w:fill="D1DDE6"/>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760" w:type="dxa"/>
            <w:vAlign w:val="bottom"/>
            <w:tcBorders>
              <w:left w:val="single" w:sz="8" w:color="auto"/>
              <w:bottom w:val="single" w:sz="8" w:color="auto"/>
            </w:tcBorders>
            <w:shd w:val="clear" w:color="auto" w:fill="D1DDE6"/>
          </w:tcPr>
          <w:p>
            <w:pPr>
              <w:spacing w:after="0"/>
              <w:rPr>
                <w:sz w:val="17"/>
                <w:szCs w:val="17"/>
                <w:color w:val="auto"/>
              </w:rPr>
            </w:pPr>
          </w:p>
        </w:tc>
        <w:tc>
          <w:tcPr>
            <w:tcW w:w="780" w:type="dxa"/>
            <w:vAlign w:val="bottom"/>
            <w:tcBorders>
              <w:bottom w:val="single" w:sz="8" w:color="auto"/>
            </w:tcBorders>
            <w:shd w:val="clear" w:color="auto" w:fill="D1DDE6"/>
          </w:tcPr>
          <w:p>
            <w:pPr>
              <w:spacing w:after="0"/>
              <w:rPr>
                <w:sz w:val="17"/>
                <w:szCs w:val="17"/>
                <w:color w:val="auto"/>
              </w:rPr>
            </w:pPr>
          </w:p>
        </w:tc>
        <w:tc>
          <w:tcPr>
            <w:tcW w:w="800" w:type="dxa"/>
            <w:vAlign w:val="bottom"/>
            <w:tcBorders>
              <w:bottom w:val="single" w:sz="8" w:color="auto"/>
            </w:tcBorders>
            <w:shd w:val="clear" w:color="auto" w:fill="D1DDE6"/>
          </w:tcPr>
          <w:p>
            <w:pPr>
              <w:spacing w:after="0"/>
              <w:rPr>
                <w:sz w:val="17"/>
                <w:szCs w:val="17"/>
                <w:color w:val="auto"/>
              </w:rPr>
            </w:pPr>
          </w:p>
        </w:tc>
        <w:tc>
          <w:tcPr>
            <w:tcW w:w="3760" w:type="dxa"/>
            <w:vAlign w:val="bottom"/>
            <w:tcBorders>
              <w:bottom w:val="single" w:sz="8" w:color="auto"/>
            </w:tcBorders>
            <w:shd w:val="clear" w:color="auto" w:fill="D1DDE6"/>
          </w:tcPr>
          <w:p>
            <w:pPr>
              <w:ind w:left="120"/>
              <w:spacing w:after="0"/>
              <w:rPr>
                <w:sz w:val="20"/>
                <w:szCs w:val="20"/>
                <w:color w:val="auto"/>
              </w:rPr>
            </w:pPr>
            <w:r>
              <w:rPr>
                <w:rFonts w:ascii="Arial" w:cs="Arial" w:eastAsia="Arial" w:hAnsi="Arial"/>
                <w:sz w:val="16"/>
                <w:szCs w:val="16"/>
                <w:color w:val="auto"/>
              </w:rPr>
              <w:t>Chief of Staff, United States Air Force</w:t>
            </w:r>
          </w:p>
        </w:tc>
        <w:tc>
          <w:tcPr>
            <w:tcW w:w="600" w:type="dxa"/>
            <w:vAlign w:val="bottom"/>
            <w:tcBorders>
              <w:bottom w:val="single" w:sz="8" w:color="auto"/>
            </w:tcBorders>
            <w:shd w:val="clear" w:color="auto" w:fill="D1DDE6"/>
          </w:tcPr>
          <w:p>
            <w:pPr>
              <w:spacing w:after="0"/>
              <w:rPr>
                <w:sz w:val="17"/>
                <w:szCs w:val="17"/>
                <w:color w:val="auto"/>
              </w:rPr>
            </w:pPr>
          </w:p>
        </w:tc>
        <w:tc>
          <w:tcPr>
            <w:tcW w:w="700" w:type="dxa"/>
            <w:vAlign w:val="bottom"/>
            <w:tcBorders>
              <w:bottom w:val="single" w:sz="8" w:color="auto"/>
            </w:tcBorders>
            <w:shd w:val="clear" w:color="auto" w:fill="D1DDE6"/>
          </w:tcPr>
          <w:p>
            <w:pPr>
              <w:spacing w:after="0"/>
              <w:rPr>
                <w:sz w:val="17"/>
                <w:szCs w:val="17"/>
                <w:color w:val="auto"/>
              </w:rPr>
            </w:pPr>
          </w:p>
        </w:tc>
        <w:tc>
          <w:tcPr>
            <w:tcW w:w="640" w:type="dxa"/>
            <w:vAlign w:val="bottom"/>
            <w:tcBorders>
              <w:bottom w:val="single" w:sz="8" w:color="auto"/>
            </w:tcBorders>
            <w:shd w:val="clear" w:color="auto" w:fill="D1DDE6"/>
          </w:tcPr>
          <w:p>
            <w:pPr>
              <w:spacing w:after="0"/>
              <w:rPr>
                <w:sz w:val="17"/>
                <w:szCs w:val="17"/>
                <w:color w:val="auto"/>
              </w:rPr>
            </w:pPr>
          </w:p>
        </w:tc>
        <w:tc>
          <w:tcPr>
            <w:tcW w:w="820" w:type="dxa"/>
            <w:vAlign w:val="bottom"/>
            <w:tcBorders>
              <w:bottom w:val="single" w:sz="8" w:color="auto"/>
            </w:tcBorders>
            <w:shd w:val="clear" w:color="auto" w:fill="D1DDE6"/>
          </w:tcPr>
          <w:p>
            <w:pPr>
              <w:spacing w:after="0"/>
              <w:rPr>
                <w:sz w:val="17"/>
                <w:szCs w:val="17"/>
                <w:color w:val="auto"/>
              </w:rPr>
            </w:pPr>
          </w:p>
        </w:tc>
        <w:tc>
          <w:tcPr>
            <w:tcW w:w="1300" w:type="dxa"/>
            <w:vAlign w:val="bottom"/>
            <w:tcBorders>
              <w:bottom w:val="single" w:sz="8" w:color="auto"/>
              <w:right w:val="single" w:sz="8" w:color="auto"/>
            </w:tcBorders>
            <w:shd w:val="clear" w:color="auto" w:fill="D1DDE6"/>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-3420110</wp:posOffset>
            </wp:positionV>
            <wp:extent cx="102870"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-3420110</wp:posOffset>
            </wp:positionV>
            <wp:extent cx="10287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-3077210</wp:posOffset>
            </wp:positionV>
            <wp:extent cx="128905"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-3077210</wp:posOffset>
            </wp:positionV>
            <wp:extent cx="128905"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-2734310</wp:posOffset>
            </wp:positionV>
            <wp:extent cx="102870"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-2734310</wp:posOffset>
            </wp:positionV>
            <wp:extent cx="102870"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-2433955</wp:posOffset>
            </wp:positionV>
            <wp:extent cx="128905"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-2433955</wp:posOffset>
            </wp:positionV>
            <wp:extent cx="128905"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-2185670</wp:posOffset>
            </wp:positionV>
            <wp:extent cx="102870"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-2185670</wp:posOffset>
            </wp:positionV>
            <wp:extent cx="102870"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-1936750</wp:posOffset>
            </wp:positionV>
            <wp:extent cx="128905"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-1936750</wp:posOffset>
            </wp:positionV>
            <wp:extent cx="128905" cy="1885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-1688465</wp:posOffset>
            </wp:positionV>
            <wp:extent cx="102870"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-1688465</wp:posOffset>
            </wp:positionV>
            <wp:extent cx="102870"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-1439545</wp:posOffset>
            </wp:positionV>
            <wp:extent cx="128905"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-1439545</wp:posOffset>
            </wp:positionV>
            <wp:extent cx="128905"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-1191260</wp:posOffset>
            </wp:positionV>
            <wp:extent cx="102870"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-1191260</wp:posOffset>
            </wp:positionV>
            <wp:extent cx="102870"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-942340</wp:posOffset>
            </wp:positionV>
            <wp:extent cx="128905"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-942340</wp:posOffset>
            </wp:positionV>
            <wp:extent cx="128905"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-359410</wp:posOffset>
            </wp:positionV>
            <wp:extent cx="128905"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-359410</wp:posOffset>
            </wp:positionV>
            <wp:extent cx="128905"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88595"/>
                    </a:xfrm>
                    <a:prstGeom prst="rect">
                      <a:avLst/>
                    </a:prstGeom>
                    <a:noFill/>
                  </pic:spPr>
                </pic:pic>
              </a:graphicData>
            </a:graphic>
          </wp:anchor>
        </w:drawing>
      </w:r>
    </w:p>
    <w:p>
      <w:pPr>
        <w:spacing w:after="0" w:line="128"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Age as of April 2, 2021. </w:t>
      </w:r>
      <w:r>
        <w:rPr>
          <w:rFonts w:ascii="Arial" w:cs="Arial" w:eastAsia="Arial" w:hAnsi="Arial"/>
          <w:sz w:val="1"/>
          <w:szCs w:val="1"/>
          <w:color w:val="auto"/>
        </w:rPr>
        <w:drawing>
          <wp:inline distT="0" distB="0" distL="0" distR="0">
            <wp:extent cx="111125" cy="17970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1125" cy="179705"/>
                    </a:xfrm>
                    <a:prstGeom prst="rect">
                      <a:avLst/>
                    </a:prstGeom>
                    <a:noFill/>
                    <a:ln>
                      <a:noFill/>
                    </a:ln>
                  </pic:spPr>
                </pic:pic>
              </a:graphicData>
            </a:graphic>
          </wp:inline>
        </w:drawing>
      </w:r>
      <w:r>
        <w:rPr>
          <w:rFonts w:ascii="Arial" w:cs="Arial" w:eastAsia="Arial" w:hAnsi="Arial"/>
          <w:sz w:val="16"/>
          <w:szCs w:val="16"/>
          <w:color w:val="auto"/>
        </w:rPr>
        <w:t xml:space="preserve"> = Chair </w:t>
      </w:r>
      <w:r>
        <w:rPr>
          <w:rFonts w:ascii="Arial" w:cs="Arial" w:eastAsia="Arial" w:hAnsi="Arial"/>
          <w:sz w:val="1"/>
          <w:szCs w:val="1"/>
          <w:color w:val="auto"/>
        </w:rPr>
        <w:drawing>
          <wp:inline distT="0" distB="0" distL="0" distR="0">
            <wp:extent cx="111760" cy="1797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1760" cy="179705"/>
                    </a:xfrm>
                    <a:prstGeom prst="rect">
                      <a:avLst/>
                    </a:prstGeom>
                    <a:noFill/>
                    <a:ln>
                      <a:noFill/>
                    </a:ln>
                  </pic:spPr>
                </pic:pic>
              </a:graphicData>
            </a:graphic>
          </wp:inline>
        </w:drawing>
      </w:r>
      <w:r>
        <w:rPr>
          <w:rFonts w:ascii="Arial" w:cs="Arial" w:eastAsia="Arial" w:hAnsi="Arial"/>
          <w:sz w:val="16"/>
          <w:szCs w:val="16"/>
          <w:color w:val="auto"/>
        </w:rPr>
        <w:t xml:space="preserve"> = Member</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1240"/>
          </w:cols>
          <w:pgMar w:left="320" w:top="607" w:right="339" w:bottom="1440" w:gutter="0" w:footer="0" w:header="0"/>
          <w:type w:val="continuous"/>
        </w:sectPr>
      </w:pPr>
    </w:p>
    <w:bookmarkStart w:id="8" w:name="page9"/>
    <w:bookmarkEnd w:id="8"/>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3086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Board Nominee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charts below reflect the tenure, independence and broad experience of our board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66040</wp:posOffset>
            </wp:positionV>
            <wp:extent cx="6429375" cy="71577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29375" cy="7157720"/>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320"/>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3</w:t>
      </w:r>
    </w:p>
    <w:p>
      <w:pPr>
        <w:sectPr>
          <w:pgSz w:w="11900" w:h="16838" w:orient="portrait"/>
          <w:cols w:equalWidth="0" w:num="1">
            <w:col w:w="11240"/>
          </w:cols>
          <w:pgMar w:left="320" w:top="607" w:right="339" w:bottom="1440" w:gutter="0" w:footer="0" w:header="0"/>
          <w:type w:val="continuous"/>
        </w:sectPr>
      </w:pPr>
    </w:p>
    <w:bookmarkStart w:id="9" w:name="page10"/>
    <w:bookmarkEnd w:id="9"/>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3086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Governance Highlights (pages 14-28)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We are committed to high standards of corporate governance and have a robust corporate governance program intended to promote the long-term success of our Company. Some highlights of our corporate governance practices are listed below.</w:t>
      </w:r>
    </w:p>
    <w:p>
      <w:pPr>
        <w:sectPr>
          <w:pgSz w:w="11900" w:h="16838" w:orient="portrait"/>
          <w:cols w:equalWidth="0" w:num="1">
            <w:col w:w="11140"/>
          </w:cols>
          <w:pgMar w:left="320" w:top="60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left="160"/>
        <w:spacing w:after="0"/>
        <w:rPr>
          <w:sz w:val="20"/>
          <w:szCs w:val="20"/>
          <w:color w:val="auto"/>
        </w:rPr>
      </w:pPr>
      <w:r>
        <w:rPr>
          <w:rFonts w:ascii="Arial" w:cs="Arial" w:eastAsia="Arial" w:hAnsi="Arial"/>
          <w:sz w:val="22"/>
          <w:szCs w:val="22"/>
          <w:b w:val="1"/>
          <w:bCs w:val="1"/>
          <w:color w:val="FFFFFF"/>
        </w:rPr>
        <w:t>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-1315720</wp:posOffset>
            </wp:positionV>
            <wp:extent cx="1080135" cy="31718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80135" cy="3171825"/>
                    </a:xfrm>
                    <a:prstGeom prst="rect">
                      <a:avLst/>
                    </a:prstGeom>
                    <a:noFill/>
                  </pic:spPr>
                </pic:pic>
              </a:graphicData>
            </a:graphic>
          </wp:anchor>
        </w:drawing>
      </w:r>
    </w:p>
    <w:p>
      <w:pPr>
        <w:jc w:val="center"/>
        <w:ind w:left="160"/>
        <w:spacing w:after="0" w:line="214" w:lineRule="auto"/>
        <w:rPr>
          <w:sz w:val="20"/>
          <w:szCs w:val="20"/>
          <w:color w:val="auto"/>
        </w:rPr>
      </w:pPr>
      <w:r>
        <w:rPr>
          <w:rFonts w:ascii="Arial" w:cs="Arial" w:eastAsia="Arial" w:hAnsi="Arial"/>
          <w:sz w:val="21"/>
          <w:szCs w:val="21"/>
          <w:b w:val="1"/>
          <w:bCs w:val="1"/>
          <w:color w:val="FFFFFF"/>
        </w:rPr>
        <w:t>Structure and</w:t>
      </w:r>
    </w:p>
    <w:p>
      <w:pPr>
        <w:spacing w:after="0" w:line="1" w:lineRule="exact"/>
        <w:rPr>
          <w:sz w:val="20"/>
          <w:szCs w:val="20"/>
          <w:color w:val="auto"/>
        </w:rPr>
      </w:pPr>
    </w:p>
    <w:p>
      <w:pPr>
        <w:jc w:val="center"/>
        <w:ind w:left="160"/>
        <w:spacing w:after="0"/>
        <w:rPr>
          <w:sz w:val="20"/>
          <w:szCs w:val="20"/>
          <w:color w:val="auto"/>
        </w:rPr>
      </w:pPr>
      <w:r>
        <w:rPr>
          <w:rFonts w:ascii="Arial" w:cs="Arial" w:eastAsia="Arial" w:hAnsi="Arial"/>
          <w:sz w:val="22"/>
          <w:szCs w:val="22"/>
          <w:b w:val="1"/>
          <w:bCs w:val="1"/>
          <w:color w:val="FFFFFF"/>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1644015</wp:posOffset>
            </wp:positionV>
            <wp:extent cx="1080135" cy="12001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8013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left="160"/>
        <w:spacing w:after="0"/>
        <w:rPr>
          <w:sz w:val="20"/>
          <w:szCs w:val="20"/>
          <w:color w:val="auto"/>
        </w:rPr>
      </w:pPr>
      <w:r>
        <w:rPr>
          <w:rFonts w:ascii="Arial" w:cs="Arial" w:eastAsia="Arial" w:hAnsi="Arial"/>
          <w:sz w:val="22"/>
          <w:szCs w:val="22"/>
          <w:b w:val="1"/>
          <w:bCs w:val="1"/>
          <w:color w:val="FFFFFF"/>
        </w:rPr>
        <w:t>Shareholder</w:t>
      </w:r>
    </w:p>
    <w:p>
      <w:pPr>
        <w:jc w:val="center"/>
        <w:ind w:left="160"/>
        <w:spacing w:after="0"/>
        <w:rPr>
          <w:sz w:val="20"/>
          <w:szCs w:val="20"/>
          <w:color w:val="auto"/>
        </w:rPr>
      </w:pPr>
      <w:r>
        <w:rPr>
          <w:rFonts w:ascii="Arial" w:cs="Arial" w:eastAsia="Arial" w:hAnsi="Arial"/>
          <w:sz w:val="22"/>
          <w:szCs w:val="22"/>
          <w:b w:val="1"/>
          <w:bCs w:val="1"/>
          <w:color w:val="FFFFFF"/>
        </w:rPr>
        <w:t>Rights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311" w:hanging="311"/>
        <w:spacing w:after="0"/>
        <w:tabs>
          <w:tab w:leader="none" w:pos="311" w:val="left"/>
        </w:tabs>
        <w:numPr>
          <w:ilvl w:val="0"/>
          <w:numId w:val="7"/>
        </w:numPr>
        <w:rPr>
          <w:rFonts w:ascii="MS PGothic" w:cs="MS PGothic" w:eastAsia="MS PGothic" w:hAnsi="MS PGothic"/>
          <w:sz w:val="20"/>
          <w:szCs w:val="20"/>
          <w:color w:val="auto"/>
        </w:rPr>
      </w:pPr>
      <w:r>
        <w:rPr>
          <w:rFonts w:ascii="Arial" w:cs="Arial" w:eastAsia="Arial" w:hAnsi="Arial"/>
          <w:sz w:val="18"/>
          <w:szCs w:val="18"/>
          <w:color w:val="auto"/>
        </w:rPr>
        <w:t xml:space="preserve">The Board is approximately </w:t>
      </w:r>
      <w:r>
        <w:rPr>
          <w:rFonts w:ascii="Arial" w:cs="Arial" w:eastAsia="Arial" w:hAnsi="Arial"/>
          <w:sz w:val="18"/>
          <w:szCs w:val="18"/>
          <w:b w:val="1"/>
          <w:bCs w:val="1"/>
          <w:color w:val="auto"/>
        </w:rPr>
        <w:t>92% independent</w:t>
      </w:r>
      <w:r>
        <w:rPr>
          <w:rFonts w:ascii="Arial" w:cs="Arial" w:eastAsia="Arial" w:hAnsi="Arial"/>
          <w:sz w:val="18"/>
          <w:szCs w:val="18"/>
          <w:color w:val="auto"/>
        </w:rPr>
        <w:t>.</w:t>
      </w:r>
    </w:p>
    <w:p>
      <w:pPr>
        <w:spacing w:after="0" w:line="68" w:lineRule="exact"/>
        <w:rPr>
          <w:rFonts w:ascii="MS PGothic" w:cs="MS PGothic" w:eastAsia="MS PGothic" w:hAnsi="MS PGothic"/>
          <w:sz w:val="20"/>
          <w:szCs w:val="20"/>
          <w:color w:val="auto"/>
        </w:rPr>
      </w:pPr>
    </w:p>
    <w:p>
      <w:pPr>
        <w:ind w:left="311" w:hanging="311"/>
        <w:spacing w:after="0"/>
        <w:tabs>
          <w:tab w:leader="none" w:pos="311" w:val="left"/>
        </w:tabs>
        <w:numPr>
          <w:ilvl w:val="0"/>
          <w:numId w:val="7"/>
        </w:numPr>
        <w:rPr>
          <w:rFonts w:ascii="MS PGothic" w:cs="MS PGothic" w:eastAsia="MS PGothic" w:hAnsi="MS PGothic"/>
          <w:sz w:val="20"/>
          <w:szCs w:val="20"/>
          <w:color w:val="auto"/>
        </w:rPr>
      </w:pPr>
      <w:r>
        <w:rPr>
          <w:rFonts w:ascii="Arial" w:cs="Arial" w:eastAsia="Arial" w:hAnsi="Arial"/>
          <w:sz w:val="18"/>
          <w:szCs w:val="18"/>
          <w:color w:val="auto"/>
        </w:rPr>
        <w:t xml:space="preserve">Of the 12 directors standing for election, 4 are </w:t>
      </w:r>
      <w:r>
        <w:rPr>
          <w:rFonts w:ascii="Arial" w:cs="Arial" w:eastAsia="Arial" w:hAnsi="Arial"/>
          <w:sz w:val="18"/>
          <w:szCs w:val="18"/>
          <w:b w:val="1"/>
          <w:bCs w:val="1"/>
          <w:color w:val="auto"/>
        </w:rPr>
        <w:t>women</w:t>
      </w:r>
      <w:r>
        <w:rPr>
          <w:rFonts w:ascii="Arial" w:cs="Arial" w:eastAsia="Arial" w:hAnsi="Arial"/>
          <w:sz w:val="18"/>
          <w:szCs w:val="18"/>
          <w:color w:val="auto"/>
        </w:rPr>
        <w:t xml:space="preserve"> (including our Chair) and 2 are </w:t>
      </w:r>
      <w:r>
        <w:rPr>
          <w:rFonts w:ascii="Arial" w:cs="Arial" w:eastAsia="Arial" w:hAnsi="Arial"/>
          <w:sz w:val="18"/>
          <w:szCs w:val="18"/>
          <w:b w:val="1"/>
          <w:bCs w:val="1"/>
          <w:color w:val="auto"/>
        </w:rPr>
        <w:t>people of color</w:t>
      </w:r>
      <w:r>
        <w:rPr>
          <w:rFonts w:ascii="Arial" w:cs="Arial" w:eastAsia="Arial" w:hAnsi="Arial"/>
          <w:sz w:val="18"/>
          <w:szCs w:val="18"/>
          <w:color w:val="auto"/>
        </w:rPr>
        <w:t>.</w:t>
      </w:r>
    </w:p>
    <w:p>
      <w:pPr>
        <w:spacing w:after="0" w:line="46" w:lineRule="exact"/>
        <w:rPr>
          <w:rFonts w:ascii="MS PGothic" w:cs="MS PGothic" w:eastAsia="MS PGothic" w:hAnsi="MS PGothic"/>
          <w:sz w:val="20"/>
          <w:szCs w:val="20"/>
          <w:color w:val="auto"/>
        </w:rPr>
      </w:pPr>
    </w:p>
    <w:p>
      <w:pPr>
        <w:ind w:left="311" w:right="440" w:hanging="311"/>
        <w:spacing w:after="0" w:line="233" w:lineRule="auto"/>
        <w:tabs>
          <w:tab w:leader="none" w:pos="311" w:val="left"/>
        </w:tabs>
        <w:numPr>
          <w:ilvl w:val="0"/>
          <w:numId w:val="7"/>
        </w:numPr>
        <w:rPr>
          <w:rFonts w:ascii="MS PGothic" w:cs="MS PGothic" w:eastAsia="MS PGothic" w:hAnsi="MS PGothic"/>
          <w:sz w:val="20"/>
          <w:szCs w:val="20"/>
          <w:color w:val="auto"/>
        </w:rPr>
      </w:pPr>
      <w:r>
        <w:rPr>
          <w:rFonts w:ascii="Arial" w:cs="Arial" w:eastAsia="Arial" w:hAnsi="Arial"/>
          <w:sz w:val="18"/>
          <w:szCs w:val="18"/>
          <w:color w:val="auto"/>
        </w:rPr>
        <w:t xml:space="preserve">Each of the Audit and Risk, Compensation, Governance and Policy </w:t>
      </w:r>
      <w:r>
        <w:rPr>
          <w:rFonts w:ascii="Arial" w:cs="Arial" w:eastAsia="Arial" w:hAnsi="Arial"/>
          <w:sz w:val="18"/>
          <w:szCs w:val="18"/>
          <w:b w:val="1"/>
          <w:bCs w:val="1"/>
          <w:color w:val="auto"/>
        </w:rPr>
        <w:t>Committees is comprised entirely of</w:t>
      </w:r>
      <w:r>
        <w:rPr>
          <w:rFonts w:ascii="Arial" w:cs="Arial" w:eastAsia="Arial" w:hAnsi="Arial"/>
          <w:sz w:val="18"/>
          <w:szCs w:val="18"/>
          <w:color w:val="auto"/>
        </w:rPr>
        <w:t xml:space="preserve"> </w:t>
      </w:r>
      <w:r>
        <w:rPr>
          <w:rFonts w:ascii="Arial" w:cs="Arial" w:eastAsia="Arial" w:hAnsi="Arial"/>
          <w:sz w:val="18"/>
          <w:szCs w:val="18"/>
          <w:b w:val="1"/>
          <w:bCs w:val="1"/>
          <w:color w:val="auto"/>
        </w:rPr>
        <w:t>independent directors</w:t>
      </w:r>
      <w:r>
        <w:rPr>
          <w:rFonts w:ascii="Arial" w:cs="Arial" w:eastAsia="Arial" w:hAnsi="Arial"/>
          <w:sz w:val="18"/>
          <w:szCs w:val="18"/>
          <w:color w:val="auto"/>
        </w:rPr>
        <w:t>.</w:t>
      </w:r>
    </w:p>
    <w:p>
      <w:pPr>
        <w:spacing w:after="0" w:line="18" w:lineRule="exact"/>
        <w:rPr>
          <w:rFonts w:ascii="MS PGothic" w:cs="MS PGothic" w:eastAsia="MS PGothic" w:hAnsi="MS PGothic"/>
          <w:sz w:val="20"/>
          <w:szCs w:val="20"/>
          <w:color w:val="auto"/>
        </w:rPr>
      </w:pPr>
    </w:p>
    <w:p>
      <w:pPr>
        <w:ind w:left="311" w:right="20" w:hanging="311"/>
        <w:spacing w:after="0" w:line="238" w:lineRule="auto"/>
        <w:tabs>
          <w:tab w:leader="none" w:pos="311" w:val="left"/>
        </w:tabs>
        <w:numPr>
          <w:ilvl w:val="0"/>
          <w:numId w:val="7"/>
        </w:numPr>
        <w:rPr>
          <w:rFonts w:ascii="MS PGothic" w:cs="MS PGothic" w:eastAsia="MS PGothic" w:hAnsi="MS PGothic"/>
          <w:sz w:val="20"/>
          <w:szCs w:val="20"/>
          <w:color w:val="auto"/>
        </w:rPr>
      </w:pPr>
      <w:r>
        <w:rPr>
          <w:rFonts w:ascii="Arial" w:cs="Arial" w:eastAsia="Arial" w:hAnsi="Arial"/>
          <w:sz w:val="18"/>
          <w:szCs w:val="18"/>
          <w:color w:val="auto"/>
        </w:rPr>
        <w:t xml:space="preserve">Our policy </w:t>
      </w:r>
      <w:r>
        <w:rPr>
          <w:rFonts w:ascii="Arial" w:cs="Arial" w:eastAsia="Arial" w:hAnsi="Arial"/>
          <w:sz w:val="18"/>
          <w:szCs w:val="18"/>
          <w:b w:val="1"/>
          <w:bCs w:val="1"/>
          <w:color w:val="auto"/>
        </w:rPr>
        <w:t>limits the number of boards</w:t>
      </w:r>
      <w:r>
        <w:rPr>
          <w:rFonts w:ascii="Arial" w:cs="Arial" w:eastAsia="Arial" w:hAnsi="Arial"/>
          <w:sz w:val="18"/>
          <w:szCs w:val="18"/>
          <w:color w:val="auto"/>
        </w:rPr>
        <w:t xml:space="preserve"> on which our directors serve (no more than three other public company boards without special approval) to </w:t>
      </w:r>
      <w:r>
        <w:rPr>
          <w:rFonts w:ascii="Arial" w:cs="Arial" w:eastAsia="Arial" w:hAnsi="Arial"/>
          <w:sz w:val="18"/>
          <w:szCs w:val="18"/>
          <w:b w:val="1"/>
          <w:bCs w:val="1"/>
          <w:color w:val="auto"/>
        </w:rPr>
        <w:t>avoid overboarding</w:t>
      </w:r>
      <w:r>
        <w:rPr>
          <w:rFonts w:ascii="Arial" w:cs="Arial" w:eastAsia="Arial" w:hAnsi="Arial"/>
          <w:sz w:val="18"/>
          <w:szCs w:val="18"/>
          <w:color w:val="auto"/>
        </w:rPr>
        <w:t>.</w:t>
      </w:r>
    </w:p>
    <w:p>
      <w:pPr>
        <w:spacing w:after="0" w:line="18" w:lineRule="exact"/>
        <w:rPr>
          <w:rFonts w:ascii="MS PGothic" w:cs="MS PGothic" w:eastAsia="MS PGothic" w:hAnsi="MS PGothic"/>
          <w:sz w:val="20"/>
          <w:szCs w:val="20"/>
          <w:color w:val="auto"/>
        </w:rPr>
      </w:pPr>
    </w:p>
    <w:p>
      <w:pPr>
        <w:ind w:left="311" w:right="320" w:hanging="311"/>
        <w:spacing w:after="0" w:line="238" w:lineRule="auto"/>
        <w:tabs>
          <w:tab w:leader="none" w:pos="311" w:val="left"/>
        </w:tabs>
        <w:numPr>
          <w:ilvl w:val="0"/>
          <w:numId w:val="7"/>
        </w:numPr>
        <w:rPr>
          <w:rFonts w:ascii="MS PGothic" w:cs="MS PGothic" w:eastAsia="MS PGothic" w:hAnsi="MS PGothic"/>
          <w:sz w:val="20"/>
          <w:szCs w:val="20"/>
          <w:color w:val="auto"/>
        </w:rPr>
      </w:pPr>
      <w:r>
        <w:rPr>
          <w:rFonts w:ascii="Arial" w:cs="Arial" w:eastAsia="Arial" w:hAnsi="Arial"/>
          <w:sz w:val="18"/>
          <w:szCs w:val="18"/>
          <w:color w:val="auto"/>
        </w:rPr>
        <w:t xml:space="preserve">The independent directors </w:t>
      </w:r>
      <w:r>
        <w:rPr>
          <w:rFonts w:ascii="Arial" w:cs="Arial" w:eastAsia="Arial" w:hAnsi="Arial"/>
          <w:sz w:val="18"/>
          <w:szCs w:val="18"/>
          <w:b w:val="1"/>
          <w:bCs w:val="1"/>
          <w:color w:val="auto"/>
        </w:rPr>
        <w:t>regularly hold both executive sessions</w:t>
      </w:r>
      <w:r>
        <w:rPr>
          <w:rFonts w:ascii="Arial" w:cs="Arial" w:eastAsia="Arial" w:hAnsi="Arial"/>
          <w:sz w:val="18"/>
          <w:szCs w:val="18"/>
          <w:color w:val="auto"/>
        </w:rPr>
        <w:t xml:space="preserve"> led by our Chairman </w:t>
      </w:r>
      <w:r>
        <w:rPr>
          <w:rFonts w:ascii="Arial" w:cs="Arial" w:eastAsia="Arial" w:hAnsi="Arial"/>
          <w:sz w:val="18"/>
          <w:szCs w:val="18"/>
          <w:b w:val="1"/>
          <w:bCs w:val="1"/>
          <w:color w:val="auto"/>
        </w:rPr>
        <w:t>and independent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sessions </w:t>
      </w:r>
      <w:r>
        <w:rPr>
          <w:rFonts w:ascii="Arial" w:cs="Arial" w:eastAsia="Arial" w:hAnsi="Arial"/>
          <w:sz w:val="18"/>
          <w:szCs w:val="18"/>
          <w:color w:val="auto"/>
        </w:rPr>
        <w:t>led by our Lead Independent Director.</w:t>
      </w:r>
    </w:p>
    <w:p>
      <w:pPr>
        <w:spacing w:after="0" w:line="18" w:lineRule="exact"/>
        <w:rPr>
          <w:rFonts w:ascii="MS PGothic" w:cs="MS PGothic" w:eastAsia="MS PGothic" w:hAnsi="MS PGothic"/>
          <w:sz w:val="20"/>
          <w:szCs w:val="20"/>
          <w:color w:val="auto"/>
        </w:rPr>
      </w:pPr>
    </w:p>
    <w:p>
      <w:pPr>
        <w:ind w:left="311" w:hanging="311"/>
        <w:spacing w:after="0" w:line="226" w:lineRule="auto"/>
        <w:tabs>
          <w:tab w:leader="none" w:pos="311" w:val="left"/>
        </w:tabs>
        <w:numPr>
          <w:ilvl w:val="0"/>
          <w:numId w:val="7"/>
        </w:numPr>
        <w:rPr>
          <w:rFonts w:ascii="MS PGothic" w:cs="MS PGothic" w:eastAsia="MS PGothic" w:hAnsi="MS PGothic"/>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Lead Independent Director</w:t>
      </w:r>
      <w:r>
        <w:rPr>
          <w:rFonts w:ascii="Arial" w:cs="Arial" w:eastAsia="Arial" w:hAnsi="Arial"/>
          <w:sz w:val="18"/>
          <w:szCs w:val="18"/>
          <w:color w:val="auto"/>
        </w:rPr>
        <w:t xml:space="preserve">, appointed annually by the independent directors, is empowered </w:t>
      </w:r>
      <w:r>
        <w:rPr>
          <w:rFonts w:ascii="Arial" w:cs="Arial" w:eastAsia="Arial" w:hAnsi="Arial"/>
          <w:sz w:val="18"/>
          <w:szCs w:val="18"/>
          <w:b w:val="1"/>
          <w:bCs w:val="1"/>
          <w:color w:val="auto"/>
        </w:rPr>
        <w:t>with a robust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set of responsibilities </w:t>
      </w:r>
      <w:r>
        <w:rPr>
          <w:rFonts w:ascii="Arial" w:cs="Arial" w:eastAsia="Arial" w:hAnsi="Arial"/>
          <w:sz w:val="18"/>
          <w:szCs w:val="18"/>
          <w:color w:val="auto"/>
        </w:rPr>
        <w:t>and provides additional independent oversight of senior management and Board</w:t>
      </w:r>
      <w:r>
        <w:rPr>
          <w:rFonts w:ascii="Arial" w:cs="Arial" w:eastAsia="Arial" w:hAnsi="Arial"/>
          <w:sz w:val="18"/>
          <w:szCs w:val="18"/>
          <w:b w:val="1"/>
          <w:bCs w:val="1"/>
          <w:color w:val="auto"/>
        </w:rPr>
        <w:t xml:space="preserve"> </w:t>
      </w:r>
      <w:r>
        <w:rPr>
          <w:rFonts w:ascii="Arial" w:cs="Arial" w:eastAsia="Arial" w:hAnsi="Arial"/>
          <w:sz w:val="18"/>
          <w:szCs w:val="18"/>
          <w:color w:val="auto"/>
        </w:rPr>
        <w:t>leadership.</w:t>
      </w:r>
    </w:p>
    <w:p>
      <w:pPr>
        <w:spacing w:after="0" w:line="46" w:lineRule="exact"/>
        <w:rPr>
          <w:rFonts w:ascii="MS PGothic" w:cs="MS PGothic" w:eastAsia="MS PGothic" w:hAnsi="MS PGothic"/>
          <w:sz w:val="20"/>
          <w:szCs w:val="20"/>
          <w:color w:val="auto"/>
        </w:rPr>
      </w:pPr>
    </w:p>
    <w:p>
      <w:pPr>
        <w:ind w:left="311" w:right="600" w:hanging="311"/>
        <w:spacing w:after="0" w:line="251" w:lineRule="auto"/>
        <w:tabs>
          <w:tab w:leader="none" w:pos="311" w:val="left"/>
        </w:tabs>
        <w:numPr>
          <w:ilvl w:val="0"/>
          <w:numId w:val="7"/>
        </w:numPr>
        <w:rPr>
          <w:rFonts w:ascii="MS PGothic" w:cs="MS PGothic" w:eastAsia="MS PGothic" w:hAnsi="MS PGothic"/>
          <w:sz w:val="19"/>
          <w:szCs w:val="19"/>
          <w:color w:val="auto"/>
        </w:rPr>
      </w:pPr>
      <w:r>
        <w:rPr>
          <w:rFonts w:ascii="Arial" w:cs="Arial" w:eastAsia="Arial" w:hAnsi="Arial"/>
          <w:sz w:val="17"/>
          <w:szCs w:val="17"/>
          <w:color w:val="auto"/>
        </w:rPr>
        <w:t xml:space="preserve">All directors are </w:t>
      </w:r>
      <w:r>
        <w:rPr>
          <w:rFonts w:ascii="Arial" w:cs="Arial" w:eastAsia="Arial" w:hAnsi="Arial"/>
          <w:sz w:val="17"/>
          <w:szCs w:val="17"/>
          <w:b w:val="1"/>
          <w:bCs w:val="1"/>
          <w:color w:val="auto"/>
        </w:rPr>
        <w:t>elected annually</w:t>
      </w:r>
      <w:r>
        <w:rPr>
          <w:rFonts w:ascii="Arial" w:cs="Arial" w:eastAsia="Arial" w:hAnsi="Arial"/>
          <w:sz w:val="17"/>
          <w:szCs w:val="17"/>
          <w:color w:val="auto"/>
        </w:rPr>
        <w:t xml:space="preserve"> based on a </w:t>
      </w:r>
      <w:r>
        <w:rPr>
          <w:rFonts w:ascii="Arial" w:cs="Arial" w:eastAsia="Arial" w:hAnsi="Arial"/>
          <w:sz w:val="17"/>
          <w:szCs w:val="17"/>
          <w:b w:val="1"/>
          <w:bCs w:val="1"/>
          <w:color w:val="auto"/>
        </w:rPr>
        <w:t>majority voting standard</w:t>
      </w:r>
      <w:r>
        <w:rPr>
          <w:rFonts w:ascii="Arial" w:cs="Arial" w:eastAsia="Arial" w:hAnsi="Arial"/>
          <w:sz w:val="17"/>
          <w:szCs w:val="17"/>
          <w:color w:val="auto"/>
        </w:rPr>
        <w:t xml:space="preserve"> in uncontested elections, with a </w:t>
      </w:r>
      <w:r>
        <w:rPr>
          <w:rFonts w:ascii="Arial" w:cs="Arial" w:eastAsia="Arial" w:hAnsi="Arial"/>
          <w:sz w:val="17"/>
          <w:szCs w:val="17"/>
          <w:b w:val="1"/>
          <w:bCs w:val="1"/>
          <w:color w:val="auto"/>
        </w:rPr>
        <w:t xml:space="preserve">director resignation policy </w:t>
      </w:r>
      <w:r>
        <w:rPr>
          <w:rFonts w:ascii="Arial" w:cs="Arial" w:eastAsia="Arial" w:hAnsi="Arial"/>
          <w:sz w:val="17"/>
          <w:szCs w:val="17"/>
          <w:color w:val="auto"/>
        </w:rPr>
        <w:t>if a director fails to receive a majority of votes cast "for" his or her election.</w:t>
      </w:r>
    </w:p>
    <w:p>
      <w:pPr>
        <w:spacing w:after="0" w:line="41" w:lineRule="exact"/>
        <w:rPr>
          <w:rFonts w:ascii="MS PGothic" w:cs="MS PGothic" w:eastAsia="MS PGothic" w:hAnsi="MS PGothic"/>
          <w:sz w:val="19"/>
          <w:szCs w:val="19"/>
          <w:color w:val="auto"/>
        </w:rPr>
      </w:pPr>
    </w:p>
    <w:p>
      <w:pPr>
        <w:ind w:left="311" w:right="100" w:hanging="311"/>
        <w:spacing w:after="0" w:line="225" w:lineRule="auto"/>
        <w:tabs>
          <w:tab w:leader="none" w:pos="311" w:val="left"/>
        </w:tabs>
        <w:numPr>
          <w:ilvl w:val="0"/>
          <w:numId w:val="7"/>
        </w:numPr>
        <w:rPr>
          <w:rFonts w:ascii="MS PGothic" w:cs="MS PGothic" w:eastAsia="MS PGothic" w:hAnsi="MS PGothic"/>
          <w:sz w:val="20"/>
          <w:szCs w:val="20"/>
          <w:color w:val="auto"/>
        </w:rPr>
      </w:pPr>
      <w:r>
        <w:rPr>
          <w:rFonts w:ascii="Arial" w:cs="Arial" w:eastAsia="Arial" w:hAnsi="Arial"/>
          <w:sz w:val="18"/>
          <w:szCs w:val="18"/>
          <w:color w:val="auto"/>
        </w:rPr>
        <w:t xml:space="preserve">The Board nominees reflect a balanced mix of directors with deep Company and industry knowledge, and fresh and diverse perspectives, with an </w:t>
      </w:r>
      <w:r>
        <w:rPr>
          <w:rFonts w:ascii="Arial" w:cs="Arial" w:eastAsia="Arial" w:hAnsi="Arial"/>
          <w:sz w:val="18"/>
          <w:szCs w:val="18"/>
          <w:b w:val="1"/>
          <w:bCs w:val="1"/>
          <w:color w:val="auto"/>
        </w:rPr>
        <w:t>average director tenure of 7.3 years</w:t>
      </w:r>
      <w:r>
        <w:rPr>
          <w:rFonts w:ascii="Arial" w:cs="Arial" w:eastAsia="Arial" w:hAnsi="Arial"/>
          <w:sz w:val="18"/>
          <w:szCs w:val="18"/>
          <w:color w:val="auto"/>
        </w:rPr>
        <w:t>.</w:t>
      </w:r>
    </w:p>
    <w:p>
      <w:pPr>
        <w:spacing w:after="0" w:line="19" w:lineRule="exact"/>
        <w:rPr>
          <w:rFonts w:ascii="MS PGothic" w:cs="MS PGothic" w:eastAsia="MS PGothic" w:hAnsi="MS PGothic"/>
          <w:sz w:val="20"/>
          <w:szCs w:val="20"/>
          <w:color w:val="auto"/>
        </w:rPr>
      </w:pPr>
    </w:p>
    <w:p>
      <w:pPr>
        <w:jc w:val="both"/>
        <w:ind w:left="311" w:hanging="311"/>
        <w:spacing w:after="0" w:line="226" w:lineRule="auto"/>
        <w:tabs>
          <w:tab w:leader="none" w:pos="311" w:val="left"/>
        </w:tabs>
        <w:numPr>
          <w:ilvl w:val="0"/>
          <w:numId w:val="7"/>
        </w:numPr>
        <w:rPr>
          <w:rFonts w:ascii="MS PGothic" w:cs="MS PGothic" w:eastAsia="MS PGothic" w:hAnsi="MS PGothic"/>
          <w:sz w:val="20"/>
          <w:szCs w:val="20"/>
          <w:color w:val="auto"/>
        </w:rPr>
      </w:pPr>
      <w:r>
        <w:rPr>
          <w:rFonts w:ascii="Arial" w:cs="Arial" w:eastAsia="Arial" w:hAnsi="Arial"/>
          <w:sz w:val="18"/>
          <w:szCs w:val="18"/>
          <w:color w:val="auto"/>
        </w:rPr>
        <w:t xml:space="preserve">The Board and each Committee annually conduct a </w:t>
      </w:r>
      <w:r>
        <w:rPr>
          <w:rFonts w:ascii="Arial" w:cs="Arial" w:eastAsia="Arial" w:hAnsi="Arial"/>
          <w:sz w:val="18"/>
          <w:szCs w:val="18"/>
          <w:b w:val="1"/>
          <w:bCs w:val="1"/>
          <w:color w:val="auto"/>
        </w:rPr>
        <w:t>thorough self-assessment process focused on Board or</w:t>
      </w:r>
      <w:r>
        <w:rPr>
          <w:rFonts w:ascii="Arial" w:cs="Arial" w:eastAsia="Arial" w:hAnsi="Arial"/>
          <w:sz w:val="18"/>
          <w:szCs w:val="18"/>
          <w:color w:val="auto"/>
        </w:rPr>
        <w:t xml:space="preserve"> </w:t>
      </w:r>
      <w:r>
        <w:rPr>
          <w:rFonts w:ascii="Arial" w:cs="Arial" w:eastAsia="Arial" w:hAnsi="Arial"/>
          <w:sz w:val="18"/>
          <w:szCs w:val="18"/>
          <w:b w:val="1"/>
          <w:bCs w:val="1"/>
          <w:color w:val="auto"/>
        </w:rPr>
        <w:t>Committee performance, respectively</w:t>
      </w:r>
      <w:r>
        <w:rPr>
          <w:rFonts w:ascii="Arial" w:cs="Arial" w:eastAsia="Arial" w:hAnsi="Arial"/>
          <w:sz w:val="18"/>
          <w:szCs w:val="18"/>
          <w:color w:val="auto"/>
        </w:rPr>
        <w:t>. In addition, each director completes an</w:t>
      </w:r>
      <w:r>
        <w:rPr>
          <w:rFonts w:ascii="Arial" w:cs="Arial" w:eastAsia="Arial" w:hAnsi="Arial"/>
          <w:sz w:val="18"/>
          <w:szCs w:val="18"/>
          <w:b w:val="1"/>
          <w:bCs w:val="1"/>
          <w:color w:val="auto"/>
        </w:rPr>
        <w:t xml:space="preserve"> individual director evaluation </w:t>
      </w:r>
      <w:r>
        <w:rPr>
          <w:rFonts w:ascii="Arial" w:cs="Arial" w:eastAsia="Arial" w:hAnsi="Arial"/>
          <w:sz w:val="18"/>
          <w:szCs w:val="18"/>
          <w:color w:val="auto"/>
        </w:rPr>
        <w:t>for each of the other directors and receives feedback on his or her own performance.</w:t>
      </w:r>
    </w:p>
    <w:p>
      <w:pPr>
        <w:spacing w:after="0" w:line="46" w:lineRule="exact"/>
        <w:rPr>
          <w:rFonts w:ascii="MS PGothic" w:cs="MS PGothic" w:eastAsia="MS PGothic" w:hAnsi="MS PGothic"/>
          <w:sz w:val="20"/>
          <w:szCs w:val="20"/>
          <w:color w:val="auto"/>
        </w:rPr>
      </w:pPr>
    </w:p>
    <w:p>
      <w:pPr>
        <w:ind w:left="311" w:right="60" w:hanging="311"/>
        <w:spacing w:after="0" w:line="238" w:lineRule="auto"/>
        <w:tabs>
          <w:tab w:leader="none" w:pos="311" w:val="left"/>
        </w:tabs>
        <w:numPr>
          <w:ilvl w:val="0"/>
          <w:numId w:val="7"/>
        </w:numPr>
        <w:rPr>
          <w:rFonts w:ascii="MS PGothic" w:cs="MS PGothic" w:eastAsia="MS PGothic" w:hAnsi="MS PGothic"/>
          <w:sz w:val="20"/>
          <w:szCs w:val="20"/>
          <w:color w:val="auto"/>
        </w:rPr>
      </w:pPr>
      <w:r>
        <w:rPr>
          <w:rFonts w:ascii="Arial" w:cs="Arial" w:eastAsia="Arial" w:hAnsi="Arial"/>
          <w:sz w:val="18"/>
          <w:szCs w:val="18"/>
          <w:color w:val="auto"/>
        </w:rPr>
        <w:t xml:space="preserve">We are committed to Board refreshment and have a </w:t>
      </w:r>
      <w:r>
        <w:rPr>
          <w:rFonts w:ascii="Arial" w:cs="Arial" w:eastAsia="Arial" w:hAnsi="Arial"/>
          <w:sz w:val="18"/>
          <w:szCs w:val="18"/>
          <w:b w:val="1"/>
          <w:bCs w:val="1"/>
          <w:color w:val="auto"/>
        </w:rPr>
        <w:t>director retirement policy</w:t>
      </w:r>
      <w:r>
        <w:rPr>
          <w:rFonts w:ascii="Arial" w:cs="Arial" w:eastAsia="Arial" w:hAnsi="Arial"/>
          <w:sz w:val="18"/>
          <w:szCs w:val="18"/>
          <w:color w:val="auto"/>
        </w:rPr>
        <w:t xml:space="preserve"> for directors who reach the age of 75; we have added six </w:t>
      </w:r>
      <w:r>
        <w:rPr>
          <w:rFonts w:ascii="Arial" w:cs="Arial" w:eastAsia="Arial" w:hAnsi="Arial"/>
          <w:sz w:val="18"/>
          <w:szCs w:val="18"/>
          <w:b w:val="1"/>
          <w:bCs w:val="1"/>
          <w:color w:val="auto"/>
        </w:rPr>
        <w:t>new directors to the Board since the beginning of 2015</w:t>
      </w:r>
      <w:r>
        <w:rPr>
          <w:rFonts w:ascii="Arial" w:cs="Arial" w:eastAsia="Arial" w:hAnsi="Arial"/>
          <w:sz w:val="18"/>
          <w:szCs w:val="18"/>
          <w:color w:val="auto"/>
        </w:rPr>
        <w:t>.</w:t>
      </w:r>
    </w:p>
    <w:p>
      <w:pPr>
        <w:spacing w:after="0" w:line="40" w:lineRule="exact"/>
        <w:rPr>
          <w:rFonts w:ascii="MS PGothic" w:cs="MS PGothic" w:eastAsia="MS PGothic" w:hAnsi="MS PGothic"/>
          <w:sz w:val="20"/>
          <w:szCs w:val="20"/>
          <w:color w:val="auto"/>
        </w:rPr>
      </w:pPr>
    </w:p>
    <w:p>
      <w:pPr>
        <w:ind w:left="311" w:right="120" w:hanging="311"/>
        <w:spacing w:after="0" w:line="218" w:lineRule="auto"/>
        <w:tabs>
          <w:tab w:leader="none" w:pos="311" w:val="left"/>
        </w:tabs>
        <w:numPr>
          <w:ilvl w:val="0"/>
          <w:numId w:val="7"/>
        </w:numPr>
        <w:rPr>
          <w:rFonts w:ascii="MS PGothic" w:cs="MS PGothic" w:eastAsia="MS PGothic" w:hAnsi="MS PGothic"/>
          <w:sz w:val="20"/>
          <w:szCs w:val="20"/>
          <w:color w:val="auto"/>
        </w:rPr>
      </w:pPr>
      <w:r>
        <w:rPr>
          <w:rFonts w:ascii="Arial" w:cs="Arial" w:eastAsia="Arial" w:hAnsi="Arial"/>
          <w:sz w:val="18"/>
          <w:szCs w:val="18"/>
          <w:color w:val="auto"/>
        </w:rPr>
        <w:t>One of our directors - Thomas Schoewe - was selected for the 2020 NACD Directorship 100 list. Another of our directors - William Hernandez - was selected as one of the 15 Most Relevant Hispanic Directors by Latino Leaders Magazine.</w:t>
      </w:r>
    </w:p>
    <w:p>
      <w:pPr>
        <w:spacing w:after="0" w:line="153" w:lineRule="exact"/>
        <w:rPr>
          <w:rFonts w:ascii="MS PGothic" w:cs="MS PGothic" w:eastAsia="MS PGothic" w:hAnsi="MS PGothic"/>
          <w:sz w:val="20"/>
          <w:szCs w:val="20"/>
          <w:color w:val="auto"/>
        </w:rPr>
      </w:pPr>
    </w:p>
    <w:p>
      <w:pPr>
        <w:ind w:left="311" w:right="500" w:hanging="311"/>
        <w:spacing w:after="0" w:line="226" w:lineRule="auto"/>
        <w:tabs>
          <w:tab w:leader="none" w:pos="311" w:val="left"/>
        </w:tabs>
        <w:numPr>
          <w:ilvl w:val="0"/>
          <w:numId w:val="7"/>
        </w:numPr>
        <w:rPr>
          <w:rFonts w:ascii="MS PGothic" w:cs="MS PGothic" w:eastAsia="MS PGothic" w:hAnsi="MS PGothic"/>
          <w:sz w:val="20"/>
          <w:szCs w:val="20"/>
          <w:color w:val="auto"/>
        </w:rPr>
      </w:pPr>
      <w:r>
        <w:rPr>
          <w:rFonts w:ascii="Arial" w:cs="Arial" w:eastAsia="Arial" w:hAnsi="Arial"/>
          <w:sz w:val="18"/>
          <w:szCs w:val="18"/>
          <w:color w:val="auto"/>
        </w:rPr>
        <w:t xml:space="preserve">The Board has long adopted a </w:t>
      </w:r>
      <w:r>
        <w:rPr>
          <w:rFonts w:ascii="Arial" w:cs="Arial" w:eastAsia="Arial" w:hAnsi="Arial"/>
          <w:sz w:val="18"/>
          <w:szCs w:val="18"/>
          <w:b w:val="1"/>
          <w:bCs w:val="1"/>
          <w:color w:val="auto"/>
        </w:rPr>
        <w:t>progressive governance structure that includes a proxy access bylaw</w:t>
      </w:r>
      <w:r>
        <w:rPr>
          <w:rFonts w:ascii="Arial" w:cs="Arial" w:eastAsia="Arial" w:hAnsi="Arial"/>
          <w:sz w:val="18"/>
          <w:szCs w:val="18"/>
          <w:color w:val="auto"/>
        </w:rPr>
        <w:t xml:space="preserve"> </w:t>
      </w:r>
      <w:r>
        <w:rPr>
          <w:rFonts w:ascii="Arial" w:cs="Arial" w:eastAsia="Arial" w:hAnsi="Arial"/>
          <w:sz w:val="18"/>
          <w:szCs w:val="18"/>
          <w:b w:val="1"/>
          <w:bCs w:val="1"/>
          <w:color w:val="auto"/>
        </w:rPr>
        <w:t>provision</w:t>
      </w:r>
      <w:r>
        <w:rPr>
          <w:rFonts w:ascii="Arial" w:cs="Arial" w:eastAsia="Arial" w:hAnsi="Arial"/>
          <w:sz w:val="18"/>
          <w:szCs w:val="18"/>
          <w:color w:val="auto"/>
        </w:rPr>
        <w:t>, allowing eligible shareholders to include their own director nominees in the Company's proxy</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w:t>
      </w:r>
    </w:p>
    <w:p>
      <w:pPr>
        <w:spacing w:after="0" w:line="33" w:lineRule="exact"/>
        <w:rPr>
          <w:rFonts w:ascii="MS PGothic" w:cs="MS PGothic" w:eastAsia="MS PGothic" w:hAnsi="MS PGothic"/>
          <w:sz w:val="20"/>
          <w:szCs w:val="20"/>
          <w:color w:val="auto"/>
        </w:rPr>
      </w:pPr>
    </w:p>
    <w:p>
      <w:pPr>
        <w:ind w:left="311" w:hanging="311"/>
        <w:spacing w:after="0"/>
        <w:tabs>
          <w:tab w:leader="none" w:pos="311" w:val="left"/>
        </w:tabs>
        <w:numPr>
          <w:ilvl w:val="0"/>
          <w:numId w:val="7"/>
        </w:numPr>
        <w:rPr>
          <w:rFonts w:ascii="MS PGothic" w:cs="MS PGothic" w:eastAsia="MS PGothic" w:hAnsi="MS PGothic"/>
          <w:sz w:val="20"/>
          <w:szCs w:val="20"/>
          <w:color w:val="auto"/>
        </w:rPr>
      </w:pPr>
      <w:r>
        <w:rPr>
          <w:rFonts w:ascii="Arial" w:cs="Arial" w:eastAsia="Arial" w:hAnsi="Arial"/>
          <w:sz w:val="18"/>
          <w:szCs w:val="18"/>
          <w:color w:val="auto"/>
        </w:rPr>
        <w:t xml:space="preserve">Shareholders holding at least 25% of our common stock also have the </w:t>
      </w:r>
      <w:r>
        <w:rPr>
          <w:rFonts w:ascii="Arial" w:cs="Arial" w:eastAsia="Arial" w:hAnsi="Arial"/>
          <w:sz w:val="18"/>
          <w:szCs w:val="18"/>
          <w:b w:val="1"/>
          <w:bCs w:val="1"/>
          <w:color w:val="auto"/>
        </w:rPr>
        <w:t>right to call a special meeting</w:t>
      </w:r>
      <w:r>
        <w:rPr>
          <w:rFonts w:ascii="Arial" w:cs="Arial" w:eastAsia="Arial" w:hAnsi="Arial"/>
          <w:sz w:val="18"/>
          <w:szCs w:val="18"/>
          <w:color w:val="auto"/>
        </w:rPr>
        <w:t>.</w:t>
      </w:r>
    </w:p>
    <w:p>
      <w:pPr>
        <w:spacing w:after="0" w:line="73" w:lineRule="exact"/>
        <w:rPr>
          <w:rFonts w:ascii="MS PGothic" w:cs="MS PGothic" w:eastAsia="MS PGothic" w:hAnsi="MS PGothic"/>
          <w:sz w:val="20"/>
          <w:szCs w:val="20"/>
          <w:color w:val="auto"/>
        </w:rPr>
      </w:pPr>
    </w:p>
    <w:p>
      <w:pPr>
        <w:ind w:left="311" w:hanging="311"/>
        <w:spacing w:after="0"/>
        <w:tabs>
          <w:tab w:leader="none" w:pos="311" w:val="left"/>
        </w:tabs>
        <w:numPr>
          <w:ilvl w:val="0"/>
          <w:numId w:val="7"/>
        </w:numPr>
        <w:rPr>
          <w:rFonts w:ascii="MS PGothic" w:cs="MS PGothic" w:eastAsia="MS PGothic" w:hAnsi="MS PGothic"/>
          <w:sz w:val="20"/>
          <w:szCs w:val="20"/>
          <w:color w:val="auto"/>
        </w:rPr>
      </w:pPr>
      <w:r>
        <w:rPr>
          <w:rFonts w:ascii="Arial" w:cs="Arial" w:eastAsia="Arial" w:hAnsi="Arial"/>
          <w:sz w:val="18"/>
          <w:szCs w:val="18"/>
          <w:color w:val="auto"/>
        </w:rPr>
        <w:t xml:space="preserve">Shareholders holding at least 25% of our common stock also have the right to take </w:t>
      </w:r>
      <w:r>
        <w:rPr>
          <w:rFonts w:ascii="Arial" w:cs="Arial" w:eastAsia="Arial" w:hAnsi="Arial"/>
          <w:sz w:val="18"/>
          <w:szCs w:val="18"/>
          <w:b w:val="1"/>
          <w:bCs w:val="1"/>
          <w:color w:val="auto"/>
        </w:rPr>
        <w:t>action by written consent</w:t>
      </w:r>
      <w:r>
        <w:rPr>
          <w:rFonts w:ascii="Arial" w:cs="Arial" w:eastAsia="Arial" w:hAnsi="Arial"/>
          <w:sz w:val="18"/>
          <w:szCs w:val="18"/>
          <w:color w:val="auto"/>
        </w:rPr>
        <w:t>.</w:t>
      </w:r>
    </w:p>
    <w:p>
      <w:pPr>
        <w:spacing w:after="0" w:line="262" w:lineRule="exact"/>
        <w:rPr>
          <w:rFonts w:ascii="MS PGothic" w:cs="MS PGothic" w:eastAsia="MS PGothic" w:hAnsi="MS PGothic"/>
          <w:sz w:val="20"/>
          <w:szCs w:val="20"/>
          <w:color w:val="auto"/>
        </w:rPr>
      </w:pPr>
    </w:p>
    <w:p>
      <w:pPr>
        <w:ind w:left="311" w:right="340" w:hanging="311"/>
        <w:spacing w:after="0" w:line="238" w:lineRule="auto"/>
        <w:tabs>
          <w:tab w:leader="none" w:pos="311" w:val="left"/>
        </w:tabs>
        <w:numPr>
          <w:ilvl w:val="0"/>
          <w:numId w:val="7"/>
        </w:numPr>
        <w:rPr>
          <w:rFonts w:ascii="MS PGothic" w:cs="MS PGothic" w:eastAsia="MS PGothic" w:hAnsi="MS PGothic"/>
          <w:sz w:val="20"/>
          <w:szCs w:val="20"/>
          <w:color w:val="auto"/>
        </w:rPr>
      </w:pPr>
      <w:r>
        <w:rPr>
          <w:rFonts w:ascii="Arial" w:cs="Arial" w:eastAsia="Arial" w:hAnsi="Arial"/>
          <w:sz w:val="18"/>
          <w:szCs w:val="18"/>
          <w:color w:val="auto"/>
        </w:rPr>
        <w:t xml:space="preserve">Shareholders have the ability to </w:t>
      </w:r>
      <w:r>
        <w:rPr>
          <w:rFonts w:ascii="Arial" w:cs="Arial" w:eastAsia="Arial" w:hAnsi="Arial"/>
          <w:sz w:val="18"/>
          <w:szCs w:val="18"/>
          <w:b w:val="1"/>
          <w:bCs w:val="1"/>
          <w:color w:val="auto"/>
        </w:rPr>
        <w:t>communicate and meet directly with our management and directors</w:t>
      </w:r>
      <w:r>
        <w:rPr>
          <w:rFonts w:ascii="Arial" w:cs="Arial" w:eastAsia="Arial" w:hAnsi="Arial"/>
          <w:sz w:val="18"/>
          <w:szCs w:val="18"/>
          <w:color w:val="auto"/>
        </w:rPr>
        <w:t xml:space="preserve"> as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-4396740</wp:posOffset>
            </wp:positionV>
            <wp:extent cx="5966460" cy="4457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6460" cy="44577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60" w:space="329"/>
            <w:col w:w="9251"/>
          </w:cols>
          <w:pgMar w:left="320" w:top="607" w:right="439" w:bottom="1440" w:gutter="0" w:footer="0" w:header="0"/>
          <w:type w:val="continuous"/>
        </w:sect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1140"/>
          </w:cols>
          <w:pgMar w:left="320" w:top="607" w:right="4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3086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t>PROXY STATEMENT SUMMARY</w:t>
      </w:r>
    </w:p>
    <w:p>
      <w:pPr>
        <w:sectPr>
          <w:pgSz w:w="11900" w:h="16838" w:orient="portrait"/>
          <w:cols w:equalWidth="0" w:num="1">
            <w:col w:w="11220"/>
          </w:cols>
          <w:pgMar w:left="34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100"/>
        <w:spacing w:after="0"/>
        <w:rPr>
          <w:sz w:val="20"/>
          <w:szCs w:val="20"/>
          <w:color w:val="auto"/>
        </w:rPr>
      </w:pPr>
      <w:r>
        <w:rPr>
          <w:rFonts w:ascii="Arial" w:cs="Arial" w:eastAsia="Arial" w:hAnsi="Arial"/>
          <w:sz w:val="22"/>
          <w:szCs w:val="22"/>
          <w:b w:val="1"/>
          <w:bCs w:val="1"/>
          <w:color w:val="FFFFFF"/>
        </w:rPr>
        <w:t>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-1409700</wp:posOffset>
            </wp:positionV>
            <wp:extent cx="1080135" cy="31203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80135" cy="3120390"/>
                    </a:xfrm>
                    <a:prstGeom prst="rect">
                      <a:avLst/>
                    </a:prstGeom>
                    <a:noFill/>
                  </pic:spPr>
                </pic:pic>
              </a:graphicData>
            </a:graphic>
          </wp:anchor>
        </w:drawing>
      </w:r>
    </w:p>
    <w:p>
      <w:pPr>
        <w:jc w:val="center"/>
        <w:ind w:left="100"/>
        <w:spacing w:after="0" w:line="214" w:lineRule="auto"/>
        <w:rPr>
          <w:sz w:val="20"/>
          <w:szCs w:val="20"/>
          <w:color w:val="auto"/>
        </w:rPr>
      </w:pPr>
      <w:r>
        <w:rPr>
          <w:rFonts w:ascii="Arial" w:cs="Arial" w:eastAsia="Arial" w:hAnsi="Arial"/>
          <w:sz w:val="21"/>
          <w:szCs w:val="21"/>
          <w:b w:val="1"/>
          <w:bCs w:val="1"/>
          <w:color w:val="FFFFFF"/>
        </w:rPr>
        <w:t>Responsibility</w:t>
      </w:r>
    </w:p>
    <w:p>
      <w:pPr>
        <w:jc w:val="center"/>
        <w:ind w:left="100"/>
        <w:spacing w:after="0" w:line="205" w:lineRule="auto"/>
        <w:rPr>
          <w:sz w:val="20"/>
          <w:szCs w:val="20"/>
          <w:color w:val="auto"/>
        </w:rPr>
      </w:pPr>
      <w:r>
        <w:rPr>
          <w:rFonts w:ascii="Arial" w:cs="Arial" w:eastAsia="Arial" w:hAnsi="Arial"/>
          <w:sz w:val="22"/>
          <w:szCs w:val="22"/>
          <w:b w:val="1"/>
          <w:bCs w:val="1"/>
          <w:color w:val="FFFFFF"/>
        </w:rPr>
        <w:t>and</w:t>
      </w:r>
    </w:p>
    <w:p>
      <w:pPr>
        <w:spacing w:after="0" w:line="1" w:lineRule="exact"/>
        <w:rPr>
          <w:sz w:val="20"/>
          <w:szCs w:val="20"/>
          <w:color w:val="auto"/>
        </w:rPr>
      </w:pPr>
    </w:p>
    <w:p>
      <w:pPr>
        <w:jc w:val="center"/>
        <w:ind w:left="100"/>
        <w:spacing w:after="0"/>
        <w:rPr>
          <w:sz w:val="20"/>
          <w:szCs w:val="20"/>
          <w:color w:val="auto"/>
        </w:rPr>
      </w:pPr>
      <w:r>
        <w:rPr>
          <w:rFonts w:ascii="Arial" w:cs="Arial" w:eastAsia="Arial" w:hAnsi="Arial"/>
          <w:sz w:val="22"/>
          <w:szCs w:val="22"/>
          <w:b w:val="1"/>
          <w:bCs w:val="1"/>
          <w:color w:val="FFFFFF"/>
        </w:rPr>
        <w:t>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1301115</wp:posOffset>
            </wp:positionV>
            <wp:extent cx="1080135" cy="4800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8013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left="100"/>
        <w:spacing w:after="0"/>
        <w:rPr>
          <w:sz w:val="20"/>
          <w:szCs w:val="20"/>
          <w:color w:val="auto"/>
        </w:rPr>
      </w:pPr>
      <w:r>
        <w:rPr>
          <w:rFonts w:ascii="Arial" w:cs="Arial" w:eastAsia="Arial" w:hAnsi="Arial"/>
          <w:sz w:val="22"/>
          <w:szCs w:val="22"/>
          <w:b w:val="1"/>
          <w:bCs w:val="1"/>
          <w:color w:val="FFFFFF"/>
        </w:rPr>
        <w:t>Stock</w:t>
      </w:r>
    </w:p>
    <w:p>
      <w:pPr>
        <w:jc w:val="center"/>
        <w:ind w:left="100"/>
        <w:spacing w:after="0"/>
        <w:rPr>
          <w:sz w:val="20"/>
          <w:szCs w:val="20"/>
          <w:color w:val="auto"/>
        </w:rPr>
      </w:pPr>
      <w:r>
        <w:rPr>
          <w:rFonts w:ascii="Arial" w:cs="Arial" w:eastAsia="Arial" w:hAnsi="Arial"/>
          <w:sz w:val="22"/>
          <w:szCs w:val="22"/>
          <w:b w:val="1"/>
          <w:bCs w:val="1"/>
          <w:color w:val="FFFFFF"/>
        </w:rPr>
        <w:t>Ownership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11" w:right="700" w:hanging="311"/>
        <w:spacing w:after="0" w:line="226" w:lineRule="auto"/>
        <w:tabs>
          <w:tab w:leader="none" w:pos="311" w:val="left"/>
        </w:tabs>
        <w:numPr>
          <w:ilvl w:val="0"/>
          <w:numId w:val="8"/>
        </w:numPr>
        <w:rPr>
          <w:rFonts w:ascii="MS PGothic" w:cs="MS PGothic" w:eastAsia="MS PGothic" w:hAnsi="MS PGothic"/>
          <w:sz w:val="20"/>
          <w:szCs w:val="20"/>
          <w:color w:val="auto"/>
        </w:rPr>
      </w:pPr>
      <w:r>
        <w:rPr>
          <w:rFonts w:ascii="Arial" w:cs="Arial" w:eastAsia="Arial" w:hAnsi="Arial"/>
          <w:sz w:val="18"/>
          <w:szCs w:val="18"/>
          <w:color w:val="auto"/>
        </w:rPr>
        <w:t xml:space="preserve">We have a </w:t>
      </w:r>
      <w:r>
        <w:rPr>
          <w:rFonts w:ascii="Arial" w:cs="Arial" w:eastAsia="Arial" w:hAnsi="Arial"/>
          <w:sz w:val="18"/>
          <w:szCs w:val="18"/>
          <w:b w:val="1"/>
          <w:bCs w:val="1"/>
          <w:color w:val="auto"/>
        </w:rPr>
        <w:t>robust corporate responsibility and sustainability program</w:t>
      </w:r>
      <w:r>
        <w:rPr>
          <w:rFonts w:ascii="Arial" w:cs="Arial" w:eastAsia="Arial" w:hAnsi="Arial"/>
          <w:sz w:val="18"/>
          <w:szCs w:val="18"/>
          <w:color w:val="auto"/>
        </w:rPr>
        <w:t xml:space="preserve"> and publish an </w:t>
      </w:r>
      <w:r>
        <w:rPr>
          <w:rFonts w:ascii="Arial" w:cs="Arial" w:eastAsia="Arial" w:hAnsi="Arial"/>
          <w:sz w:val="18"/>
          <w:szCs w:val="18"/>
          <w:b w:val="1"/>
          <w:bCs w:val="1"/>
          <w:color w:val="auto"/>
        </w:rPr>
        <w:t>annual report</w:t>
      </w:r>
      <w:r>
        <w:rPr>
          <w:rFonts w:ascii="Arial" w:cs="Arial" w:eastAsia="Arial" w:hAnsi="Arial"/>
          <w:sz w:val="18"/>
          <w:szCs w:val="18"/>
          <w:color w:val="auto"/>
        </w:rPr>
        <w:t xml:space="preserve"> </w:t>
      </w:r>
      <w:r>
        <w:rPr>
          <w:rFonts w:ascii="Arial" w:cs="Arial" w:eastAsia="Arial" w:hAnsi="Arial"/>
          <w:sz w:val="18"/>
          <w:szCs w:val="18"/>
          <w:b w:val="1"/>
          <w:bCs w:val="1"/>
          <w:color w:val="auto"/>
        </w:rPr>
        <w:t>detailing numerous aspects of our social, environmental and governance performance</w:t>
      </w:r>
      <w:r>
        <w:rPr>
          <w:rFonts w:ascii="Arial" w:cs="Arial" w:eastAsia="Arial" w:hAnsi="Arial"/>
          <w:sz w:val="18"/>
          <w:szCs w:val="18"/>
          <w:color w:val="auto"/>
        </w:rPr>
        <w:t>, with an</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external review panel engaged to provide feedback and advice.</w:t>
      </w:r>
    </w:p>
    <w:p>
      <w:pPr>
        <w:spacing w:after="0" w:line="33" w:lineRule="exact"/>
        <w:rPr>
          <w:rFonts w:ascii="MS PGothic" w:cs="MS PGothic" w:eastAsia="MS PGothic" w:hAnsi="MS PGothic"/>
          <w:sz w:val="20"/>
          <w:szCs w:val="20"/>
          <w:color w:val="auto"/>
        </w:rPr>
      </w:pPr>
    </w:p>
    <w:p>
      <w:pPr>
        <w:ind w:left="311" w:right="480" w:hanging="311"/>
        <w:spacing w:after="0" w:line="264" w:lineRule="auto"/>
        <w:tabs>
          <w:tab w:leader="none" w:pos="311" w:val="left"/>
        </w:tabs>
        <w:numPr>
          <w:ilvl w:val="0"/>
          <w:numId w:val="8"/>
        </w:numPr>
        <w:rPr>
          <w:rFonts w:ascii="MS PGothic" w:cs="MS PGothic" w:eastAsia="MS PGothic" w:hAnsi="MS PGothic"/>
          <w:sz w:val="19"/>
          <w:szCs w:val="19"/>
          <w:color w:val="auto"/>
        </w:rPr>
      </w:pPr>
      <w:r>
        <w:rPr>
          <w:rFonts w:ascii="Arial" w:cs="Arial" w:eastAsia="Arial" w:hAnsi="Arial"/>
          <w:sz w:val="17"/>
          <w:szCs w:val="17"/>
          <w:color w:val="auto"/>
        </w:rPr>
        <w:t xml:space="preserve">We have a </w:t>
      </w:r>
      <w:r>
        <w:rPr>
          <w:rFonts w:ascii="Arial" w:cs="Arial" w:eastAsia="Arial" w:hAnsi="Arial"/>
          <w:sz w:val="17"/>
          <w:szCs w:val="17"/>
          <w:b w:val="1"/>
          <w:bCs w:val="1"/>
          <w:color w:val="auto"/>
        </w:rPr>
        <w:t>strong ethics program</w:t>
      </w:r>
      <w:r>
        <w:rPr>
          <w:rFonts w:ascii="Arial" w:cs="Arial" w:eastAsia="Arial" w:hAnsi="Arial"/>
          <w:sz w:val="17"/>
          <w:szCs w:val="17"/>
          <w:color w:val="auto"/>
        </w:rPr>
        <w:t xml:space="preserve"> with standards of business conduct that help guide and promote good governance, responsible business practices and the highest standards of integrity throughout the Company.</w:t>
      </w:r>
    </w:p>
    <w:p>
      <w:pPr>
        <w:spacing w:after="0" w:line="200" w:lineRule="exact"/>
        <w:rPr>
          <w:rFonts w:ascii="MS PGothic" w:cs="MS PGothic" w:eastAsia="MS PGothic" w:hAnsi="MS PGothic"/>
          <w:sz w:val="19"/>
          <w:szCs w:val="19"/>
          <w:color w:val="auto"/>
        </w:rPr>
      </w:pPr>
    </w:p>
    <w:p>
      <w:pPr>
        <w:ind w:left="311" w:right="460" w:hanging="311"/>
        <w:spacing w:after="0" w:line="238" w:lineRule="auto"/>
        <w:tabs>
          <w:tab w:leader="none" w:pos="311" w:val="left"/>
        </w:tabs>
        <w:numPr>
          <w:ilvl w:val="0"/>
          <w:numId w:val="8"/>
        </w:numPr>
        <w:rPr>
          <w:rFonts w:ascii="MS PGothic" w:cs="MS PGothic" w:eastAsia="MS PGothic" w:hAnsi="MS PGothic"/>
          <w:sz w:val="20"/>
          <w:szCs w:val="20"/>
          <w:color w:val="auto"/>
        </w:rPr>
      </w:pPr>
      <w:r>
        <w:rPr>
          <w:rFonts w:ascii="Arial" w:cs="Arial" w:eastAsia="Arial" w:hAnsi="Arial"/>
          <w:sz w:val="18"/>
          <w:szCs w:val="18"/>
          <w:color w:val="auto"/>
        </w:rPr>
        <w:t xml:space="preserve">We have a </w:t>
      </w:r>
      <w:r>
        <w:rPr>
          <w:rFonts w:ascii="Arial" w:cs="Arial" w:eastAsia="Arial" w:hAnsi="Arial"/>
          <w:sz w:val="18"/>
          <w:szCs w:val="18"/>
          <w:b w:val="1"/>
          <w:bCs w:val="1"/>
          <w:color w:val="auto"/>
        </w:rPr>
        <w:t>strong corporate culture</w:t>
      </w:r>
      <w:r>
        <w:rPr>
          <w:rFonts w:ascii="Arial" w:cs="Arial" w:eastAsia="Arial" w:hAnsi="Arial"/>
          <w:sz w:val="18"/>
          <w:szCs w:val="18"/>
          <w:color w:val="auto"/>
        </w:rPr>
        <w:t>, focused on ethics, trusted relationships, respect, diversity, equity and inclusion, performance, innovation and delivering extraordinary results for all our stakeholders.</w:t>
      </w:r>
    </w:p>
    <w:p>
      <w:pPr>
        <w:spacing w:after="0" w:line="18" w:lineRule="exact"/>
        <w:rPr>
          <w:rFonts w:ascii="MS PGothic" w:cs="MS PGothic" w:eastAsia="MS PGothic" w:hAnsi="MS PGothic"/>
          <w:sz w:val="20"/>
          <w:szCs w:val="20"/>
          <w:color w:val="auto"/>
        </w:rPr>
      </w:pPr>
    </w:p>
    <w:p>
      <w:pPr>
        <w:ind w:left="311" w:right="820" w:hanging="311"/>
        <w:spacing w:after="0" w:line="238" w:lineRule="auto"/>
        <w:tabs>
          <w:tab w:leader="none" w:pos="311" w:val="left"/>
        </w:tabs>
        <w:numPr>
          <w:ilvl w:val="0"/>
          <w:numId w:val="8"/>
        </w:numPr>
        <w:rPr>
          <w:rFonts w:ascii="MS PGothic" w:cs="MS PGothic" w:eastAsia="MS PGothic" w:hAnsi="MS PGothic"/>
          <w:sz w:val="20"/>
          <w:szCs w:val="20"/>
          <w:color w:val="auto"/>
        </w:rPr>
      </w:pPr>
      <w:r>
        <w:rPr>
          <w:rFonts w:ascii="Arial" w:cs="Arial" w:eastAsia="Arial" w:hAnsi="Arial"/>
          <w:sz w:val="18"/>
          <w:szCs w:val="18"/>
          <w:color w:val="auto"/>
        </w:rPr>
        <w:t xml:space="preserve">We have </w:t>
      </w:r>
      <w:r>
        <w:rPr>
          <w:rFonts w:ascii="Arial" w:cs="Arial" w:eastAsia="Arial" w:hAnsi="Arial"/>
          <w:sz w:val="18"/>
          <w:szCs w:val="18"/>
          <w:b w:val="1"/>
          <w:bCs w:val="1"/>
          <w:color w:val="auto"/>
        </w:rPr>
        <w:t>extensive and long-standing programs to fulfill our commitment to diversity, equity and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inclusion </w:t>
      </w:r>
      <w:r>
        <w:rPr>
          <w:rFonts w:ascii="Arial" w:cs="Arial" w:eastAsia="Arial" w:hAnsi="Arial"/>
          <w:sz w:val="18"/>
          <w:szCs w:val="18"/>
          <w:color w:val="auto"/>
        </w:rPr>
        <w:t>throughout the Company and support diverse communities.</w:t>
      </w:r>
    </w:p>
    <w:p>
      <w:pPr>
        <w:spacing w:after="0" w:line="18" w:lineRule="exact"/>
        <w:rPr>
          <w:rFonts w:ascii="MS PGothic" w:cs="MS PGothic" w:eastAsia="MS PGothic" w:hAnsi="MS PGothic"/>
          <w:sz w:val="20"/>
          <w:szCs w:val="20"/>
          <w:color w:val="auto"/>
        </w:rPr>
      </w:pPr>
    </w:p>
    <w:p>
      <w:pPr>
        <w:ind w:left="311" w:right="80" w:hanging="311"/>
        <w:spacing w:after="0" w:line="221" w:lineRule="auto"/>
        <w:tabs>
          <w:tab w:leader="none" w:pos="311" w:val="left"/>
        </w:tabs>
        <w:numPr>
          <w:ilvl w:val="0"/>
          <w:numId w:val="8"/>
        </w:numPr>
        <w:rPr>
          <w:rFonts w:ascii="MS PGothic" w:cs="MS PGothic" w:eastAsia="MS PGothic" w:hAnsi="MS PGothic"/>
          <w:sz w:val="20"/>
          <w:szCs w:val="20"/>
          <w:color w:val="auto"/>
        </w:rPr>
      </w:pPr>
      <w:r>
        <w:rPr>
          <w:rFonts w:ascii="Arial" w:cs="Arial" w:eastAsia="Arial" w:hAnsi="Arial"/>
          <w:sz w:val="18"/>
          <w:szCs w:val="18"/>
          <w:color w:val="auto"/>
        </w:rPr>
        <w:t xml:space="preserve">We have a </w:t>
      </w:r>
      <w:r>
        <w:rPr>
          <w:rFonts w:ascii="Arial" w:cs="Arial" w:eastAsia="Arial" w:hAnsi="Arial"/>
          <w:sz w:val="18"/>
          <w:szCs w:val="18"/>
          <w:b w:val="1"/>
          <w:bCs w:val="1"/>
          <w:color w:val="auto"/>
        </w:rPr>
        <w:t>human rights policy</w:t>
      </w:r>
      <w:r>
        <w:rPr>
          <w:rFonts w:ascii="Arial" w:cs="Arial" w:eastAsia="Arial" w:hAnsi="Arial"/>
          <w:sz w:val="18"/>
          <w:szCs w:val="18"/>
          <w:color w:val="auto"/>
        </w:rPr>
        <w:t xml:space="preserve"> that was revised in 2020 to emphasize our strong commitment to human rights. We have a Human Rights Working Group comprised of senior representatives from different functions and operations, and led by our General Counsel. Our Policy Committee receives regular reports on our human rights practices as part of its oversight role.</w:t>
      </w:r>
    </w:p>
    <w:p>
      <w:pPr>
        <w:spacing w:after="0" w:line="31" w:lineRule="exact"/>
        <w:rPr>
          <w:rFonts w:ascii="MS PGothic" w:cs="MS PGothic" w:eastAsia="MS PGothic" w:hAnsi="MS PGothic"/>
          <w:sz w:val="20"/>
          <w:szCs w:val="20"/>
          <w:color w:val="auto"/>
        </w:rPr>
      </w:pPr>
    </w:p>
    <w:p>
      <w:pPr>
        <w:ind w:left="311" w:right="180" w:hanging="311"/>
        <w:spacing w:after="0" w:line="221" w:lineRule="auto"/>
        <w:tabs>
          <w:tab w:leader="none" w:pos="311" w:val="left"/>
        </w:tabs>
        <w:numPr>
          <w:ilvl w:val="0"/>
          <w:numId w:val="8"/>
        </w:numPr>
        <w:rPr>
          <w:rFonts w:ascii="MS PGothic" w:cs="MS PGothic" w:eastAsia="MS PGothic" w:hAnsi="MS PGothic"/>
          <w:sz w:val="20"/>
          <w:szCs w:val="20"/>
          <w:color w:val="auto"/>
        </w:rPr>
      </w:pPr>
      <w:r>
        <w:rPr>
          <w:rFonts w:ascii="Arial" w:cs="Arial" w:eastAsia="Arial" w:hAnsi="Arial"/>
          <w:sz w:val="18"/>
          <w:szCs w:val="18"/>
          <w:color w:val="auto"/>
        </w:rPr>
        <w:t xml:space="preserve">We </w:t>
      </w:r>
      <w:r>
        <w:rPr>
          <w:rFonts w:ascii="Arial" w:cs="Arial" w:eastAsia="Arial" w:hAnsi="Arial"/>
          <w:sz w:val="18"/>
          <w:szCs w:val="18"/>
          <w:b w:val="1"/>
          <w:bCs w:val="1"/>
          <w:color w:val="auto"/>
        </w:rPr>
        <w:t>integrate our environmental program</w:t>
      </w:r>
      <w:r>
        <w:rPr>
          <w:rFonts w:ascii="Arial" w:cs="Arial" w:eastAsia="Arial" w:hAnsi="Arial"/>
          <w:sz w:val="18"/>
          <w:szCs w:val="18"/>
          <w:color w:val="auto"/>
        </w:rPr>
        <w:t xml:space="preserve"> into our organizational culture, reducing our environmental footprint and driving affordability. Our executive officers are accountable for achieving environmental sustainability goals, which is </w:t>
      </w:r>
      <w:r>
        <w:rPr>
          <w:rFonts w:ascii="Arial" w:cs="Arial" w:eastAsia="Arial" w:hAnsi="Arial"/>
          <w:sz w:val="18"/>
          <w:szCs w:val="18"/>
          <w:b w:val="1"/>
          <w:bCs w:val="1"/>
          <w:color w:val="auto"/>
        </w:rPr>
        <w:t>one of our seven non-financial corporate performance metrics</w:t>
      </w:r>
      <w:r>
        <w:rPr>
          <w:rFonts w:ascii="Arial" w:cs="Arial" w:eastAsia="Arial" w:hAnsi="Arial"/>
          <w:sz w:val="18"/>
          <w:szCs w:val="18"/>
          <w:color w:val="auto"/>
        </w:rPr>
        <w:t>. We are further enhancing our environmental goals consistent with evolving standards.</w:t>
      </w:r>
    </w:p>
    <w:p>
      <w:pPr>
        <w:spacing w:after="0" w:line="85" w:lineRule="exact"/>
        <w:rPr>
          <w:rFonts w:ascii="MS PGothic" w:cs="MS PGothic" w:eastAsia="MS PGothic" w:hAnsi="MS PGothic"/>
          <w:sz w:val="20"/>
          <w:szCs w:val="20"/>
          <w:color w:val="auto"/>
        </w:rPr>
      </w:pPr>
    </w:p>
    <w:p>
      <w:pPr>
        <w:jc w:val="both"/>
        <w:ind w:left="311" w:right="60" w:hanging="311"/>
        <w:spacing w:after="0" w:line="226" w:lineRule="auto"/>
        <w:tabs>
          <w:tab w:leader="none" w:pos="311" w:val="left"/>
        </w:tabs>
        <w:numPr>
          <w:ilvl w:val="0"/>
          <w:numId w:val="8"/>
        </w:numPr>
        <w:rPr>
          <w:rFonts w:ascii="MS PGothic" w:cs="MS PGothic" w:eastAsia="MS PGothic" w:hAnsi="MS PGothic"/>
          <w:sz w:val="20"/>
          <w:szCs w:val="20"/>
          <w:color w:val="auto"/>
        </w:rPr>
      </w:pPr>
      <w:r>
        <w:rPr>
          <w:rFonts w:ascii="Arial" w:cs="Arial" w:eastAsia="Arial" w:hAnsi="Arial"/>
          <w:sz w:val="18"/>
          <w:szCs w:val="18"/>
          <w:color w:val="auto"/>
        </w:rPr>
        <w:t xml:space="preserve">We disclose our </w:t>
      </w:r>
      <w:r>
        <w:rPr>
          <w:rFonts w:ascii="Arial" w:cs="Arial" w:eastAsia="Arial" w:hAnsi="Arial"/>
          <w:sz w:val="18"/>
          <w:szCs w:val="18"/>
          <w:b w:val="1"/>
          <w:bCs w:val="1"/>
          <w:color w:val="auto"/>
        </w:rPr>
        <w:t>political contributions policy and various trade association memberships on our website</w:t>
      </w:r>
      <w:r>
        <w:rPr>
          <w:rFonts w:ascii="Arial" w:cs="Arial" w:eastAsia="Arial" w:hAnsi="Arial"/>
          <w:sz w:val="18"/>
          <w:szCs w:val="18"/>
          <w:color w:val="auto"/>
        </w:rPr>
        <w:t>. After a pause in spending, we updated the criteria we use for making ENGPAC contributions, clarifying they need to be consistent with our business objectives and Company values.</w:t>
      </w:r>
    </w:p>
    <w:p>
      <w:pPr>
        <w:spacing w:after="0" w:line="60" w:lineRule="exact"/>
        <w:rPr>
          <w:rFonts w:ascii="MS PGothic" w:cs="MS PGothic" w:eastAsia="MS PGothic" w:hAnsi="MS PGothic"/>
          <w:sz w:val="20"/>
          <w:szCs w:val="20"/>
          <w:color w:val="auto"/>
        </w:rPr>
      </w:pPr>
    </w:p>
    <w:p>
      <w:pPr>
        <w:ind w:left="311" w:right="660" w:hanging="311"/>
        <w:spacing w:after="0" w:line="238" w:lineRule="auto"/>
        <w:tabs>
          <w:tab w:leader="none" w:pos="311" w:val="left"/>
        </w:tabs>
        <w:numPr>
          <w:ilvl w:val="0"/>
          <w:numId w:val="8"/>
        </w:numPr>
        <w:rPr>
          <w:rFonts w:ascii="MS PGothic" w:cs="MS PGothic" w:eastAsia="MS PGothic" w:hAnsi="MS PGothic"/>
          <w:sz w:val="20"/>
          <w:szCs w:val="20"/>
          <w:color w:val="auto"/>
        </w:rPr>
      </w:pPr>
      <w:r>
        <w:rPr>
          <w:rFonts w:ascii="Arial" w:cs="Arial" w:eastAsia="Arial" w:hAnsi="Arial"/>
          <w:sz w:val="18"/>
          <w:szCs w:val="18"/>
          <w:color w:val="auto"/>
        </w:rPr>
        <w:t xml:space="preserve">We have a robust </w:t>
      </w:r>
      <w:r>
        <w:rPr>
          <w:rFonts w:ascii="Arial" w:cs="Arial" w:eastAsia="Arial" w:hAnsi="Arial"/>
          <w:sz w:val="18"/>
          <w:szCs w:val="18"/>
          <w:b w:val="1"/>
          <w:bCs w:val="1"/>
          <w:color w:val="auto"/>
        </w:rPr>
        <w:t>recoupment policy</w:t>
      </w:r>
      <w:r>
        <w:rPr>
          <w:rFonts w:ascii="Arial" w:cs="Arial" w:eastAsia="Arial" w:hAnsi="Arial"/>
          <w:sz w:val="18"/>
          <w:szCs w:val="18"/>
          <w:color w:val="auto"/>
        </w:rPr>
        <w:t xml:space="preserve"> which provides the Board of Directors with the ability to recoup the incentive compensation of elected officers and others under various circumstances.</w:t>
      </w:r>
    </w:p>
    <w:p>
      <w:pPr>
        <w:spacing w:after="0" w:line="148" w:lineRule="exact"/>
        <w:rPr>
          <w:rFonts w:ascii="MS PGothic" w:cs="MS PGothic" w:eastAsia="MS PGothic" w:hAnsi="MS PGothic"/>
          <w:sz w:val="20"/>
          <w:szCs w:val="20"/>
          <w:color w:val="auto"/>
        </w:rPr>
      </w:pPr>
    </w:p>
    <w:p>
      <w:pPr>
        <w:ind w:left="311" w:right="40" w:hanging="311"/>
        <w:spacing w:after="0" w:line="225" w:lineRule="auto"/>
        <w:tabs>
          <w:tab w:leader="none" w:pos="311" w:val="left"/>
        </w:tabs>
        <w:numPr>
          <w:ilvl w:val="0"/>
          <w:numId w:val="8"/>
        </w:numPr>
        <w:rPr>
          <w:rFonts w:ascii="MS PGothic" w:cs="MS PGothic" w:eastAsia="MS PGothic" w:hAnsi="MS PGothic"/>
          <w:sz w:val="20"/>
          <w:szCs w:val="20"/>
          <w:color w:val="auto"/>
        </w:rPr>
      </w:pPr>
      <w:r>
        <w:rPr>
          <w:rFonts w:ascii="Arial" w:cs="Arial" w:eastAsia="Arial" w:hAnsi="Arial"/>
          <w:sz w:val="18"/>
          <w:szCs w:val="18"/>
          <w:color w:val="auto"/>
        </w:rPr>
        <w:t>We have stock ownership guidelines of 7x base salary for the CEO and 3x base salary for other named executive officers, as well as stock holding requirements of three years from the vesting date.</w:t>
      </w:r>
    </w:p>
    <w:p>
      <w:pPr>
        <w:spacing w:after="0" w:line="68" w:lineRule="exact"/>
        <w:rPr>
          <w:rFonts w:ascii="MS PGothic" w:cs="MS PGothic" w:eastAsia="MS PGothic" w:hAnsi="MS PGothic"/>
          <w:sz w:val="20"/>
          <w:szCs w:val="20"/>
          <w:color w:val="auto"/>
        </w:rPr>
      </w:pPr>
    </w:p>
    <w:p>
      <w:pPr>
        <w:ind w:left="311" w:hanging="311"/>
        <w:spacing w:after="0"/>
        <w:tabs>
          <w:tab w:leader="none" w:pos="311" w:val="left"/>
        </w:tabs>
        <w:numPr>
          <w:ilvl w:val="0"/>
          <w:numId w:val="8"/>
        </w:numPr>
        <w:rPr>
          <w:rFonts w:ascii="MS PGothic" w:cs="MS PGothic" w:eastAsia="MS PGothic" w:hAnsi="MS PGothic"/>
          <w:sz w:val="20"/>
          <w:szCs w:val="20"/>
          <w:color w:val="auto"/>
        </w:rPr>
      </w:pPr>
      <w:r>
        <w:rPr>
          <w:rFonts w:ascii="Arial" w:cs="Arial" w:eastAsia="Arial" w:hAnsi="Arial"/>
          <w:sz w:val="18"/>
          <w:szCs w:val="18"/>
          <w:color w:val="auto"/>
        </w:rPr>
        <w:t>We have stock ownership guidelines of 5x the annual cash retainer for our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-3587115</wp:posOffset>
            </wp:positionV>
            <wp:extent cx="5966460" cy="36258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6460" cy="3625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80" w:space="289"/>
            <w:col w:w="9351"/>
          </w:cols>
          <w:pgMar w:left="340" w:top="607" w:right="339" w:bottom="1440" w:gutter="0" w:footer="0" w:header="0"/>
          <w:type w:val="continuous"/>
        </w:sectPr>
      </w:pPr>
    </w:p>
    <w:p>
      <w:pPr>
        <w:spacing w:after="0" w:line="346" w:lineRule="exact"/>
        <w:rPr>
          <w:sz w:val="20"/>
          <w:szCs w:val="20"/>
          <w:color w:val="auto"/>
        </w:rPr>
      </w:pPr>
    </w:p>
    <w:p>
      <w:pPr>
        <w:ind w:left="5300"/>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5</w:t>
      </w:r>
    </w:p>
    <w:p>
      <w:pPr>
        <w:sectPr>
          <w:pgSz w:w="11900" w:h="16838" w:orient="portrait"/>
          <w:cols w:equalWidth="0" w:num="1">
            <w:col w:w="11220"/>
          </w:cols>
          <w:pgMar w:left="340" w:top="607" w:right="339" w:bottom="1440" w:gutter="0" w:footer="0" w:header="0"/>
          <w:type w:val="continuous"/>
        </w:sectPr>
      </w:pPr>
    </w:p>
    <w:bookmarkStart w:id="11" w:name="page12"/>
    <w:bookmarkEnd w:id="11"/>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3086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regularly engage with our shareholders to understand their perspectives on our Company, including our strategies, performance, and executive compensation, as well as our cash deployment and our environmental, social and governance practices. This ongoing dialogue, in which both members of management and directors participate, has helped inform the Board's decision-making and ensures we remain well-aligned as we work to promote the long-term interests of our shareholders.</w:t>
      </w:r>
    </w:p>
    <w:p>
      <w:pPr>
        <w:spacing w:after="0" w:line="8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Since our 2020 annual meeting, we have offered to engage on governance-related and other sustainability topics with shareholders representing approximately 60% of our outstanding shares. We have engaged with shareholders representing approximately 30% of our outstanding shares to learn their perspectives on the Company and these topics. While a number of our shareholders declined engagement, we believe it is a best practice to offer engagement to shareholders representing a majority of our shares outstanding. These efforts are in addition to normal course outreach conducted by our Investor Relations team and members of senior management with portfolio managers and analysts. We also meet with shareholders at investor conferences held throughout the year.</w:t>
      </w:r>
    </w:p>
    <w:p>
      <w:pPr>
        <w:spacing w:after="0" w:line="7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Company has a substantial record of adopting provisions or modifying practices with the benefit of, and to reflect, shareholder input. Examples include provisions regarding proxy access, the right of shareholders to call a special meeting and the right of shareholders to act by written consent, as well as the use of full value shares and performance-based long-term incentives for our executives.</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Annual Shareholders'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607" w:right="319" w:bottom="1440" w:gutter="0" w:footer="0" w:header="0"/>
        </w:sectPr>
      </w:pP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May 19, 2021, 8:00 a.m., Eastern Daylight Time</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Place: </w:t>
      </w:r>
      <w:r>
        <w:rPr>
          <w:rFonts w:ascii="Arial" w:cs="Arial" w:eastAsia="Arial" w:hAnsi="Arial"/>
          <w:sz w:val="18"/>
          <w:szCs w:val="18"/>
          <w:color w:val="auto"/>
        </w:rPr>
        <w:t>Virtual Annual Meeting which can be accessed by visiting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www.meetingcenter.io/241697037</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right="80"/>
        <w:spacing w:after="0"/>
        <w:rPr>
          <w:sz w:val="20"/>
          <w:szCs w:val="20"/>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You can vote if you were a shareholder of record at the</w:t>
      </w:r>
      <w:r>
        <w:rPr>
          <w:rFonts w:ascii="Arial" w:cs="Arial" w:eastAsia="Arial" w:hAnsi="Arial"/>
          <w:sz w:val="18"/>
          <w:szCs w:val="18"/>
          <w:b w:val="1"/>
          <w:bCs w:val="1"/>
          <w:color w:val="auto"/>
        </w:rPr>
        <w:t xml:space="preserve"> </w:t>
      </w:r>
      <w:r>
        <w:rPr>
          <w:rFonts w:ascii="Arial" w:cs="Arial" w:eastAsia="Arial" w:hAnsi="Arial"/>
          <w:sz w:val="18"/>
          <w:szCs w:val="18"/>
          <w:color w:val="auto"/>
        </w:rPr>
        <w:t>close of business on March 23, 2021.</w:t>
      </w:r>
    </w:p>
    <w:p>
      <w:pPr>
        <w:spacing w:after="0" w:line="86"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b w:val="1"/>
          <w:bCs w:val="1"/>
          <w:color w:val="auto"/>
        </w:rPr>
        <w:t xml:space="preserve">Admission: </w:t>
      </w:r>
      <w:r>
        <w:rPr>
          <w:rFonts w:ascii="Arial" w:cs="Arial" w:eastAsia="Arial" w:hAnsi="Arial"/>
          <w:sz w:val="18"/>
          <w:szCs w:val="18"/>
          <w:color w:val="auto"/>
        </w:rPr>
        <w:t>You will need your control number to attend as a</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 See "Questions and Answers About the Annual Meeting" in this Proxy Statement for more information.</w:t>
      </w:r>
    </w:p>
    <w:p>
      <w:pPr>
        <w:spacing w:after="0" w:line="134" w:lineRule="exact"/>
        <w:rPr>
          <w:sz w:val="20"/>
          <w:szCs w:val="20"/>
          <w:color w:val="auto"/>
        </w:rPr>
      </w:pPr>
    </w:p>
    <w:p>
      <w:pPr>
        <w:sectPr>
          <w:pgSz w:w="11900" w:h="16838" w:orient="portrait"/>
          <w:cols w:equalWidth="0" w:num="2">
            <w:col w:w="5180" w:space="480"/>
            <w:col w:w="5600"/>
          </w:cols>
          <w:pgMar w:left="320" w:top="607" w:right="319" w:bottom="1440" w:gutter="0" w:footer="0" w:header="0"/>
          <w:type w:val="continuous"/>
        </w:sectPr>
      </w:pPr>
    </w:p>
    <w:p>
      <w:pPr>
        <w:ind w:left="20"/>
        <w:spacing w:after="0"/>
        <w:rPr>
          <w:sz w:val="20"/>
          <w:szCs w:val="20"/>
          <w:color w:val="auto"/>
        </w:rPr>
      </w:pPr>
      <w:r>
        <w:rPr>
          <w:rFonts w:ascii="Arial" w:cs="Arial" w:eastAsia="Arial" w:hAnsi="Arial"/>
          <w:sz w:val="25"/>
          <w:szCs w:val="25"/>
          <w:b w:val="1"/>
          <w:bCs w:val="1"/>
          <w:color w:val="auto"/>
        </w:rPr>
        <w:t>Voting Matters and Board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40575" cy="4114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0575" cy="411480"/>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60" w:type="dxa"/>
            <w:vAlign w:val="bottom"/>
          </w:tcPr>
          <w:p>
            <w:pPr>
              <w:spacing w:after="0"/>
              <w:rPr>
                <w:sz w:val="16"/>
                <w:szCs w:val="16"/>
                <w:color w:val="auto"/>
              </w:rPr>
            </w:pPr>
          </w:p>
        </w:tc>
        <w:tc>
          <w:tcPr>
            <w:tcW w:w="25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Board Vote Recommendation</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Page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760" w:type="dxa"/>
            <w:vAlign w:val="bottom"/>
            <w:tcBorders>
              <w:bottom w:val="single" w:sz="8" w:color="00249C"/>
            </w:tcBorders>
          </w:tcPr>
          <w:p>
            <w:pPr>
              <w:spacing w:after="0"/>
              <w:rPr>
                <w:sz w:val="18"/>
                <w:szCs w:val="18"/>
                <w:color w:val="auto"/>
              </w:rPr>
            </w:pPr>
          </w:p>
        </w:tc>
        <w:tc>
          <w:tcPr>
            <w:tcW w:w="2540" w:type="dxa"/>
            <w:vAlign w:val="bottom"/>
            <w:tcBorders>
              <w:bottom w:val="single" w:sz="8" w:color="00249C"/>
            </w:tcBorders>
            <w:vMerge w:val="continue"/>
          </w:tcPr>
          <w:p>
            <w:pPr>
              <w:spacing w:after="0"/>
              <w:rPr>
                <w:sz w:val="18"/>
                <w:szCs w:val="18"/>
                <w:color w:val="auto"/>
              </w:rPr>
            </w:pPr>
          </w:p>
        </w:tc>
        <w:tc>
          <w:tcPr>
            <w:tcW w:w="940" w:type="dxa"/>
            <w:vAlign w:val="bottom"/>
            <w:tcBorders>
              <w:bottom w:val="single" w:sz="8" w:color="00249C"/>
            </w:tcBorders>
          </w:tcPr>
          <w:p>
            <w:pPr>
              <w:jc w:val="right"/>
              <w:spacing w:after="0"/>
              <w:rPr>
                <w:sz w:val="20"/>
                <w:szCs w:val="20"/>
                <w:color w:val="auto"/>
              </w:rPr>
            </w:pPr>
            <w:r>
              <w:rPr>
                <w:rFonts w:ascii="Arial" w:cs="Arial" w:eastAsia="Arial" w:hAnsi="Arial"/>
                <w:sz w:val="16"/>
                <w:szCs w:val="16"/>
                <w:b w:val="1"/>
                <w:bCs w:val="1"/>
                <w:color w:val="auto"/>
              </w:rPr>
              <w:t>Reference</w:t>
            </w:r>
          </w:p>
        </w:tc>
        <w:tc>
          <w:tcPr>
            <w:tcW w:w="20" w:type="dxa"/>
            <w:vAlign w:val="bottom"/>
            <w:tcBorders>
              <w:bottom w:val="single" w:sz="8" w:color="00249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760" w:type="dxa"/>
            <w:vAlign w:val="bottom"/>
            <w:shd w:val="clear" w:color="auto" w:fill="CCD4DB"/>
          </w:tcPr>
          <w:p>
            <w:pPr>
              <w:ind w:left="40"/>
              <w:spacing w:after="0"/>
              <w:rPr>
                <w:sz w:val="20"/>
                <w:szCs w:val="20"/>
                <w:color w:val="auto"/>
              </w:rPr>
            </w:pPr>
            <w:r>
              <w:rPr>
                <w:rFonts w:ascii="Arial" w:cs="Arial" w:eastAsia="Arial" w:hAnsi="Arial"/>
                <w:sz w:val="16"/>
                <w:szCs w:val="16"/>
                <w:color w:val="auto"/>
              </w:rPr>
              <w:t>Proposal One: Election of Directors</w:t>
            </w:r>
          </w:p>
        </w:tc>
        <w:tc>
          <w:tcPr>
            <w:tcW w:w="2540" w:type="dxa"/>
            <w:vAlign w:val="bottom"/>
            <w:shd w:val="clear" w:color="auto" w:fill="CCD4DB"/>
          </w:tcPr>
          <w:p>
            <w:pPr>
              <w:jc w:val="right"/>
              <w:ind w:right="79"/>
              <w:spacing w:after="0"/>
              <w:rPr>
                <w:sz w:val="20"/>
                <w:szCs w:val="20"/>
                <w:color w:val="auto"/>
              </w:rPr>
            </w:pPr>
            <w:r>
              <w:rPr>
                <w:rFonts w:ascii="Arial" w:cs="Arial" w:eastAsia="Arial" w:hAnsi="Arial"/>
                <w:sz w:val="16"/>
                <w:szCs w:val="16"/>
                <w:b w:val="1"/>
                <w:bCs w:val="1"/>
                <w:color w:val="00249C"/>
              </w:rPr>
              <w:t xml:space="preserve">FOR </w:t>
            </w:r>
            <w:r>
              <w:rPr>
                <w:rFonts w:ascii="Arial" w:cs="Arial" w:eastAsia="Arial" w:hAnsi="Arial"/>
                <w:sz w:val="16"/>
                <w:szCs w:val="16"/>
                <w:color w:val="000000"/>
              </w:rPr>
              <w:t>each Director Nominee</w:t>
            </w:r>
          </w:p>
        </w:tc>
        <w:tc>
          <w:tcPr>
            <w:tcW w:w="940" w:type="dxa"/>
            <w:vAlign w:val="bottom"/>
            <w:shd w:val="clear" w:color="auto" w:fill="CCD4DB"/>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6"/>
                <w:szCs w:val="16"/>
                <w:color w:val="auto"/>
              </w:rPr>
              <w:t>Proposal Two: Advisory Vote on Compensation of Named Executive Officers</w:t>
            </w:r>
          </w:p>
        </w:tc>
        <w:tc>
          <w:tcPr>
            <w:tcW w:w="2540" w:type="dxa"/>
            <w:vAlign w:val="bottom"/>
          </w:tcPr>
          <w:p>
            <w:pPr>
              <w:jc w:val="right"/>
              <w:ind w:right="79"/>
              <w:spacing w:after="0"/>
              <w:rPr>
                <w:sz w:val="20"/>
                <w:szCs w:val="20"/>
                <w:color w:val="auto"/>
              </w:rPr>
            </w:pPr>
            <w:r>
              <w:rPr>
                <w:rFonts w:ascii="Arial" w:cs="Arial" w:eastAsia="Arial" w:hAnsi="Arial"/>
                <w:sz w:val="16"/>
                <w:szCs w:val="16"/>
                <w:b w:val="1"/>
                <w:bCs w:val="1"/>
                <w:color w:val="00249C"/>
              </w:rPr>
              <w:t>FOR</w:t>
            </w: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shd w:val="clear" w:color="auto" w:fill="CCD4DB"/>
          </w:tcPr>
          <w:p>
            <w:pPr>
              <w:ind w:left="40"/>
              <w:spacing w:after="0"/>
              <w:rPr>
                <w:sz w:val="20"/>
                <w:szCs w:val="20"/>
                <w:color w:val="auto"/>
              </w:rPr>
            </w:pPr>
            <w:r>
              <w:rPr>
                <w:rFonts w:ascii="Arial" w:cs="Arial" w:eastAsia="Arial" w:hAnsi="Arial"/>
                <w:sz w:val="16"/>
                <w:szCs w:val="16"/>
                <w:color w:val="auto"/>
              </w:rPr>
              <w:t>Proposal Three: Ratification of Appointment of Independent Auditor</w:t>
            </w:r>
          </w:p>
        </w:tc>
        <w:tc>
          <w:tcPr>
            <w:tcW w:w="2540" w:type="dxa"/>
            <w:vAlign w:val="bottom"/>
            <w:shd w:val="clear" w:color="auto" w:fill="CCD4DB"/>
          </w:tcPr>
          <w:p>
            <w:pPr>
              <w:jc w:val="right"/>
              <w:ind w:right="79"/>
              <w:spacing w:after="0"/>
              <w:rPr>
                <w:sz w:val="20"/>
                <w:szCs w:val="20"/>
                <w:color w:val="auto"/>
              </w:rPr>
            </w:pPr>
            <w:r>
              <w:rPr>
                <w:rFonts w:ascii="Arial" w:cs="Arial" w:eastAsia="Arial" w:hAnsi="Arial"/>
                <w:sz w:val="16"/>
                <w:szCs w:val="16"/>
                <w:b w:val="1"/>
                <w:bCs w:val="1"/>
                <w:color w:val="00249C"/>
              </w:rPr>
              <w:t>FOR</w:t>
            </w:r>
          </w:p>
        </w:tc>
        <w:tc>
          <w:tcPr>
            <w:tcW w:w="940" w:type="dxa"/>
            <w:vAlign w:val="bottom"/>
            <w:shd w:val="clear" w:color="auto" w:fill="CCD4DB"/>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7760" w:type="dxa"/>
            <w:vAlign w:val="bottom"/>
          </w:tcPr>
          <w:p>
            <w:pPr>
              <w:ind w:left="40"/>
              <w:spacing w:after="0"/>
              <w:rPr>
                <w:sz w:val="20"/>
                <w:szCs w:val="20"/>
                <w:color w:val="auto"/>
              </w:rPr>
            </w:pPr>
            <w:r>
              <w:rPr>
                <w:rFonts w:ascii="Arial" w:cs="Arial" w:eastAsia="Arial" w:hAnsi="Arial"/>
                <w:sz w:val="16"/>
                <w:szCs w:val="16"/>
                <w:color w:val="auto"/>
              </w:rPr>
              <w:t>Proposal Four: Shareholder Proposal That the Company Assess and Report on Potential Human Rights</w:t>
            </w:r>
          </w:p>
        </w:tc>
        <w:tc>
          <w:tcPr>
            <w:tcW w:w="2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40"/>
              <w:spacing w:after="0"/>
              <w:rPr>
                <w:sz w:val="20"/>
                <w:szCs w:val="20"/>
                <w:color w:val="auto"/>
              </w:rPr>
            </w:pPr>
            <w:r>
              <w:rPr>
                <w:rFonts w:ascii="Arial" w:cs="Arial" w:eastAsia="Arial" w:hAnsi="Arial"/>
                <w:sz w:val="16"/>
                <w:szCs w:val="16"/>
                <w:color w:val="auto"/>
              </w:rPr>
              <w:t>Impacts That Could Result from Governments' Use of Our Products and Services, Including in Conflict</w:t>
            </w:r>
          </w:p>
        </w:tc>
        <w:tc>
          <w:tcPr>
            <w:tcW w:w="25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00249C"/>
              </w:rPr>
              <w:t>AGAINST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760" w:type="dxa"/>
            <w:vAlign w:val="bottom"/>
          </w:tcPr>
          <w:p>
            <w:pPr>
              <w:ind w:left="40"/>
              <w:spacing w:after="0"/>
              <w:rPr>
                <w:sz w:val="20"/>
                <w:szCs w:val="20"/>
                <w:color w:val="auto"/>
              </w:rPr>
            </w:pPr>
            <w:r>
              <w:rPr>
                <w:rFonts w:ascii="Arial" w:cs="Arial" w:eastAsia="Arial" w:hAnsi="Arial"/>
                <w:sz w:val="16"/>
                <w:szCs w:val="16"/>
                <w:color w:val="auto"/>
              </w:rPr>
              <w:t>Affected Areas</w:t>
            </w:r>
          </w:p>
        </w:tc>
        <w:tc>
          <w:tcPr>
            <w:tcW w:w="254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7760" w:type="dxa"/>
            <w:vAlign w:val="bottom"/>
            <w:shd w:val="clear" w:color="auto" w:fill="CCD4DB"/>
          </w:tcPr>
          <w:p>
            <w:pPr>
              <w:ind w:left="40"/>
              <w:spacing w:after="0" w:line="178" w:lineRule="exact"/>
              <w:rPr>
                <w:sz w:val="20"/>
                <w:szCs w:val="20"/>
                <w:color w:val="auto"/>
              </w:rPr>
            </w:pPr>
            <w:r>
              <w:rPr>
                <w:rFonts w:ascii="Arial" w:cs="Arial" w:eastAsia="Arial" w:hAnsi="Arial"/>
                <w:sz w:val="16"/>
                <w:szCs w:val="16"/>
                <w:color w:val="auto"/>
              </w:rPr>
              <w:t>Proposal Five: Shareholder Proposal to Move to a 10% Ownership Threshold for Shareholders to Request</w:t>
            </w:r>
          </w:p>
        </w:tc>
        <w:tc>
          <w:tcPr>
            <w:tcW w:w="2540" w:type="dxa"/>
            <w:vAlign w:val="bottom"/>
            <w:vMerge w:val="restart"/>
            <w:shd w:val="clear" w:color="auto" w:fill="CCD4DB"/>
          </w:tcPr>
          <w:p>
            <w:pPr>
              <w:jc w:val="right"/>
              <w:ind w:right="79"/>
              <w:spacing w:after="0"/>
              <w:rPr>
                <w:sz w:val="20"/>
                <w:szCs w:val="20"/>
                <w:color w:val="auto"/>
              </w:rPr>
            </w:pPr>
            <w:r>
              <w:rPr>
                <w:rFonts w:ascii="Arial" w:cs="Arial" w:eastAsia="Arial" w:hAnsi="Arial"/>
                <w:sz w:val="16"/>
                <w:szCs w:val="16"/>
                <w:b w:val="1"/>
                <w:bCs w:val="1"/>
                <w:color w:val="00249C"/>
              </w:rPr>
              <w:t>AGAINST</w:t>
            </w:r>
          </w:p>
        </w:tc>
        <w:tc>
          <w:tcPr>
            <w:tcW w:w="940" w:type="dxa"/>
            <w:vAlign w:val="bottom"/>
            <w:vMerge w:val="restart"/>
            <w:shd w:val="clear" w:color="auto" w:fill="CCD4DB"/>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760" w:type="dxa"/>
            <w:vAlign w:val="bottom"/>
            <w:shd w:val="clear" w:color="auto" w:fill="CCD4DB"/>
          </w:tcPr>
          <w:p>
            <w:pPr>
              <w:ind w:left="40"/>
              <w:spacing w:after="0"/>
              <w:rPr>
                <w:sz w:val="20"/>
                <w:szCs w:val="20"/>
                <w:color w:val="auto"/>
              </w:rPr>
            </w:pPr>
            <w:r>
              <w:rPr>
                <w:rFonts w:ascii="Arial" w:cs="Arial" w:eastAsia="Arial" w:hAnsi="Arial"/>
                <w:sz w:val="16"/>
                <w:szCs w:val="16"/>
                <w:color w:val="auto"/>
              </w:rPr>
              <w:t>Action by Written Consent</w:t>
            </w:r>
          </w:p>
        </w:tc>
        <w:tc>
          <w:tcPr>
            <w:tcW w:w="2540" w:type="dxa"/>
            <w:vAlign w:val="bottom"/>
            <w:vMerge w:val="continue"/>
            <w:shd w:val="clear" w:color="auto" w:fill="CCD4DB"/>
          </w:tcPr>
          <w:p>
            <w:pPr>
              <w:spacing w:after="0"/>
              <w:rPr>
                <w:sz w:val="17"/>
                <w:szCs w:val="17"/>
                <w:color w:val="auto"/>
              </w:rPr>
            </w:pPr>
          </w:p>
        </w:tc>
        <w:tc>
          <w:tcPr>
            <w:tcW w:w="940" w:type="dxa"/>
            <w:vAlign w:val="bottom"/>
            <w:vMerge w:val="continue"/>
            <w:shd w:val="clear" w:color="auto" w:fill="CCD4DB"/>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8890" cy="2400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-788035</wp:posOffset>
            </wp:positionV>
            <wp:extent cx="889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1260"/>
          </w:cols>
          <w:pgMar w:left="320" w:top="607" w:right="319" w:bottom="1440" w:gutter="0" w:footer="0" w:header="0"/>
          <w:type w:val="continuous"/>
        </w:sectPr>
      </w:pPr>
    </w:p>
    <w:bookmarkStart w:id="12" w:name="page13"/>
    <w:bookmarkEnd w:id="12"/>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5314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PROPOSAL ONE: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2021 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Our Board has nominated 12 directors for election at the Annual Meeting. Each of the director nominees has consented to serve, and we do not know of any reason why any of them would be unable to serve, if elected. If a nominee becomes unavailable or unable to serve before the Annual Meeting (for example, due to serious illness), the Board may determine to leave the position vacant, reduce the number of authorized directors or designate a substitute nominee. If any nominee becomes unavailable for election to the Board, an event which is not anticipated, the proxyholders will have full discretion and authority to vote, or refrain from voting, for any other nominee in accordance with their judgment.</w:t>
      </w:r>
    </w:p>
    <w:p>
      <w:pPr>
        <w:spacing w:after="0" w:line="73"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 following pages contain biographical and other information about each of the nominees. In addition, we have provided information regarding some of the particular experiences, qualifications, attributes and skills that led the Board to conclude that each nominee should serve as a director.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Unless instructed otherwise, the proxyholders will vote the proxies received by them "FOR" the election of the director nominees listed below.</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249C"/>
        </w:rPr>
        <w:t>KATHY J. WARDEN,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986270" cy="7283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86270" cy="728345"/>
                    </a:xfrm>
                    <a:prstGeom prst="rect">
                      <a:avLst/>
                    </a:prstGeom>
                    <a:noFill/>
                  </pic:spPr>
                </pic:pic>
              </a:graphicData>
            </a:graphic>
          </wp:anchor>
        </w:drawing>
      </w:r>
    </w:p>
    <w:p>
      <w:pPr>
        <w:spacing w:after="0" w:line="51" w:lineRule="exact"/>
        <w:rPr>
          <w:sz w:val="20"/>
          <w:szCs w:val="20"/>
          <w:color w:val="auto"/>
        </w:rPr>
      </w:pPr>
    </w:p>
    <w:p>
      <w:pPr>
        <w:ind w:left="1500"/>
        <w:spacing w:after="0"/>
        <w:rPr>
          <w:sz w:val="20"/>
          <w:szCs w:val="20"/>
          <w:color w:val="auto"/>
        </w:rPr>
      </w:pPr>
      <w:r>
        <w:rPr>
          <w:rFonts w:ascii="Arial" w:cs="Arial" w:eastAsia="Arial" w:hAnsi="Arial"/>
          <w:sz w:val="18"/>
          <w:szCs w:val="18"/>
          <w:i w:val="1"/>
          <w:iCs w:val="1"/>
          <w:color w:val="auto"/>
        </w:rPr>
        <w:t>Chairman, Chief Executive Officer and President, Northrop Grumman Corporation.</w:t>
      </w:r>
    </w:p>
    <w:p>
      <w:pPr>
        <w:spacing w:after="0" w:line="50" w:lineRule="exact"/>
        <w:rPr>
          <w:sz w:val="20"/>
          <w:szCs w:val="20"/>
          <w:color w:val="auto"/>
        </w:rPr>
      </w:pPr>
    </w:p>
    <w:p>
      <w:pPr>
        <w:ind w:left="1500"/>
        <w:spacing w:after="0"/>
        <w:rPr>
          <w:sz w:val="20"/>
          <w:szCs w:val="20"/>
          <w:color w:val="auto"/>
        </w:rPr>
      </w:pPr>
      <w:r>
        <w:rPr>
          <w:rFonts w:ascii="Arial" w:cs="Arial" w:eastAsia="Arial" w:hAnsi="Arial"/>
          <w:sz w:val="18"/>
          <w:szCs w:val="18"/>
          <w:i w:val="1"/>
          <w:iCs w:val="1"/>
          <w:color w:val="auto"/>
        </w:rPr>
        <w:t>Director since July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69862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right="300"/>
        <w:spacing w:after="0" w:line="251" w:lineRule="auto"/>
        <w:rPr>
          <w:sz w:val="20"/>
          <w:szCs w:val="20"/>
          <w:color w:val="auto"/>
        </w:rPr>
      </w:pPr>
      <w:r>
        <w:rPr>
          <w:rFonts w:ascii="Arial" w:cs="Arial" w:eastAsia="Arial" w:hAnsi="Arial"/>
          <w:sz w:val="18"/>
          <w:szCs w:val="18"/>
          <w:color w:val="auto"/>
        </w:rPr>
        <w:t>Ms. Kathy J. Warden has served as Chairman since August 2019 and as Chief Executive Officer and President of the Company since January 2019. She has served on the Board of Directors since July 2018. Prior to becoming CEO and President, Ms. Warden served as President and Chief Operating Officer of the Company from January 2018 through December 2018, as Corporate Vice President and President of the Company's Mission Systems Sector from 2016 through 2017, as Corporate Vice President and President of the Company's former Information Systems Sector from 2013 to 2015, and as Vice President of the Company's Cyber Intelligence Division from 2011 to 2012. Prior to joining the Company in 2008, Ms. Warden held leadership roles at General Dynamics and Veridian Corporation. Earlier, she was a principal in a venture internet firm and also spent nearly a decade with General Electric Company working in commercial industries. Ms. Warden is a member of the Board of Directors of Merck &amp; Co., Inc. She also serves as Chair of the Aerospace Industries Association and is a member of the Board of Directors of Catalyst. Ms. Warden is also a member of the Board of Visitors of James Madison University. Ms. Warden previously served as Chair of the Board of Directors of the Federal Reserve Bank of Richmond.</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00249C"/>
        </w:rPr>
        <w:t>Attributes, Skills and Qualifications</w:t>
      </w:r>
    </w:p>
    <w:p>
      <w:pPr>
        <w:spacing w:after="0" w:line="176" w:lineRule="exact"/>
        <w:rPr>
          <w:sz w:val="20"/>
          <w:szCs w:val="20"/>
          <w:color w:val="auto"/>
        </w:rPr>
      </w:pPr>
    </w:p>
    <w:p>
      <w:pPr>
        <w:ind w:left="260" w:right="820" w:hanging="234"/>
        <w:spacing w:after="0" w:line="261" w:lineRule="auto"/>
        <w:tabs>
          <w:tab w:leader="none" w:pos="153" w:val="left"/>
        </w:tabs>
        <w:numPr>
          <w:ilvl w:val="0"/>
          <w:numId w:val="9"/>
        </w:numPr>
        <w:rPr>
          <w:rFonts w:ascii="Arial" w:cs="Arial" w:eastAsia="Arial" w:hAnsi="Arial"/>
          <w:sz w:val="14"/>
          <w:szCs w:val="14"/>
          <w:color w:val="00249C"/>
        </w:rPr>
      </w:pPr>
      <w:r>
        <w:rPr>
          <w:rFonts w:ascii="Arial" w:cs="Arial" w:eastAsia="Arial" w:hAnsi="Arial"/>
          <w:sz w:val="18"/>
          <w:szCs w:val="18"/>
          <w:color w:val="auto"/>
        </w:rPr>
        <w:t>Extensive experience in operational leadership, strategy, performance and business development in government and commercial markets, including cyber expertise</w:t>
      </w:r>
    </w:p>
    <w:p>
      <w:pPr>
        <w:spacing w:after="0" w:line="130" w:lineRule="exact"/>
        <w:rPr>
          <w:rFonts w:ascii="Arial" w:cs="Arial" w:eastAsia="Arial" w:hAnsi="Arial"/>
          <w:sz w:val="14"/>
          <w:szCs w:val="14"/>
          <w:color w:val="00249C"/>
        </w:rPr>
      </w:pPr>
    </w:p>
    <w:p>
      <w:pPr>
        <w:ind w:left="260" w:right="680" w:hanging="234"/>
        <w:spacing w:after="0" w:line="261" w:lineRule="auto"/>
        <w:tabs>
          <w:tab w:leader="none" w:pos="153" w:val="left"/>
        </w:tabs>
        <w:numPr>
          <w:ilvl w:val="0"/>
          <w:numId w:val="9"/>
        </w:numPr>
        <w:rPr>
          <w:rFonts w:ascii="Arial" w:cs="Arial" w:eastAsia="Arial" w:hAnsi="Arial"/>
          <w:sz w:val="14"/>
          <w:szCs w:val="14"/>
          <w:color w:val="00249C"/>
        </w:rPr>
      </w:pPr>
      <w:r>
        <w:rPr>
          <w:rFonts w:ascii="Arial" w:cs="Arial" w:eastAsia="Arial" w:hAnsi="Arial"/>
          <w:sz w:val="18"/>
          <w:szCs w:val="18"/>
          <w:color w:val="auto"/>
        </w:rPr>
        <w:t>Prior leadership positions within Northrop Grumman (including as President, Chief Operating Officer and President of two business sectors)</w:t>
      </w:r>
    </w:p>
    <w:p>
      <w:pPr>
        <w:spacing w:after="0" w:line="130" w:lineRule="exact"/>
        <w:rPr>
          <w:rFonts w:ascii="Arial" w:cs="Arial" w:eastAsia="Arial" w:hAnsi="Arial"/>
          <w:sz w:val="14"/>
          <w:szCs w:val="14"/>
          <w:color w:val="00249C"/>
        </w:rPr>
      </w:pPr>
    </w:p>
    <w:p>
      <w:pPr>
        <w:ind w:left="160" w:hanging="134"/>
        <w:spacing w:after="0"/>
        <w:tabs>
          <w:tab w:leader="none" w:pos="160" w:val="left"/>
        </w:tabs>
        <w:numPr>
          <w:ilvl w:val="0"/>
          <w:numId w:val="9"/>
        </w:numPr>
        <w:rPr>
          <w:rFonts w:ascii="Arial" w:cs="Arial" w:eastAsia="Arial" w:hAnsi="Arial"/>
          <w:sz w:val="14"/>
          <w:szCs w:val="14"/>
          <w:color w:val="00249C"/>
        </w:rPr>
      </w:pPr>
      <w:r>
        <w:rPr>
          <w:rFonts w:ascii="Arial" w:cs="Arial" w:eastAsia="Arial" w:hAnsi="Arial"/>
          <w:sz w:val="18"/>
          <w:szCs w:val="18"/>
          <w:color w:val="auto"/>
        </w:rPr>
        <w:t>Significant aerospace and defense industry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9862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7</w:t>
      </w:r>
    </w:p>
    <w:p>
      <w:pPr>
        <w:sectPr>
          <w:pgSz w:w="11900" w:h="16838" w:orient="portrait"/>
          <w:cols w:equalWidth="0" w:num="1">
            <w:col w:w="11240"/>
          </w:cols>
          <w:pgMar w:left="320" w:top="607"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5314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PROPOSAL ONE: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3595"/>
        </w:rPr>
        <w:t>DAVID P. ABNEY,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9862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4" w:lineRule="exact"/>
        <w:rPr>
          <w:sz w:val="20"/>
          <w:szCs w:val="20"/>
          <w:color w:val="auto"/>
        </w:rPr>
      </w:pPr>
    </w:p>
    <w:p>
      <w:pPr>
        <w:ind w:left="1500" w:right="60"/>
        <w:spacing w:after="0" w:line="237" w:lineRule="auto"/>
        <w:rPr>
          <w:sz w:val="20"/>
          <w:szCs w:val="20"/>
          <w:color w:val="auto"/>
        </w:rPr>
      </w:pPr>
      <w:r>
        <w:rPr>
          <w:rFonts w:ascii="Arial" w:cs="Arial" w:eastAsia="Arial" w:hAnsi="Arial"/>
          <w:sz w:val="18"/>
          <w:szCs w:val="18"/>
          <w:i w:val="1"/>
          <w:iCs w:val="1"/>
          <w:color w:val="auto"/>
        </w:rPr>
        <w:t>Former Executive Chairman of the Board of Directors and Chief Executive Officer of United Parcel Service, Inc. (UPS), a multinational package delivery and supply chain management company.</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i w:val="1"/>
          <w:iCs w:val="1"/>
          <w:color w:val="auto"/>
        </w:rPr>
        <w:t>Director since June 2020</w:t>
      </w:r>
    </w:p>
    <w:p>
      <w:pPr>
        <w:spacing w:after="0" w:line="50" w:lineRule="exact"/>
        <w:rPr>
          <w:sz w:val="20"/>
          <w:szCs w:val="20"/>
          <w:color w:val="auto"/>
        </w:rPr>
      </w:pPr>
    </w:p>
    <w:p>
      <w:pPr>
        <w:ind w:left="1500"/>
        <w:spacing w:after="0"/>
        <w:rPr>
          <w:sz w:val="20"/>
          <w:szCs w:val="20"/>
          <w:color w:val="auto"/>
        </w:rPr>
      </w:pPr>
      <w:r>
        <w:rPr>
          <w:rFonts w:ascii="Arial" w:cs="Arial" w:eastAsia="Arial" w:hAnsi="Arial"/>
          <w:sz w:val="18"/>
          <w:szCs w:val="18"/>
          <w:i w:val="1"/>
          <w:iCs w:val="1"/>
          <w:color w:val="auto"/>
        </w:rPr>
        <w:t>Member of the Audit and Risk Committee and Policy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69862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20" w:right="120"/>
        <w:spacing w:after="0" w:line="253" w:lineRule="auto"/>
        <w:rPr>
          <w:sz w:val="20"/>
          <w:szCs w:val="20"/>
          <w:color w:val="auto"/>
        </w:rPr>
      </w:pPr>
      <w:r>
        <w:rPr>
          <w:rFonts w:ascii="Arial" w:cs="Arial" w:eastAsia="Arial" w:hAnsi="Arial"/>
          <w:sz w:val="18"/>
          <w:szCs w:val="18"/>
          <w:color w:val="auto"/>
        </w:rPr>
        <w:t>Mr. David P. Abney served as the Executive Chairman of the UPS Board of Directors from March 2016 through September 2020. From September 2014 to June 2020, he was the Chief Executive Officer of UPS. Prior to that, Mr. Abney was UPS's Chief Operating Officer from 2007 to 2014. From 2003 to 2007, he was Senior Vice President and President of UPS International. Mr. Abney began his UPS career in 1974. Mr. Abney serves on the Board of Directors of Macy's, Inc. and served as a director of Johnson Controls International plc during the last five years.</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003595"/>
        </w:rPr>
        <w:t>Attributes, Skills and Qualifications</w:t>
      </w:r>
    </w:p>
    <w:p>
      <w:pPr>
        <w:spacing w:after="0" w:line="176" w:lineRule="exact"/>
        <w:rPr>
          <w:sz w:val="20"/>
          <w:szCs w:val="20"/>
          <w:color w:val="auto"/>
        </w:rPr>
      </w:pPr>
    </w:p>
    <w:p>
      <w:pPr>
        <w:ind w:left="360" w:hanging="334"/>
        <w:spacing w:after="0" w:line="261" w:lineRule="auto"/>
        <w:tabs>
          <w:tab w:leader="none" w:pos="162" w:val="left"/>
        </w:tabs>
        <w:numPr>
          <w:ilvl w:val="0"/>
          <w:numId w:val="10"/>
        </w:numPr>
        <w:rPr>
          <w:rFonts w:ascii="Arial" w:cs="Arial" w:eastAsia="Arial" w:hAnsi="Arial"/>
          <w:sz w:val="14"/>
          <w:szCs w:val="14"/>
          <w:color w:val="003595"/>
        </w:rPr>
      </w:pPr>
      <w:r>
        <w:rPr>
          <w:rFonts w:ascii="Arial" w:cs="Arial" w:eastAsia="Arial" w:hAnsi="Arial"/>
          <w:sz w:val="18"/>
          <w:szCs w:val="18"/>
          <w:color w:val="auto"/>
        </w:rPr>
        <w:t>Extensive leadership and business experience as a former Executive Chairman, Chief Executive Officer and Chief Operating Officer of a large multinational enterprise</w:t>
      </w:r>
    </w:p>
    <w:p>
      <w:pPr>
        <w:spacing w:after="0" w:line="130" w:lineRule="exact"/>
        <w:rPr>
          <w:rFonts w:ascii="Arial" w:cs="Arial" w:eastAsia="Arial" w:hAnsi="Arial"/>
          <w:sz w:val="14"/>
          <w:szCs w:val="14"/>
          <w:color w:val="003595"/>
        </w:rPr>
      </w:pPr>
    </w:p>
    <w:p>
      <w:pPr>
        <w:ind w:left="160" w:hanging="134"/>
        <w:spacing w:after="0"/>
        <w:tabs>
          <w:tab w:leader="none" w:pos="160" w:val="left"/>
        </w:tabs>
        <w:numPr>
          <w:ilvl w:val="0"/>
          <w:numId w:val="10"/>
        </w:numPr>
        <w:rPr>
          <w:rFonts w:ascii="Arial" w:cs="Arial" w:eastAsia="Arial" w:hAnsi="Arial"/>
          <w:sz w:val="14"/>
          <w:szCs w:val="14"/>
          <w:color w:val="003595"/>
        </w:rPr>
      </w:pPr>
      <w:r>
        <w:rPr>
          <w:rFonts w:ascii="Arial" w:cs="Arial" w:eastAsia="Arial" w:hAnsi="Arial"/>
          <w:sz w:val="18"/>
          <w:szCs w:val="18"/>
          <w:color w:val="auto"/>
        </w:rPr>
        <w:t>Significant expertise in international operations and global logistics</w:t>
      </w:r>
    </w:p>
    <w:p>
      <w:pPr>
        <w:spacing w:after="0" w:line="157" w:lineRule="exact"/>
        <w:rPr>
          <w:rFonts w:ascii="Arial" w:cs="Arial" w:eastAsia="Arial" w:hAnsi="Arial"/>
          <w:sz w:val="14"/>
          <w:szCs w:val="14"/>
          <w:color w:val="003595"/>
        </w:rPr>
      </w:pPr>
    </w:p>
    <w:p>
      <w:pPr>
        <w:ind w:left="160" w:hanging="134"/>
        <w:spacing w:after="0"/>
        <w:tabs>
          <w:tab w:leader="none" w:pos="160" w:val="left"/>
        </w:tabs>
        <w:numPr>
          <w:ilvl w:val="0"/>
          <w:numId w:val="10"/>
        </w:numPr>
        <w:rPr>
          <w:rFonts w:ascii="Arial" w:cs="Arial" w:eastAsia="Arial" w:hAnsi="Arial"/>
          <w:sz w:val="14"/>
          <w:szCs w:val="14"/>
          <w:color w:val="003595"/>
        </w:rPr>
      </w:pPr>
      <w:r>
        <w:rPr>
          <w:rFonts w:ascii="Arial" w:cs="Arial" w:eastAsia="Arial" w:hAnsi="Arial"/>
          <w:sz w:val="18"/>
          <w:szCs w:val="18"/>
          <w:color w:val="auto"/>
        </w:rPr>
        <w:t>Broad experience with talent management and leading global teams</w:t>
      </w:r>
    </w:p>
    <w:p>
      <w:pPr>
        <w:spacing w:after="0" w:line="157" w:lineRule="exact"/>
        <w:rPr>
          <w:rFonts w:ascii="Arial" w:cs="Arial" w:eastAsia="Arial" w:hAnsi="Arial"/>
          <w:sz w:val="14"/>
          <w:szCs w:val="14"/>
          <w:color w:val="003595"/>
        </w:rPr>
      </w:pPr>
    </w:p>
    <w:p>
      <w:pPr>
        <w:ind w:left="160" w:hanging="134"/>
        <w:spacing w:after="0"/>
        <w:tabs>
          <w:tab w:leader="none" w:pos="160" w:val="left"/>
        </w:tabs>
        <w:numPr>
          <w:ilvl w:val="0"/>
          <w:numId w:val="10"/>
        </w:numPr>
        <w:rPr>
          <w:rFonts w:ascii="Arial" w:cs="Arial" w:eastAsia="Arial" w:hAnsi="Arial"/>
          <w:sz w:val="14"/>
          <w:szCs w:val="14"/>
          <w:color w:val="003595"/>
        </w:rPr>
      </w:pPr>
      <w:r>
        <w:rPr>
          <w:rFonts w:ascii="Arial" w:cs="Arial" w:eastAsia="Arial" w:hAnsi="Arial"/>
          <w:sz w:val="18"/>
          <w:szCs w:val="18"/>
          <w:color w:val="auto"/>
        </w:rPr>
        <w:t>Significant board experience, including as non-executive chair</w:t>
      </w:r>
    </w:p>
    <w:p>
      <w:pPr>
        <w:spacing w:after="0" w:line="157" w:lineRule="exact"/>
        <w:rPr>
          <w:rFonts w:ascii="Arial" w:cs="Arial" w:eastAsia="Arial" w:hAnsi="Arial"/>
          <w:sz w:val="14"/>
          <w:szCs w:val="14"/>
          <w:color w:val="003595"/>
        </w:rPr>
      </w:pPr>
    </w:p>
    <w:p>
      <w:pPr>
        <w:ind w:left="160" w:hanging="134"/>
        <w:spacing w:after="0"/>
        <w:tabs>
          <w:tab w:leader="none" w:pos="160" w:val="left"/>
        </w:tabs>
        <w:numPr>
          <w:ilvl w:val="0"/>
          <w:numId w:val="10"/>
        </w:numPr>
        <w:rPr>
          <w:rFonts w:ascii="Arial" w:cs="Arial" w:eastAsia="Arial" w:hAnsi="Arial"/>
          <w:sz w:val="14"/>
          <w:szCs w:val="14"/>
          <w:color w:val="003595"/>
        </w:rPr>
      </w:pPr>
      <w:r>
        <w:rPr>
          <w:rFonts w:ascii="Arial" w:cs="Arial" w:eastAsia="Arial" w:hAnsi="Arial"/>
          <w:sz w:val="18"/>
          <w:szCs w:val="18"/>
          <w:color w:val="auto"/>
        </w:rPr>
        <w:t>Audit committee 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9862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3595"/>
        </w:rPr>
        <w:t>MARIANNE C. BROWN,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986270" cy="7283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86270" cy="728345"/>
                    </a:xfrm>
                    <a:prstGeom prst="rect">
                      <a:avLst/>
                    </a:prstGeom>
                    <a:noFill/>
                  </pic:spPr>
                </pic:pic>
              </a:graphicData>
            </a:graphic>
          </wp:anchor>
        </w:drawing>
      </w:r>
    </w:p>
    <w:p>
      <w:pPr>
        <w:spacing w:after="0" w:line="24" w:lineRule="exact"/>
        <w:rPr>
          <w:sz w:val="20"/>
          <w:szCs w:val="20"/>
          <w:color w:val="auto"/>
        </w:rPr>
      </w:pPr>
    </w:p>
    <w:p>
      <w:pPr>
        <w:ind w:left="1500" w:right="480"/>
        <w:spacing w:after="0" w:line="237" w:lineRule="auto"/>
        <w:rPr>
          <w:sz w:val="20"/>
          <w:szCs w:val="20"/>
          <w:color w:val="auto"/>
        </w:rPr>
      </w:pPr>
      <w:r>
        <w:rPr>
          <w:rFonts w:ascii="Arial" w:cs="Arial" w:eastAsia="Arial" w:hAnsi="Arial"/>
          <w:sz w:val="18"/>
          <w:szCs w:val="18"/>
          <w:i w:val="1"/>
          <w:iCs w:val="1"/>
          <w:color w:val="auto"/>
        </w:rPr>
        <w:t>Former Chief Operating Officer, Global Financial Solutions, Fidelity National Information Services, Inc., a financial services technology solutions provider.</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i w:val="1"/>
          <w:iCs w:val="1"/>
          <w:color w:val="auto"/>
        </w:rPr>
        <w:t>Director since March 2015</w:t>
      </w:r>
    </w:p>
    <w:p>
      <w:pPr>
        <w:spacing w:after="0" w:line="50" w:lineRule="exact"/>
        <w:rPr>
          <w:sz w:val="20"/>
          <w:szCs w:val="20"/>
          <w:color w:val="auto"/>
        </w:rPr>
      </w:pPr>
    </w:p>
    <w:p>
      <w:pPr>
        <w:ind w:left="1500"/>
        <w:spacing w:after="0"/>
        <w:rPr>
          <w:sz w:val="20"/>
          <w:szCs w:val="20"/>
          <w:color w:val="auto"/>
        </w:rPr>
      </w:pPr>
      <w:r>
        <w:rPr>
          <w:rFonts w:ascii="Arial" w:cs="Arial" w:eastAsia="Arial" w:hAnsi="Arial"/>
          <w:sz w:val="18"/>
          <w:szCs w:val="18"/>
          <w:i w:val="1"/>
          <w:iCs w:val="1"/>
          <w:color w:val="auto"/>
        </w:rPr>
        <w:t>Member of the Audit and Risk Committee and Policy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69862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399" w:lineRule="exact"/>
        <w:rPr>
          <w:sz w:val="20"/>
          <w:szCs w:val="20"/>
          <w:color w:val="auto"/>
        </w:rPr>
      </w:pPr>
    </w:p>
    <w:p>
      <w:pPr>
        <w:ind w:left="20"/>
        <w:spacing w:after="0" w:line="251" w:lineRule="auto"/>
        <w:rPr>
          <w:sz w:val="20"/>
          <w:szCs w:val="20"/>
          <w:color w:val="auto"/>
        </w:rPr>
      </w:pPr>
      <w:r>
        <w:rPr>
          <w:rFonts w:ascii="Arial" w:cs="Arial" w:eastAsia="Arial" w:hAnsi="Arial"/>
          <w:sz w:val="18"/>
          <w:szCs w:val="18"/>
          <w:color w:val="auto"/>
        </w:rPr>
        <w:t>Ms. Marianne C. Brown served as the Chief Operating Officer of Fidelity National Information Services, Inc.'s (FIS) Global Financial Solutions organization from January 2018 until June 2019. Prior to that, Ms. Brown served as Chief Operating Officer, Institutional and Wholesale Business of FIS since December 2015, when it acquired SunGard Financial Systems. Ms. Brown was the Chief Operating Officer of SunGard Financial Systems, a software and IT services provider, from February 2014 to November 2015. Prior to that, Ms. Brown was the CEO and president of Omgeo, a global financial services technology company, from March 2006 to February 2014. Before joining Omgeo, she was the CEO of the Securities Industry Automation Corporation. Ms. Brown began her career at Automatic Data Processing (ADP) and progressed through a series of positions of increasing responsibility culminating in her role as general manager of ADP’s Brokerage Processing Services business, which was subsequently spun off to become Broadridge Financial Solutions. Ms. Brown serves on the Boards of Directors of Akamai Technologies, Inc., The Charles Schwab Corporation and VMWare, Inc.</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003595"/>
        </w:rPr>
        <w:t>Attributes, Skills and Qualifications</w:t>
      </w:r>
    </w:p>
    <w:p>
      <w:pPr>
        <w:spacing w:after="0" w:line="176" w:lineRule="exact"/>
        <w:rPr>
          <w:sz w:val="20"/>
          <w:szCs w:val="20"/>
          <w:color w:val="auto"/>
        </w:rPr>
      </w:pPr>
    </w:p>
    <w:p>
      <w:pPr>
        <w:ind w:left="160" w:hanging="134"/>
        <w:spacing w:after="0"/>
        <w:tabs>
          <w:tab w:leader="none" w:pos="160" w:val="left"/>
        </w:tabs>
        <w:numPr>
          <w:ilvl w:val="0"/>
          <w:numId w:val="11"/>
        </w:numPr>
        <w:rPr>
          <w:rFonts w:ascii="Arial" w:cs="Arial" w:eastAsia="Arial" w:hAnsi="Arial"/>
          <w:sz w:val="14"/>
          <w:szCs w:val="14"/>
          <w:color w:val="003595"/>
        </w:rPr>
      </w:pPr>
      <w:r>
        <w:rPr>
          <w:rFonts w:ascii="Arial" w:cs="Arial" w:eastAsia="Arial" w:hAnsi="Arial"/>
          <w:sz w:val="18"/>
          <w:szCs w:val="18"/>
          <w:color w:val="auto"/>
        </w:rPr>
        <w:t>Substantial business experience as Chief Operating Officer and as a former Chief Executive Officer</w:t>
      </w:r>
    </w:p>
    <w:p>
      <w:pPr>
        <w:spacing w:after="0" w:line="157" w:lineRule="exact"/>
        <w:rPr>
          <w:rFonts w:ascii="Arial" w:cs="Arial" w:eastAsia="Arial" w:hAnsi="Arial"/>
          <w:sz w:val="14"/>
          <w:szCs w:val="14"/>
          <w:color w:val="003595"/>
        </w:rPr>
      </w:pPr>
    </w:p>
    <w:p>
      <w:pPr>
        <w:ind w:left="160" w:hanging="134"/>
        <w:spacing w:after="0"/>
        <w:tabs>
          <w:tab w:leader="none" w:pos="160" w:val="left"/>
        </w:tabs>
        <w:numPr>
          <w:ilvl w:val="0"/>
          <w:numId w:val="11"/>
        </w:numPr>
        <w:rPr>
          <w:rFonts w:ascii="Arial" w:cs="Arial" w:eastAsia="Arial" w:hAnsi="Arial"/>
          <w:sz w:val="14"/>
          <w:szCs w:val="14"/>
          <w:color w:val="003595"/>
        </w:rPr>
      </w:pPr>
      <w:r>
        <w:rPr>
          <w:rFonts w:ascii="Arial" w:cs="Arial" w:eastAsia="Arial" w:hAnsi="Arial"/>
          <w:sz w:val="18"/>
          <w:szCs w:val="18"/>
          <w:color w:val="auto"/>
        </w:rPr>
        <w:t>Significant experience in IT goods and services, cyber protection and business management</w:t>
      </w:r>
    </w:p>
    <w:p>
      <w:pPr>
        <w:spacing w:after="0" w:line="157" w:lineRule="exact"/>
        <w:rPr>
          <w:rFonts w:ascii="Arial" w:cs="Arial" w:eastAsia="Arial" w:hAnsi="Arial"/>
          <w:sz w:val="14"/>
          <w:szCs w:val="14"/>
          <w:color w:val="003595"/>
        </w:rPr>
      </w:pPr>
    </w:p>
    <w:p>
      <w:pPr>
        <w:ind w:left="160" w:hanging="134"/>
        <w:spacing w:after="0"/>
        <w:tabs>
          <w:tab w:leader="none" w:pos="160" w:val="left"/>
        </w:tabs>
        <w:numPr>
          <w:ilvl w:val="0"/>
          <w:numId w:val="11"/>
        </w:numPr>
        <w:rPr>
          <w:rFonts w:ascii="Arial" w:cs="Arial" w:eastAsia="Arial" w:hAnsi="Arial"/>
          <w:sz w:val="14"/>
          <w:szCs w:val="14"/>
          <w:color w:val="003595"/>
        </w:rPr>
      </w:pPr>
      <w:r>
        <w:rPr>
          <w:rFonts w:ascii="Arial" w:cs="Arial" w:eastAsia="Arial" w:hAnsi="Arial"/>
          <w:sz w:val="18"/>
          <w:szCs w:val="18"/>
          <w:color w:val="auto"/>
        </w:rPr>
        <w:t>Community and philanthropic leader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9862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0980"/>
          </w:cols>
          <w:pgMar w:left="320" w:top="607" w:right="599" w:bottom="1440" w:gutter="0" w:footer="0" w:header="0"/>
        </w:sectPr>
      </w:pPr>
    </w:p>
    <w:bookmarkStart w:id="14" w:name="page15"/>
    <w:bookmarkEnd w:id="14"/>
    <w:p>
      <w:pPr>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5314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PROPOSAL ONE: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00249C"/>
        </w:rPr>
        <w:t>DONALD E. FELSINGER,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6986270" cy="8312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86270" cy="831215"/>
                    </a:xfrm>
                    <a:prstGeom prst="rect">
                      <a:avLst/>
                    </a:prstGeom>
                    <a:noFill/>
                  </pic:spPr>
                </pic:pic>
              </a:graphicData>
            </a:graphic>
          </wp:anchor>
        </w:drawing>
      </w:r>
    </w:p>
    <w:p>
      <w:pPr>
        <w:spacing w:after="0" w:line="24"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Lead Independent Director of the Board of Directors, Northrop Grumman Corporation.</w:t>
      </w:r>
    </w:p>
    <w:p>
      <w:pPr>
        <w:spacing w:after="0" w:line="50"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Former Chairman and Chief Executive Officer, Sempra Energy, an energy services holding company.</w:t>
      </w:r>
    </w:p>
    <w:p>
      <w:pPr>
        <w:spacing w:after="0" w:line="50"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Director since February 2007</w:t>
      </w:r>
    </w:p>
    <w:p>
      <w:pPr>
        <w:spacing w:after="0" w:line="50"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Member of the Compensation Committee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266065</wp:posOffset>
            </wp:positionV>
            <wp:extent cx="69862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right="260"/>
        <w:spacing w:after="0" w:line="251" w:lineRule="auto"/>
        <w:rPr>
          <w:sz w:val="20"/>
          <w:szCs w:val="20"/>
          <w:color w:val="auto"/>
        </w:rPr>
      </w:pPr>
      <w:r>
        <w:rPr>
          <w:rFonts w:ascii="Arial" w:cs="Arial" w:eastAsia="Arial" w:hAnsi="Arial"/>
          <w:sz w:val="18"/>
          <w:szCs w:val="18"/>
          <w:color w:val="auto"/>
        </w:rPr>
        <w:t>Mr. Donald E. Felsinger is the former Chairman and Chief Executive Officer of Sempra Energy. From July 2011 through his retirement in November 2012, he served as Executive Chairman of the Board of Directors of Sempra Energy, and from February 2006 through June 2011, he was Sempra's Chairman and CEO. Prior to that, Mr. Felsinger was President and Chief Operating Officer of Sempra Energy from January 2005 to February 2006 and a member of the Board of Directors. From 1998 through 2004, he was Group President and CEO of Sempra Global. Prior to the merger that formed Sempra Energy, he served as President and Chief Operating Officer of Enova Corporation, the parent company of San Diego Gas &amp; Electric (SDG&amp;E). Prior positions included President and Chief Executive Officer of SDG&amp;E, Executive Vice President of Enova Corporation and Executive Vice President of SDG&amp;E. Mr. Felsinger is a member of the Board of Directors of Archer-Daniels-Midland (Lead Independent Director) and served as a director of Gannett Co., Inc. during the last five years.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00249C"/>
        </w:rPr>
        <w:t>Attributes, Skills and Qualifications</w:t>
      </w:r>
    </w:p>
    <w:p>
      <w:pPr>
        <w:spacing w:after="0" w:line="176" w:lineRule="exact"/>
        <w:rPr>
          <w:sz w:val="20"/>
          <w:szCs w:val="20"/>
          <w:color w:val="auto"/>
        </w:rPr>
      </w:pPr>
    </w:p>
    <w:p>
      <w:pPr>
        <w:ind w:left="240" w:right="300" w:hanging="234"/>
        <w:spacing w:after="0" w:line="261" w:lineRule="auto"/>
        <w:tabs>
          <w:tab w:leader="none" w:pos="133" w:val="left"/>
        </w:tabs>
        <w:numPr>
          <w:ilvl w:val="0"/>
          <w:numId w:val="12"/>
        </w:numPr>
        <w:rPr>
          <w:rFonts w:ascii="Arial" w:cs="Arial" w:eastAsia="Arial" w:hAnsi="Arial"/>
          <w:sz w:val="14"/>
          <w:szCs w:val="14"/>
          <w:color w:val="00249C"/>
        </w:rPr>
      </w:pPr>
      <w:r>
        <w:rPr>
          <w:rFonts w:ascii="Arial" w:cs="Arial" w:eastAsia="Arial" w:hAnsi="Arial"/>
          <w:sz w:val="18"/>
          <w:szCs w:val="18"/>
          <w:color w:val="auto"/>
        </w:rPr>
        <w:t>Extensive business experience as Chief Executive Officer, a board member and Chairman of other Fortune 500 companies in regulated industries</w:t>
      </w:r>
    </w:p>
    <w:p>
      <w:pPr>
        <w:spacing w:after="0" w:line="130" w:lineRule="exact"/>
        <w:rPr>
          <w:rFonts w:ascii="Arial" w:cs="Arial" w:eastAsia="Arial" w:hAnsi="Arial"/>
          <w:sz w:val="14"/>
          <w:szCs w:val="14"/>
          <w:color w:val="00249C"/>
        </w:rPr>
      </w:pPr>
    </w:p>
    <w:p>
      <w:pPr>
        <w:ind w:left="140" w:hanging="134"/>
        <w:spacing w:after="0"/>
        <w:tabs>
          <w:tab w:leader="none" w:pos="140" w:val="left"/>
        </w:tabs>
        <w:numPr>
          <w:ilvl w:val="0"/>
          <w:numId w:val="12"/>
        </w:numPr>
        <w:rPr>
          <w:rFonts w:ascii="Arial" w:cs="Arial" w:eastAsia="Arial" w:hAnsi="Arial"/>
          <w:sz w:val="14"/>
          <w:szCs w:val="14"/>
          <w:color w:val="00249C"/>
        </w:rPr>
      </w:pPr>
      <w:r>
        <w:rPr>
          <w:rFonts w:ascii="Arial" w:cs="Arial" w:eastAsia="Arial" w:hAnsi="Arial"/>
          <w:sz w:val="18"/>
          <w:szCs w:val="18"/>
          <w:color w:val="auto"/>
        </w:rPr>
        <w:t>Significant experience in corporate governance and strategy, and as Lead Independent Director of a Fortune 250 company</w:t>
      </w:r>
    </w:p>
    <w:p>
      <w:pPr>
        <w:spacing w:after="0" w:line="157" w:lineRule="exact"/>
        <w:rPr>
          <w:rFonts w:ascii="Arial" w:cs="Arial" w:eastAsia="Arial" w:hAnsi="Arial"/>
          <w:sz w:val="14"/>
          <w:szCs w:val="14"/>
          <w:color w:val="00249C"/>
        </w:rPr>
      </w:pPr>
    </w:p>
    <w:p>
      <w:pPr>
        <w:ind w:left="140" w:hanging="134"/>
        <w:spacing w:after="0"/>
        <w:tabs>
          <w:tab w:leader="none" w:pos="140" w:val="left"/>
        </w:tabs>
        <w:numPr>
          <w:ilvl w:val="0"/>
          <w:numId w:val="12"/>
        </w:numPr>
        <w:rPr>
          <w:rFonts w:ascii="Arial" w:cs="Arial" w:eastAsia="Arial" w:hAnsi="Arial"/>
          <w:sz w:val="14"/>
          <w:szCs w:val="14"/>
          <w:color w:val="00249C"/>
        </w:rPr>
      </w:pPr>
      <w:r>
        <w:rPr>
          <w:rFonts w:ascii="Arial" w:cs="Arial" w:eastAsia="Arial" w:hAnsi="Arial"/>
          <w:sz w:val="18"/>
          <w:szCs w:val="18"/>
          <w:color w:val="auto"/>
        </w:rPr>
        <w:t>In-depth knowledge of executive compensation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9862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00249C"/>
        </w:rPr>
        <w:t>ANN M. FUDGE,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6986270" cy="6940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86270" cy="694055"/>
                    </a:xfrm>
                    <a:prstGeom prst="rect">
                      <a:avLst/>
                    </a:prstGeom>
                    <a:noFill/>
                  </pic:spPr>
                </pic:pic>
              </a:graphicData>
            </a:graphic>
          </wp:anchor>
        </w:drawing>
      </w:r>
    </w:p>
    <w:p>
      <w:pPr>
        <w:spacing w:after="0" w:line="24" w:lineRule="exact"/>
        <w:rPr>
          <w:sz w:val="20"/>
          <w:szCs w:val="20"/>
          <w:color w:val="auto"/>
        </w:rPr>
      </w:pPr>
    </w:p>
    <w:p>
      <w:pPr>
        <w:ind w:left="1480" w:right="740"/>
        <w:spacing w:after="0" w:line="297" w:lineRule="auto"/>
        <w:rPr>
          <w:sz w:val="20"/>
          <w:szCs w:val="20"/>
          <w:color w:val="auto"/>
        </w:rPr>
      </w:pPr>
      <w:r>
        <w:rPr>
          <w:rFonts w:ascii="Arial" w:cs="Arial" w:eastAsia="Arial" w:hAnsi="Arial"/>
          <w:sz w:val="18"/>
          <w:szCs w:val="18"/>
          <w:i w:val="1"/>
          <w:iCs w:val="1"/>
          <w:color w:val="auto"/>
        </w:rPr>
        <w:t>Former Chairman and Chief Executive Officer, Young &amp; Rubicam Brands, a marketing communications company. Director since March 2016</w:t>
      </w:r>
    </w:p>
    <w:p>
      <w:pPr>
        <w:spacing w:after="0" w:line="1"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Member of the Audit and Risk Committee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69862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right="380"/>
        <w:spacing w:after="0" w:line="252" w:lineRule="auto"/>
        <w:rPr>
          <w:sz w:val="20"/>
          <w:szCs w:val="20"/>
          <w:color w:val="auto"/>
        </w:rPr>
      </w:pPr>
      <w:r>
        <w:rPr>
          <w:rFonts w:ascii="Arial" w:cs="Arial" w:eastAsia="Arial" w:hAnsi="Arial"/>
          <w:sz w:val="18"/>
          <w:szCs w:val="18"/>
          <w:color w:val="auto"/>
        </w:rPr>
        <w:t>Ms. Ann M. Fudge served as Chairman and Chief Executive Officer of Young &amp; Rubicam Brands at WPP Group PLC from May 2003 to December 2006. Prior to that, she served in various leadership positions at Kraft Foods from 1986 to 2001, including President of Beverages, Desserts and Post Divisions, and President of Maxwell House Coffee and Kraft General Foods. From 1977 to 1986, Ms. Fudge held a variety of marketing positions at General Mills. She is a director of Novartis AG, and served as a director of Unilever during the last five years. Ms. Fudge is the Chair of the Board of Trustees of WGBH Public Media and a senior trustee of the Brookings Institution.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00249C"/>
        </w:rPr>
        <w:t>Attributes, Skills and Qualifications</w:t>
      </w:r>
    </w:p>
    <w:p>
      <w:pPr>
        <w:spacing w:after="0" w:line="176" w:lineRule="exact"/>
        <w:rPr>
          <w:sz w:val="20"/>
          <w:szCs w:val="20"/>
          <w:color w:val="auto"/>
        </w:rPr>
      </w:pPr>
    </w:p>
    <w:p>
      <w:pPr>
        <w:ind w:left="140" w:hanging="134"/>
        <w:spacing w:after="0"/>
        <w:tabs>
          <w:tab w:leader="none" w:pos="140" w:val="left"/>
        </w:tabs>
        <w:numPr>
          <w:ilvl w:val="0"/>
          <w:numId w:val="13"/>
        </w:numPr>
        <w:rPr>
          <w:rFonts w:ascii="Arial" w:cs="Arial" w:eastAsia="Arial" w:hAnsi="Arial"/>
          <w:sz w:val="14"/>
          <w:szCs w:val="14"/>
          <w:color w:val="00249C"/>
        </w:rPr>
      </w:pPr>
      <w:r>
        <w:rPr>
          <w:rFonts w:ascii="Arial" w:cs="Arial" w:eastAsia="Arial" w:hAnsi="Arial"/>
          <w:sz w:val="18"/>
          <w:szCs w:val="18"/>
          <w:color w:val="auto"/>
        </w:rPr>
        <w:t>Extensive business experience as former Chief Executive Officer and former president of leading consumer products business units</w:t>
      </w:r>
    </w:p>
    <w:p>
      <w:pPr>
        <w:spacing w:after="0" w:line="157" w:lineRule="exact"/>
        <w:rPr>
          <w:rFonts w:ascii="Arial" w:cs="Arial" w:eastAsia="Arial" w:hAnsi="Arial"/>
          <w:sz w:val="14"/>
          <w:szCs w:val="14"/>
          <w:color w:val="00249C"/>
        </w:rPr>
      </w:pPr>
    </w:p>
    <w:p>
      <w:pPr>
        <w:ind w:left="240" w:right="660" w:hanging="234"/>
        <w:spacing w:after="0" w:line="261" w:lineRule="auto"/>
        <w:tabs>
          <w:tab w:leader="none" w:pos="133" w:val="left"/>
        </w:tabs>
        <w:numPr>
          <w:ilvl w:val="0"/>
          <w:numId w:val="13"/>
        </w:numPr>
        <w:rPr>
          <w:rFonts w:ascii="Arial" w:cs="Arial" w:eastAsia="Arial" w:hAnsi="Arial"/>
          <w:sz w:val="14"/>
          <w:szCs w:val="14"/>
          <w:color w:val="00249C"/>
        </w:rPr>
      </w:pPr>
      <w:r>
        <w:rPr>
          <w:rFonts w:ascii="Arial" w:cs="Arial" w:eastAsia="Arial" w:hAnsi="Arial"/>
          <w:sz w:val="18"/>
          <w:szCs w:val="18"/>
          <w:color w:val="auto"/>
        </w:rPr>
        <w:t>Substantial international experience through service as an executive and director of a large multinational company and a director of other large multinational companies</w:t>
      </w:r>
    </w:p>
    <w:p>
      <w:pPr>
        <w:spacing w:after="0" w:line="130" w:lineRule="exact"/>
        <w:rPr>
          <w:rFonts w:ascii="Arial" w:cs="Arial" w:eastAsia="Arial" w:hAnsi="Arial"/>
          <w:sz w:val="14"/>
          <w:szCs w:val="14"/>
          <w:color w:val="00249C"/>
        </w:rPr>
      </w:pPr>
    </w:p>
    <w:p>
      <w:pPr>
        <w:ind w:left="140" w:hanging="134"/>
        <w:spacing w:after="0"/>
        <w:tabs>
          <w:tab w:leader="none" w:pos="140" w:val="left"/>
        </w:tabs>
        <w:numPr>
          <w:ilvl w:val="0"/>
          <w:numId w:val="13"/>
        </w:numPr>
        <w:rPr>
          <w:rFonts w:ascii="Arial" w:cs="Arial" w:eastAsia="Arial" w:hAnsi="Arial"/>
          <w:sz w:val="14"/>
          <w:szCs w:val="14"/>
          <w:color w:val="00249C"/>
        </w:rPr>
      </w:pPr>
      <w:r>
        <w:rPr>
          <w:rFonts w:ascii="Arial" w:cs="Arial" w:eastAsia="Arial" w:hAnsi="Arial"/>
          <w:sz w:val="18"/>
          <w:szCs w:val="18"/>
          <w:color w:val="auto"/>
        </w:rPr>
        <w:t>Significant public company board experience</w:t>
      </w:r>
    </w:p>
    <w:p>
      <w:pPr>
        <w:spacing w:after="0" w:line="157" w:lineRule="exact"/>
        <w:rPr>
          <w:rFonts w:ascii="Arial" w:cs="Arial" w:eastAsia="Arial" w:hAnsi="Arial"/>
          <w:sz w:val="14"/>
          <w:szCs w:val="14"/>
          <w:color w:val="00249C"/>
        </w:rPr>
      </w:pPr>
    </w:p>
    <w:p>
      <w:pPr>
        <w:ind w:left="140" w:hanging="134"/>
        <w:spacing w:after="0"/>
        <w:tabs>
          <w:tab w:leader="none" w:pos="140" w:val="left"/>
        </w:tabs>
        <w:numPr>
          <w:ilvl w:val="0"/>
          <w:numId w:val="13"/>
        </w:numPr>
        <w:rPr>
          <w:rFonts w:ascii="Arial" w:cs="Arial" w:eastAsia="Arial" w:hAnsi="Arial"/>
          <w:sz w:val="14"/>
          <w:szCs w:val="14"/>
          <w:color w:val="00249C"/>
        </w:rPr>
      </w:pPr>
      <w:r>
        <w:rPr>
          <w:rFonts w:ascii="Arial" w:cs="Arial" w:eastAsia="Arial" w:hAnsi="Arial"/>
          <w:sz w:val="18"/>
          <w:szCs w:val="18"/>
          <w:color w:val="auto"/>
        </w:rPr>
        <w:t>Experience with talent development and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9862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1220"/>
          </w:cols>
          <w:pgMar w:left="34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300"/>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9</w:t>
      </w:r>
    </w:p>
    <w:p>
      <w:pPr>
        <w:sectPr>
          <w:pgSz w:w="11900" w:h="16838" w:orient="portrait"/>
          <w:cols w:equalWidth="0" w:num="1">
            <w:col w:w="11220"/>
          </w:cols>
          <w:pgMar w:left="340" w:top="607" w:right="339" w:bottom="1440" w:gutter="0" w:footer="0" w:header="0"/>
          <w:type w:val="continuous"/>
        </w:sectPr>
      </w:pPr>
    </w:p>
    <w:bookmarkStart w:id="15" w:name="page16"/>
    <w:bookmarkEnd w:id="15"/>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5314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PROPOSAL ONE: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249C"/>
        </w:rPr>
        <w:t>WILLIAM H. HERNANDEZ,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986270" cy="8312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86270" cy="831215"/>
                    </a:xfrm>
                    <a:prstGeom prst="rect">
                      <a:avLst/>
                    </a:prstGeom>
                    <a:noFill/>
                  </pic:spPr>
                </pic:pic>
              </a:graphicData>
            </a:graphic>
          </wp:anchor>
        </w:drawing>
      </w:r>
    </w:p>
    <w:p>
      <w:pPr>
        <w:spacing w:after="0" w:line="24" w:lineRule="exact"/>
        <w:rPr>
          <w:sz w:val="20"/>
          <w:szCs w:val="20"/>
          <w:color w:val="auto"/>
        </w:rPr>
      </w:pPr>
    </w:p>
    <w:p>
      <w:pPr>
        <w:ind w:left="1500" w:right="600"/>
        <w:spacing w:after="0" w:line="237" w:lineRule="auto"/>
        <w:rPr>
          <w:sz w:val="20"/>
          <w:szCs w:val="20"/>
          <w:color w:val="auto"/>
        </w:rPr>
      </w:pPr>
      <w:r>
        <w:rPr>
          <w:rFonts w:ascii="Arial" w:cs="Arial" w:eastAsia="Arial" w:hAnsi="Arial"/>
          <w:sz w:val="18"/>
          <w:szCs w:val="18"/>
          <w:i w:val="1"/>
          <w:iCs w:val="1"/>
          <w:color w:val="auto"/>
        </w:rPr>
        <w:t>Former Senior Vice President and Chief Financial Officer, PPG Industries, Inc., a manufacturer of chemical and industrial products.</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i w:val="1"/>
          <w:iCs w:val="1"/>
          <w:color w:val="auto"/>
        </w:rPr>
        <w:t>Director since September 2013</w:t>
      </w:r>
    </w:p>
    <w:p>
      <w:pPr>
        <w:spacing w:after="0" w:line="50" w:lineRule="exact"/>
        <w:rPr>
          <w:sz w:val="20"/>
          <w:szCs w:val="20"/>
          <w:color w:val="auto"/>
        </w:rPr>
      </w:pPr>
    </w:p>
    <w:p>
      <w:pPr>
        <w:ind w:left="1500"/>
        <w:spacing w:after="0"/>
        <w:rPr>
          <w:sz w:val="20"/>
          <w:szCs w:val="20"/>
          <w:color w:val="auto"/>
        </w:rPr>
      </w:pPr>
      <w:r>
        <w:rPr>
          <w:rFonts w:ascii="Arial" w:cs="Arial" w:eastAsia="Arial" w:hAnsi="Arial"/>
          <w:sz w:val="18"/>
          <w:szCs w:val="18"/>
          <w:i w:val="1"/>
          <w:iCs w:val="1"/>
          <w:color w:val="auto"/>
        </w:rPr>
        <w:t>Member of the Audit and Risk Committee (Chair)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69862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20"/>
        <w:spacing w:after="0" w:line="253" w:lineRule="auto"/>
        <w:rPr>
          <w:sz w:val="20"/>
          <w:szCs w:val="20"/>
          <w:color w:val="auto"/>
        </w:rPr>
      </w:pPr>
      <w:r>
        <w:rPr>
          <w:rFonts w:ascii="Arial" w:cs="Arial" w:eastAsia="Arial" w:hAnsi="Arial"/>
          <w:sz w:val="18"/>
          <w:szCs w:val="18"/>
          <w:color w:val="auto"/>
        </w:rPr>
        <w:t>Mr. William H. Hernandez served as Senior Vice President, Finance, and Chief Financial Officer of PPG Industries, Inc. (PPG), from 1995 until his retirement in 2009. Prior to that, he was PPG's corporate controller from 1990 to 1994. Mr. Hernandez previously held a number of positions with Borg-Warner Corporation and Ford Motor Company. Mr. Hernandez is a certified management accountant and has taught finance and management courses at Marietta College. He served as a director of Albemarle Corporation, Black Box Corporation, and USG Corporation during the last five years.</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00249C"/>
        </w:rPr>
        <w:t>Attributes, Skills and Qualifications</w:t>
      </w:r>
    </w:p>
    <w:p>
      <w:pPr>
        <w:spacing w:after="0" w:line="176" w:lineRule="exact"/>
        <w:rPr>
          <w:sz w:val="20"/>
          <w:szCs w:val="20"/>
          <w:color w:val="auto"/>
        </w:rPr>
      </w:pPr>
    </w:p>
    <w:p>
      <w:pPr>
        <w:ind w:left="260" w:right="240" w:hanging="234"/>
        <w:spacing w:after="0" w:line="261" w:lineRule="auto"/>
        <w:tabs>
          <w:tab w:leader="none" w:pos="143" w:val="left"/>
        </w:tabs>
        <w:numPr>
          <w:ilvl w:val="0"/>
          <w:numId w:val="14"/>
        </w:numPr>
        <w:rPr>
          <w:rFonts w:ascii="Arial" w:cs="Arial" w:eastAsia="Arial" w:hAnsi="Arial"/>
          <w:sz w:val="14"/>
          <w:szCs w:val="14"/>
          <w:color w:val="00249C"/>
        </w:rPr>
      </w:pPr>
      <w:r>
        <w:rPr>
          <w:rFonts w:ascii="Arial" w:cs="Arial" w:eastAsia="Arial" w:hAnsi="Arial"/>
          <w:sz w:val="18"/>
          <w:szCs w:val="18"/>
          <w:color w:val="auto"/>
        </w:rPr>
        <w:t>Extensive experience and expertise in areas of finance, accounting and business management acquired as Chief Financial Officer of PPG Industries</w:t>
      </w:r>
    </w:p>
    <w:p>
      <w:pPr>
        <w:spacing w:after="0" w:line="130" w:lineRule="exact"/>
        <w:rPr>
          <w:rFonts w:ascii="Arial" w:cs="Arial" w:eastAsia="Arial" w:hAnsi="Arial"/>
          <w:sz w:val="14"/>
          <w:szCs w:val="14"/>
          <w:color w:val="00249C"/>
        </w:rPr>
      </w:pPr>
    </w:p>
    <w:p>
      <w:pPr>
        <w:ind w:left="160" w:hanging="134"/>
        <w:spacing w:after="0"/>
        <w:tabs>
          <w:tab w:leader="none" w:pos="160" w:val="left"/>
        </w:tabs>
        <w:numPr>
          <w:ilvl w:val="0"/>
          <w:numId w:val="14"/>
        </w:numPr>
        <w:rPr>
          <w:rFonts w:ascii="Arial" w:cs="Arial" w:eastAsia="Arial" w:hAnsi="Arial"/>
          <w:sz w:val="14"/>
          <w:szCs w:val="14"/>
          <w:color w:val="00249C"/>
        </w:rPr>
      </w:pPr>
      <w:r>
        <w:rPr>
          <w:rFonts w:ascii="Arial" w:cs="Arial" w:eastAsia="Arial" w:hAnsi="Arial"/>
          <w:sz w:val="18"/>
          <w:szCs w:val="18"/>
          <w:color w:val="auto"/>
        </w:rPr>
        <w:t>Significant experience in areas of risk management</w:t>
      </w:r>
    </w:p>
    <w:p>
      <w:pPr>
        <w:spacing w:after="0" w:line="157" w:lineRule="exact"/>
        <w:rPr>
          <w:rFonts w:ascii="Arial" w:cs="Arial" w:eastAsia="Arial" w:hAnsi="Arial"/>
          <w:sz w:val="14"/>
          <w:szCs w:val="14"/>
          <w:color w:val="00249C"/>
        </w:rPr>
      </w:pPr>
    </w:p>
    <w:p>
      <w:pPr>
        <w:ind w:left="160" w:hanging="134"/>
        <w:spacing w:after="0"/>
        <w:tabs>
          <w:tab w:leader="none" w:pos="160" w:val="left"/>
        </w:tabs>
        <w:numPr>
          <w:ilvl w:val="0"/>
          <w:numId w:val="14"/>
        </w:numPr>
        <w:rPr>
          <w:rFonts w:ascii="Arial" w:cs="Arial" w:eastAsia="Arial" w:hAnsi="Arial"/>
          <w:sz w:val="14"/>
          <w:szCs w:val="14"/>
          <w:color w:val="00249C"/>
        </w:rPr>
      </w:pPr>
      <w:r>
        <w:rPr>
          <w:rFonts w:ascii="Arial" w:cs="Arial" w:eastAsia="Arial" w:hAnsi="Arial"/>
          <w:sz w:val="18"/>
          <w:szCs w:val="18"/>
          <w:color w:val="auto"/>
        </w:rPr>
        <w:t>Audit committee 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9862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249C"/>
        </w:rPr>
        <w:t>MADELEINE A. KLEINER,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986270" cy="8312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86270" cy="831215"/>
                    </a:xfrm>
                    <a:prstGeom prst="rect">
                      <a:avLst/>
                    </a:prstGeom>
                    <a:noFill/>
                  </pic:spPr>
                </pic:pic>
              </a:graphicData>
            </a:graphic>
          </wp:anchor>
        </w:drawing>
      </w:r>
    </w:p>
    <w:p>
      <w:pPr>
        <w:spacing w:after="0" w:line="24" w:lineRule="exact"/>
        <w:rPr>
          <w:sz w:val="20"/>
          <w:szCs w:val="20"/>
          <w:color w:val="auto"/>
        </w:rPr>
      </w:pPr>
    </w:p>
    <w:p>
      <w:pPr>
        <w:ind w:left="1500" w:right="640"/>
        <w:spacing w:after="0" w:line="297" w:lineRule="auto"/>
        <w:rPr>
          <w:sz w:val="20"/>
          <w:szCs w:val="20"/>
          <w:color w:val="auto"/>
        </w:rPr>
      </w:pPr>
      <w:r>
        <w:rPr>
          <w:rFonts w:ascii="Arial" w:cs="Arial" w:eastAsia="Arial" w:hAnsi="Arial"/>
          <w:sz w:val="18"/>
          <w:szCs w:val="18"/>
          <w:i w:val="1"/>
          <w:iCs w:val="1"/>
          <w:color w:val="auto"/>
        </w:rPr>
        <w:t>Former Executive Vice President and General Counsel, Hilton Hotels Corporation, a hotel and resort company. Director since October 2008</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18"/>
          <w:szCs w:val="18"/>
          <w:i w:val="1"/>
          <w:iCs w:val="1"/>
          <w:color w:val="auto"/>
        </w:rPr>
        <w:t>Member of the Compensation Committee and Governance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69862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line="252" w:lineRule="auto"/>
        <w:rPr>
          <w:sz w:val="20"/>
          <w:szCs w:val="20"/>
          <w:color w:val="auto"/>
        </w:rPr>
      </w:pPr>
      <w:r>
        <w:rPr>
          <w:rFonts w:ascii="Arial" w:cs="Arial" w:eastAsia="Arial" w:hAnsi="Arial"/>
          <w:sz w:val="18"/>
          <w:szCs w:val="18"/>
          <w:color w:val="auto"/>
        </w:rPr>
        <w:t>Ms. Madeleine A. Kleiner served as Executive Vice President, General Counsel and Corporate Secretary for Hilton Hotels Corporation from January 2001 until February 2008. From 1999 through 2001, she served as a director of a number of Merrill Lynch mutual funds operating under the Hotchkis and Wiley name. Ms. Kleiner served as Senior Executive Vice President, Chief Administrative Officer and General Counsel of H.F. Ahmanson &amp; Company and its subsidiary, Home Savings of America, until the company was acquired in 1998, and prior to that was a partner at the law firm of Gibson, Dunn and Crutcher where she advised corporations and their boards primarily in the areas of mergers and acquisitions, corporate governance and securities transactions and compliance. Ms. Kleiner currently serves on the Board of Directors of Jack in the Box Inc.</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00249C"/>
        </w:rPr>
        <w:t>Attributes, Skills and Qualifications</w:t>
      </w:r>
    </w:p>
    <w:p>
      <w:pPr>
        <w:spacing w:after="0" w:line="176" w:lineRule="exact"/>
        <w:rPr>
          <w:sz w:val="20"/>
          <w:szCs w:val="20"/>
          <w:color w:val="auto"/>
        </w:rPr>
      </w:pPr>
    </w:p>
    <w:p>
      <w:pPr>
        <w:ind w:left="160" w:hanging="134"/>
        <w:spacing w:after="0"/>
        <w:tabs>
          <w:tab w:leader="none" w:pos="160" w:val="left"/>
        </w:tabs>
        <w:numPr>
          <w:ilvl w:val="0"/>
          <w:numId w:val="15"/>
        </w:numPr>
        <w:rPr>
          <w:rFonts w:ascii="Arial" w:cs="Arial" w:eastAsia="Arial" w:hAnsi="Arial"/>
          <w:sz w:val="14"/>
          <w:szCs w:val="14"/>
          <w:color w:val="00249C"/>
        </w:rPr>
      </w:pPr>
      <w:r>
        <w:rPr>
          <w:rFonts w:ascii="Arial" w:cs="Arial" w:eastAsia="Arial" w:hAnsi="Arial"/>
          <w:sz w:val="18"/>
          <w:szCs w:val="18"/>
          <w:color w:val="auto"/>
        </w:rPr>
        <w:t>Expertise in corporate governance, Sarbanes-Oxley controls, risk management, securities transactions and mergers and acquisitions</w:t>
      </w:r>
    </w:p>
    <w:p>
      <w:pPr>
        <w:spacing w:after="0" w:line="157" w:lineRule="exact"/>
        <w:rPr>
          <w:rFonts w:ascii="Arial" w:cs="Arial" w:eastAsia="Arial" w:hAnsi="Arial"/>
          <w:sz w:val="14"/>
          <w:szCs w:val="14"/>
          <w:color w:val="00249C"/>
        </w:rPr>
      </w:pPr>
    </w:p>
    <w:p>
      <w:pPr>
        <w:ind w:left="260" w:hanging="234"/>
        <w:spacing w:after="0" w:line="261" w:lineRule="auto"/>
        <w:tabs>
          <w:tab w:leader="none" w:pos="144" w:val="left"/>
        </w:tabs>
        <w:numPr>
          <w:ilvl w:val="0"/>
          <w:numId w:val="15"/>
        </w:numPr>
        <w:rPr>
          <w:rFonts w:ascii="Arial" w:cs="Arial" w:eastAsia="Arial" w:hAnsi="Arial"/>
          <w:sz w:val="14"/>
          <w:szCs w:val="14"/>
          <w:color w:val="00249C"/>
        </w:rPr>
      </w:pPr>
      <w:r>
        <w:rPr>
          <w:rFonts w:ascii="Arial" w:cs="Arial" w:eastAsia="Arial" w:hAnsi="Arial"/>
          <w:sz w:val="18"/>
          <w:szCs w:val="18"/>
          <w:color w:val="auto"/>
        </w:rPr>
        <w:t>Significant experience from past roles as general counsel for two public companies, outside counsel to numerous public companies and through service on another public company board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0940"/>
          </w:cols>
          <w:pgMar w:left="320" w:top="607" w:right="639" w:bottom="1440" w:gutter="0" w:footer="0" w:header="0"/>
        </w:sectPr>
      </w:pPr>
    </w:p>
    <w:bookmarkStart w:id="16" w:name="page17"/>
    <w:bookmarkEnd w:id="16"/>
    <w:p>
      <w:pPr>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5314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PROPOSAL ONE: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00249C"/>
        </w:rPr>
        <w:t>KARL J. KRAPEK,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69862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4" w:lineRule="exact"/>
        <w:rPr>
          <w:sz w:val="20"/>
          <w:szCs w:val="20"/>
          <w:color w:val="auto"/>
        </w:rPr>
      </w:pPr>
    </w:p>
    <w:p>
      <w:pPr>
        <w:ind w:left="1480" w:right="480"/>
        <w:spacing w:after="0" w:line="237" w:lineRule="auto"/>
        <w:rPr>
          <w:sz w:val="20"/>
          <w:szCs w:val="20"/>
          <w:color w:val="auto"/>
        </w:rPr>
      </w:pPr>
      <w:r>
        <w:rPr>
          <w:rFonts w:ascii="Arial" w:cs="Arial" w:eastAsia="Arial" w:hAnsi="Arial"/>
          <w:sz w:val="18"/>
          <w:szCs w:val="18"/>
          <w:i w:val="1"/>
          <w:iCs w:val="1"/>
          <w:color w:val="auto"/>
        </w:rPr>
        <w:t>Former President and Chief Operating Officer, United Technologies Corporation, an aerospace and building systems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-255270</wp:posOffset>
            </wp:positionV>
            <wp:extent cx="617220" cy="8229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7220" cy="822960"/>
                    </a:xfrm>
                    <a:prstGeom prst="rect">
                      <a:avLst/>
                    </a:prstGeom>
                    <a:noFill/>
                  </pic:spPr>
                </pic:pic>
              </a:graphicData>
            </a:graphic>
          </wp:anchor>
        </w:drawing>
      </w:r>
    </w:p>
    <w:p>
      <w:pPr>
        <w:spacing w:after="0" w:line="3"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Director since September 2008</w:t>
      </w:r>
    </w:p>
    <w:p>
      <w:pPr>
        <w:spacing w:after="0" w:line="50"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Member of the Compensation Committee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69862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right="400"/>
        <w:spacing w:after="0" w:line="252" w:lineRule="auto"/>
        <w:rPr>
          <w:sz w:val="20"/>
          <w:szCs w:val="20"/>
          <w:color w:val="auto"/>
        </w:rPr>
      </w:pPr>
      <w:r>
        <w:rPr>
          <w:rFonts w:ascii="Arial" w:cs="Arial" w:eastAsia="Arial" w:hAnsi="Arial"/>
          <w:sz w:val="18"/>
          <w:szCs w:val="18"/>
          <w:color w:val="auto"/>
        </w:rPr>
        <w:t>Mr. Karl J. Krapek served as President and Chief Operating Officer of United Technologies Corporation from 1999 until his retirement in January 2002. At United Technologies Corporation, he served for 20 years in various leadership positions, including as Executive Vice President and director in 1997, President and Chief Executive Officer of Pratt &amp; Whitney in 1992, Chairman, President and Chief Executive Officer of Carrier Corporation in 1990 and President of Otis Elevator Company in 1989. Prior to joining United Technologies Corporation, he was Manager of Car Assembly Operations for the Pontiac Motor Car Division of General Motors Corporation. In 2002, Mr. Krapek became a co-founder of The Keystone Companies, which develops residential and commercial real estate. He serves on the Board of Directors of Trinity Health of New England. Mr. Krapek is a member of the Boards of Directors of Prudential Financial, Inc. and American Virtual Cloud Technologies, Inc.</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00249C"/>
        </w:rPr>
        <w:t>Attributes, Skills and Qualifications</w:t>
      </w:r>
    </w:p>
    <w:p>
      <w:pPr>
        <w:spacing w:after="0" w:line="176" w:lineRule="exact"/>
        <w:rPr>
          <w:sz w:val="20"/>
          <w:szCs w:val="20"/>
          <w:color w:val="auto"/>
        </w:rPr>
      </w:pPr>
    </w:p>
    <w:p>
      <w:pPr>
        <w:ind w:left="140" w:hanging="134"/>
        <w:spacing w:after="0"/>
        <w:tabs>
          <w:tab w:leader="none" w:pos="140" w:val="left"/>
        </w:tabs>
        <w:numPr>
          <w:ilvl w:val="0"/>
          <w:numId w:val="16"/>
        </w:numPr>
        <w:rPr>
          <w:rFonts w:ascii="Arial" w:cs="Arial" w:eastAsia="Arial" w:hAnsi="Arial"/>
          <w:sz w:val="14"/>
          <w:szCs w:val="14"/>
          <w:color w:val="00249C"/>
        </w:rPr>
      </w:pPr>
      <w:r>
        <w:rPr>
          <w:rFonts w:ascii="Arial" w:cs="Arial" w:eastAsia="Arial" w:hAnsi="Arial"/>
          <w:sz w:val="18"/>
          <w:szCs w:val="18"/>
          <w:color w:val="auto"/>
        </w:rPr>
        <w:t>Extensive industry experience and leadership skills</w:t>
      </w:r>
    </w:p>
    <w:p>
      <w:pPr>
        <w:spacing w:after="0" w:line="157" w:lineRule="exact"/>
        <w:rPr>
          <w:rFonts w:ascii="Arial" w:cs="Arial" w:eastAsia="Arial" w:hAnsi="Arial"/>
          <w:sz w:val="14"/>
          <w:szCs w:val="14"/>
          <w:color w:val="00249C"/>
        </w:rPr>
      </w:pPr>
    </w:p>
    <w:p>
      <w:pPr>
        <w:ind w:left="240" w:right="800" w:hanging="234"/>
        <w:spacing w:after="0" w:line="261" w:lineRule="auto"/>
        <w:tabs>
          <w:tab w:leader="none" w:pos="133" w:val="left"/>
        </w:tabs>
        <w:numPr>
          <w:ilvl w:val="0"/>
          <w:numId w:val="16"/>
        </w:numPr>
        <w:rPr>
          <w:rFonts w:ascii="Arial" w:cs="Arial" w:eastAsia="Arial" w:hAnsi="Arial"/>
          <w:sz w:val="14"/>
          <w:szCs w:val="14"/>
          <w:color w:val="00249C"/>
        </w:rPr>
      </w:pPr>
      <w:r>
        <w:rPr>
          <w:rFonts w:ascii="Arial" w:cs="Arial" w:eastAsia="Arial" w:hAnsi="Arial"/>
          <w:sz w:val="18"/>
          <w:szCs w:val="18"/>
          <w:color w:val="auto"/>
        </w:rPr>
        <w:t>Deep operational experience in aerospace and defense, domestic and international business operations and technology and lean manufacturing</w:t>
      </w:r>
    </w:p>
    <w:p>
      <w:pPr>
        <w:spacing w:after="0" w:line="130" w:lineRule="exact"/>
        <w:rPr>
          <w:rFonts w:ascii="Arial" w:cs="Arial" w:eastAsia="Arial" w:hAnsi="Arial"/>
          <w:sz w:val="14"/>
          <w:szCs w:val="14"/>
          <w:color w:val="00249C"/>
        </w:rPr>
      </w:pPr>
    </w:p>
    <w:p>
      <w:pPr>
        <w:ind w:left="140" w:hanging="134"/>
        <w:spacing w:after="0"/>
        <w:tabs>
          <w:tab w:leader="none" w:pos="140" w:val="left"/>
        </w:tabs>
        <w:numPr>
          <w:ilvl w:val="0"/>
          <w:numId w:val="16"/>
        </w:numPr>
        <w:rPr>
          <w:rFonts w:ascii="Arial" w:cs="Arial" w:eastAsia="Arial" w:hAnsi="Arial"/>
          <w:sz w:val="14"/>
          <w:szCs w:val="14"/>
          <w:color w:val="00249C"/>
        </w:rPr>
      </w:pPr>
      <w:r>
        <w:rPr>
          <w:rFonts w:ascii="Arial" w:cs="Arial" w:eastAsia="Arial" w:hAnsi="Arial"/>
          <w:sz w:val="18"/>
          <w:szCs w:val="18"/>
          <w:color w:val="auto"/>
        </w:rPr>
        <w:t>Significant public company board experience, including serving as Lead Independent Director for two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9862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00249C"/>
        </w:rPr>
        <w:t>GARY ROUGHEAD,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69862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4"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Admiral, United States Navy (Ret.) and Former Chief of Naval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617220" cy="8229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7220" cy="822960"/>
                    </a:xfrm>
                    <a:prstGeom prst="rect">
                      <a:avLst/>
                    </a:prstGeom>
                    <a:noFill/>
                  </pic:spPr>
                </pic:pic>
              </a:graphicData>
            </a:graphic>
          </wp:anchor>
        </w:drawing>
      </w:r>
    </w:p>
    <w:p>
      <w:pPr>
        <w:spacing w:after="0" w:line="30"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Director since February 2012</w:t>
      </w:r>
    </w:p>
    <w:p>
      <w:pPr>
        <w:spacing w:after="0" w:line="50"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Member of the Compensation Committee and Policy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429260</wp:posOffset>
            </wp:positionV>
            <wp:extent cx="69862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360"/>
        <w:spacing w:after="0" w:line="251" w:lineRule="auto"/>
        <w:rPr>
          <w:sz w:val="20"/>
          <w:szCs w:val="20"/>
          <w:color w:val="auto"/>
        </w:rPr>
      </w:pPr>
      <w:r>
        <w:rPr>
          <w:rFonts w:ascii="Arial" w:cs="Arial" w:eastAsia="Arial" w:hAnsi="Arial"/>
          <w:sz w:val="18"/>
          <w:szCs w:val="18"/>
          <w:color w:val="auto"/>
        </w:rPr>
        <w:t>Admiral Gary Roughead retired from his position as the 29th Chief of Naval Operations in September 2011, after serving in that position for four years. The Chief of Naval Operations is the senior military position in the United States Navy. As Chief of Naval Operations, Admiral Roughead stabilized and accelerated ship and aircraft procurement plans and the Navy's capability and capacity in ballistic missile defense and unmanned air and underwater systems. He restructured the Navy to address the challenges and opportunities in cyber operations. Prior to becoming the Chief of Naval Operations, he held six operational commands (including commanding both the Atlantic and Pacific Fleets). Admiral Roughead is a Robert and Marion Oster Distinguished Military Fellow at the Hoover Institution. He is a director of Maersk Line, Limited and Chairman of the Board of Directors of Fincantieri Marinette Marine Corporation. He also serves as a trustee of the Dodge and Cox Funds. In addition, Admiral Roughead is a trustee of Johns Hopkins University and serves on the Board of Managers of the Johns Hopkins University Applied Physics Laboratory.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00249C"/>
        </w:rPr>
        <w:t>Attributes, Skills and Qualifications</w:t>
      </w:r>
    </w:p>
    <w:p>
      <w:pPr>
        <w:spacing w:after="0" w:line="176" w:lineRule="exact"/>
        <w:rPr>
          <w:sz w:val="20"/>
          <w:szCs w:val="20"/>
          <w:color w:val="auto"/>
        </w:rPr>
      </w:pPr>
    </w:p>
    <w:p>
      <w:pPr>
        <w:ind w:left="240" w:right="980" w:hanging="234"/>
        <w:spacing w:after="0" w:line="261" w:lineRule="auto"/>
        <w:tabs>
          <w:tab w:leader="none" w:pos="133" w:val="left"/>
        </w:tabs>
        <w:numPr>
          <w:ilvl w:val="0"/>
          <w:numId w:val="17"/>
        </w:numPr>
        <w:rPr>
          <w:rFonts w:ascii="Arial" w:cs="Arial" w:eastAsia="Arial" w:hAnsi="Arial"/>
          <w:sz w:val="14"/>
          <w:szCs w:val="14"/>
          <w:color w:val="00249C"/>
        </w:rPr>
      </w:pPr>
      <w:r>
        <w:rPr>
          <w:rFonts w:ascii="Arial" w:cs="Arial" w:eastAsia="Arial" w:hAnsi="Arial"/>
          <w:sz w:val="18"/>
          <w:szCs w:val="18"/>
          <w:color w:val="auto"/>
        </w:rPr>
        <w:t>Extensive career as a senior military officer with the United States Navy, including numerous operational commands, as well as leadership positions, most recently as the 29th Chief of Naval Operations</w:t>
      </w:r>
    </w:p>
    <w:p>
      <w:pPr>
        <w:spacing w:after="0" w:line="130" w:lineRule="exact"/>
        <w:rPr>
          <w:rFonts w:ascii="Arial" w:cs="Arial" w:eastAsia="Arial" w:hAnsi="Arial"/>
          <w:sz w:val="14"/>
          <w:szCs w:val="14"/>
          <w:color w:val="00249C"/>
        </w:rPr>
      </w:pPr>
    </w:p>
    <w:p>
      <w:pPr>
        <w:ind w:left="140" w:hanging="134"/>
        <w:spacing w:after="0"/>
        <w:tabs>
          <w:tab w:leader="none" w:pos="140" w:val="left"/>
        </w:tabs>
        <w:numPr>
          <w:ilvl w:val="0"/>
          <w:numId w:val="17"/>
        </w:numPr>
        <w:rPr>
          <w:rFonts w:ascii="Arial" w:cs="Arial" w:eastAsia="Arial" w:hAnsi="Arial"/>
          <w:sz w:val="14"/>
          <w:szCs w:val="14"/>
          <w:color w:val="00249C"/>
        </w:rPr>
      </w:pPr>
      <w:r>
        <w:rPr>
          <w:rFonts w:ascii="Arial" w:cs="Arial" w:eastAsia="Arial" w:hAnsi="Arial"/>
          <w:sz w:val="18"/>
          <w:szCs w:val="18"/>
          <w:color w:val="auto"/>
        </w:rPr>
        <w:t>Significant expertise in national security, information warfare, cyber operations and global security issues</w:t>
      </w:r>
    </w:p>
    <w:p>
      <w:pPr>
        <w:spacing w:after="0" w:line="157" w:lineRule="exact"/>
        <w:rPr>
          <w:rFonts w:ascii="Arial" w:cs="Arial" w:eastAsia="Arial" w:hAnsi="Arial"/>
          <w:sz w:val="14"/>
          <w:szCs w:val="14"/>
          <w:color w:val="00249C"/>
        </w:rPr>
      </w:pPr>
    </w:p>
    <w:p>
      <w:pPr>
        <w:ind w:left="140" w:hanging="134"/>
        <w:spacing w:after="0"/>
        <w:tabs>
          <w:tab w:leader="none" w:pos="140" w:val="left"/>
        </w:tabs>
        <w:numPr>
          <w:ilvl w:val="0"/>
          <w:numId w:val="17"/>
        </w:numPr>
        <w:rPr>
          <w:rFonts w:ascii="Arial" w:cs="Arial" w:eastAsia="Arial" w:hAnsi="Arial"/>
          <w:sz w:val="14"/>
          <w:szCs w:val="14"/>
          <w:color w:val="00249C"/>
        </w:rPr>
      </w:pPr>
      <w:r>
        <w:rPr>
          <w:rFonts w:ascii="Arial" w:cs="Arial" w:eastAsia="Arial" w:hAnsi="Arial"/>
          <w:sz w:val="18"/>
          <w:szCs w:val="18"/>
          <w:color w:val="auto"/>
        </w:rPr>
        <w:t>Broad experience in leadership and matters of global relations, particularly in the Pacific region, Europe and the Middle East</w:t>
      </w:r>
    </w:p>
    <w:p>
      <w:pPr>
        <w:spacing w:after="0" w:line="157" w:lineRule="exact"/>
        <w:rPr>
          <w:rFonts w:ascii="Arial" w:cs="Arial" w:eastAsia="Arial" w:hAnsi="Arial"/>
          <w:sz w:val="14"/>
          <w:szCs w:val="14"/>
          <w:color w:val="00249C"/>
        </w:rPr>
      </w:pPr>
    </w:p>
    <w:p>
      <w:pPr>
        <w:ind w:left="140" w:hanging="134"/>
        <w:spacing w:after="0"/>
        <w:tabs>
          <w:tab w:leader="none" w:pos="140" w:val="left"/>
        </w:tabs>
        <w:numPr>
          <w:ilvl w:val="0"/>
          <w:numId w:val="17"/>
        </w:numPr>
        <w:rPr>
          <w:rFonts w:ascii="Arial" w:cs="Arial" w:eastAsia="Arial" w:hAnsi="Arial"/>
          <w:sz w:val="14"/>
          <w:szCs w:val="14"/>
          <w:color w:val="00249C"/>
        </w:rPr>
      </w:pPr>
      <w:r>
        <w:rPr>
          <w:rFonts w:ascii="Arial" w:cs="Arial" w:eastAsia="Arial" w:hAnsi="Arial"/>
          <w:sz w:val="18"/>
          <w:szCs w:val="18"/>
          <w:color w:val="auto"/>
        </w:rPr>
        <w:t>Experience with talent development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9862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1220"/>
          </w:cols>
          <w:pgMar w:left="340" w:top="607"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5200"/>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11</w:t>
      </w:r>
    </w:p>
    <w:p>
      <w:pPr>
        <w:sectPr>
          <w:pgSz w:w="11900" w:h="16838" w:orient="portrait"/>
          <w:cols w:equalWidth="0" w:num="1">
            <w:col w:w="11220"/>
          </w:cols>
          <w:pgMar w:left="340" w:top="607" w:right="339" w:bottom="1440" w:gutter="0" w:footer="0" w:header="0"/>
          <w:type w:val="continuous"/>
        </w:sectPr>
      </w:pPr>
    </w:p>
    <w:bookmarkStart w:id="17" w:name="page18"/>
    <w:bookmarkEnd w:id="17"/>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5314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PROPOSAL ONE: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249C"/>
        </w:rPr>
        <w:t>THOMAS M. SCHOEWE,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9862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4" w:lineRule="exact"/>
        <w:rPr>
          <w:sz w:val="20"/>
          <w:szCs w:val="20"/>
          <w:color w:val="auto"/>
        </w:rPr>
      </w:pPr>
    </w:p>
    <w:p>
      <w:pPr>
        <w:ind w:left="1500" w:right="660"/>
        <w:spacing w:after="0" w:line="297" w:lineRule="auto"/>
        <w:rPr>
          <w:sz w:val="20"/>
          <w:szCs w:val="20"/>
          <w:color w:val="auto"/>
        </w:rPr>
      </w:pPr>
      <w:r>
        <w:rPr>
          <w:rFonts w:ascii="Arial" w:cs="Arial" w:eastAsia="Arial" w:hAnsi="Arial"/>
          <w:sz w:val="18"/>
          <w:szCs w:val="18"/>
          <w:i w:val="1"/>
          <w:iCs w:val="1"/>
          <w:color w:val="auto"/>
        </w:rPr>
        <w:t>Former Executive Vice President and Chief Financial Officer, Wal-Mart Stores, Inc., an operator of retail stores. Director since August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-321310</wp:posOffset>
            </wp:positionV>
            <wp:extent cx="685800" cy="8572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0" cy="857250"/>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8"/>
          <w:szCs w:val="18"/>
          <w:i w:val="1"/>
          <w:iCs w:val="1"/>
          <w:color w:val="auto"/>
        </w:rPr>
        <w:t>Member of the Compensation Committee (Chair) and Policy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69862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line="250" w:lineRule="auto"/>
        <w:rPr>
          <w:sz w:val="20"/>
          <w:szCs w:val="20"/>
          <w:color w:val="auto"/>
        </w:rPr>
      </w:pPr>
      <w:r>
        <w:rPr>
          <w:rFonts w:ascii="Arial" w:cs="Arial" w:eastAsia="Arial" w:hAnsi="Arial"/>
          <w:sz w:val="18"/>
          <w:szCs w:val="18"/>
          <w:color w:val="auto"/>
        </w:rPr>
        <w:t>Mr. Thomas M. Schoewe was Executive Vice President and Chief Financial Officer of Wal-Mart Stores, Inc. from 2000 to 2011. Prior to his employment with Wal-Mart, he held several roles at the Black and Decker Corporation, including Senior Vice President and Chief Financial Officer from 1996 to 1999, Vice President and Chief Financial Officer from 1993 to 1999, Vice President of Finance from 1989 to 1993 and Vice President of Business Planning and Analysis from 1986 to 1989. Before joining Black and Decker, Mr. Schoewe worked for Beatrice Companies, where he was Chief Financial Officer and Controller of one of its subsidiaries, Beatrice Consumer Durables Inc.</w:t>
      </w:r>
    </w:p>
    <w:p>
      <w:pPr>
        <w:spacing w:after="0" w:line="2" w:lineRule="exact"/>
        <w:rPr>
          <w:sz w:val="20"/>
          <w:szCs w:val="20"/>
          <w:color w:val="auto"/>
        </w:rPr>
      </w:pPr>
    </w:p>
    <w:p>
      <w:pPr>
        <w:ind w:left="20"/>
        <w:spacing w:after="0" w:line="261" w:lineRule="auto"/>
        <w:rPr>
          <w:sz w:val="20"/>
          <w:szCs w:val="20"/>
          <w:color w:val="auto"/>
        </w:rPr>
      </w:pPr>
      <w:r>
        <w:rPr>
          <w:rFonts w:ascii="Arial" w:cs="Arial" w:eastAsia="Arial" w:hAnsi="Arial"/>
          <w:sz w:val="18"/>
          <w:szCs w:val="18"/>
          <w:color w:val="auto"/>
        </w:rPr>
        <w:t>Mr. Schoewe serves on the Boards of Directors of General Motors Corporation and KKR &amp; Co. Inc. Mr. Schoewe also serves on the board of the Ladies Professional Golf Association.</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00249C"/>
        </w:rPr>
        <w:t>Attributes, Skills and Qualifications</w:t>
      </w:r>
    </w:p>
    <w:p>
      <w:pPr>
        <w:spacing w:after="0" w:line="176" w:lineRule="exact"/>
        <w:rPr>
          <w:sz w:val="20"/>
          <w:szCs w:val="20"/>
          <w:color w:val="auto"/>
        </w:rPr>
      </w:pPr>
    </w:p>
    <w:p>
      <w:pPr>
        <w:ind w:left="260" w:right="500" w:hanging="234"/>
        <w:spacing w:after="0" w:line="261" w:lineRule="auto"/>
        <w:tabs>
          <w:tab w:leader="none" w:pos="153" w:val="left"/>
        </w:tabs>
        <w:numPr>
          <w:ilvl w:val="0"/>
          <w:numId w:val="18"/>
        </w:numPr>
        <w:rPr>
          <w:rFonts w:ascii="Arial" w:cs="Arial" w:eastAsia="Arial" w:hAnsi="Arial"/>
          <w:sz w:val="14"/>
          <w:szCs w:val="14"/>
          <w:color w:val="00249C"/>
        </w:rPr>
      </w:pPr>
      <w:r>
        <w:rPr>
          <w:rFonts w:ascii="Arial" w:cs="Arial" w:eastAsia="Arial" w:hAnsi="Arial"/>
          <w:sz w:val="18"/>
          <w:szCs w:val="18"/>
          <w:color w:val="auto"/>
        </w:rPr>
        <w:t>Extensive financial experience acquired through positions held as the Chief Financial Officer of large public companies, as well as expertise in Sarbanes-Oxley controls, risk management and mergers and acquisitions</w:t>
      </w:r>
    </w:p>
    <w:p>
      <w:pPr>
        <w:spacing w:after="0" w:line="130" w:lineRule="exact"/>
        <w:rPr>
          <w:rFonts w:ascii="Arial" w:cs="Arial" w:eastAsia="Arial" w:hAnsi="Arial"/>
          <w:sz w:val="14"/>
          <w:szCs w:val="14"/>
          <w:color w:val="00249C"/>
        </w:rPr>
      </w:pPr>
    </w:p>
    <w:p>
      <w:pPr>
        <w:ind w:left="260" w:right="760" w:hanging="234"/>
        <w:spacing w:after="0" w:line="261" w:lineRule="auto"/>
        <w:tabs>
          <w:tab w:leader="none" w:pos="153" w:val="left"/>
        </w:tabs>
        <w:numPr>
          <w:ilvl w:val="0"/>
          <w:numId w:val="18"/>
        </w:numPr>
        <w:rPr>
          <w:rFonts w:ascii="Arial" w:cs="Arial" w:eastAsia="Arial" w:hAnsi="Arial"/>
          <w:sz w:val="14"/>
          <w:szCs w:val="14"/>
          <w:color w:val="00249C"/>
        </w:rPr>
      </w:pPr>
      <w:r>
        <w:rPr>
          <w:rFonts w:ascii="Arial" w:cs="Arial" w:eastAsia="Arial" w:hAnsi="Arial"/>
          <w:sz w:val="18"/>
          <w:szCs w:val="18"/>
          <w:color w:val="auto"/>
        </w:rPr>
        <w:t>Significant international experience through his service as an executive of large public companies with substantial international operations</w:t>
      </w:r>
    </w:p>
    <w:p>
      <w:pPr>
        <w:spacing w:after="0" w:line="130" w:lineRule="exact"/>
        <w:rPr>
          <w:rFonts w:ascii="Arial" w:cs="Arial" w:eastAsia="Arial" w:hAnsi="Arial"/>
          <w:sz w:val="14"/>
          <w:szCs w:val="14"/>
          <w:color w:val="00249C"/>
        </w:rPr>
      </w:pPr>
    </w:p>
    <w:p>
      <w:pPr>
        <w:ind w:left="160" w:hanging="134"/>
        <w:spacing w:after="0"/>
        <w:tabs>
          <w:tab w:leader="none" w:pos="160" w:val="left"/>
        </w:tabs>
        <w:numPr>
          <w:ilvl w:val="0"/>
          <w:numId w:val="18"/>
        </w:numPr>
        <w:rPr>
          <w:rFonts w:ascii="Arial" w:cs="Arial" w:eastAsia="Arial" w:hAnsi="Arial"/>
          <w:sz w:val="14"/>
          <w:szCs w:val="14"/>
          <w:color w:val="00249C"/>
        </w:rPr>
      </w:pPr>
      <w:r>
        <w:rPr>
          <w:rFonts w:ascii="Arial" w:cs="Arial" w:eastAsia="Arial" w:hAnsi="Arial"/>
          <w:sz w:val="18"/>
          <w:szCs w:val="18"/>
          <w:color w:val="auto"/>
        </w:rPr>
        <w:t>Experience at Wal-Mart and Black and Decker on large-scale transformational enterprise information technology implementations</w:t>
      </w:r>
    </w:p>
    <w:p>
      <w:pPr>
        <w:spacing w:after="0" w:line="157" w:lineRule="exact"/>
        <w:rPr>
          <w:rFonts w:ascii="Arial" w:cs="Arial" w:eastAsia="Arial" w:hAnsi="Arial"/>
          <w:sz w:val="14"/>
          <w:szCs w:val="14"/>
          <w:color w:val="00249C"/>
        </w:rPr>
      </w:pPr>
    </w:p>
    <w:p>
      <w:pPr>
        <w:ind w:left="160" w:hanging="134"/>
        <w:spacing w:after="0"/>
        <w:tabs>
          <w:tab w:leader="none" w:pos="160" w:val="left"/>
        </w:tabs>
        <w:numPr>
          <w:ilvl w:val="0"/>
          <w:numId w:val="18"/>
        </w:numPr>
        <w:rPr>
          <w:rFonts w:ascii="Arial" w:cs="Arial" w:eastAsia="Arial" w:hAnsi="Arial"/>
          <w:sz w:val="14"/>
          <w:szCs w:val="14"/>
          <w:color w:val="00249C"/>
        </w:rPr>
      </w:pPr>
      <w:r>
        <w:rPr>
          <w:rFonts w:ascii="Arial" w:cs="Arial" w:eastAsia="Arial" w:hAnsi="Arial"/>
          <w:sz w:val="18"/>
          <w:szCs w:val="18"/>
          <w:color w:val="auto"/>
        </w:rPr>
        <w:t>Extensive experience as a member of the audit, risk, compensation and policy committees of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9862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249C"/>
        </w:rPr>
        <w:t>JAMES S. TURLEY,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9862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4" w:lineRule="exact"/>
        <w:rPr>
          <w:sz w:val="20"/>
          <w:szCs w:val="20"/>
          <w:color w:val="auto"/>
        </w:rPr>
      </w:pPr>
    </w:p>
    <w:p>
      <w:pPr>
        <w:ind w:left="1500"/>
        <w:spacing w:after="0"/>
        <w:rPr>
          <w:sz w:val="20"/>
          <w:szCs w:val="20"/>
          <w:color w:val="auto"/>
        </w:rPr>
      </w:pPr>
      <w:r>
        <w:rPr>
          <w:rFonts w:ascii="Arial" w:cs="Arial" w:eastAsia="Arial" w:hAnsi="Arial"/>
          <w:sz w:val="18"/>
          <w:szCs w:val="18"/>
          <w:i w:val="1"/>
          <w:iCs w:val="1"/>
          <w:color w:val="auto"/>
        </w:rPr>
        <w:t>Former Chairman and Chief Executive Officer, Ernst &amp; Young, a professional services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-127635</wp:posOffset>
            </wp:positionV>
            <wp:extent cx="591185" cy="8318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1185" cy="831850"/>
                    </a:xfrm>
                    <a:prstGeom prst="rect">
                      <a:avLst/>
                    </a:prstGeom>
                    <a:noFill/>
                  </pic:spPr>
                </pic:pic>
              </a:graphicData>
            </a:graphic>
          </wp:anchor>
        </w:drawing>
      </w:r>
    </w:p>
    <w:p>
      <w:pPr>
        <w:spacing w:after="0" w:line="30" w:lineRule="exact"/>
        <w:rPr>
          <w:sz w:val="20"/>
          <w:szCs w:val="20"/>
          <w:color w:val="auto"/>
        </w:rPr>
      </w:pPr>
    </w:p>
    <w:p>
      <w:pPr>
        <w:ind w:left="1500"/>
        <w:spacing w:after="0"/>
        <w:rPr>
          <w:sz w:val="20"/>
          <w:szCs w:val="20"/>
          <w:color w:val="auto"/>
        </w:rPr>
      </w:pPr>
      <w:r>
        <w:rPr>
          <w:rFonts w:ascii="Arial" w:cs="Arial" w:eastAsia="Arial" w:hAnsi="Arial"/>
          <w:sz w:val="18"/>
          <w:szCs w:val="18"/>
          <w:i w:val="1"/>
          <w:iCs w:val="1"/>
          <w:color w:val="auto"/>
        </w:rPr>
        <w:t>Director since February 2015</w:t>
      </w:r>
    </w:p>
    <w:p>
      <w:pPr>
        <w:spacing w:after="0" w:line="50" w:lineRule="exact"/>
        <w:rPr>
          <w:sz w:val="20"/>
          <w:szCs w:val="20"/>
          <w:color w:val="auto"/>
        </w:rPr>
      </w:pPr>
    </w:p>
    <w:p>
      <w:pPr>
        <w:ind w:left="1500"/>
        <w:spacing w:after="0"/>
        <w:rPr>
          <w:sz w:val="20"/>
          <w:szCs w:val="20"/>
          <w:color w:val="auto"/>
        </w:rPr>
      </w:pPr>
      <w:r>
        <w:rPr>
          <w:rFonts w:ascii="Arial" w:cs="Arial" w:eastAsia="Arial" w:hAnsi="Arial"/>
          <w:sz w:val="18"/>
          <w:szCs w:val="18"/>
          <w:i w:val="1"/>
          <w:iCs w:val="1"/>
          <w:color w:val="auto"/>
        </w:rPr>
        <w:t>Member of the Audit and Risk Committee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69862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right="160"/>
        <w:spacing w:after="0" w:line="271" w:lineRule="auto"/>
        <w:rPr>
          <w:sz w:val="20"/>
          <w:szCs w:val="20"/>
          <w:color w:val="auto"/>
        </w:rPr>
      </w:pPr>
      <w:r>
        <w:rPr>
          <w:rFonts w:ascii="Arial" w:cs="Arial" w:eastAsia="Arial" w:hAnsi="Arial"/>
          <w:sz w:val="17"/>
          <w:szCs w:val="17"/>
          <w:color w:val="auto"/>
        </w:rPr>
        <w:t>Mr. James S. Turley served as Chairman and Chief Executive Officer of Ernst &amp; Young from 2001 until his retirement in 2013. Mr. Turley joined Ernst &amp; Young in 1977 and held various positions there until being named regional managing partner for the Upper Midwest in 1994, and for New York in 1998. He was named Deputy Chairman in 2000. He currently serves on the Boards of Directors of Citigroup, Emerson Electric Company and Precigen, Inc. He also serves on the Board of Directors of the Boy Scouts of America. Mr. Turley is a board member of Kohler Co. and the St. Louis Trust Company and serves as Non-Executive Chair of Sita Capital Partners LLP.</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00249C"/>
        </w:rPr>
        <w:t>Attributes, Skills and Qualifications</w:t>
      </w:r>
    </w:p>
    <w:p>
      <w:pPr>
        <w:spacing w:after="0" w:line="176" w:lineRule="exact"/>
        <w:rPr>
          <w:sz w:val="20"/>
          <w:szCs w:val="20"/>
          <w:color w:val="auto"/>
        </w:rPr>
      </w:pPr>
    </w:p>
    <w:p>
      <w:pPr>
        <w:ind w:left="260" w:right="80" w:hanging="234"/>
        <w:spacing w:after="0" w:line="261" w:lineRule="auto"/>
        <w:tabs>
          <w:tab w:leader="none" w:pos="153" w:val="left"/>
        </w:tabs>
        <w:numPr>
          <w:ilvl w:val="0"/>
          <w:numId w:val="19"/>
        </w:numPr>
        <w:rPr>
          <w:rFonts w:ascii="Arial" w:cs="Arial" w:eastAsia="Arial" w:hAnsi="Arial"/>
          <w:sz w:val="14"/>
          <w:szCs w:val="14"/>
          <w:color w:val="00249C"/>
        </w:rPr>
      </w:pPr>
      <w:r>
        <w:rPr>
          <w:rFonts w:ascii="Arial" w:cs="Arial" w:eastAsia="Arial" w:hAnsi="Arial"/>
          <w:sz w:val="18"/>
          <w:szCs w:val="18"/>
          <w:color w:val="auto"/>
        </w:rPr>
        <w:t>Extensive experience and expertise in areas of finance, accounting and business management acquired over 36-year career at Ernst &amp; Young, including serving as Chairman and Chief Executive Officer of Ernst &amp; Young</w:t>
      </w:r>
    </w:p>
    <w:p>
      <w:pPr>
        <w:spacing w:after="0" w:line="130" w:lineRule="exact"/>
        <w:rPr>
          <w:rFonts w:ascii="Arial" w:cs="Arial" w:eastAsia="Arial" w:hAnsi="Arial"/>
          <w:sz w:val="14"/>
          <w:szCs w:val="14"/>
          <w:color w:val="00249C"/>
        </w:rPr>
      </w:pPr>
    </w:p>
    <w:p>
      <w:pPr>
        <w:ind w:left="160" w:hanging="134"/>
        <w:spacing w:after="0"/>
        <w:tabs>
          <w:tab w:leader="none" w:pos="160" w:val="left"/>
        </w:tabs>
        <w:numPr>
          <w:ilvl w:val="0"/>
          <w:numId w:val="19"/>
        </w:numPr>
        <w:rPr>
          <w:rFonts w:ascii="Arial" w:cs="Arial" w:eastAsia="Arial" w:hAnsi="Arial"/>
          <w:sz w:val="14"/>
          <w:szCs w:val="14"/>
          <w:color w:val="00249C"/>
        </w:rPr>
      </w:pPr>
      <w:r>
        <w:rPr>
          <w:rFonts w:ascii="Arial" w:cs="Arial" w:eastAsia="Arial" w:hAnsi="Arial"/>
          <w:sz w:val="18"/>
          <w:szCs w:val="18"/>
          <w:color w:val="auto"/>
        </w:rPr>
        <w:t>Significant experience in areas of risk management</w:t>
      </w:r>
    </w:p>
    <w:p>
      <w:pPr>
        <w:spacing w:after="0" w:line="157" w:lineRule="exact"/>
        <w:rPr>
          <w:rFonts w:ascii="Arial" w:cs="Arial" w:eastAsia="Arial" w:hAnsi="Arial"/>
          <w:sz w:val="14"/>
          <w:szCs w:val="14"/>
          <w:color w:val="00249C"/>
        </w:rPr>
      </w:pPr>
    </w:p>
    <w:p>
      <w:pPr>
        <w:ind w:left="160" w:hanging="134"/>
        <w:spacing w:after="0"/>
        <w:tabs>
          <w:tab w:leader="none" w:pos="160" w:val="left"/>
        </w:tabs>
        <w:numPr>
          <w:ilvl w:val="0"/>
          <w:numId w:val="19"/>
        </w:numPr>
        <w:rPr>
          <w:rFonts w:ascii="Arial" w:cs="Arial" w:eastAsia="Arial" w:hAnsi="Arial"/>
          <w:sz w:val="14"/>
          <w:szCs w:val="14"/>
          <w:color w:val="00249C"/>
        </w:rPr>
      </w:pPr>
      <w:r>
        <w:rPr>
          <w:rFonts w:ascii="Arial" w:cs="Arial" w:eastAsia="Arial" w:hAnsi="Arial"/>
          <w:sz w:val="18"/>
          <w:szCs w:val="18"/>
          <w:color w:val="auto"/>
        </w:rPr>
        <w:t>Extensive experience as a member of the audit committee of other public companies</w:t>
      </w:r>
    </w:p>
    <w:p>
      <w:pPr>
        <w:spacing w:after="0" w:line="157" w:lineRule="exact"/>
        <w:rPr>
          <w:rFonts w:ascii="Arial" w:cs="Arial" w:eastAsia="Arial" w:hAnsi="Arial"/>
          <w:sz w:val="14"/>
          <w:szCs w:val="14"/>
          <w:color w:val="00249C"/>
        </w:rPr>
      </w:pPr>
    </w:p>
    <w:p>
      <w:pPr>
        <w:ind w:left="160" w:hanging="134"/>
        <w:spacing w:after="0"/>
        <w:tabs>
          <w:tab w:leader="none" w:pos="160" w:val="left"/>
        </w:tabs>
        <w:numPr>
          <w:ilvl w:val="0"/>
          <w:numId w:val="19"/>
        </w:numPr>
        <w:rPr>
          <w:rFonts w:ascii="Arial" w:cs="Arial" w:eastAsia="Arial" w:hAnsi="Arial"/>
          <w:sz w:val="14"/>
          <w:szCs w:val="14"/>
          <w:color w:val="00249C"/>
        </w:rPr>
      </w:pPr>
      <w:r>
        <w:rPr>
          <w:rFonts w:ascii="Arial" w:cs="Arial" w:eastAsia="Arial" w:hAnsi="Arial"/>
          <w:sz w:val="18"/>
          <w:szCs w:val="18"/>
          <w:color w:val="auto"/>
        </w:rPr>
        <w:t>Audit committee 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9862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0980"/>
          </w:cols>
          <w:pgMar w:left="320" w:top="607" w:right="59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0980"/>
          </w:cols>
          <w:pgMar w:left="320" w:top="607" w:right="599" w:bottom="1440" w:gutter="0" w:footer="0" w:header="0"/>
          <w:type w:val="continuous"/>
        </w:sectPr>
      </w:pPr>
    </w:p>
    <w:bookmarkStart w:id="18" w:name="page19"/>
    <w:bookmarkEnd w:id="18"/>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5314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PROPOSAL ONE: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249C"/>
        </w:rPr>
        <w:t>MARK A. WELSH III,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9862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4" w:lineRule="exact"/>
        <w:rPr>
          <w:sz w:val="20"/>
          <w:szCs w:val="20"/>
          <w:color w:val="auto"/>
        </w:rPr>
      </w:pPr>
    </w:p>
    <w:p>
      <w:pPr>
        <w:ind w:left="1500" w:right="420"/>
        <w:spacing w:after="0" w:line="237" w:lineRule="auto"/>
        <w:rPr>
          <w:sz w:val="20"/>
          <w:szCs w:val="20"/>
          <w:color w:val="auto"/>
        </w:rPr>
      </w:pPr>
      <w:r>
        <w:rPr>
          <w:rFonts w:ascii="Arial" w:cs="Arial" w:eastAsia="Arial" w:hAnsi="Arial"/>
          <w:sz w:val="18"/>
          <w:szCs w:val="18"/>
          <w:i w:val="1"/>
          <w:iCs w:val="1"/>
          <w:color w:val="auto"/>
        </w:rPr>
        <w:t>Dean of the Bush School of Government and Public Service, Texas A&amp;M University; General, United States Air Force (Ret.); Former Chief of Staff, United States Air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-255270</wp:posOffset>
            </wp:positionV>
            <wp:extent cx="548640" cy="8229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48640" cy="822960"/>
                    </a:xfrm>
                    <a:prstGeom prst="rect">
                      <a:avLst/>
                    </a:prstGeom>
                    <a:noFill/>
                  </pic:spPr>
                </pic:pic>
              </a:graphicData>
            </a:graphic>
          </wp:anchor>
        </w:drawing>
      </w:r>
    </w:p>
    <w:p>
      <w:pPr>
        <w:spacing w:after="0" w:line="3" w:lineRule="exact"/>
        <w:rPr>
          <w:sz w:val="20"/>
          <w:szCs w:val="20"/>
          <w:color w:val="auto"/>
        </w:rPr>
      </w:pPr>
    </w:p>
    <w:p>
      <w:pPr>
        <w:ind w:left="1500"/>
        <w:spacing w:after="0"/>
        <w:rPr>
          <w:sz w:val="20"/>
          <w:szCs w:val="20"/>
          <w:color w:val="auto"/>
        </w:rPr>
      </w:pPr>
      <w:r>
        <w:rPr>
          <w:rFonts w:ascii="Arial" w:cs="Arial" w:eastAsia="Arial" w:hAnsi="Arial"/>
          <w:sz w:val="18"/>
          <w:szCs w:val="18"/>
          <w:i w:val="1"/>
          <w:iCs w:val="1"/>
          <w:color w:val="auto"/>
        </w:rPr>
        <w:t>Director since December 2016</w:t>
      </w:r>
    </w:p>
    <w:p>
      <w:pPr>
        <w:spacing w:after="0" w:line="50" w:lineRule="exact"/>
        <w:rPr>
          <w:sz w:val="20"/>
          <w:szCs w:val="20"/>
          <w:color w:val="auto"/>
        </w:rPr>
      </w:pPr>
    </w:p>
    <w:p>
      <w:pPr>
        <w:ind w:left="1500"/>
        <w:spacing w:after="0"/>
        <w:rPr>
          <w:sz w:val="20"/>
          <w:szCs w:val="20"/>
          <w:color w:val="auto"/>
        </w:rPr>
      </w:pPr>
      <w:r>
        <w:rPr>
          <w:rFonts w:ascii="Arial" w:cs="Arial" w:eastAsia="Arial" w:hAnsi="Arial"/>
          <w:sz w:val="18"/>
          <w:szCs w:val="18"/>
          <w:i w:val="1"/>
          <w:iCs w:val="1"/>
          <w:color w:val="auto"/>
        </w:rPr>
        <w:t>Member of the Audit and Risk Committee and Policy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69862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20" w:right="340"/>
        <w:spacing w:after="0" w:line="252" w:lineRule="auto"/>
        <w:rPr>
          <w:sz w:val="20"/>
          <w:szCs w:val="20"/>
          <w:color w:val="auto"/>
        </w:rPr>
      </w:pPr>
      <w:r>
        <w:rPr>
          <w:rFonts w:ascii="Arial" w:cs="Arial" w:eastAsia="Arial" w:hAnsi="Arial"/>
          <w:sz w:val="18"/>
          <w:szCs w:val="18"/>
          <w:color w:val="auto"/>
        </w:rPr>
        <w:t>General Mark A. Welsh III has been the Dean of the Bush School of Government and Public Service at Texas A&amp;M University since August 2016. Prior to his current position, General Welsh served as Chief of Staff of the United States Air Force, the senior uniformed Air Force officer responsible for the organization, training and equipping of active-duty, Guard, Reserve and civilian forces serving in the United States and overseas. During his long career, General Welsh also served as a member of the Joint Chiefs of Staff, Commander of the United States Air Forces in Europe and Commander of NATO's Air Command, Associate Director for Military Affairs at the Central Intelligence Agency and Commandant of the United States Air Force Academy. General Welsh is a member of the Board of Managers of Peak NanoSystems, LLC.</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00249C"/>
        </w:rPr>
        <w:t>Attributes, Skills and Qualifications</w:t>
      </w:r>
    </w:p>
    <w:p>
      <w:pPr>
        <w:spacing w:after="0" w:line="176" w:lineRule="exact"/>
        <w:rPr>
          <w:sz w:val="20"/>
          <w:szCs w:val="20"/>
          <w:color w:val="auto"/>
        </w:rPr>
      </w:pPr>
    </w:p>
    <w:p>
      <w:pPr>
        <w:ind w:left="260" w:right="700" w:hanging="234"/>
        <w:spacing w:after="0" w:line="261" w:lineRule="auto"/>
        <w:tabs>
          <w:tab w:leader="none" w:pos="143" w:val="left"/>
        </w:tabs>
        <w:numPr>
          <w:ilvl w:val="0"/>
          <w:numId w:val="20"/>
        </w:numPr>
        <w:rPr>
          <w:rFonts w:ascii="Arial" w:cs="Arial" w:eastAsia="Arial" w:hAnsi="Arial"/>
          <w:sz w:val="14"/>
          <w:szCs w:val="14"/>
          <w:color w:val="00249C"/>
        </w:rPr>
      </w:pPr>
      <w:r>
        <w:rPr>
          <w:rFonts w:ascii="Arial" w:cs="Arial" w:eastAsia="Arial" w:hAnsi="Arial"/>
          <w:sz w:val="18"/>
          <w:szCs w:val="18"/>
          <w:color w:val="auto"/>
        </w:rPr>
        <w:t>Extensive career as a senior military officer and member of the Joint Chiefs of Staff, having held leadership positions at the highest levels of the United States Air Force</w:t>
      </w:r>
    </w:p>
    <w:p>
      <w:pPr>
        <w:spacing w:after="0" w:line="130" w:lineRule="exact"/>
        <w:rPr>
          <w:rFonts w:ascii="Arial" w:cs="Arial" w:eastAsia="Arial" w:hAnsi="Arial"/>
          <w:sz w:val="14"/>
          <w:szCs w:val="14"/>
          <w:color w:val="00249C"/>
        </w:rPr>
      </w:pPr>
    </w:p>
    <w:p>
      <w:pPr>
        <w:ind w:left="160" w:hanging="134"/>
        <w:spacing w:after="0"/>
        <w:tabs>
          <w:tab w:leader="none" w:pos="160" w:val="left"/>
        </w:tabs>
        <w:numPr>
          <w:ilvl w:val="0"/>
          <w:numId w:val="20"/>
        </w:numPr>
        <w:rPr>
          <w:rFonts w:ascii="Arial" w:cs="Arial" w:eastAsia="Arial" w:hAnsi="Arial"/>
          <w:sz w:val="14"/>
          <w:szCs w:val="14"/>
          <w:color w:val="00249C"/>
        </w:rPr>
      </w:pPr>
      <w:r>
        <w:rPr>
          <w:rFonts w:ascii="Arial" w:cs="Arial" w:eastAsia="Arial" w:hAnsi="Arial"/>
          <w:sz w:val="18"/>
          <w:szCs w:val="18"/>
          <w:color w:val="auto"/>
        </w:rPr>
        <w:t>Extensive experience and in-depth knowledge of issues related to global security and the intelligence community</w:t>
      </w:r>
    </w:p>
    <w:p>
      <w:pPr>
        <w:spacing w:after="0" w:line="157" w:lineRule="exact"/>
        <w:rPr>
          <w:rFonts w:ascii="Arial" w:cs="Arial" w:eastAsia="Arial" w:hAnsi="Arial"/>
          <w:sz w:val="14"/>
          <w:szCs w:val="14"/>
          <w:color w:val="00249C"/>
        </w:rPr>
      </w:pPr>
    </w:p>
    <w:p>
      <w:pPr>
        <w:ind w:left="160" w:hanging="134"/>
        <w:spacing w:after="0"/>
        <w:tabs>
          <w:tab w:leader="none" w:pos="160" w:val="left"/>
        </w:tabs>
        <w:numPr>
          <w:ilvl w:val="0"/>
          <w:numId w:val="20"/>
        </w:numPr>
        <w:rPr>
          <w:rFonts w:ascii="Arial" w:cs="Arial" w:eastAsia="Arial" w:hAnsi="Arial"/>
          <w:sz w:val="14"/>
          <w:szCs w:val="14"/>
          <w:color w:val="00249C"/>
        </w:rPr>
      </w:pPr>
      <w:r>
        <w:rPr>
          <w:rFonts w:ascii="Arial" w:cs="Arial" w:eastAsia="Arial" w:hAnsi="Arial"/>
          <w:sz w:val="18"/>
          <w:szCs w:val="18"/>
          <w:color w:val="auto"/>
        </w:rPr>
        <w:t>Broad leadership experience and international experience, particularly in Europe</w:t>
      </w:r>
    </w:p>
    <w:p>
      <w:pPr>
        <w:spacing w:after="0" w:line="157" w:lineRule="exact"/>
        <w:rPr>
          <w:rFonts w:ascii="Arial" w:cs="Arial" w:eastAsia="Arial" w:hAnsi="Arial"/>
          <w:sz w:val="14"/>
          <w:szCs w:val="14"/>
          <w:color w:val="00249C"/>
        </w:rPr>
      </w:pPr>
    </w:p>
    <w:p>
      <w:pPr>
        <w:ind w:left="160" w:hanging="134"/>
        <w:spacing w:after="0"/>
        <w:tabs>
          <w:tab w:leader="none" w:pos="160" w:val="left"/>
        </w:tabs>
        <w:numPr>
          <w:ilvl w:val="0"/>
          <w:numId w:val="20"/>
        </w:numPr>
        <w:rPr>
          <w:rFonts w:ascii="Arial" w:cs="Arial" w:eastAsia="Arial" w:hAnsi="Arial"/>
          <w:sz w:val="14"/>
          <w:szCs w:val="14"/>
          <w:color w:val="00249C"/>
        </w:rPr>
      </w:pPr>
      <w:r>
        <w:rPr>
          <w:rFonts w:ascii="Arial" w:cs="Arial" w:eastAsia="Arial" w:hAnsi="Arial"/>
          <w:sz w:val="18"/>
          <w:szCs w:val="18"/>
          <w:color w:val="auto"/>
        </w:rPr>
        <w:t>Experience with talent development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9862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Vote Required</w:t>
      </w:r>
    </w:p>
    <w:p>
      <w:pPr>
        <w:spacing w:after="0" w:line="10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To be elected, a nominee must receive more votes cast "for" than votes cast "against" his or her election. Abstentions and broker non-votes will have no effect on this proposal. If a nominee is not re-elected, he or she will remain in office until a successor is elected or until his or her earlier resignation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49465" cy="3429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342900"/>
                    </a:xfrm>
                    <a:prstGeom prst="rect">
                      <a:avLst/>
                    </a:prstGeom>
                    <a:noFill/>
                  </pic:spPr>
                </pic:pic>
              </a:graphicData>
            </a:graphic>
          </wp:anchor>
        </w:drawing>
      </w:r>
    </w:p>
    <w:p>
      <w:pPr>
        <w:spacing w:after="0" w:line="8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00249C"/>
        </w:rPr>
        <w:t>THE BOARD OF DIRECTORS UNANIMOUSLY RECOMMENDS THAT YOU VOTE</w:t>
      </w:r>
    </w:p>
    <w:p>
      <w:pPr>
        <w:jc w:val="center"/>
        <w:spacing w:after="0"/>
        <w:rPr>
          <w:sz w:val="20"/>
          <w:szCs w:val="20"/>
          <w:color w:val="auto"/>
        </w:rPr>
      </w:pPr>
      <w:r>
        <w:rPr>
          <w:rFonts w:ascii="Arial" w:cs="Arial" w:eastAsia="Arial" w:hAnsi="Arial"/>
          <w:sz w:val="22"/>
          <w:szCs w:val="22"/>
          <w:color w:val="00249C"/>
        </w:rPr>
        <w:t>"FOR" THE 12 NOMINEES FOR DIRECTOR LISTED ABOVE.</w:t>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13</w:t>
      </w:r>
    </w:p>
    <w:p>
      <w:pPr>
        <w:sectPr>
          <w:pgSz w:w="11900" w:h="16838" w:orient="portrait"/>
          <w:cols w:equalWidth="0" w:num="1">
            <w:col w:w="11240"/>
          </w:cols>
          <w:pgMar w:left="320" w:top="607"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4629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462915"/>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40575" cy="9861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0575" cy="986155"/>
                    </a:xfrm>
                    <a:prstGeom prst="rect">
                      <a:avLst/>
                    </a:prstGeom>
                    <a:noFill/>
                  </pic:spPr>
                </pic:pic>
              </a:graphicData>
            </a:graphic>
          </wp:anchor>
        </w:drawing>
      </w:r>
    </w:p>
    <w:p>
      <w:pPr>
        <w:spacing w:after="0" w:line="297" w:lineRule="exact"/>
        <w:rPr>
          <w:sz w:val="20"/>
          <w:szCs w:val="20"/>
          <w:color w:val="auto"/>
        </w:rPr>
      </w:pPr>
    </w:p>
    <w:p>
      <w:pPr>
        <w:jc w:val="center"/>
        <w:ind w:left="360" w:right="160"/>
        <w:spacing w:after="0" w:line="215" w:lineRule="auto"/>
        <w:rPr>
          <w:sz w:val="20"/>
          <w:szCs w:val="20"/>
          <w:color w:val="auto"/>
        </w:rPr>
      </w:pPr>
      <w:r>
        <w:rPr>
          <w:rFonts w:ascii="Arial" w:cs="Arial" w:eastAsia="Arial" w:hAnsi="Arial"/>
          <w:sz w:val="22"/>
          <w:szCs w:val="22"/>
          <w:color w:val="00249C"/>
        </w:rPr>
        <w:t>We are committed to maintaining high standards of corporate governance, aligned with our focus on performance and long-term, profitable growth, and our core values of ethics and integrity. With strong oversight from the Board, our corporate governance regime is intended to promote the long-term success of our Company to benefit our shareholders, customers, employees, communities and suppliers.</w:t>
      </w:r>
    </w:p>
    <w:p>
      <w:pPr>
        <w:spacing w:after="0" w:line="107" w:lineRule="exact"/>
        <w:rPr>
          <w:sz w:val="20"/>
          <w:szCs w:val="20"/>
          <w:color w:val="auto"/>
        </w:rPr>
      </w:pPr>
    </w:p>
    <w:p>
      <w:pPr>
        <w:jc w:val="center"/>
        <w:ind w:left="360" w:right="100"/>
        <w:spacing w:after="0" w:line="237" w:lineRule="auto"/>
        <w:rPr>
          <w:sz w:val="20"/>
          <w:szCs w:val="20"/>
          <w:color w:val="auto"/>
        </w:rPr>
      </w:pPr>
      <w:r>
        <w:rPr>
          <w:rFonts w:ascii="Arial" w:cs="Arial" w:eastAsia="Arial" w:hAnsi="Arial"/>
          <w:sz w:val="22"/>
          <w:szCs w:val="22"/>
          <w:color w:val="00249C"/>
        </w:rPr>
        <w:t xml:space="preserve">Our Company has adopted </w:t>
      </w:r>
      <w:r>
        <w:rPr>
          <w:rFonts w:ascii="Arial" w:cs="Arial" w:eastAsia="Arial" w:hAnsi="Arial"/>
          <w:sz w:val="22"/>
          <w:szCs w:val="22"/>
          <w:b w:val="1"/>
          <w:bCs w:val="1"/>
          <w:color w:val="00249C"/>
        </w:rPr>
        <w:t>Values</w:t>
      </w:r>
      <w:r>
        <w:rPr>
          <w:rFonts w:ascii="Arial" w:cs="Arial" w:eastAsia="Arial" w:hAnsi="Arial"/>
          <w:sz w:val="22"/>
          <w:szCs w:val="22"/>
          <w:color w:val="00249C"/>
        </w:rPr>
        <w:t xml:space="preserve">, </w:t>
      </w:r>
      <w:r>
        <w:rPr>
          <w:rFonts w:ascii="Arial" w:cs="Arial" w:eastAsia="Arial" w:hAnsi="Arial"/>
          <w:sz w:val="22"/>
          <w:szCs w:val="22"/>
          <w:b w:val="1"/>
          <w:bCs w:val="1"/>
          <w:color w:val="00249C"/>
        </w:rPr>
        <w:t>Principles of Corporate Governance</w:t>
      </w:r>
      <w:r>
        <w:rPr>
          <w:rFonts w:ascii="Arial" w:cs="Arial" w:eastAsia="Arial" w:hAnsi="Arial"/>
          <w:sz w:val="22"/>
          <w:szCs w:val="22"/>
          <w:color w:val="00249C"/>
        </w:rPr>
        <w:t xml:space="preserve">, and </w:t>
      </w:r>
      <w:r>
        <w:rPr>
          <w:rFonts w:ascii="Arial" w:cs="Arial" w:eastAsia="Arial" w:hAnsi="Arial"/>
          <w:sz w:val="22"/>
          <w:szCs w:val="22"/>
          <w:b w:val="1"/>
          <w:bCs w:val="1"/>
          <w:color w:val="00249C"/>
        </w:rPr>
        <w:t>Standards of Business Conduct</w:t>
      </w:r>
      <w:r>
        <w:rPr>
          <w:rFonts w:ascii="Arial" w:cs="Arial" w:eastAsia="Arial" w:hAnsi="Arial"/>
          <w:sz w:val="22"/>
          <w:szCs w:val="22"/>
          <w:color w:val="00249C"/>
        </w:rPr>
        <w:t xml:space="preserve"> to help guide and promote our good corporate governance and responsible business practices.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In 2020, we restated the values that guide our Company and provide the foundation for our culture and success. They are:</w:t>
      </w:r>
    </w:p>
    <w:p>
      <w:pPr>
        <w:spacing w:after="0" w:line="144" w:lineRule="exact"/>
        <w:rPr>
          <w:sz w:val="20"/>
          <w:szCs w:val="20"/>
          <w:color w:val="auto"/>
        </w:rPr>
      </w:pPr>
    </w:p>
    <w:p>
      <w:pPr>
        <w:ind w:left="340" w:right="360" w:hanging="332"/>
        <w:spacing w:after="0" w:line="225" w:lineRule="auto"/>
        <w:tabs>
          <w:tab w:leader="none" w:pos="308" w:val="left"/>
        </w:tabs>
        <w:numPr>
          <w:ilvl w:val="0"/>
          <w:numId w:val="21"/>
        </w:numPr>
        <w:rPr>
          <w:rFonts w:ascii="Arial" w:cs="Arial" w:eastAsia="Arial" w:hAnsi="Arial"/>
          <w:sz w:val="22"/>
          <w:szCs w:val="22"/>
          <w:color w:val="00249C"/>
        </w:rPr>
      </w:pPr>
      <w:r>
        <w:rPr>
          <w:rFonts w:ascii="Arial" w:cs="Arial" w:eastAsia="Arial" w:hAnsi="Arial"/>
          <w:sz w:val="18"/>
          <w:szCs w:val="18"/>
          <w:color w:val="auto"/>
        </w:rPr>
        <w:t>we do the right thing - we earn trust, act with ethics, integrity and transparency, treat everyone with respect, value diversity and foster safe and inclusive environments;</w:t>
      </w:r>
    </w:p>
    <w:p>
      <w:pPr>
        <w:spacing w:after="0" w:line="72" w:lineRule="exact"/>
        <w:rPr>
          <w:rFonts w:ascii="Arial" w:cs="Arial" w:eastAsia="Arial" w:hAnsi="Arial"/>
          <w:sz w:val="22"/>
          <w:szCs w:val="22"/>
          <w:color w:val="00249C"/>
        </w:rPr>
      </w:pPr>
    </w:p>
    <w:p>
      <w:pPr>
        <w:ind w:left="300" w:hanging="292"/>
        <w:spacing w:after="0"/>
        <w:tabs>
          <w:tab w:leader="none" w:pos="300" w:val="left"/>
        </w:tabs>
        <w:numPr>
          <w:ilvl w:val="0"/>
          <w:numId w:val="21"/>
        </w:numPr>
        <w:rPr>
          <w:rFonts w:ascii="Arial" w:cs="Arial" w:eastAsia="Arial" w:hAnsi="Arial"/>
          <w:sz w:val="22"/>
          <w:szCs w:val="22"/>
          <w:color w:val="00249C"/>
        </w:rPr>
      </w:pPr>
      <w:r>
        <w:rPr>
          <w:rFonts w:ascii="Arial" w:cs="Arial" w:eastAsia="Arial" w:hAnsi="Arial"/>
          <w:sz w:val="18"/>
          <w:szCs w:val="18"/>
          <w:color w:val="auto"/>
        </w:rPr>
        <w:t>we do what we promise - we own the delivery of results, focused on quality;</w:t>
      </w:r>
    </w:p>
    <w:p>
      <w:pPr>
        <w:spacing w:after="0" w:line="107" w:lineRule="exact"/>
        <w:rPr>
          <w:rFonts w:ascii="Arial" w:cs="Arial" w:eastAsia="Arial" w:hAnsi="Arial"/>
          <w:sz w:val="22"/>
          <w:szCs w:val="22"/>
          <w:color w:val="00249C"/>
        </w:rPr>
      </w:pPr>
    </w:p>
    <w:p>
      <w:pPr>
        <w:ind w:left="340" w:right="520" w:hanging="332"/>
        <w:spacing w:after="0" w:line="225" w:lineRule="auto"/>
        <w:tabs>
          <w:tab w:leader="none" w:pos="308" w:val="left"/>
        </w:tabs>
        <w:numPr>
          <w:ilvl w:val="0"/>
          <w:numId w:val="21"/>
        </w:numPr>
        <w:rPr>
          <w:rFonts w:ascii="Arial" w:cs="Arial" w:eastAsia="Arial" w:hAnsi="Arial"/>
          <w:sz w:val="22"/>
          <w:szCs w:val="22"/>
          <w:color w:val="00249C"/>
        </w:rPr>
      </w:pPr>
      <w:r>
        <w:rPr>
          <w:rFonts w:ascii="Arial" w:cs="Arial" w:eastAsia="Arial" w:hAnsi="Arial"/>
          <w:sz w:val="18"/>
          <w:szCs w:val="18"/>
          <w:color w:val="auto"/>
        </w:rPr>
        <w:t>we commit to shared success - we work together to focus on the mission and take accountability for the sustainable success of our people, customers, shareholders, suppliers and communities; and</w:t>
      </w:r>
    </w:p>
    <w:p>
      <w:pPr>
        <w:spacing w:after="0" w:line="86" w:lineRule="exact"/>
        <w:rPr>
          <w:rFonts w:ascii="Arial" w:cs="Arial" w:eastAsia="Arial" w:hAnsi="Arial"/>
          <w:sz w:val="22"/>
          <w:szCs w:val="22"/>
          <w:color w:val="00249C"/>
        </w:rPr>
      </w:pPr>
    </w:p>
    <w:p>
      <w:pPr>
        <w:ind w:left="300" w:hanging="292"/>
        <w:spacing w:after="0"/>
        <w:tabs>
          <w:tab w:leader="none" w:pos="300" w:val="left"/>
        </w:tabs>
        <w:numPr>
          <w:ilvl w:val="0"/>
          <w:numId w:val="21"/>
        </w:numPr>
        <w:rPr>
          <w:rFonts w:ascii="Arial" w:cs="Arial" w:eastAsia="Arial" w:hAnsi="Arial"/>
          <w:sz w:val="22"/>
          <w:szCs w:val="22"/>
          <w:color w:val="00249C"/>
        </w:rPr>
      </w:pPr>
      <w:r>
        <w:rPr>
          <w:rFonts w:ascii="Arial" w:cs="Arial" w:eastAsia="Arial" w:hAnsi="Arial"/>
          <w:sz w:val="18"/>
          <w:szCs w:val="18"/>
          <w:color w:val="auto"/>
        </w:rPr>
        <w:t>we pioneer - with fierce curiosity, dedication and innovation, we seek to solve the world's most challenging problems.</w:t>
      </w:r>
    </w:p>
    <w:p>
      <w:pPr>
        <w:spacing w:after="0" w:line="6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Our Principles of Corporate Governance outline the role and responsibilities of our Board and the high standards our directors maintain. They set forth additional independence requirements for our directors and provide guidelines for Board leadership and Board and Committee membership, among other items. The Board reviews these principles at least annually and considers opportunities for improvement and modification. Our Principles of Corporate Governance are available at </w:t>
      </w:r>
      <w:r>
        <w:rPr>
          <w:rFonts w:ascii="Arial" w:cs="Arial" w:eastAsia="Arial" w:hAnsi="Arial"/>
          <w:sz w:val="18"/>
          <w:szCs w:val="18"/>
          <w:i w:val="1"/>
          <w:iCs w:val="1"/>
          <w:color w:val="auto"/>
        </w:rPr>
        <w:t>https://investor.northropgrumman.com/principles-corporate-governance</w:t>
      </w:r>
      <w:r>
        <w:rPr>
          <w:rFonts w:ascii="Arial" w:cs="Arial" w:eastAsia="Arial" w:hAnsi="Arial"/>
          <w:sz w:val="18"/>
          <w:szCs w:val="18"/>
          <w:color w:val="auto"/>
        </w:rPr>
        <w:t>.</w:t>
      </w:r>
    </w:p>
    <w:p>
      <w:pPr>
        <w:spacing w:after="0" w:line="84"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 xml:space="preserve">Our Standards of Business Conduct reflect and reinforce our commitment to our core values. They apply to our directors, officers and employees. We also require our suppliers to meet similar standards through our Supplier Code of Conduct. Our Standards of Business Conduct are available at </w:t>
      </w:r>
      <w:r>
        <w:rPr>
          <w:rFonts w:ascii="Arial" w:cs="Arial" w:eastAsia="Arial" w:hAnsi="Arial"/>
          <w:sz w:val="18"/>
          <w:szCs w:val="18"/>
          <w:i w:val="1"/>
          <w:iCs w:val="1"/>
          <w:color w:val="auto"/>
        </w:rPr>
        <w:t>https://www.northropgrumman.com/corporate-responsibility/ethics-and-business-conduct/standards-of-business-conduct/</w:t>
      </w:r>
      <w:r>
        <w:rPr>
          <w:rFonts w:ascii="Arial" w:cs="Arial" w:eastAsia="Arial" w:hAnsi="Arial"/>
          <w:sz w:val="18"/>
          <w:szCs w:val="18"/>
          <w:color w:val="auto"/>
        </w:rPr>
        <w:t>. Our Supplier Standards of Business Conduct are available at</w:t>
      </w:r>
      <w:r>
        <w:rPr>
          <w:rFonts w:ascii="Arial" w:cs="Arial" w:eastAsia="Arial" w:hAnsi="Arial"/>
          <w:sz w:val="18"/>
          <w:szCs w:val="18"/>
          <w:i w:val="1"/>
          <w:iCs w:val="1"/>
          <w:color w:val="auto"/>
        </w:rPr>
        <w:t xml:space="preserve"> https://www2.northropgrumman.com/suppliers/Pages/SSBC.aspx</w:t>
      </w:r>
      <w:r>
        <w:rPr>
          <w:rFonts w:ascii="Arial" w:cs="Arial" w:eastAsia="Arial" w:hAnsi="Arial"/>
          <w:sz w:val="18"/>
          <w:szCs w:val="18"/>
          <w:color w:val="auto"/>
        </w:rPr>
        <w: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Among other things, our Standards of Business Conduct:</w:t>
      </w:r>
    </w:p>
    <w:p>
      <w:pPr>
        <w:spacing w:after="0" w:line="108" w:lineRule="exact"/>
        <w:rPr>
          <w:sz w:val="20"/>
          <w:szCs w:val="20"/>
          <w:color w:val="auto"/>
        </w:rPr>
      </w:pPr>
    </w:p>
    <w:p>
      <w:pPr>
        <w:ind w:left="300" w:hanging="292"/>
        <w:spacing w:after="0"/>
        <w:tabs>
          <w:tab w:leader="none" w:pos="300" w:val="left"/>
        </w:tabs>
        <w:numPr>
          <w:ilvl w:val="0"/>
          <w:numId w:val="22"/>
        </w:numPr>
        <w:rPr>
          <w:rFonts w:ascii="Arial" w:cs="Arial" w:eastAsia="Arial" w:hAnsi="Arial"/>
          <w:sz w:val="22"/>
          <w:szCs w:val="22"/>
          <w:color w:val="00249C"/>
        </w:rPr>
      </w:pPr>
      <w:r>
        <w:rPr>
          <w:rFonts w:ascii="Arial" w:cs="Arial" w:eastAsia="Arial" w:hAnsi="Arial"/>
          <w:sz w:val="18"/>
          <w:szCs w:val="18"/>
          <w:color w:val="auto"/>
        </w:rPr>
        <w:t>require high ethical standards in all aspects of our business;</w:t>
      </w:r>
    </w:p>
    <w:p>
      <w:pPr>
        <w:spacing w:after="0" w:line="71" w:lineRule="exact"/>
        <w:rPr>
          <w:rFonts w:ascii="Arial" w:cs="Arial" w:eastAsia="Arial" w:hAnsi="Arial"/>
          <w:sz w:val="22"/>
          <w:szCs w:val="22"/>
          <w:color w:val="00249C"/>
        </w:rPr>
      </w:pPr>
    </w:p>
    <w:p>
      <w:pPr>
        <w:ind w:left="300" w:hanging="292"/>
        <w:spacing w:after="0"/>
        <w:tabs>
          <w:tab w:leader="none" w:pos="300" w:val="left"/>
        </w:tabs>
        <w:numPr>
          <w:ilvl w:val="0"/>
          <w:numId w:val="22"/>
        </w:numPr>
        <w:rPr>
          <w:rFonts w:ascii="Arial" w:cs="Arial" w:eastAsia="Arial" w:hAnsi="Arial"/>
          <w:sz w:val="22"/>
          <w:szCs w:val="22"/>
          <w:color w:val="00249C"/>
        </w:rPr>
      </w:pPr>
      <w:r>
        <w:rPr>
          <w:rFonts w:ascii="Arial" w:cs="Arial" w:eastAsia="Arial" w:hAnsi="Arial"/>
          <w:sz w:val="18"/>
          <w:szCs w:val="18"/>
          <w:color w:val="auto"/>
        </w:rPr>
        <w:t>require strict adherence to all applicable laws and regulations;</w:t>
      </w:r>
    </w:p>
    <w:p>
      <w:pPr>
        <w:spacing w:after="0" w:line="84" w:lineRule="exact"/>
        <w:rPr>
          <w:rFonts w:ascii="Arial" w:cs="Arial" w:eastAsia="Arial" w:hAnsi="Arial"/>
          <w:sz w:val="22"/>
          <w:szCs w:val="22"/>
          <w:color w:val="00249C"/>
        </w:rPr>
      </w:pPr>
    </w:p>
    <w:p>
      <w:pPr>
        <w:ind w:left="300" w:hanging="292"/>
        <w:spacing w:after="0"/>
        <w:tabs>
          <w:tab w:leader="none" w:pos="300" w:val="left"/>
        </w:tabs>
        <w:numPr>
          <w:ilvl w:val="0"/>
          <w:numId w:val="22"/>
        </w:numPr>
        <w:rPr>
          <w:rFonts w:ascii="Arial" w:cs="Arial" w:eastAsia="Arial" w:hAnsi="Arial"/>
          <w:sz w:val="22"/>
          <w:szCs w:val="22"/>
          <w:color w:val="00249C"/>
        </w:rPr>
      </w:pPr>
      <w:r>
        <w:rPr>
          <w:rFonts w:ascii="Arial" w:cs="Arial" w:eastAsia="Arial" w:hAnsi="Arial"/>
          <w:sz w:val="18"/>
          <w:szCs w:val="18"/>
          <w:color w:val="auto"/>
        </w:rPr>
        <w:t>reflect our commitment to maintaining a culture that values and promotes diversity, equity and inclusion;</w:t>
      </w:r>
    </w:p>
    <w:p>
      <w:pPr>
        <w:spacing w:after="0" w:line="71" w:lineRule="exact"/>
        <w:rPr>
          <w:rFonts w:ascii="Arial" w:cs="Arial" w:eastAsia="Arial" w:hAnsi="Arial"/>
          <w:sz w:val="22"/>
          <w:szCs w:val="22"/>
          <w:color w:val="00249C"/>
        </w:rPr>
      </w:pPr>
    </w:p>
    <w:p>
      <w:pPr>
        <w:ind w:left="300" w:hanging="292"/>
        <w:spacing w:after="0"/>
        <w:tabs>
          <w:tab w:leader="none" w:pos="300" w:val="left"/>
        </w:tabs>
        <w:numPr>
          <w:ilvl w:val="0"/>
          <w:numId w:val="22"/>
        </w:numPr>
        <w:rPr>
          <w:rFonts w:ascii="Arial" w:cs="Arial" w:eastAsia="Arial" w:hAnsi="Arial"/>
          <w:sz w:val="22"/>
          <w:szCs w:val="22"/>
          <w:color w:val="00249C"/>
        </w:rPr>
      </w:pPr>
      <w:r>
        <w:rPr>
          <w:rFonts w:ascii="Arial" w:cs="Arial" w:eastAsia="Arial" w:hAnsi="Arial"/>
          <w:sz w:val="18"/>
          <w:szCs w:val="18"/>
          <w:color w:val="auto"/>
        </w:rPr>
        <w:t>reinforce our commitment to being a responsible corporate citizen;</w:t>
      </w:r>
    </w:p>
    <w:p>
      <w:pPr>
        <w:spacing w:after="0" w:line="71" w:lineRule="exact"/>
        <w:rPr>
          <w:rFonts w:ascii="Arial" w:cs="Arial" w:eastAsia="Arial" w:hAnsi="Arial"/>
          <w:sz w:val="22"/>
          <w:szCs w:val="22"/>
          <w:color w:val="00249C"/>
        </w:rPr>
      </w:pPr>
    </w:p>
    <w:p>
      <w:pPr>
        <w:ind w:left="300" w:hanging="292"/>
        <w:spacing w:after="0"/>
        <w:tabs>
          <w:tab w:leader="none" w:pos="300" w:val="left"/>
        </w:tabs>
        <w:numPr>
          <w:ilvl w:val="0"/>
          <w:numId w:val="22"/>
        </w:numPr>
        <w:rPr>
          <w:rFonts w:ascii="Arial" w:cs="Arial" w:eastAsia="Arial" w:hAnsi="Arial"/>
          <w:sz w:val="22"/>
          <w:szCs w:val="22"/>
          <w:color w:val="00249C"/>
        </w:rPr>
      </w:pPr>
      <w:r>
        <w:rPr>
          <w:rFonts w:ascii="Arial" w:cs="Arial" w:eastAsia="Arial" w:hAnsi="Arial"/>
          <w:sz w:val="18"/>
          <w:szCs w:val="18"/>
          <w:color w:val="auto"/>
        </w:rPr>
        <w:t>reflect our commitment to our work environment and the global communities where we live, work and serve;</w:t>
      </w:r>
    </w:p>
    <w:p>
      <w:pPr>
        <w:spacing w:after="0" w:line="84" w:lineRule="exact"/>
        <w:rPr>
          <w:rFonts w:ascii="Arial" w:cs="Arial" w:eastAsia="Arial" w:hAnsi="Arial"/>
          <w:sz w:val="22"/>
          <w:szCs w:val="22"/>
          <w:color w:val="00249C"/>
        </w:rPr>
      </w:pPr>
    </w:p>
    <w:p>
      <w:pPr>
        <w:ind w:left="300" w:hanging="292"/>
        <w:spacing w:after="0"/>
        <w:tabs>
          <w:tab w:leader="none" w:pos="300" w:val="left"/>
        </w:tabs>
        <w:numPr>
          <w:ilvl w:val="0"/>
          <w:numId w:val="22"/>
        </w:numPr>
        <w:rPr>
          <w:rFonts w:ascii="Arial" w:cs="Arial" w:eastAsia="Arial" w:hAnsi="Arial"/>
          <w:sz w:val="22"/>
          <w:szCs w:val="22"/>
          <w:color w:val="00249C"/>
        </w:rPr>
      </w:pPr>
      <w:r>
        <w:rPr>
          <w:rFonts w:ascii="Arial" w:cs="Arial" w:eastAsia="Arial" w:hAnsi="Arial"/>
          <w:sz w:val="18"/>
          <w:szCs w:val="18"/>
          <w:color w:val="auto"/>
        </w:rPr>
        <w:t>reflect our broad and deep commitment to sustainability, including especially our people and environmental responsibility;</w:t>
      </w:r>
    </w:p>
    <w:p>
      <w:pPr>
        <w:spacing w:after="0" w:line="71" w:lineRule="exact"/>
        <w:rPr>
          <w:rFonts w:ascii="Arial" w:cs="Arial" w:eastAsia="Arial" w:hAnsi="Arial"/>
          <w:sz w:val="22"/>
          <w:szCs w:val="22"/>
          <w:color w:val="00249C"/>
        </w:rPr>
      </w:pPr>
    </w:p>
    <w:p>
      <w:pPr>
        <w:ind w:left="300" w:hanging="292"/>
        <w:spacing w:after="0"/>
        <w:tabs>
          <w:tab w:leader="none" w:pos="300" w:val="left"/>
        </w:tabs>
        <w:numPr>
          <w:ilvl w:val="0"/>
          <w:numId w:val="22"/>
        </w:numPr>
        <w:rPr>
          <w:rFonts w:ascii="Arial" w:cs="Arial" w:eastAsia="Arial" w:hAnsi="Arial"/>
          <w:sz w:val="22"/>
          <w:szCs w:val="22"/>
          <w:color w:val="00249C"/>
        </w:rPr>
      </w:pPr>
      <w:r>
        <w:rPr>
          <w:rFonts w:ascii="Arial" w:cs="Arial" w:eastAsia="Arial" w:hAnsi="Arial"/>
          <w:sz w:val="18"/>
          <w:szCs w:val="18"/>
          <w:color w:val="auto"/>
        </w:rPr>
        <w:t>require a focus on performance and the consistent production of quality results;</w:t>
      </w:r>
    </w:p>
    <w:p>
      <w:pPr>
        <w:spacing w:after="0" w:line="71" w:lineRule="exact"/>
        <w:rPr>
          <w:rFonts w:ascii="Arial" w:cs="Arial" w:eastAsia="Arial" w:hAnsi="Arial"/>
          <w:sz w:val="22"/>
          <w:szCs w:val="22"/>
          <w:color w:val="00249C"/>
        </w:rPr>
      </w:pPr>
    </w:p>
    <w:p>
      <w:pPr>
        <w:ind w:left="300" w:hanging="292"/>
        <w:spacing w:after="0"/>
        <w:tabs>
          <w:tab w:leader="none" w:pos="300" w:val="left"/>
        </w:tabs>
        <w:numPr>
          <w:ilvl w:val="0"/>
          <w:numId w:val="22"/>
        </w:numPr>
        <w:rPr>
          <w:rFonts w:ascii="Arial" w:cs="Arial" w:eastAsia="Arial" w:hAnsi="Arial"/>
          <w:sz w:val="22"/>
          <w:szCs w:val="22"/>
          <w:color w:val="00249C"/>
        </w:rPr>
      </w:pPr>
      <w:r>
        <w:rPr>
          <w:rFonts w:ascii="Arial" w:cs="Arial" w:eastAsia="Arial" w:hAnsi="Arial"/>
          <w:sz w:val="18"/>
          <w:szCs w:val="18"/>
          <w:color w:val="auto"/>
        </w:rPr>
        <w:t>reflect our commitment to the safety of our people and products; and</w:t>
      </w:r>
    </w:p>
    <w:p>
      <w:pPr>
        <w:spacing w:after="0" w:line="84" w:lineRule="exact"/>
        <w:rPr>
          <w:rFonts w:ascii="Arial" w:cs="Arial" w:eastAsia="Arial" w:hAnsi="Arial"/>
          <w:sz w:val="22"/>
          <w:szCs w:val="22"/>
          <w:color w:val="00249C"/>
        </w:rPr>
      </w:pPr>
    </w:p>
    <w:p>
      <w:pPr>
        <w:ind w:left="300" w:hanging="292"/>
        <w:spacing w:after="0"/>
        <w:tabs>
          <w:tab w:leader="none" w:pos="300" w:val="left"/>
        </w:tabs>
        <w:numPr>
          <w:ilvl w:val="0"/>
          <w:numId w:val="22"/>
        </w:numPr>
        <w:rPr>
          <w:rFonts w:ascii="Arial" w:cs="Arial" w:eastAsia="Arial" w:hAnsi="Arial"/>
          <w:sz w:val="22"/>
          <w:szCs w:val="22"/>
          <w:color w:val="00249C"/>
        </w:rPr>
      </w:pPr>
      <w:r>
        <w:rPr>
          <w:rFonts w:ascii="Arial" w:cs="Arial" w:eastAsia="Arial" w:hAnsi="Arial"/>
          <w:sz w:val="18"/>
          <w:szCs w:val="18"/>
          <w:color w:val="auto"/>
        </w:rPr>
        <w:t>call upon all employees to raise any questions or issues of concern (including on an anonymous basis).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We report amendments to provisions of our Standards of Business Conduct on our website.</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Role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primary responsibility of our Board is to foster the long-term success of the Company, promoting the interests of our shareholders. Our directors exercise their business judgment in a manner they reasonably believe to be in the best interests of the Company and our shareholders and in a manner consistent with their fiduciary responsibilities. The responsibilities of the Board include, but are not limited to, the following:</w:t>
      </w:r>
    </w:p>
    <w:p>
      <w:pPr>
        <w:spacing w:after="0" w:line="87" w:lineRule="exact"/>
        <w:rPr>
          <w:sz w:val="20"/>
          <w:szCs w:val="20"/>
          <w:color w:val="auto"/>
        </w:rPr>
      </w:pPr>
    </w:p>
    <w:p>
      <w:pPr>
        <w:ind w:left="300" w:hanging="292"/>
        <w:spacing w:after="0"/>
        <w:tabs>
          <w:tab w:leader="none" w:pos="300" w:val="left"/>
        </w:tabs>
        <w:numPr>
          <w:ilvl w:val="0"/>
          <w:numId w:val="23"/>
        </w:numPr>
        <w:rPr>
          <w:rFonts w:ascii="Arial" w:cs="Arial" w:eastAsia="Arial" w:hAnsi="Arial"/>
          <w:sz w:val="22"/>
          <w:szCs w:val="22"/>
          <w:color w:val="00249C"/>
        </w:rPr>
      </w:pPr>
      <w:r>
        <w:rPr>
          <w:rFonts w:ascii="Arial" w:cs="Arial" w:eastAsia="Arial" w:hAnsi="Arial"/>
          <w:sz w:val="18"/>
          <w:szCs w:val="18"/>
          <w:color w:val="auto"/>
        </w:rPr>
        <w:t>oversee our long-term business strategies, operations and performance;</w:t>
      </w:r>
    </w:p>
    <w:p>
      <w:pPr>
        <w:sectPr>
          <w:pgSz w:w="11900" w:h="16838" w:orient="portrait"/>
          <w:cols w:equalWidth="0" w:num="1">
            <w:col w:w="11220"/>
          </w:cols>
          <w:pgMar w:left="320" w:top="607" w:right="35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1220"/>
          </w:cols>
          <w:pgMar w:left="320" w:top="607" w:right="359" w:bottom="1440" w:gutter="0" w:footer="0" w:header="0"/>
          <w:type w:val="continuous"/>
        </w:sectPr>
      </w:pPr>
    </w:p>
    <w:bookmarkStart w:id="20" w:name="page21"/>
    <w:bookmarkEnd w:id="20"/>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320675</wp:posOffset>
            </wp:positionV>
            <wp:extent cx="7132320" cy="5314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CORPORATE GOVERNANCE</w:t>
      </w:r>
    </w:p>
    <w:p>
      <w:pPr>
        <w:spacing w:after="0" w:line="200" w:lineRule="exact"/>
        <w:rPr>
          <w:sz w:val="20"/>
          <w:szCs w:val="20"/>
          <w:color w:val="auto"/>
        </w:rPr>
      </w:pPr>
    </w:p>
    <w:p>
      <w:pPr>
        <w:spacing w:after="0" w:line="393" w:lineRule="exact"/>
        <w:rPr>
          <w:sz w:val="20"/>
          <w:szCs w:val="20"/>
          <w:color w:val="auto"/>
        </w:rPr>
      </w:pPr>
    </w:p>
    <w:p>
      <w:pPr>
        <w:ind w:left="300" w:hanging="292"/>
        <w:spacing w:after="0"/>
        <w:tabs>
          <w:tab w:leader="none" w:pos="300" w:val="left"/>
        </w:tabs>
        <w:numPr>
          <w:ilvl w:val="0"/>
          <w:numId w:val="24"/>
        </w:numPr>
        <w:rPr>
          <w:rFonts w:ascii="Arial" w:cs="Arial" w:eastAsia="Arial" w:hAnsi="Arial"/>
          <w:sz w:val="22"/>
          <w:szCs w:val="22"/>
          <w:color w:val="00249C"/>
        </w:rPr>
      </w:pPr>
      <w:r>
        <w:rPr>
          <w:rFonts w:ascii="Arial" w:cs="Arial" w:eastAsia="Arial" w:hAnsi="Arial"/>
          <w:sz w:val="18"/>
          <w:szCs w:val="18"/>
          <w:color w:val="auto"/>
        </w:rPr>
        <w:t>execute robust succession planning, including selecting the Chief Executive Officer, and electing officers of the Company;</w:t>
      </w:r>
    </w:p>
    <w:p>
      <w:pPr>
        <w:spacing w:after="0" w:line="71" w:lineRule="exact"/>
        <w:rPr>
          <w:rFonts w:ascii="Arial" w:cs="Arial" w:eastAsia="Arial" w:hAnsi="Arial"/>
          <w:sz w:val="22"/>
          <w:szCs w:val="22"/>
          <w:color w:val="00249C"/>
        </w:rPr>
      </w:pPr>
    </w:p>
    <w:p>
      <w:pPr>
        <w:ind w:left="300" w:hanging="292"/>
        <w:spacing w:after="0"/>
        <w:tabs>
          <w:tab w:leader="none" w:pos="300" w:val="left"/>
        </w:tabs>
        <w:numPr>
          <w:ilvl w:val="0"/>
          <w:numId w:val="24"/>
        </w:numPr>
        <w:rPr>
          <w:rFonts w:ascii="Arial" w:cs="Arial" w:eastAsia="Arial" w:hAnsi="Arial"/>
          <w:sz w:val="22"/>
          <w:szCs w:val="22"/>
          <w:color w:val="00249C"/>
        </w:rPr>
      </w:pPr>
      <w:r>
        <w:rPr>
          <w:rFonts w:ascii="Arial" w:cs="Arial" w:eastAsia="Arial" w:hAnsi="Arial"/>
          <w:sz w:val="18"/>
          <w:szCs w:val="18"/>
          <w:color w:val="auto"/>
        </w:rPr>
        <w:t>oversee management of each of our major risks and the enterprise risk management processes overall, including audit functions;</w:t>
      </w:r>
    </w:p>
    <w:p>
      <w:pPr>
        <w:spacing w:after="0" w:line="84" w:lineRule="exact"/>
        <w:rPr>
          <w:rFonts w:ascii="Arial" w:cs="Arial" w:eastAsia="Arial" w:hAnsi="Arial"/>
          <w:sz w:val="22"/>
          <w:szCs w:val="22"/>
          <w:color w:val="00249C"/>
        </w:rPr>
      </w:pPr>
    </w:p>
    <w:p>
      <w:pPr>
        <w:ind w:left="300" w:hanging="292"/>
        <w:spacing w:after="0"/>
        <w:tabs>
          <w:tab w:leader="none" w:pos="300" w:val="left"/>
        </w:tabs>
        <w:numPr>
          <w:ilvl w:val="0"/>
          <w:numId w:val="24"/>
        </w:numPr>
        <w:rPr>
          <w:rFonts w:ascii="Arial" w:cs="Arial" w:eastAsia="Arial" w:hAnsi="Arial"/>
          <w:sz w:val="22"/>
          <w:szCs w:val="22"/>
          <w:color w:val="00249C"/>
        </w:rPr>
      </w:pPr>
      <w:r>
        <w:rPr>
          <w:rFonts w:ascii="Arial" w:cs="Arial" w:eastAsia="Arial" w:hAnsi="Arial"/>
          <w:sz w:val="18"/>
          <w:szCs w:val="18"/>
          <w:color w:val="auto"/>
        </w:rPr>
        <w:t>oversee human capital strategy;</w:t>
      </w:r>
    </w:p>
    <w:p>
      <w:pPr>
        <w:spacing w:after="0" w:line="71" w:lineRule="exact"/>
        <w:rPr>
          <w:rFonts w:ascii="Arial" w:cs="Arial" w:eastAsia="Arial" w:hAnsi="Arial"/>
          <w:sz w:val="22"/>
          <w:szCs w:val="22"/>
          <w:color w:val="00249C"/>
        </w:rPr>
      </w:pPr>
    </w:p>
    <w:p>
      <w:pPr>
        <w:ind w:left="300" w:hanging="292"/>
        <w:spacing w:after="0"/>
        <w:tabs>
          <w:tab w:leader="none" w:pos="300" w:val="left"/>
        </w:tabs>
        <w:numPr>
          <w:ilvl w:val="0"/>
          <w:numId w:val="24"/>
        </w:numPr>
        <w:rPr>
          <w:rFonts w:ascii="Arial" w:cs="Arial" w:eastAsia="Arial" w:hAnsi="Arial"/>
          <w:sz w:val="22"/>
          <w:szCs w:val="22"/>
          <w:color w:val="00249C"/>
        </w:rPr>
      </w:pPr>
      <w:r>
        <w:rPr>
          <w:rFonts w:ascii="Arial" w:cs="Arial" w:eastAsia="Arial" w:hAnsi="Arial"/>
          <w:sz w:val="18"/>
          <w:szCs w:val="18"/>
          <w:color w:val="auto"/>
        </w:rPr>
        <w:t>ensure a strong culture;</w:t>
      </w:r>
    </w:p>
    <w:p>
      <w:pPr>
        <w:spacing w:after="0" w:line="71" w:lineRule="exact"/>
        <w:rPr>
          <w:rFonts w:ascii="Arial" w:cs="Arial" w:eastAsia="Arial" w:hAnsi="Arial"/>
          <w:sz w:val="22"/>
          <w:szCs w:val="22"/>
          <w:color w:val="00249C"/>
        </w:rPr>
      </w:pPr>
    </w:p>
    <w:p>
      <w:pPr>
        <w:ind w:left="300" w:hanging="292"/>
        <w:spacing w:after="0"/>
        <w:tabs>
          <w:tab w:leader="none" w:pos="300" w:val="left"/>
        </w:tabs>
        <w:numPr>
          <w:ilvl w:val="0"/>
          <w:numId w:val="24"/>
        </w:numPr>
        <w:rPr>
          <w:rFonts w:ascii="Arial" w:cs="Arial" w:eastAsia="Arial" w:hAnsi="Arial"/>
          <w:sz w:val="22"/>
          <w:szCs w:val="22"/>
          <w:color w:val="00249C"/>
        </w:rPr>
      </w:pPr>
      <w:r>
        <w:rPr>
          <w:rFonts w:ascii="Arial" w:cs="Arial" w:eastAsia="Arial" w:hAnsi="Arial"/>
          <w:sz w:val="18"/>
          <w:szCs w:val="18"/>
          <w:color w:val="auto"/>
        </w:rPr>
        <w:t>ensure an effective corporate governance practice;</w:t>
      </w:r>
    </w:p>
    <w:p>
      <w:pPr>
        <w:spacing w:after="0" w:line="84" w:lineRule="exact"/>
        <w:rPr>
          <w:rFonts w:ascii="Arial" w:cs="Arial" w:eastAsia="Arial" w:hAnsi="Arial"/>
          <w:sz w:val="22"/>
          <w:szCs w:val="22"/>
          <w:color w:val="00249C"/>
        </w:rPr>
      </w:pPr>
    </w:p>
    <w:p>
      <w:pPr>
        <w:ind w:left="300" w:hanging="292"/>
        <w:spacing w:after="0"/>
        <w:tabs>
          <w:tab w:leader="none" w:pos="300" w:val="left"/>
        </w:tabs>
        <w:numPr>
          <w:ilvl w:val="0"/>
          <w:numId w:val="24"/>
        </w:numPr>
        <w:rPr>
          <w:rFonts w:ascii="Arial" w:cs="Arial" w:eastAsia="Arial" w:hAnsi="Arial"/>
          <w:sz w:val="22"/>
          <w:szCs w:val="22"/>
          <w:color w:val="00249C"/>
        </w:rPr>
      </w:pPr>
      <w:r>
        <w:rPr>
          <w:rFonts w:ascii="Arial" w:cs="Arial" w:eastAsia="Arial" w:hAnsi="Arial"/>
          <w:sz w:val="18"/>
          <w:szCs w:val="18"/>
          <w:color w:val="auto"/>
        </w:rPr>
        <w:t>elect directors to fill vacant positions between Annual Meetings;</w:t>
      </w:r>
    </w:p>
    <w:p>
      <w:pPr>
        <w:spacing w:after="0" w:line="71" w:lineRule="exact"/>
        <w:rPr>
          <w:rFonts w:ascii="Arial" w:cs="Arial" w:eastAsia="Arial" w:hAnsi="Arial"/>
          <w:sz w:val="22"/>
          <w:szCs w:val="22"/>
          <w:color w:val="00249C"/>
        </w:rPr>
      </w:pPr>
    </w:p>
    <w:p>
      <w:pPr>
        <w:ind w:left="300" w:hanging="292"/>
        <w:spacing w:after="0"/>
        <w:tabs>
          <w:tab w:leader="none" w:pos="300" w:val="left"/>
        </w:tabs>
        <w:numPr>
          <w:ilvl w:val="0"/>
          <w:numId w:val="24"/>
        </w:numPr>
        <w:rPr>
          <w:rFonts w:ascii="Arial" w:cs="Arial" w:eastAsia="Arial" w:hAnsi="Arial"/>
          <w:sz w:val="22"/>
          <w:szCs w:val="22"/>
          <w:color w:val="00249C"/>
        </w:rPr>
      </w:pPr>
      <w:r>
        <w:rPr>
          <w:rFonts w:ascii="Arial" w:cs="Arial" w:eastAsia="Arial" w:hAnsi="Arial"/>
          <w:sz w:val="18"/>
          <w:szCs w:val="18"/>
          <w:color w:val="auto"/>
        </w:rPr>
        <w:t>review and approve executive compensation;</w:t>
      </w:r>
    </w:p>
    <w:p>
      <w:pPr>
        <w:spacing w:after="0" w:line="71" w:lineRule="exact"/>
        <w:rPr>
          <w:rFonts w:ascii="Arial" w:cs="Arial" w:eastAsia="Arial" w:hAnsi="Arial"/>
          <w:sz w:val="22"/>
          <w:szCs w:val="22"/>
          <w:color w:val="00249C"/>
        </w:rPr>
      </w:pPr>
    </w:p>
    <w:p>
      <w:pPr>
        <w:ind w:left="300" w:hanging="292"/>
        <w:spacing w:after="0"/>
        <w:tabs>
          <w:tab w:leader="none" w:pos="300" w:val="left"/>
        </w:tabs>
        <w:numPr>
          <w:ilvl w:val="0"/>
          <w:numId w:val="24"/>
        </w:numPr>
        <w:rPr>
          <w:rFonts w:ascii="Arial" w:cs="Arial" w:eastAsia="Arial" w:hAnsi="Arial"/>
          <w:sz w:val="22"/>
          <w:szCs w:val="22"/>
          <w:color w:val="00249C"/>
        </w:rPr>
      </w:pPr>
      <w:r>
        <w:rPr>
          <w:rFonts w:ascii="Arial" w:cs="Arial" w:eastAsia="Arial" w:hAnsi="Arial"/>
          <w:sz w:val="18"/>
          <w:szCs w:val="18"/>
          <w:color w:val="auto"/>
        </w:rPr>
        <w:t>review and approve significant corporate actions;</w:t>
      </w:r>
    </w:p>
    <w:p>
      <w:pPr>
        <w:spacing w:after="0" w:line="84" w:lineRule="exact"/>
        <w:rPr>
          <w:rFonts w:ascii="Arial" w:cs="Arial" w:eastAsia="Arial" w:hAnsi="Arial"/>
          <w:sz w:val="22"/>
          <w:szCs w:val="22"/>
          <w:color w:val="00249C"/>
        </w:rPr>
      </w:pPr>
    </w:p>
    <w:p>
      <w:pPr>
        <w:ind w:left="300" w:hanging="292"/>
        <w:spacing w:after="0"/>
        <w:tabs>
          <w:tab w:leader="none" w:pos="300" w:val="left"/>
        </w:tabs>
        <w:numPr>
          <w:ilvl w:val="0"/>
          <w:numId w:val="24"/>
        </w:numPr>
        <w:rPr>
          <w:rFonts w:ascii="Arial" w:cs="Arial" w:eastAsia="Arial" w:hAnsi="Arial"/>
          <w:sz w:val="22"/>
          <w:szCs w:val="22"/>
          <w:color w:val="00249C"/>
        </w:rPr>
      </w:pPr>
      <w:r>
        <w:rPr>
          <w:rFonts w:ascii="Arial" w:cs="Arial" w:eastAsia="Arial" w:hAnsi="Arial"/>
          <w:sz w:val="18"/>
          <w:szCs w:val="18"/>
          <w:color w:val="auto"/>
        </w:rPr>
        <w:t>review and enhance Board performance;</w:t>
      </w:r>
    </w:p>
    <w:p>
      <w:pPr>
        <w:spacing w:after="0" w:line="71" w:lineRule="exact"/>
        <w:rPr>
          <w:rFonts w:ascii="Arial" w:cs="Arial" w:eastAsia="Arial" w:hAnsi="Arial"/>
          <w:sz w:val="22"/>
          <w:szCs w:val="22"/>
          <w:color w:val="00249C"/>
        </w:rPr>
      </w:pPr>
    </w:p>
    <w:p>
      <w:pPr>
        <w:ind w:left="300" w:hanging="292"/>
        <w:spacing w:after="0"/>
        <w:tabs>
          <w:tab w:leader="none" w:pos="300" w:val="left"/>
        </w:tabs>
        <w:numPr>
          <w:ilvl w:val="0"/>
          <w:numId w:val="24"/>
        </w:numPr>
        <w:rPr>
          <w:rFonts w:ascii="Arial" w:cs="Arial" w:eastAsia="Arial" w:hAnsi="Arial"/>
          <w:sz w:val="22"/>
          <w:szCs w:val="22"/>
          <w:color w:val="00249C"/>
        </w:rPr>
      </w:pPr>
      <w:r>
        <w:rPr>
          <w:rFonts w:ascii="Arial" w:cs="Arial" w:eastAsia="Arial" w:hAnsi="Arial"/>
          <w:sz w:val="18"/>
          <w:szCs w:val="18"/>
          <w:color w:val="auto"/>
        </w:rPr>
        <w:t>oversee our ethics and compliance programs;</w:t>
      </w:r>
    </w:p>
    <w:p>
      <w:pPr>
        <w:spacing w:after="0" w:line="71" w:lineRule="exact"/>
        <w:rPr>
          <w:rFonts w:ascii="Arial" w:cs="Arial" w:eastAsia="Arial" w:hAnsi="Arial"/>
          <w:sz w:val="22"/>
          <w:szCs w:val="22"/>
          <w:color w:val="00249C"/>
        </w:rPr>
      </w:pPr>
    </w:p>
    <w:p>
      <w:pPr>
        <w:ind w:left="300" w:hanging="292"/>
        <w:spacing w:after="0"/>
        <w:tabs>
          <w:tab w:leader="none" w:pos="300" w:val="left"/>
        </w:tabs>
        <w:numPr>
          <w:ilvl w:val="0"/>
          <w:numId w:val="24"/>
        </w:numPr>
        <w:rPr>
          <w:rFonts w:ascii="Arial" w:cs="Arial" w:eastAsia="Arial" w:hAnsi="Arial"/>
          <w:sz w:val="22"/>
          <w:szCs w:val="22"/>
          <w:color w:val="00249C"/>
        </w:rPr>
      </w:pPr>
      <w:r>
        <w:rPr>
          <w:rFonts w:ascii="Arial" w:cs="Arial" w:eastAsia="Arial" w:hAnsi="Arial"/>
          <w:sz w:val="18"/>
          <w:szCs w:val="18"/>
          <w:color w:val="auto"/>
        </w:rPr>
        <w:t>oversee our diversity, equity and inclusion programs;</w:t>
      </w:r>
    </w:p>
    <w:p>
      <w:pPr>
        <w:spacing w:after="0" w:line="84" w:lineRule="exact"/>
        <w:rPr>
          <w:rFonts w:ascii="Arial" w:cs="Arial" w:eastAsia="Arial" w:hAnsi="Arial"/>
          <w:sz w:val="22"/>
          <w:szCs w:val="22"/>
          <w:color w:val="00249C"/>
        </w:rPr>
      </w:pPr>
    </w:p>
    <w:p>
      <w:pPr>
        <w:ind w:left="300" w:hanging="292"/>
        <w:spacing w:after="0"/>
        <w:tabs>
          <w:tab w:leader="none" w:pos="300" w:val="left"/>
        </w:tabs>
        <w:numPr>
          <w:ilvl w:val="0"/>
          <w:numId w:val="24"/>
        </w:numPr>
        <w:rPr>
          <w:rFonts w:ascii="Arial" w:cs="Arial" w:eastAsia="Arial" w:hAnsi="Arial"/>
          <w:sz w:val="22"/>
          <w:szCs w:val="22"/>
          <w:color w:val="00249C"/>
        </w:rPr>
      </w:pPr>
      <w:r>
        <w:rPr>
          <w:rFonts w:ascii="Arial" w:cs="Arial" w:eastAsia="Arial" w:hAnsi="Arial"/>
          <w:sz w:val="18"/>
          <w:szCs w:val="18"/>
          <w:color w:val="auto"/>
        </w:rPr>
        <w:t>oversee effective management of cyber and other security risks;</w:t>
      </w:r>
    </w:p>
    <w:p>
      <w:pPr>
        <w:spacing w:after="0" w:line="71" w:lineRule="exact"/>
        <w:rPr>
          <w:rFonts w:ascii="Arial" w:cs="Arial" w:eastAsia="Arial" w:hAnsi="Arial"/>
          <w:sz w:val="22"/>
          <w:szCs w:val="22"/>
          <w:color w:val="00249C"/>
        </w:rPr>
      </w:pPr>
    </w:p>
    <w:p>
      <w:pPr>
        <w:ind w:left="300" w:hanging="292"/>
        <w:spacing w:after="0"/>
        <w:tabs>
          <w:tab w:leader="none" w:pos="300" w:val="left"/>
        </w:tabs>
        <w:numPr>
          <w:ilvl w:val="0"/>
          <w:numId w:val="24"/>
        </w:numPr>
        <w:rPr>
          <w:rFonts w:ascii="Arial" w:cs="Arial" w:eastAsia="Arial" w:hAnsi="Arial"/>
          <w:sz w:val="22"/>
          <w:szCs w:val="22"/>
          <w:color w:val="00249C"/>
        </w:rPr>
      </w:pPr>
      <w:r>
        <w:rPr>
          <w:rFonts w:ascii="Arial" w:cs="Arial" w:eastAsia="Arial" w:hAnsi="Arial"/>
          <w:sz w:val="18"/>
          <w:szCs w:val="18"/>
          <w:color w:val="auto"/>
        </w:rPr>
        <w:t>oversee a strong focus on sustainability; and</w:t>
      </w:r>
    </w:p>
    <w:p>
      <w:pPr>
        <w:spacing w:after="0" w:line="71" w:lineRule="exact"/>
        <w:rPr>
          <w:rFonts w:ascii="Arial" w:cs="Arial" w:eastAsia="Arial" w:hAnsi="Arial"/>
          <w:sz w:val="22"/>
          <w:szCs w:val="22"/>
          <w:color w:val="00249C"/>
        </w:rPr>
      </w:pPr>
    </w:p>
    <w:p>
      <w:pPr>
        <w:ind w:left="300" w:hanging="292"/>
        <w:spacing w:after="0"/>
        <w:tabs>
          <w:tab w:leader="none" w:pos="300" w:val="left"/>
        </w:tabs>
        <w:numPr>
          <w:ilvl w:val="0"/>
          <w:numId w:val="24"/>
        </w:numPr>
        <w:rPr>
          <w:rFonts w:ascii="Arial" w:cs="Arial" w:eastAsia="Arial" w:hAnsi="Arial"/>
          <w:sz w:val="22"/>
          <w:szCs w:val="22"/>
          <w:color w:val="00249C"/>
        </w:rPr>
      </w:pPr>
      <w:r>
        <w:rPr>
          <w:rFonts w:ascii="Arial" w:cs="Arial" w:eastAsia="Arial" w:hAnsi="Arial"/>
          <w:sz w:val="18"/>
          <w:szCs w:val="18"/>
          <w:color w:val="auto"/>
        </w:rPr>
        <w:t>provide advice to management.</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Board's Role in Risk Oversight</w:t>
      </w:r>
    </w:p>
    <w:p>
      <w:pPr>
        <w:spacing w:after="0" w:line="10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As noted above, the Board is responsible for overseeing our enterprise risk management activities, among other duties. Each of our Board committees assists the Board in this role.</w:t>
      </w:r>
    </w:p>
    <w:p>
      <w:pPr>
        <w:spacing w:after="0" w:line="117" w:lineRule="exact"/>
        <w:rPr>
          <w:sz w:val="20"/>
          <w:szCs w:val="20"/>
          <w:color w:val="auto"/>
        </w:rPr>
      </w:pPr>
    </w:p>
    <w:p>
      <w:pPr>
        <w:ind w:left="340" w:hanging="332"/>
        <w:spacing w:after="0" w:line="246" w:lineRule="auto"/>
        <w:tabs>
          <w:tab w:leader="none" w:pos="308" w:val="left"/>
        </w:tabs>
        <w:numPr>
          <w:ilvl w:val="0"/>
          <w:numId w:val="25"/>
        </w:numPr>
        <w:rPr>
          <w:rFonts w:ascii="Arial" w:cs="Arial" w:eastAsia="Arial" w:hAnsi="Arial"/>
          <w:sz w:val="22"/>
          <w:szCs w:val="22"/>
          <w:color w:val="00249C"/>
        </w:rPr>
      </w:pPr>
      <w:r>
        <w:rPr>
          <w:rFonts w:ascii="Arial" w:cs="Arial" w:eastAsia="Arial" w:hAnsi="Arial"/>
          <w:sz w:val="18"/>
          <w:szCs w:val="18"/>
          <w:color w:val="auto"/>
        </w:rPr>
        <w:t>The Audit and Risk Committee focuses on risks tied most directly to our financial performance, and those related to the environment, disasters and security, including cybersecurity. The Audit and Risk Committee is also responsible for assisting the Board in its oversight of enterprise risk management overall. The Audit and Risk Committee receives multiple regular reports, including (1) from the Chief Financial Officer and members of the Finance Department addressing our financial risk management processes and systems, the nature of the material financial risks the Company faces and how the Company responds to and mitigates these risks; (2) from our Vice President, Internal Audit addressing certain financial internal controls; (3) from our independent auditors on their review of our internal controls over financial reporting; (4) from our General Counsel on legal and other compliance risks and how the Company is addressing and mitigating those risks; (5) from our Chief Compliance Officer on the Company's compliance program overall; (6) from the Vice President, Global Corporate Responsibility on complaints filed with the Company's OpenLine; (7) from the Company's Vice President and Chief Information Security Officer addressing information security and cybersecurity matters, at least four times a year; and (8) from the Company's Treasurer, addressing the Company's insurance program, including coverage with respect to property and casualty, information security and cybersecurity, among others.</w:t>
      </w:r>
    </w:p>
    <w:p>
      <w:pPr>
        <w:spacing w:after="0" w:line="133" w:lineRule="exact"/>
        <w:rPr>
          <w:rFonts w:ascii="Arial" w:cs="Arial" w:eastAsia="Arial" w:hAnsi="Arial"/>
          <w:sz w:val="22"/>
          <w:szCs w:val="22"/>
          <w:color w:val="00249C"/>
        </w:rPr>
      </w:pPr>
    </w:p>
    <w:p>
      <w:pPr>
        <w:ind w:left="340" w:right="100" w:hanging="332"/>
        <w:spacing w:after="0" w:line="249" w:lineRule="auto"/>
        <w:tabs>
          <w:tab w:leader="none" w:pos="308" w:val="left"/>
        </w:tabs>
        <w:numPr>
          <w:ilvl w:val="0"/>
          <w:numId w:val="25"/>
        </w:numPr>
        <w:rPr>
          <w:rFonts w:ascii="Arial" w:cs="Arial" w:eastAsia="Arial" w:hAnsi="Arial"/>
          <w:sz w:val="21"/>
          <w:szCs w:val="21"/>
          <w:color w:val="00249C"/>
        </w:rPr>
      </w:pPr>
      <w:r>
        <w:rPr>
          <w:rFonts w:ascii="Arial" w:cs="Arial" w:eastAsia="Arial" w:hAnsi="Arial"/>
          <w:sz w:val="17"/>
          <w:szCs w:val="17"/>
          <w:color w:val="auto"/>
        </w:rPr>
        <w:t>The Compensation Committee reviews at least annually a risk assessment of the Company's compensation programs and, together with its independent compensation consultant, evaluates the mix of at-risk compensation linked to stock appreciation. The Compensation Committee reviews the Company's diversity, equity and inclusion program, and oversees management of its human capital risk.</w:t>
      </w:r>
    </w:p>
    <w:p>
      <w:pPr>
        <w:spacing w:after="0" w:line="113" w:lineRule="exact"/>
        <w:rPr>
          <w:rFonts w:ascii="Arial" w:cs="Arial" w:eastAsia="Arial" w:hAnsi="Arial"/>
          <w:sz w:val="21"/>
          <w:szCs w:val="21"/>
          <w:color w:val="00249C"/>
        </w:rPr>
      </w:pPr>
    </w:p>
    <w:p>
      <w:pPr>
        <w:ind w:left="340" w:right="120" w:hanging="332"/>
        <w:spacing w:after="0" w:line="239" w:lineRule="auto"/>
        <w:tabs>
          <w:tab w:leader="none" w:pos="308" w:val="left"/>
        </w:tabs>
        <w:numPr>
          <w:ilvl w:val="0"/>
          <w:numId w:val="25"/>
        </w:numPr>
        <w:rPr>
          <w:rFonts w:ascii="Arial" w:cs="Arial" w:eastAsia="Arial" w:hAnsi="Arial"/>
          <w:sz w:val="22"/>
          <w:szCs w:val="22"/>
          <w:color w:val="00249C"/>
        </w:rPr>
      </w:pPr>
      <w:r>
        <w:rPr>
          <w:rFonts w:ascii="Arial" w:cs="Arial" w:eastAsia="Arial" w:hAnsi="Arial"/>
          <w:sz w:val="18"/>
          <w:szCs w:val="18"/>
          <w:color w:val="auto"/>
        </w:rPr>
        <w:t>The Policy Committee assists the Board in identifying and evaluating global security, political, budgetary and technological issues and trends that could impact the Company's business. The Policy Committee reviews the Company's external relations and receives regular reports from the Vice President, Global Corporate Responsibility on the Company’s ethics and corporate responsibility programs. The Policy Committee reviews and oversees the Company's commitment to environmental and social aspects of sustainability, including the Company's human rights policy.</w:t>
      </w:r>
    </w:p>
    <w:p>
      <w:pPr>
        <w:spacing w:after="0" w:line="138" w:lineRule="exact"/>
        <w:rPr>
          <w:rFonts w:ascii="Arial" w:cs="Arial" w:eastAsia="Arial" w:hAnsi="Arial"/>
          <w:sz w:val="22"/>
          <w:szCs w:val="22"/>
          <w:color w:val="00249C"/>
        </w:rPr>
      </w:pPr>
    </w:p>
    <w:p>
      <w:pPr>
        <w:ind w:left="340" w:right="240" w:hanging="332"/>
        <w:spacing w:after="0" w:line="225" w:lineRule="auto"/>
        <w:tabs>
          <w:tab w:leader="none" w:pos="308" w:val="left"/>
        </w:tabs>
        <w:numPr>
          <w:ilvl w:val="0"/>
          <w:numId w:val="25"/>
        </w:numPr>
        <w:rPr>
          <w:rFonts w:ascii="Arial" w:cs="Arial" w:eastAsia="Arial" w:hAnsi="Arial"/>
          <w:sz w:val="22"/>
          <w:szCs w:val="22"/>
          <w:color w:val="00249C"/>
        </w:rPr>
      </w:pPr>
      <w:r>
        <w:rPr>
          <w:rFonts w:ascii="Arial" w:cs="Arial" w:eastAsia="Arial" w:hAnsi="Arial"/>
          <w:sz w:val="18"/>
          <w:szCs w:val="18"/>
          <w:color w:val="auto"/>
        </w:rPr>
        <w:t>The Governance Committee regularly reviews the Company's policies and practices on issues of corporate governance, and considers issues of succession and composition of the Board, recommending proposed changes to the full Board for approval.</w:t>
      </w: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15</w:t>
      </w:r>
    </w:p>
    <w:p>
      <w:pPr>
        <w:sectPr>
          <w:pgSz w:w="11900" w:h="16838" w:orient="portrait"/>
          <w:cols w:equalWidth="0" w:num="1">
            <w:col w:w="11240"/>
          </w:cols>
          <w:pgMar w:left="320" w:top="593"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320675</wp:posOffset>
            </wp:positionV>
            <wp:extent cx="7132320" cy="5314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CORPORATE GOVERNANCE</w:t>
      </w:r>
    </w:p>
    <w:p>
      <w:pPr>
        <w:spacing w:after="0" w:line="200" w:lineRule="exact"/>
        <w:rPr>
          <w:sz w:val="20"/>
          <w:szCs w:val="20"/>
          <w:color w:val="auto"/>
        </w:rPr>
      </w:pPr>
    </w:p>
    <w:p>
      <w:pPr>
        <w:spacing w:after="0" w:line="389" w:lineRule="exact"/>
        <w:rPr>
          <w:sz w:val="20"/>
          <w:szCs w:val="20"/>
          <w:color w:val="auto"/>
        </w:rPr>
      </w:pPr>
    </w:p>
    <w:p>
      <w:pPr>
        <w:ind w:left="340" w:right="20"/>
        <w:spacing w:after="0" w:line="261" w:lineRule="auto"/>
        <w:rPr>
          <w:sz w:val="20"/>
          <w:szCs w:val="20"/>
          <w:color w:val="auto"/>
        </w:rPr>
      </w:pPr>
      <w:r>
        <w:rPr>
          <w:rFonts w:ascii="Arial" w:cs="Arial" w:eastAsia="Arial" w:hAnsi="Arial"/>
          <w:sz w:val="18"/>
          <w:szCs w:val="18"/>
          <w:color w:val="auto"/>
        </w:rPr>
        <w:t>The Governance Committee oversees and reviews the Company's management of its governance related risks, including risks related to corporate culture.</w:t>
      </w:r>
    </w:p>
    <w:p>
      <w:pPr>
        <w:spacing w:after="0" w:line="7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Board and its Committees provide oversight of the Company's risk management processes, including the Enterprise Risk Management Council (ERMC). The ERMC is comprised of all members of the Executive Leadership Team, the Chief Accounting Officer, Chief Compliance Officer, Corporate Secretary, head of Internal Audit and Treasurer. The Chief Technology Officer and Vice President, Supply Chain also attend each ERMC meeting. The ERMC seeks to ensure that the Company has identified the most significant risks and implemented effective mitigation plans for each. The General Counsel and Chief Financial Officer provide an update at least annually to the Audit and Risk Committee on the deliberations of the ERMC, and any significant changes the ERMC has identified. The full Board has ultimate responsibility for the Company's oversight of risk, and receives updates from each of the committees, as well as periodic reports from management addressing the various risks, including those related to financial and other performance, cybersecurity, human capital and culture.</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Chairman of the Board</w:t>
      </w:r>
    </w:p>
    <w:p>
      <w:pPr>
        <w:spacing w:after="0" w:line="10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Bylaws provide that our directors will designate a Chairman of the Board from among its members. The Chairman presides at all Board and shareholder meetings. The Chairman interacts directly with all members of the Board and assists the Board to fulfill its responsibilities. As the Principles of Corporate Governance provide, the Board believes it is in the best interests of the Company and the shareholders for the Board to have flexibility to determine the best director to serve as Chairman of the Board at the time, based on consideration of all relevant factors.</w:t>
      </w:r>
    </w:p>
    <w:p>
      <w:pPr>
        <w:spacing w:after="0" w:line="8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At least once every year, the Board considers who will best serve as Chairman, and whether that person should be an independent director, given the environment and needs of the Company. The Board has concluded that having Ms. Warden, our Chief Executive Officer, serve as Chairman is the most appropriate leadership structure for the Company and best positions the Company to be innovative, compete successfully, present one face to our customer and advance shareholder interests in today's environment. The Board believes that Ms. Warden's deep understanding of the Company's business, day-to-day operations, growth opportunities, challenges and risk management practices gained through various leadership positions enables her to provide strong and effective leadership to the Board and to ensure that the Board is informed of important issues facing the Company. The Board consists entirely of independent directors, other than Ms. Warden, and continues to exercise a strong, independent oversight function, with fully independent Board Committees and a strong Lead Independent Director with clearly articulated responsibilities. The Board will continue to review and discuss the leadership structure of the Board and determine the leadership structure, including the Chairman, that best meets the needs of the Company.</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Lead Independent Director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If the Chairman is not independent, the independent directors will designate annually from among them a Lead Independent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Following our 2020 Annual Meeting, the independent directors designated Mr. Felsinger as Lead Independent Director.</w:t>
      </w:r>
    </w:p>
    <w:p>
      <w:pPr>
        <w:spacing w:after="0" w:line="104"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Our Principles of Corporate Governance set forth specific duties and responsibilities of the Lead Independent Director, which include the following:</w:t>
      </w:r>
    </w:p>
    <w:p>
      <w:pPr>
        <w:spacing w:after="0" w:line="117" w:lineRule="exact"/>
        <w:rPr>
          <w:sz w:val="20"/>
          <w:szCs w:val="20"/>
          <w:color w:val="auto"/>
        </w:rPr>
      </w:pPr>
    </w:p>
    <w:p>
      <w:pPr>
        <w:ind w:left="340" w:right="300" w:hanging="332"/>
        <w:spacing w:after="0" w:line="225" w:lineRule="auto"/>
        <w:tabs>
          <w:tab w:leader="none" w:pos="308" w:val="left"/>
        </w:tabs>
        <w:numPr>
          <w:ilvl w:val="0"/>
          <w:numId w:val="26"/>
        </w:numPr>
        <w:rPr>
          <w:rFonts w:ascii="Arial" w:cs="Arial" w:eastAsia="Arial" w:hAnsi="Arial"/>
          <w:sz w:val="22"/>
          <w:szCs w:val="22"/>
          <w:color w:val="00249C"/>
        </w:rPr>
      </w:pPr>
      <w:r>
        <w:rPr>
          <w:rFonts w:ascii="Arial" w:cs="Arial" w:eastAsia="Arial" w:hAnsi="Arial"/>
          <w:sz w:val="18"/>
          <w:szCs w:val="18"/>
          <w:color w:val="auto"/>
        </w:rPr>
        <w:t>preside at meetings of the Board at which the Chairman is not present, including executive sessions of the independent directors, and advise the Chairman and CEO on decisions reached and suggestions made;</w:t>
      </w:r>
    </w:p>
    <w:p>
      <w:pPr>
        <w:spacing w:after="0" w:line="86" w:lineRule="exact"/>
        <w:rPr>
          <w:rFonts w:ascii="Arial" w:cs="Arial" w:eastAsia="Arial" w:hAnsi="Arial"/>
          <w:sz w:val="22"/>
          <w:szCs w:val="22"/>
          <w:color w:val="00249C"/>
        </w:rPr>
      </w:pPr>
    </w:p>
    <w:p>
      <w:pPr>
        <w:ind w:left="300" w:hanging="292"/>
        <w:spacing w:after="0"/>
        <w:tabs>
          <w:tab w:leader="none" w:pos="300" w:val="left"/>
        </w:tabs>
        <w:numPr>
          <w:ilvl w:val="0"/>
          <w:numId w:val="26"/>
        </w:numPr>
        <w:rPr>
          <w:rFonts w:ascii="Arial" w:cs="Arial" w:eastAsia="Arial" w:hAnsi="Arial"/>
          <w:sz w:val="22"/>
          <w:szCs w:val="22"/>
          <w:color w:val="00249C"/>
        </w:rPr>
      </w:pPr>
      <w:r>
        <w:rPr>
          <w:rFonts w:ascii="Arial" w:cs="Arial" w:eastAsia="Arial" w:hAnsi="Arial"/>
          <w:sz w:val="18"/>
          <w:szCs w:val="18"/>
          <w:color w:val="auto"/>
        </w:rPr>
        <w:t>advise the Chairman on and approve meeting agendas and information sent to the Board;</w:t>
      </w:r>
    </w:p>
    <w:p>
      <w:pPr>
        <w:spacing w:after="0" w:line="98" w:lineRule="exact"/>
        <w:rPr>
          <w:rFonts w:ascii="Arial" w:cs="Arial" w:eastAsia="Arial" w:hAnsi="Arial"/>
          <w:sz w:val="22"/>
          <w:szCs w:val="22"/>
          <w:color w:val="00249C"/>
        </w:rPr>
      </w:pPr>
    </w:p>
    <w:p>
      <w:pPr>
        <w:ind w:left="300" w:hanging="292"/>
        <w:spacing w:after="0"/>
        <w:tabs>
          <w:tab w:leader="none" w:pos="300" w:val="left"/>
        </w:tabs>
        <w:numPr>
          <w:ilvl w:val="0"/>
          <w:numId w:val="26"/>
        </w:numPr>
        <w:rPr>
          <w:rFonts w:ascii="Arial" w:cs="Arial" w:eastAsia="Arial" w:hAnsi="Arial"/>
          <w:sz w:val="22"/>
          <w:szCs w:val="22"/>
          <w:color w:val="00249C"/>
        </w:rPr>
      </w:pPr>
      <w:r>
        <w:rPr>
          <w:rFonts w:ascii="Arial" w:cs="Arial" w:eastAsia="Arial" w:hAnsi="Arial"/>
          <w:sz w:val="18"/>
          <w:szCs w:val="18"/>
          <w:color w:val="auto"/>
        </w:rPr>
        <w:t>advise the Chairman on and approve the schedule of Board meetings, assuring there is sufficient time for discussion of all agenda items;</w:t>
      </w:r>
    </w:p>
    <w:p>
      <w:pPr>
        <w:spacing w:after="0" w:line="134" w:lineRule="exact"/>
        <w:rPr>
          <w:rFonts w:ascii="Arial" w:cs="Arial" w:eastAsia="Arial" w:hAnsi="Arial"/>
          <w:sz w:val="22"/>
          <w:szCs w:val="22"/>
          <w:color w:val="00249C"/>
        </w:rPr>
      </w:pPr>
    </w:p>
    <w:p>
      <w:pPr>
        <w:ind w:left="340" w:right="160" w:hanging="332"/>
        <w:spacing w:after="0" w:line="225" w:lineRule="auto"/>
        <w:tabs>
          <w:tab w:leader="none" w:pos="308" w:val="left"/>
        </w:tabs>
        <w:numPr>
          <w:ilvl w:val="0"/>
          <w:numId w:val="26"/>
        </w:numPr>
        <w:rPr>
          <w:rFonts w:ascii="Arial" w:cs="Arial" w:eastAsia="Arial" w:hAnsi="Arial"/>
          <w:sz w:val="22"/>
          <w:szCs w:val="22"/>
          <w:color w:val="00249C"/>
        </w:rPr>
      </w:pPr>
      <w:r>
        <w:rPr>
          <w:rFonts w:ascii="Arial" w:cs="Arial" w:eastAsia="Arial" w:hAnsi="Arial"/>
          <w:sz w:val="18"/>
          <w:szCs w:val="18"/>
          <w:color w:val="auto"/>
        </w:rPr>
        <w:t>provide the Chairman with input as to the preparation of Board and committee meeting agendas, taking into account the requests of the other Board and committee members;</w:t>
      </w:r>
    </w:p>
    <w:p>
      <w:pPr>
        <w:spacing w:after="0" w:line="122" w:lineRule="exact"/>
        <w:rPr>
          <w:rFonts w:ascii="Arial" w:cs="Arial" w:eastAsia="Arial" w:hAnsi="Arial"/>
          <w:sz w:val="22"/>
          <w:szCs w:val="22"/>
          <w:color w:val="00249C"/>
        </w:rPr>
      </w:pPr>
    </w:p>
    <w:p>
      <w:pPr>
        <w:ind w:left="340" w:right="220" w:hanging="332"/>
        <w:spacing w:after="0" w:line="225" w:lineRule="auto"/>
        <w:tabs>
          <w:tab w:leader="none" w:pos="308" w:val="left"/>
        </w:tabs>
        <w:numPr>
          <w:ilvl w:val="0"/>
          <w:numId w:val="26"/>
        </w:numPr>
        <w:rPr>
          <w:rFonts w:ascii="Arial" w:cs="Arial" w:eastAsia="Arial" w:hAnsi="Arial"/>
          <w:sz w:val="22"/>
          <w:szCs w:val="22"/>
          <w:color w:val="00249C"/>
        </w:rPr>
      </w:pPr>
      <w:r>
        <w:rPr>
          <w:rFonts w:ascii="Arial" w:cs="Arial" w:eastAsia="Arial" w:hAnsi="Arial"/>
          <w:sz w:val="18"/>
          <w:szCs w:val="18"/>
          <w:color w:val="auto"/>
        </w:rPr>
        <w:t>interview, along with the Chairman and the Chairman of the Governance Committee, Board candidates and make recommendations to the Governance Committee and the Board;</w:t>
      </w:r>
    </w:p>
    <w:p>
      <w:pPr>
        <w:spacing w:after="0" w:line="99" w:lineRule="exact"/>
        <w:rPr>
          <w:rFonts w:ascii="Arial" w:cs="Arial" w:eastAsia="Arial" w:hAnsi="Arial"/>
          <w:sz w:val="22"/>
          <w:szCs w:val="22"/>
          <w:color w:val="00249C"/>
        </w:rPr>
      </w:pPr>
    </w:p>
    <w:p>
      <w:pPr>
        <w:ind w:left="300" w:hanging="292"/>
        <w:spacing w:after="0"/>
        <w:tabs>
          <w:tab w:leader="none" w:pos="300" w:val="left"/>
        </w:tabs>
        <w:numPr>
          <w:ilvl w:val="0"/>
          <w:numId w:val="26"/>
        </w:numPr>
        <w:rPr>
          <w:rFonts w:ascii="Arial" w:cs="Arial" w:eastAsia="Arial" w:hAnsi="Arial"/>
          <w:sz w:val="22"/>
          <w:szCs w:val="22"/>
          <w:color w:val="00249C"/>
        </w:rPr>
      </w:pPr>
      <w:r>
        <w:rPr>
          <w:rFonts w:ascii="Arial" w:cs="Arial" w:eastAsia="Arial" w:hAnsi="Arial"/>
          <w:sz w:val="18"/>
          <w:szCs w:val="18"/>
          <w:color w:val="auto"/>
        </w:rPr>
        <w:t>call meetings of the independent directors;</w:t>
      </w:r>
    </w:p>
    <w:p>
      <w:pPr>
        <w:spacing w:after="0" w:line="98" w:lineRule="exact"/>
        <w:rPr>
          <w:rFonts w:ascii="Arial" w:cs="Arial" w:eastAsia="Arial" w:hAnsi="Arial"/>
          <w:sz w:val="22"/>
          <w:szCs w:val="22"/>
          <w:color w:val="00249C"/>
        </w:rPr>
      </w:pPr>
    </w:p>
    <w:p>
      <w:pPr>
        <w:ind w:left="300" w:hanging="292"/>
        <w:spacing w:after="0"/>
        <w:tabs>
          <w:tab w:leader="none" w:pos="300" w:val="left"/>
        </w:tabs>
        <w:numPr>
          <w:ilvl w:val="0"/>
          <w:numId w:val="26"/>
        </w:numPr>
        <w:rPr>
          <w:rFonts w:ascii="Arial" w:cs="Arial" w:eastAsia="Arial" w:hAnsi="Arial"/>
          <w:sz w:val="22"/>
          <w:szCs w:val="22"/>
          <w:color w:val="00249C"/>
        </w:rPr>
      </w:pPr>
      <w:r>
        <w:rPr>
          <w:rFonts w:ascii="Arial" w:cs="Arial" w:eastAsia="Arial" w:hAnsi="Arial"/>
          <w:sz w:val="18"/>
          <w:szCs w:val="18"/>
          <w:color w:val="auto"/>
        </w:rPr>
        <w:t>support and facilitate engagement between the Chairman and the independent directors; and</w:t>
      </w:r>
    </w:p>
    <w:p>
      <w:pPr>
        <w:spacing w:after="0" w:line="84" w:lineRule="exact"/>
        <w:rPr>
          <w:rFonts w:ascii="Arial" w:cs="Arial" w:eastAsia="Arial" w:hAnsi="Arial"/>
          <w:sz w:val="22"/>
          <w:szCs w:val="22"/>
          <w:color w:val="00249C"/>
        </w:rPr>
      </w:pPr>
    </w:p>
    <w:p>
      <w:pPr>
        <w:ind w:left="300" w:hanging="292"/>
        <w:spacing w:after="0"/>
        <w:tabs>
          <w:tab w:leader="none" w:pos="300" w:val="left"/>
        </w:tabs>
        <w:numPr>
          <w:ilvl w:val="0"/>
          <w:numId w:val="26"/>
        </w:numPr>
        <w:rPr>
          <w:rFonts w:ascii="Arial" w:cs="Arial" w:eastAsia="Arial" w:hAnsi="Arial"/>
          <w:sz w:val="22"/>
          <w:szCs w:val="22"/>
          <w:color w:val="00249C"/>
        </w:rPr>
      </w:pPr>
      <w:r>
        <w:rPr>
          <w:rFonts w:ascii="Arial" w:cs="Arial" w:eastAsia="Arial" w:hAnsi="Arial"/>
          <w:sz w:val="18"/>
          <w:szCs w:val="18"/>
          <w:color w:val="auto"/>
        </w:rPr>
        <w:t>if requested by major shareholders, ensure that he or she is available for consultation and direct communication.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1220"/>
          </w:cols>
          <w:pgMar w:left="320" w:top="593" w:right="359" w:bottom="1440" w:gutter="0" w:footer="0" w:header="0"/>
        </w:sectPr>
      </w:pPr>
    </w:p>
    <w:bookmarkStart w:id="22" w:name="page23"/>
    <w:bookmarkEnd w:id="22"/>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4629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462915"/>
                    </a:xfrm>
                    <a:prstGeom prst="rect">
                      <a:avLst/>
                    </a:prstGeom>
                    <a:noFill/>
                  </pic:spPr>
                </pic:pic>
              </a:graphicData>
            </a:graphic>
          </wp:anchor>
        </w:drawing>
        <w:t>CORPORATE GOVERNANCE</w:t>
      </w:r>
    </w:p>
    <w:p>
      <w:pPr>
        <w:spacing w:after="0" w:line="200" w:lineRule="exact"/>
        <w:rPr>
          <w:sz w:val="20"/>
          <w:szCs w:val="20"/>
          <w:color w:val="auto"/>
        </w:rPr>
      </w:pPr>
    </w:p>
    <w:p>
      <w:pPr>
        <w:spacing w:after="0" w:line="37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Our Lead Independent Director is empowered to and does actively engage with our Chairman and Chief Executive Officer to help enable a strong and effective Board of Directors.</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Committees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Board has four standing committees: the Audit and Risk Committee, the Compensation Committee, the Governance Committee and the Policy Committee. The membership of these committees is typically determined at the organizational meeting of the Board held in conjunction with the annual meeting. All the committees are composed entirely of independent directors. The primary responsibilities of each of the committees, as of the date of this Proxy Statement, are summarized below, together with a table listing the membership and Chairman of each committee. The charters for each standing committee can be found on the Investor Relations section of our website (</w:t>
      </w:r>
      <w:r>
        <w:rPr>
          <w:rFonts w:ascii="Arial" w:cs="Arial" w:eastAsia="Arial" w:hAnsi="Arial"/>
          <w:sz w:val="18"/>
          <w:szCs w:val="18"/>
          <w:i w:val="1"/>
          <w:iCs w:val="1"/>
          <w:color w:val="auto"/>
        </w:rPr>
        <w:t>www.northropgrumman.com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0575" cy="43205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0575" cy="4320540"/>
                    </a:xfrm>
                    <a:prstGeom prst="rect">
                      <a:avLst/>
                    </a:prstGeom>
                    <a:noFill/>
                  </pic:spPr>
                </pic:pic>
              </a:graphicData>
            </a:graphic>
          </wp:anchor>
        </w:drawing>
      </w:r>
    </w:p>
    <w:p>
      <w:pPr>
        <w:spacing w:after="0" w:line="104"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00249C"/>
        </w:rPr>
        <w:t>Audit and Risk Committee</w:t>
      </w:r>
    </w:p>
    <w:p>
      <w:pPr>
        <w:sectPr>
          <w:pgSz w:w="11900" w:h="16838" w:orient="portrait"/>
          <w:cols w:equalWidth="0" w:num="1">
            <w:col w:w="11240"/>
          </w:cols>
          <w:pgMar w:left="320" w:top="607" w:right="339" w:bottom="1440" w:gutter="0" w:footer="0" w:header="0"/>
        </w:sectPr>
      </w:pP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0249C"/>
        </w:rPr>
        <w:t>Roles and Responsibilities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Assist the Board in overseeing the Company's financial and enterprise-related risk activities by:</w:t>
      </w:r>
    </w:p>
    <w:p>
      <w:pPr>
        <w:spacing w:after="0" w:line="144" w:lineRule="exact"/>
        <w:rPr>
          <w:sz w:val="20"/>
          <w:szCs w:val="20"/>
          <w:color w:val="auto"/>
        </w:rPr>
      </w:pPr>
    </w:p>
    <w:p>
      <w:pPr>
        <w:ind w:left="280" w:right="300" w:hanging="241"/>
        <w:spacing w:after="0" w:line="219" w:lineRule="auto"/>
        <w:tabs>
          <w:tab w:leader="none" w:pos="163" w:val="left"/>
        </w:tabs>
        <w:numPr>
          <w:ilvl w:val="0"/>
          <w:numId w:val="27"/>
        </w:numPr>
        <w:rPr>
          <w:rFonts w:ascii="Arial" w:cs="Arial" w:eastAsia="Arial" w:hAnsi="Arial"/>
          <w:sz w:val="13"/>
          <w:szCs w:val="13"/>
          <w:color w:val="00249C"/>
        </w:rPr>
      </w:pPr>
      <w:r>
        <w:rPr>
          <w:rFonts w:ascii="Arial" w:cs="Arial" w:eastAsia="Arial" w:hAnsi="Arial"/>
          <w:sz w:val="18"/>
          <w:szCs w:val="18"/>
          <w:color w:val="auto"/>
        </w:rPr>
        <w:t>assisting the Board in its oversight of enterprise risk management (including through the different board committees), including reviewing at least annually the overall risk management process at the Company level</w:t>
      </w:r>
    </w:p>
    <w:p>
      <w:pPr>
        <w:spacing w:after="0" w:line="67" w:lineRule="exact"/>
        <w:rPr>
          <w:rFonts w:ascii="Arial" w:cs="Arial" w:eastAsia="Arial" w:hAnsi="Arial"/>
          <w:sz w:val="13"/>
          <w:szCs w:val="13"/>
          <w:color w:val="00249C"/>
        </w:rPr>
      </w:pPr>
    </w:p>
    <w:p>
      <w:pPr>
        <w:ind w:left="160" w:hanging="121"/>
        <w:spacing w:after="0"/>
        <w:tabs>
          <w:tab w:leader="none" w:pos="160" w:val="left"/>
        </w:tabs>
        <w:numPr>
          <w:ilvl w:val="0"/>
          <w:numId w:val="27"/>
        </w:numPr>
        <w:rPr>
          <w:rFonts w:ascii="Arial" w:cs="Arial" w:eastAsia="Arial" w:hAnsi="Arial"/>
          <w:sz w:val="13"/>
          <w:szCs w:val="13"/>
          <w:color w:val="00249C"/>
        </w:rPr>
      </w:pPr>
      <w:r>
        <w:rPr>
          <w:rFonts w:ascii="Arial" w:cs="Arial" w:eastAsia="Arial" w:hAnsi="Arial"/>
          <w:sz w:val="18"/>
          <w:szCs w:val="18"/>
          <w:color w:val="auto"/>
        </w:rPr>
        <w:t>appointing, retaining, overseeing, evaluating and terminating, if necessary, the independent auditor</w:t>
      </w:r>
    </w:p>
    <w:p>
      <w:pPr>
        <w:spacing w:after="0" w:line="49" w:lineRule="exact"/>
        <w:rPr>
          <w:rFonts w:ascii="Arial" w:cs="Arial" w:eastAsia="Arial" w:hAnsi="Arial"/>
          <w:sz w:val="13"/>
          <w:szCs w:val="13"/>
          <w:color w:val="00249C"/>
        </w:rPr>
      </w:pPr>
    </w:p>
    <w:p>
      <w:pPr>
        <w:ind w:left="280" w:right="360" w:hanging="241"/>
        <w:spacing w:after="0" w:line="227" w:lineRule="auto"/>
        <w:tabs>
          <w:tab w:leader="none" w:pos="163" w:val="left"/>
        </w:tabs>
        <w:numPr>
          <w:ilvl w:val="0"/>
          <w:numId w:val="27"/>
        </w:numPr>
        <w:rPr>
          <w:rFonts w:ascii="Arial" w:cs="Arial" w:eastAsia="Arial" w:hAnsi="Arial"/>
          <w:sz w:val="13"/>
          <w:szCs w:val="13"/>
          <w:color w:val="00249C"/>
        </w:rPr>
      </w:pPr>
      <w:r>
        <w:rPr>
          <w:rFonts w:ascii="Arial" w:cs="Arial" w:eastAsia="Arial" w:hAnsi="Arial"/>
          <w:sz w:val="18"/>
          <w:szCs w:val="18"/>
          <w:color w:val="auto"/>
        </w:rPr>
        <w:t>reviewing and pre-approving audit and permitted non-audit services and related fees for the independent auditor</w:t>
      </w:r>
    </w:p>
    <w:p>
      <w:pPr>
        <w:spacing w:after="0" w:line="40" w:lineRule="exact"/>
        <w:rPr>
          <w:rFonts w:ascii="Arial" w:cs="Arial" w:eastAsia="Arial" w:hAnsi="Arial"/>
          <w:sz w:val="13"/>
          <w:szCs w:val="13"/>
          <w:color w:val="00249C"/>
        </w:rPr>
      </w:pPr>
    </w:p>
    <w:p>
      <w:pPr>
        <w:ind w:left="160" w:hanging="121"/>
        <w:spacing w:after="0"/>
        <w:tabs>
          <w:tab w:leader="none" w:pos="160" w:val="left"/>
        </w:tabs>
        <w:numPr>
          <w:ilvl w:val="0"/>
          <w:numId w:val="27"/>
        </w:numPr>
        <w:rPr>
          <w:rFonts w:ascii="Arial" w:cs="Arial" w:eastAsia="Arial" w:hAnsi="Arial"/>
          <w:sz w:val="13"/>
          <w:szCs w:val="13"/>
          <w:color w:val="00249C"/>
        </w:rPr>
      </w:pPr>
      <w:r>
        <w:rPr>
          <w:rFonts w:ascii="Arial" w:cs="Arial" w:eastAsia="Arial" w:hAnsi="Arial"/>
          <w:sz w:val="18"/>
          <w:szCs w:val="18"/>
          <w:color w:val="auto"/>
        </w:rPr>
        <w:t>reviewing and discussing the Company's Annual Reports on Form 10-K and Quarterly Reports on Form 10-Q</w:t>
      </w:r>
    </w:p>
    <w:p>
      <w:pPr>
        <w:spacing w:after="0" w:line="225" w:lineRule="exact"/>
        <w:rPr>
          <w:rFonts w:ascii="Arial" w:cs="Arial" w:eastAsia="Arial" w:hAnsi="Arial"/>
          <w:sz w:val="13"/>
          <w:szCs w:val="13"/>
          <w:color w:val="00249C"/>
        </w:rPr>
      </w:pPr>
    </w:p>
    <w:p>
      <w:pPr>
        <w:ind w:left="280" w:right="180" w:hanging="241"/>
        <w:spacing w:after="0" w:line="241" w:lineRule="auto"/>
        <w:tabs>
          <w:tab w:leader="none" w:pos="163" w:val="left"/>
        </w:tabs>
        <w:numPr>
          <w:ilvl w:val="0"/>
          <w:numId w:val="27"/>
        </w:numPr>
        <w:rPr>
          <w:rFonts w:ascii="Arial" w:cs="Arial" w:eastAsia="Arial" w:hAnsi="Arial"/>
          <w:sz w:val="12"/>
          <w:szCs w:val="12"/>
          <w:color w:val="00249C"/>
        </w:rPr>
      </w:pPr>
      <w:r>
        <w:rPr>
          <w:rFonts w:ascii="Arial" w:cs="Arial" w:eastAsia="Arial" w:hAnsi="Arial"/>
          <w:sz w:val="17"/>
          <w:szCs w:val="17"/>
          <w:color w:val="auto"/>
        </w:rPr>
        <w:t>reviewing and discussing management's assessment of, and report on, the effectiveness of the Company's internal control over financial reporting at least annually and the independent auditor's related report</w:t>
      </w:r>
    </w:p>
    <w:p>
      <w:pPr>
        <w:spacing w:after="0" w:line="241" w:lineRule="exact"/>
        <w:rPr>
          <w:rFonts w:ascii="Arial" w:cs="Arial" w:eastAsia="Arial" w:hAnsi="Arial"/>
          <w:sz w:val="12"/>
          <w:szCs w:val="12"/>
          <w:color w:val="00249C"/>
        </w:rPr>
      </w:pPr>
    </w:p>
    <w:p>
      <w:pPr>
        <w:ind w:left="280" w:right="20" w:hanging="241"/>
        <w:spacing w:after="0" w:line="227" w:lineRule="auto"/>
        <w:tabs>
          <w:tab w:leader="none" w:pos="163" w:val="left"/>
        </w:tabs>
        <w:numPr>
          <w:ilvl w:val="0"/>
          <w:numId w:val="27"/>
        </w:numPr>
        <w:rPr>
          <w:rFonts w:ascii="Arial" w:cs="Arial" w:eastAsia="Arial" w:hAnsi="Arial"/>
          <w:sz w:val="13"/>
          <w:szCs w:val="13"/>
          <w:color w:val="00249C"/>
        </w:rPr>
      </w:pPr>
      <w:r>
        <w:rPr>
          <w:rFonts w:ascii="Arial" w:cs="Arial" w:eastAsia="Arial" w:hAnsi="Arial"/>
          <w:sz w:val="18"/>
          <w:szCs w:val="18"/>
          <w:color w:val="auto"/>
        </w:rPr>
        <w:t>reviewing and discussing with the independent auditor any critical audit matters identified by the independent auditor, the Company's critical accounting policies, and material written communications with management</w:t>
      </w:r>
    </w:p>
    <w:p>
      <w:pPr>
        <w:spacing w:after="0" w:line="242" w:lineRule="exact"/>
        <w:rPr>
          <w:rFonts w:ascii="Arial" w:cs="Arial" w:eastAsia="Arial" w:hAnsi="Arial"/>
          <w:sz w:val="13"/>
          <w:szCs w:val="13"/>
          <w:color w:val="00249C"/>
        </w:rPr>
      </w:pPr>
    </w:p>
    <w:p>
      <w:pPr>
        <w:ind w:left="280" w:right="140" w:hanging="241"/>
        <w:spacing w:after="0" w:line="227" w:lineRule="auto"/>
        <w:tabs>
          <w:tab w:leader="none" w:pos="163" w:val="left"/>
        </w:tabs>
        <w:numPr>
          <w:ilvl w:val="0"/>
          <w:numId w:val="27"/>
        </w:numPr>
        <w:rPr>
          <w:rFonts w:ascii="Arial" w:cs="Arial" w:eastAsia="Arial" w:hAnsi="Arial"/>
          <w:sz w:val="13"/>
          <w:szCs w:val="13"/>
          <w:color w:val="00249C"/>
        </w:rPr>
      </w:pPr>
      <w:r>
        <w:rPr>
          <w:rFonts w:ascii="Arial" w:cs="Arial" w:eastAsia="Arial" w:hAnsi="Arial"/>
          <w:sz w:val="18"/>
          <w:szCs w:val="18"/>
          <w:color w:val="auto"/>
        </w:rPr>
        <w:t>reviewing with the General Counsel, at least annually, the status of significant pending litigation and various other significant legal, compliance or regulatory matters</w:t>
      </w:r>
    </w:p>
    <w:p>
      <w:pPr>
        <w:spacing w:after="0" w:line="40" w:lineRule="exact"/>
        <w:rPr>
          <w:rFonts w:ascii="Arial" w:cs="Arial" w:eastAsia="Arial" w:hAnsi="Arial"/>
          <w:sz w:val="13"/>
          <w:szCs w:val="13"/>
          <w:color w:val="00249C"/>
        </w:rPr>
      </w:pPr>
    </w:p>
    <w:p>
      <w:pPr>
        <w:ind w:left="280" w:right="440" w:hanging="241"/>
        <w:spacing w:after="0" w:line="227" w:lineRule="auto"/>
        <w:tabs>
          <w:tab w:leader="none" w:pos="163" w:val="left"/>
        </w:tabs>
        <w:numPr>
          <w:ilvl w:val="0"/>
          <w:numId w:val="27"/>
        </w:numPr>
        <w:rPr>
          <w:rFonts w:ascii="Arial" w:cs="Arial" w:eastAsia="Arial" w:hAnsi="Arial"/>
          <w:sz w:val="13"/>
          <w:szCs w:val="13"/>
          <w:color w:val="00249C"/>
        </w:rPr>
      </w:pPr>
      <w:r>
        <w:rPr>
          <w:rFonts w:ascii="Arial" w:cs="Arial" w:eastAsia="Arial" w:hAnsi="Arial"/>
          <w:sz w:val="18"/>
          <w:szCs w:val="18"/>
          <w:color w:val="auto"/>
        </w:rPr>
        <w:t>reviewing with the Chief Compliance Officer, at least annually, the Company's compliance program, and implementation of global compliance policies, practices and programs</w:t>
      </w:r>
    </w:p>
    <w:p>
      <w:pPr>
        <w:spacing w:after="0" w:line="40" w:lineRule="exact"/>
        <w:rPr>
          <w:rFonts w:ascii="Arial" w:cs="Arial" w:eastAsia="Arial" w:hAnsi="Arial"/>
          <w:sz w:val="13"/>
          <w:szCs w:val="13"/>
          <w:color w:val="00249C"/>
        </w:rPr>
      </w:pPr>
    </w:p>
    <w:p>
      <w:pPr>
        <w:ind w:left="280" w:right="240" w:hanging="241"/>
        <w:spacing w:after="0" w:line="219" w:lineRule="auto"/>
        <w:tabs>
          <w:tab w:leader="none" w:pos="163" w:val="left"/>
        </w:tabs>
        <w:numPr>
          <w:ilvl w:val="0"/>
          <w:numId w:val="27"/>
        </w:numPr>
        <w:rPr>
          <w:rFonts w:ascii="Arial" w:cs="Arial" w:eastAsia="Arial" w:hAnsi="Arial"/>
          <w:sz w:val="13"/>
          <w:szCs w:val="13"/>
          <w:color w:val="00249C"/>
        </w:rPr>
      </w:pPr>
      <w:r>
        <w:rPr>
          <w:rFonts w:ascii="Arial" w:cs="Arial" w:eastAsia="Arial" w:hAnsi="Arial"/>
          <w:sz w:val="18"/>
          <w:szCs w:val="18"/>
          <w:color w:val="auto"/>
        </w:rPr>
        <w:t>providing oversight and reviewing periodically the Company's management of its financial risks, as well as the Company's management of its risks related to cybersecurity, insurance, supplier, nuclear, natural and environmental matters</w:t>
      </w:r>
    </w:p>
    <w:p>
      <w:pPr>
        <w:spacing w:after="0" w:line="67" w:lineRule="exact"/>
        <w:rPr>
          <w:rFonts w:ascii="Arial" w:cs="Arial" w:eastAsia="Arial" w:hAnsi="Arial"/>
          <w:sz w:val="13"/>
          <w:szCs w:val="13"/>
          <w:color w:val="00249C"/>
        </w:rPr>
      </w:pPr>
    </w:p>
    <w:p>
      <w:pPr>
        <w:ind w:left="280" w:right="440" w:hanging="241"/>
        <w:spacing w:after="0" w:line="227" w:lineRule="auto"/>
        <w:tabs>
          <w:tab w:leader="none" w:pos="163" w:val="left"/>
        </w:tabs>
        <w:numPr>
          <w:ilvl w:val="0"/>
          <w:numId w:val="27"/>
        </w:numPr>
        <w:rPr>
          <w:rFonts w:ascii="Arial" w:cs="Arial" w:eastAsia="Arial" w:hAnsi="Arial"/>
          <w:sz w:val="13"/>
          <w:szCs w:val="13"/>
          <w:color w:val="00249C"/>
        </w:rPr>
      </w:pPr>
      <w:r>
        <w:rPr>
          <w:rFonts w:ascii="Arial" w:cs="Arial" w:eastAsia="Arial" w:hAnsi="Arial"/>
          <w:sz w:val="18"/>
          <w:szCs w:val="18"/>
          <w:color w:val="auto"/>
        </w:rPr>
        <w:t>reviewing any significant issues raised by the internal audit function and, as appropriate, management's actions for remediation</w:t>
      </w:r>
    </w:p>
    <w:p>
      <w:pPr>
        <w:spacing w:after="0" w:line="40" w:lineRule="exact"/>
        <w:rPr>
          <w:rFonts w:ascii="Arial" w:cs="Arial" w:eastAsia="Arial" w:hAnsi="Arial"/>
          <w:sz w:val="13"/>
          <w:szCs w:val="13"/>
          <w:color w:val="00249C"/>
        </w:rPr>
      </w:pPr>
    </w:p>
    <w:p>
      <w:pPr>
        <w:ind w:left="280" w:right="40" w:hanging="241"/>
        <w:spacing w:after="0" w:line="219" w:lineRule="auto"/>
        <w:tabs>
          <w:tab w:leader="none" w:pos="163" w:val="left"/>
        </w:tabs>
        <w:numPr>
          <w:ilvl w:val="0"/>
          <w:numId w:val="27"/>
        </w:numPr>
        <w:rPr>
          <w:rFonts w:ascii="Arial" w:cs="Arial" w:eastAsia="Arial" w:hAnsi="Arial"/>
          <w:sz w:val="13"/>
          <w:szCs w:val="13"/>
          <w:color w:val="00249C"/>
        </w:rPr>
      </w:pPr>
      <w:r>
        <w:rPr>
          <w:rFonts w:ascii="Arial" w:cs="Arial" w:eastAsia="Arial" w:hAnsi="Arial"/>
          <w:sz w:val="18"/>
          <w:szCs w:val="18"/>
          <w:color w:val="auto"/>
        </w:rPr>
        <w:t>establishing and periodically reviewing and discussing with management the Company's procedures for the receipt, retention and treatment of complaints regarding accounting, internal accounting controls or auditing matters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00249C"/>
        </w:rPr>
        <w:t>Committee Members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William H. Hernandez (chair)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David P. Abney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Marianne C. Brown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 M. Fudge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S. Turley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A. Welsh III</w:t>
      </w:r>
    </w:p>
    <w:p>
      <w:pPr>
        <w:spacing w:after="0" w:line="55" w:lineRule="exact"/>
        <w:rPr>
          <w:sz w:val="20"/>
          <w:szCs w:val="20"/>
          <w:color w:val="auto"/>
        </w:rPr>
      </w:pPr>
    </w:p>
    <w:p>
      <w:pPr>
        <w:ind w:right="380"/>
        <w:spacing w:after="0"/>
        <w:rPr>
          <w:sz w:val="20"/>
          <w:szCs w:val="20"/>
          <w:color w:val="auto"/>
        </w:rPr>
      </w:pPr>
      <w:r>
        <w:rPr>
          <w:rFonts w:ascii="Arial" w:cs="Arial" w:eastAsia="Arial" w:hAnsi="Arial"/>
          <w:sz w:val="18"/>
          <w:szCs w:val="18"/>
          <w:b w:val="1"/>
          <w:bCs w:val="1"/>
          <w:color w:val="00249C"/>
        </w:rPr>
        <w:t xml:space="preserve">Number of meetings in 2020: </w:t>
      </w:r>
      <w:r>
        <w:rPr>
          <w:rFonts w:ascii="Arial" w:cs="Arial" w:eastAsia="Arial" w:hAnsi="Arial"/>
          <w:sz w:val="18"/>
          <w:szCs w:val="18"/>
          <w:color w:val="000000"/>
        </w:rPr>
        <w:t>9</w:t>
      </w:r>
    </w:p>
    <w:p>
      <w:pPr>
        <w:spacing w:after="0" w:line="18" w:lineRule="exact"/>
        <w:rPr>
          <w:sz w:val="20"/>
          <w:szCs w:val="20"/>
          <w:color w:val="auto"/>
        </w:rPr>
      </w:pPr>
    </w:p>
    <w:p>
      <w:pPr>
        <w:ind w:right="240"/>
        <w:spacing w:after="0" w:line="221" w:lineRule="auto"/>
        <w:rPr>
          <w:sz w:val="20"/>
          <w:szCs w:val="20"/>
          <w:color w:val="auto"/>
        </w:rPr>
      </w:pPr>
      <w:r>
        <w:rPr>
          <w:rFonts w:ascii="Arial" w:cs="Arial" w:eastAsia="Arial" w:hAnsi="Arial"/>
          <w:sz w:val="18"/>
          <w:szCs w:val="18"/>
          <w:b w:val="1"/>
          <w:bCs w:val="1"/>
          <w:color w:val="00249C"/>
        </w:rPr>
        <w:t>Independence, Financial Literacy and Audit Committee Financial Experts</w:t>
      </w:r>
    </w:p>
    <w:p>
      <w:pPr>
        <w:spacing w:after="0" w:line="43" w:lineRule="exact"/>
        <w:rPr>
          <w:sz w:val="20"/>
          <w:szCs w:val="20"/>
          <w:color w:val="auto"/>
        </w:rPr>
      </w:pPr>
    </w:p>
    <w:p>
      <w:pPr>
        <w:ind w:right="160"/>
        <w:spacing w:after="0" w:line="219" w:lineRule="auto"/>
        <w:rPr>
          <w:sz w:val="20"/>
          <w:szCs w:val="20"/>
          <w:color w:val="auto"/>
        </w:rPr>
      </w:pPr>
      <w:r>
        <w:rPr>
          <w:rFonts w:ascii="Arial" w:cs="Arial" w:eastAsia="Arial" w:hAnsi="Arial"/>
          <w:sz w:val="18"/>
          <w:szCs w:val="18"/>
          <w:color w:val="auto"/>
        </w:rPr>
        <w:t>All members are independent and financially literate</w:t>
      </w:r>
    </w:p>
    <w:p>
      <w:pPr>
        <w:spacing w:after="0" w:line="41" w:lineRule="exact"/>
        <w:rPr>
          <w:sz w:val="20"/>
          <w:szCs w:val="20"/>
          <w:color w:val="auto"/>
        </w:rPr>
      </w:pPr>
    </w:p>
    <w:p>
      <w:pPr>
        <w:ind w:right="100"/>
        <w:spacing w:after="0" w:line="215" w:lineRule="auto"/>
        <w:rPr>
          <w:sz w:val="20"/>
          <w:szCs w:val="20"/>
          <w:color w:val="auto"/>
        </w:rPr>
      </w:pPr>
      <w:r>
        <w:rPr>
          <w:rFonts w:ascii="Arial" w:cs="Arial" w:eastAsia="Arial" w:hAnsi="Arial"/>
          <w:sz w:val="18"/>
          <w:szCs w:val="18"/>
          <w:color w:val="auto"/>
        </w:rPr>
        <w:t>Messrs. Abney, Hernandez and Turley each qualifies as an Audit Committee Financial Expert</w:t>
      </w:r>
    </w:p>
    <w:p>
      <w:pPr>
        <w:spacing w:after="0" w:line="2144" w:lineRule="exact"/>
        <w:rPr>
          <w:sz w:val="20"/>
          <w:szCs w:val="20"/>
          <w:color w:val="auto"/>
        </w:rPr>
      </w:pPr>
    </w:p>
    <w:p>
      <w:pPr>
        <w:sectPr>
          <w:pgSz w:w="11900" w:h="16838" w:orient="portrait"/>
          <w:cols w:equalWidth="0" w:num="2">
            <w:col w:w="8840" w:space="60"/>
            <w:col w:w="2340"/>
          </w:cols>
          <w:pgMar w:left="320" w:top="607" w:right="339" w:bottom="1440" w:gutter="0" w:footer="0" w:header="0"/>
          <w:type w:val="continuous"/>
        </w:sectPr>
      </w:pPr>
    </w:p>
    <w:p>
      <w:pPr>
        <w:spacing w:after="0" w:line="394" w:lineRule="exact"/>
        <w:rPr>
          <w:sz w:val="20"/>
          <w:szCs w:val="20"/>
          <w:color w:val="auto"/>
        </w:rPr>
      </w:pPr>
    </w:p>
    <w:p>
      <w:pPr>
        <w:ind w:left="5220"/>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17</w:t>
      </w:r>
    </w:p>
    <w:p>
      <w:pPr>
        <w:sectPr>
          <w:pgSz w:w="11900" w:h="16838" w:orient="portrait"/>
          <w:cols w:equalWidth="0" w:num="1">
            <w:col w:w="11240"/>
          </w:cols>
          <w:pgMar w:left="320" w:top="607" w:right="339" w:bottom="1440" w:gutter="0" w:footer="0" w:header="0"/>
          <w:type w:val="continuous"/>
        </w:sectPr>
      </w:pPr>
    </w:p>
    <w:bookmarkStart w:id="23" w:name="page24"/>
    <w:bookmarkEnd w:id="23"/>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4629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46291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40575" cy="31800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0575"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00249C"/>
        </w:rPr>
        <w:t>Compensation Committee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880" w:type="dxa"/>
            <w:vAlign w:val="bottom"/>
            <w:shd w:val="clear" w:color="auto" w:fill="CCD4DB"/>
          </w:tcPr>
          <w:p>
            <w:pPr>
              <w:ind w:left="40"/>
              <w:spacing w:after="0"/>
              <w:rPr>
                <w:sz w:val="20"/>
                <w:szCs w:val="20"/>
                <w:color w:val="auto"/>
              </w:rPr>
            </w:pPr>
            <w:r>
              <w:rPr>
                <w:rFonts w:ascii="Arial" w:cs="Arial" w:eastAsia="Arial" w:hAnsi="Arial"/>
                <w:sz w:val="18"/>
                <w:szCs w:val="18"/>
                <w:b w:val="1"/>
                <w:bCs w:val="1"/>
                <w:color w:val="00249C"/>
              </w:rPr>
              <w:t>Roles and Responsibilities</w:t>
            </w:r>
          </w:p>
        </w:tc>
        <w:tc>
          <w:tcPr>
            <w:tcW w:w="2280" w:type="dxa"/>
            <w:vAlign w:val="bottom"/>
          </w:tcPr>
          <w:p>
            <w:pPr>
              <w:ind w:left="20"/>
              <w:spacing w:after="0"/>
              <w:rPr>
                <w:sz w:val="20"/>
                <w:szCs w:val="20"/>
                <w:color w:val="auto"/>
              </w:rPr>
            </w:pPr>
            <w:r>
              <w:rPr>
                <w:rFonts w:ascii="Arial" w:cs="Arial" w:eastAsia="Arial" w:hAnsi="Arial"/>
                <w:sz w:val="18"/>
                <w:szCs w:val="18"/>
                <w:b w:val="1"/>
                <w:bCs w:val="1"/>
                <w:color w:val="00249C"/>
              </w:rPr>
              <w:t>Committee Members</w:t>
            </w:r>
          </w:p>
        </w:tc>
        <w:tc>
          <w:tcPr>
            <w:tcW w:w="0" w:type="dxa"/>
            <w:vAlign w:val="bottom"/>
          </w:tcPr>
          <w:p>
            <w:pPr>
              <w:spacing w:after="0"/>
              <w:rPr>
                <w:sz w:val="1"/>
                <w:szCs w:val="1"/>
                <w:color w:val="auto"/>
              </w:rPr>
            </w:pPr>
          </w:p>
        </w:tc>
      </w:tr>
      <w:tr>
        <w:trPr>
          <w:trHeight w:val="308"/>
        </w:trPr>
        <w:tc>
          <w:tcPr>
            <w:tcW w:w="8880" w:type="dxa"/>
            <w:vAlign w:val="bottom"/>
            <w:shd w:val="clear" w:color="auto" w:fill="CCD4DB"/>
          </w:tcPr>
          <w:p>
            <w:pPr>
              <w:ind w:left="40"/>
              <w:spacing w:after="0"/>
              <w:rPr>
                <w:sz w:val="20"/>
                <w:szCs w:val="20"/>
                <w:color w:val="auto"/>
              </w:rPr>
            </w:pPr>
            <w:r>
              <w:rPr>
                <w:rFonts w:ascii="Arial" w:cs="Arial" w:eastAsia="Arial" w:hAnsi="Arial"/>
                <w:sz w:val="18"/>
                <w:szCs w:val="18"/>
                <w:color w:val="auto"/>
              </w:rPr>
              <w:t>Assist the Board in overseeing the Company's compensation policies and practices by:</w:t>
            </w:r>
          </w:p>
        </w:tc>
        <w:tc>
          <w:tcPr>
            <w:tcW w:w="2280" w:type="dxa"/>
            <w:vAlign w:val="bottom"/>
          </w:tcPr>
          <w:p>
            <w:pPr>
              <w:ind w:left="20"/>
              <w:spacing w:after="0"/>
              <w:rPr>
                <w:sz w:val="20"/>
                <w:szCs w:val="20"/>
                <w:color w:val="auto"/>
              </w:rPr>
            </w:pPr>
            <w:r>
              <w:rPr>
                <w:rFonts w:ascii="Arial" w:cs="Arial" w:eastAsia="Arial" w:hAnsi="Arial"/>
                <w:sz w:val="18"/>
                <w:szCs w:val="18"/>
                <w:color w:val="auto"/>
                <w:w w:val="99"/>
              </w:rPr>
              <w:t>Thomas M. Schoewe (chair)</w:t>
            </w:r>
          </w:p>
        </w:tc>
        <w:tc>
          <w:tcPr>
            <w:tcW w:w="0" w:type="dxa"/>
            <w:vAlign w:val="bottom"/>
          </w:tcPr>
          <w:p>
            <w:pPr>
              <w:spacing w:after="0"/>
              <w:rPr>
                <w:sz w:val="1"/>
                <w:szCs w:val="1"/>
                <w:color w:val="auto"/>
              </w:rPr>
            </w:pPr>
          </w:p>
        </w:tc>
      </w:tr>
      <w:tr>
        <w:trPr>
          <w:trHeight w:val="175"/>
        </w:trPr>
        <w:tc>
          <w:tcPr>
            <w:tcW w:w="8880" w:type="dxa"/>
            <w:vAlign w:val="bottom"/>
            <w:shd w:val="clear" w:color="auto" w:fill="CCD4DB"/>
          </w:tcPr>
          <w:p>
            <w:pPr>
              <w:spacing w:after="0"/>
              <w:rPr>
                <w:sz w:val="15"/>
                <w:szCs w:val="15"/>
                <w:color w:val="auto"/>
              </w:rPr>
            </w:pPr>
          </w:p>
        </w:tc>
        <w:tc>
          <w:tcPr>
            <w:tcW w:w="2280" w:type="dxa"/>
            <w:vAlign w:val="bottom"/>
          </w:tcPr>
          <w:p>
            <w:pPr>
              <w:ind w:left="20"/>
              <w:spacing w:after="0" w:line="175" w:lineRule="exact"/>
              <w:rPr>
                <w:sz w:val="20"/>
                <w:szCs w:val="20"/>
                <w:color w:val="auto"/>
              </w:rPr>
            </w:pPr>
            <w:r>
              <w:rPr>
                <w:rFonts w:ascii="Arial" w:cs="Arial" w:eastAsia="Arial" w:hAnsi="Arial"/>
                <w:sz w:val="18"/>
                <w:szCs w:val="18"/>
                <w:color w:val="auto"/>
              </w:rPr>
              <w:t>Donald E. Felsinger</w:t>
            </w:r>
          </w:p>
        </w:tc>
        <w:tc>
          <w:tcPr>
            <w:tcW w:w="0" w:type="dxa"/>
            <w:vAlign w:val="bottom"/>
          </w:tcPr>
          <w:p>
            <w:pPr>
              <w:spacing w:after="0"/>
              <w:rPr>
                <w:sz w:val="1"/>
                <w:szCs w:val="1"/>
                <w:color w:val="auto"/>
              </w:rPr>
            </w:pPr>
          </w:p>
        </w:tc>
      </w:tr>
      <w:tr>
        <w:trPr>
          <w:trHeight w:val="176"/>
        </w:trPr>
        <w:tc>
          <w:tcPr>
            <w:tcW w:w="8880" w:type="dxa"/>
            <w:vAlign w:val="bottom"/>
            <w:shd w:val="clear" w:color="auto" w:fill="CCD4DB"/>
          </w:tcPr>
          <w:p>
            <w:pPr>
              <w:ind w:left="40"/>
              <w:spacing w:after="0" w:line="176" w:lineRule="exact"/>
              <w:rPr>
                <w:sz w:val="20"/>
                <w:szCs w:val="20"/>
                <w:color w:val="auto"/>
              </w:rPr>
            </w:pPr>
            <w:r>
              <w:rPr>
                <w:rFonts w:ascii="Arial" w:cs="Arial" w:eastAsia="Arial" w:hAnsi="Arial"/>
                <w:sz w:val="13"/>
                <w:szCs w:val="13"/>
                <w:color w:val="00249C"/>
              </w:rPr>
              <w:t xml:space="preserve">● </w:t>
            </w:r>
            <w:r>
              <w:rPr>
                <w:rFonts w:ascii="Arial" w:cs="Arial" w:eastAsia="Arial" w:hAnsi="Arial"/>
                <w:sz w:val="17"/>
                <w:szCs w:val="17"/>
                <w:color w:val="000000"/>
              </w:rPr>
              <w:t>overseeing and reviewing at least annually a risk assessment of the Company's compensation plans</w:t>
            </w:r>
          </w:p>
        </w:tc>
        <w:tc>
          <w:tcPr>
            <w:tcW w:w="2280" w:type="dxa"/>
            <w:vAlign w:val="bottom"/>
          </w:tcPr>
          <w:p>
            <w:pPr>
              <w:ind w:left="20"/>
              <w:spacing w:after="0" w:line="176" w:lineRule="exact"/>
              <w:rPr>
                <w:sz w:val="20"/>
                <w:szCs w:val="20"/>
                <w:color w:val="auto"/>
              </w:rPr>
            </w:pPr>
            <w:r>
              <w:rPr>
                <w:rFonts w:ascii="Arial" w:cs="Arial" w:eastAsia="Arial" w:hAnsi="Arial"/>
                <w:sz w:val="18"/>
                <w:szCs w:val="18"/>
                <w:color w:val="auto"/>
              </w:rPr>
              <w:t>Bruce S. Gordon</w:t>
            </w:r>
          </w:p>
        </w:tc>
        <w:tc>
          <w:tcPr>
            <w:tcW w:w="0" w:type="dxa"/>
            <w:vAlign w:val="bottom"/>
          </w:tcPr>
          <w:p>
            <w:pPr>
              <w:spacing w:after="0"/>
              <w:rPr>
                <w:sz w:val="1"/>
                <w:szCs w:val="1"/>
                <w:color w:val="auto"/>
              </w:rPr>
            </w:pPr>
          </w:p>
        </w:tc>
      </w:tr>
      <w:tr>
        <w:trPr>
          <w:trHeight w:val="175"/>
        </w:trPr>
        <w:tc>
          <w:tcPr>
            <w:tcW w:w="8880" w:type="dxa"/>
            <w:vAlign w:val="bottom"/>
            <w:vMerge w:val="restart"/>
            <w:shd w:val="clear" w:color="auto" w:fill="CCD4DB"/>
          </w:tcPr>
          <w:p>
            <w:pPr>
              <w:ind w:left="40"/>
              <w:spacing w:after="0"/>
              <w:rPr>
                <w:sz w:val="20"/>
                <w:szCs w:val="20"/>
                <w:color w:val="auto"/>
              </w:rPr>
            </w:pPr>
            <w:r>
              <w:rPr>
                <w:rFonts w:ascii="Arial" w:cs="Arial" w:eastAsia="Arial" w:hAnsi="Arial"/>
                <w:sz w:val="13"/>
                <w:szCs w:val="13"/>
                <w:color w:val="00249C"/>
              </w:rPr>
              <w:t xml:space="preserve">● </w:t>
            </w:r>
            <w:r>
              <w:rPr>
                <w:rFonts w:ascii="Arial" w:cs="Arial" w:eastAsia="Arial" w:hAnsi="Arial"/>
                <w:sz w:val="17"/>
                <w:szCs w:val="17"/>
                <w:color w:val="000000"/>
              </w:rPr>
              <w:t>approving the compensation for elected officers (other than the Chief Executive Officer, whose compensation</w:t>
            </w:r>
          </w:p>
        </w:tc>
        <w:tc>
          <w:tcPr>
            <w:tcW w:w="2280" w:type="dxa"/>
            <w:vAlign w:val="bottom"/>
          </w:tcPr>
          <w:p>
            <w:pPr>
              <w:ind w:left="20"/>
              <w:spacing w:after="0" w:line="175" w:lineRule="exact"/>
              <w:rPr>
                <w:sz w:val="20"/>
                <w:szCs w:val="20"/>
                <w:color w:val="auto"/>
              </w:rPr>
            </w:pPr>
            <w:r>
              <w:rPr>
                <w:rFonts w:ascii="Arial" w:cs="Arial" w:eastAsia="Arial" w:hAnsi="Arial"/>
                <w:sz w:val="18"/>
                <w:szCs w:val="18"/>
                <w:color w:val="auto"/>
              </w:rPr>
              <w:t>Madeleine A. Kleiner</w:t>
            </w:r>
          </w:p>
        </w:tc>
        <w:tc>
          <w:tcPr>
            <w:tcW w:w="0" w:type="dxa"/>
            <w:vAlign w:val="bottom"/>
          </w:tcPr>
          <w:p>
            <w:pPr>
              <w:spacing w:after="0"/>
              <w:rPr>
                <w:sz w:val="1"/>
                <w:szCs w:val="1"/>
                <w:color w:val="auto"/>
              </w:rPr>
            </w:pPr>
          </w:p>
        </w:tc>
      </w:tr>
      <w:tr>
        <w:trPr>
          <w:trHeight w:val="163"/>
        </w:trPr>
        <w:tc>
          <w:tcPr>
            <w:tcW w:w="8880" w:type="dxa"/>
            <w:vAlign w:val="bottom"/>
            <w:vMerge w:val="continue"/>
            <w:shd w:val="clear" w:color="auto" w:fill="CCD4DB"/>
          </w:tcPr>
          <w:p>
            <w:pPr>
              <w:spacing w:after="0"/>
              <w:rPr>
                <w:sz w:val="14"/>
                <w:szCs w:val="14"/>
                <w:color w:val="auto"/>
              </w:rPr>
            </w:pPr>
          </w:p>
        </w:tc>
        <w:tc>
          <w:tcPr>
            <w:tcW w:w="2280" w:type="dxa"/>
            <w:vAlign w:val="bottom"/>
          </w:tcPr>
          <w:p>
            <w:pPr>
              <w:ind w:left="20"/>
              <w:spacing w:after="0" w:line="163" w:lineRule="exact"/>
              <w:rPr>
                <w:sz w:val="20"/>
                <w:szCs w:val="20"/>
                <w:color w:val="auto"/>
              </w:rPr>
            </w:pPr>
            <w:r>
              <w:rPr>
                <w:rFonts w:ascii="Arial" w:cs="Arial" w:eastAsia="Arial" w:hAnsi="Arial"/>
                <w:sz w:val="18"/>
                <w:szCs w:val="18"/>
                <w:color w:val="auto"/>
              </w:rPr>
              <w:t>Karl J. Krapek</w:t>
            </w:r>
          </w:p>
        </w:tc>
        <w:tc>
          <w:tcPr>
            <w:tcW w:w="0" w:type="dxa"/>
            <w:vAlign w:val="bottom"/>
          </w:tcPr>
          <w:p>
            <w:pPr>
              <w:spacing w:after="0"/>
              <w:rPr>
                <w:sz w:val="1"/>
                <w:szCs w:val="1"/>
                <w:color w:val="auto"/>
              </w:rPr>
            </w:pPr>
          </w:p>
        </w:tc>
      </w:tr>
      <w:tr>
        <w:trPr>
          <w:trHeight w:val="229"/>
        </w:trPr>
        <w:tc>
          <w:tcPr>
            <w:tcW w:w="8880" w:type="dxa"/>
            <w:vAlign w:val="bottom"/>
            <w:shd w:val="clear" w:color="auto" w:fill="CCD4DB"/>
          </w:tcPr>
          <w:p>
            <w:pPr>
              <w:ind w:left="280"/>
              <w:spacing w:after="0"/>
              <w:rPr>
                <w:sz w:val="20"/>
                <w:szCs w:val="20"/>
                <w:color w:val="auto"/>
              </w:rPr>
            </w:pPr>
            <w:r>
              <w:rPr>
                <w:rFonts w:ascii="Arial" w:cs="Arial" w:eastAsia="Arial" w:hAnsi="Arial"/>
                <w:sz w:val="18"/>
                <w:szCs w:val="18"/>
                <w:color w:val="auto"/>
              </w:rPr>
              <w:t>is recommended by the Committee and approved by all the independent directors)</w:t>
            </w:r>
          </w:p>
        </w:tc>
        <w:tc>
          <w:tcPr>
            <w:tcW w:w="2280" w:type="dxa"/>
            <w:vAlign w:val="bottom"/>
          </w:tcPr>
          <w:p>
            <w:pPr>
              <w:ind w:left="20"/>
              <w:spacing w:after="0"/>
              <w:rPr>
                <w:sz w:val="20"/>
                <w:szCs w:val="20"/>
                <w:color w:val="auto"/>
              </w:rPr>
            </w:pPr>
            <w:r>
              <w:rPr>
                <w:rFonts w:ascii="Arial" w:cs="Arial" w:eastAsia="Arial" w:hAnsi="Arial"/>
                <w:sz w:val="18"/>
                <w:szCs w:val="18"/>
                <w:color w:val="auto"/>
              </w:rPr>
              <w:t>Gary Roughead</w:t>
            </w:r>
          </w:p>
        </w:tc>
        <w:tc>
          <w:tcPr>
            <w:tcW w:w="0" w:type="dxa"/>
            <w:vAlign w:val="bottom"/>
          </w:tcPr>
          <w:p>
            <w:pPr>
              <w:spacing w:after="0"/>
              <w:rPr>
                <w:sz w:val="1"/>
                <w:szCs w:val="1"/>
                <w:color w:val="auto"/>
              </w:rPr>
            </w:pPr>
          </w:p>
        </w:tc>
      </w:tr>
      <w:tr>
        <w:trPr>
          <w:trHeight w:val="257"/>
        </w:trPr>
        <w:tc>
          <w:tcPr>
            <w:tcW w:w="8880" w:type="dxa"/>
            <w:vAlign w:val="bottom"/>
            <w:shd w:val="clear" w:color="auto" w:fill="CCD4DB"/>
          </w:tcPr>
          <w:p>
            <w:pPr>
              <w:ind w:left="40"/>
              <w:spacing w:after="0"/>
              <w:rPr>
                <w:sz w:val="20"/>
                <w:szCs w:val="20"/>
                <w:color w:val="auto"/>
              </w:rPr>
            </w:pPr>
            <w:r>
              <w:rPr>
                <w:rFonts w:ascii="Arial" w:cs="Arial" w:eastAsia="Arial" w:hAnsi="Arial"/>
                <w:sz w:val="13"/>
                <w:szCs w:val="13"/>
                <w:color w:val="00249C"/>
              </w:rPr>
              <w:t xml:space="preserve">● </w:t>
            </w:r>
            <w:r>
              <w:rPr>
                <w:rFonts w:ascii="Arial" w:cs="Arial" w:eastAsia="Arial" w:hAnsi="Arial"/>
                <w:sz w:val="17"/>
                <w:szCs w:val="17"/>
                <w:color w:val="000000"/>
              </w:rPr>
              <w:t>administering incentive and equity compensation plans and approving payments or grants under these plans</w:t>
            </w:r>
          </w:p>
        </w:tc>
        <w:tc>
          <w:tcPr>
            <w:tcW w:w="2280" w:type="dxa"/>
            <w:vAlign w:val="bottom"/>
          </w:tcPr>
          <w:p>
            <w:pPr>
              <w:ind w:left="20"/>
              <w:spacing w:after="0"/>
              <w:rPr>
                <w:sz w:val="20"/>
                <w:szCs w:val="20"/>
                <w:color w:val="auto"/>
              </w:rPr>
            </w:pPr>
            <w:r>
              <w:rPr>
                <w:rFonts w:ascii="Arial" w:cs="Arial" w:eastAsia="Arial" w:hAnsi="Arial"/>
                <w:sz w:val="18"/>
                <w:szCs w:val="18"/>
                <w:b w:val="1"/>
                <w:bCs w:val="1"/>
                <w:color w:val="00249C"/>
              </w:rPr>
              <w:t>Number of meetings in</w:t>
            </w:r>
          </w:p>
        </w:tc>
        <w:tc>
          <w:tcPr>
            <w:tcW w:w="0" w:type="dxa"/>
            <w:vAlign w:val="bottom"/>
          </w:tcPr>
          <w:p>
            <w:pPr>
              <w:spacing w:after="0"/>
              <w:rPr>
                <w:sz w:val="1"/>
                <w:szCs w:val="1"/>
                <w:color w:val="auto"/>
              </w:rPr>
            </w:pPr>
          </w:p>
        </w:tc>
      </w:tr>
      <w:tr>
        <w:trPr>
          <w:trHeight w:val="188"/>
        </w:trPr>
        <w:tc>
          <w:tcPr>
            <w:tcW w:w="8880" w:type="dxa"/>
            <w:vAlign w:val="bottom"/>
            <w:shd w:val="clear" w:color="auto" w:fill="CCD4DB"/>
          </w:tcPr>
          <w:p>
            <w:pPr>
              <w:ind w:left="280"/>
              <w:spacing w:after="0" w:line="189" w:lineRule="exact"/>
              <w:rPr>
                <w:sz w:val="20"/>
                <w:szCs w:val="20"/>
                <w:color w:val="auto"/>
              </w:rPr>
            </w:pPr>
            <w:r>
              <w:rPr>
                <w:rFonts w:ascii="Arial" w:cs="Arial" w:eastAsia="Arial" w:hAnsi="Arial"/>
                <w:sz w:val="18"/>
                <w:szCs w:val="18"/>
                <w:color w:val="auto"/>
              </w:rPr>
              <w:t>for elected officers (other than the Chief Executive Officer, whose payments or grants are recommended by</w:t>
            </w:r>
          </w:p>
        </w:tc>
        <w:tc>
          <w:tcPr>
            <w:tcW w:w="2280" w:type="dxa"/>
            <w:vAlign w:val="bottom"/>
          </w:tcPr>
          <w:p>
            <w:pPr>
              <w:ind w:left="20"/>
              <w:spacing w:after="0" w:line="189" w:lineRule="exact"/>
              <w:rPr>
                <w:sz w:val="20"/>
                <w:szCs w:val="20"/>
                <w:color w:val="auto"/>
              </w:rPr>
            </w:pPr>
            <w:r>
              <w:rPr>
                <w:rFonts w:ascii="Arial" w:cs="Arial" w:eastAsia="Arial" w:hAnsi="Arial"/>
                <w:sz w:val="18"/>
                <w:szCs w:val="18"/>
                <w:b w:val="1"/>
                <w:bCs w:val="1"/>
                <w:color w:val="00249C"/>
              </w:rPr>
              <w:t xml:space="preserve">2020: </w:t>
            </w:r>
            <w:r>
              <w:rPr>
                <w:rFonts w:ascii="Arial" w:cs="Arial" w:eastAsia="Arial" w:hAnsi="Arial"/>
                <w:sz w:val="18"/>
                <w:szCs w:val="18"/>
                <w:color w:val="000000"/>
              </w:rPr>
              <w:t>7</w:t>
            </w:r>
          </w:p>
        </w:tc>
        <w:tc>
          <w:tcPr>
            <w:tcW w:w="0" w:type="dxa"/>
            <w:vAlign w:val="bottom"/>
          </w:tcPr>
          <w:p>
            <w:pPr>
              <w:spacing w:after="0"/>
              <w:rPr>
                <w:sz w:val="1"/>
                <w:szCs w:val="1"/>
                <w:color w:val="auto"/>
              </w:rPr>
            </w:pPr>
          </w:p>
        </w:tc>
      </w:tr>
      <w:tr>
        <w:trPr>
          <w:trHeight w:val="244"/>
        </w:trPr>
        <w:tc>
          <w:tcPr>
            <w:tcW w:w="8880" w:type="dxa"/>
            <w:vAlign w:val="bottom"/>
            <w:shd w:val="clear" w:color="auto" w:fill="CCD4DB"/>
          </w:tcPr>
          <w:p>
            <w:pPr>
              <w:ind w:left="280"/>
              <w:spacing w:after="0"/>
              <w:rPr>
                <w:sz w:val="20"/>
                <w:szCs w:val="20"/>
                <w:color w:val="auto"/>
              </w:rPr>
            </w:pPr>
            <w:r>
              <w:rPr>
                <w:rFonts w:ascii="Arial" w:cs="Arial" w:eastAsia="Arial" w:hAnsi="Arial"/>
                <w:sz w:val="18"/>
                <w:szCs w:val="18"/>
                <w:color w:val="auto"/>
              </w:rPr>
              <w:t>the Committee and approved by all the independent directors)</w:t>
            </w:r>
          </w:p>
        </w:tc>
        <w:tc>
          <w:tcPr>
            <w:tcW w:w="2280" w:type="dxa"/>
            <w:vAlign w:val="bottom"/>
          </w:tcPr>
          <w:p>
            <w:pPr>
              <w:ind w:left="20"/>
              <w:spacing w:after="0"/>
              <w:rPr>
                <w:sz w:val="20"/>
                <w:szCs w:val="20"/>
                <w:color w:val="auto"/>
              </w:rPr>
            </w:pPr>
            <w:r>
              <w:rPr>
                <w:rFonts w:ascii="Arial" w:cs="Arial" w:eastAsia="Arial" w:hAnsi="Arial"/>
                <w:sz w:val="18"/>
                <w:szCs w:val="18"/>
                <w:b w:val="1"/>
                <w:bCs w:val="1"/>
                <w:color w:val="00249C"/>
              </w:rPr>
              <w:t>Independence</w:t>
            </w:r>
          </w:p>
        </w:tc>
        <w:tc>
          <w:tcPr>
            <w:tcW w:w="0" w:type="dxa"/>
            <w:vAlign w:val="bottom"/>
          </w:tcPr>
          <w:p>
            <w:pPr>
              <w:spacing w:after="0"/>
              <w:rPr>
                <w:sz w:val="1"/>
                <w:szCs w:val="1"/>
                <w:color w:val="auto"/>
              </w:rPr>
            </w:pPr>
          </w:p>
        </w:tc>
      </w:tr>
      <w:tr>
        <w:trPr>
          <w:trHeight w:val="243"/>
        </w:trPr>
        <w:tc>
          <w:tcPr>
            <w:tcW w:w="8880" w:type="dxa"/>
            <w:vAlign w:val="bottom"/>
            <w:shd w:val="clear" w:color="auto" w:fill="CCD4DB"/>
          </w:tcPr>
          <w:p>
            <w:pPr>
              <w:ind w:left="40"/>
              <w:spacing w:after="0"/>
              <w:rPr>
                <w:sz w:val="20"/>
                <w:szCs w:val="20"/>
                <w:color w:val="auto"/>
              </w:rPr>
            </w:pPr>
            <w:r>
              <w:rPr>
                <w:rFonts w:ascii="Arial" w:cs="Arial" w:eastAsia="Arial" w:hAnsi="Arial"/>
                <w:sz w:val="13"/>
                <w:szCs w:val="13"/>
                <w:color w:val="00249C"/>
              </w:rPr>
              <w:t xml:space="preserve">● </w:t>
            </w:r>
            <w:r>
              <w:rPr>
                <w:rFonts w:ascii="Arial" w:cs="Arial" w:eastAsia="Arial" w:hAnsi="Arial"/>
                <w:sz w:val="17"/>
                <w:szCs w:val="17"/>
                <w:color w:val="000000"/>
              </w:rPr>
              <w:t>recommending for approval compensation for the non-employee directors, after consultation with the</w:t>
            </w:r>
          </w:p>
        </w:tc>
        <w:tc>
          <w:tcPr>
            <w:tcW w:w="2280" w:type="dxa"/>
            <w:vAlign w:val="bottom"/>
          </w:tcPr>
          <w:p>
            <w:pPr>
              <w:ind w:left="20"/>
              <w:spacing w:after="0"/>
              <w:rPr>
                <w:sz w:val="20"/>
                <w:szCs w:val="20"/>
                <w:color w:val="auto"/>
              </w:rPr>
            </w:pPr>
            <w:r>
              <w:rPr>
                <w:rFonts w:ascii="Arial" w:cs="Arial" w:eastAsia="Arial" w:hAnsi="Arial"/>
                <w:sz w:val="18"/>
                <w:szCs w:val="18"/>
                <w:color w:val="auto"/>
              </w:rPr>
              <w:t>All members are</w:t>
            </w:r>
          </w:p>
        </w:tc>
        <w:tc>
          <w:tcPr>
            <w:tcW w:w="0" w:type="dxa"/>
            <w:vAlign w:val="bottom"/>
          </w:tcPr>
          <w:p>
            <w:pPr>
              <w:spacing w:after="0"/>
              <w:rPr>
                <w:sz w:val="1"/>
                <w:szCs w:val="1"/>
                <w:color w:val="auto"/>
              </w:rPr>
            </w:pPr>
          </w:p>
        </w:tc>
      </w:tr>
      <w:tr>
        <w:trPr>
          <w:trHeight w:val="230"/>
        </w:trPr>
        <w:tc>
          <w:tcPr>
            <w:tcW w:w="8880" w:type="dxa"/>
            <w:vAlign w:val="bottom"/>
            <w:shd w:val="clear" w:color="auto" w:fill="CCD4DB"/>
          </w:tcPr>
          <w:p>
            <w:pPr>
              <w:ind w:left="280"/>
              <w:spacing w:after="0"/>
              <w:rPr>
                <w:sz w:val="20"/>
                <w:szCs w:val="20"/>
                <w:color w:val="auto"/>
              </w:rPr>
            </w:pPr>
            <w:r>
              <w:rPr>
                <w:rFonts w:ascii="Arial" w:cs="Arial" w:eastAsia="Arial" w:hAnsi="Arial"/>
                <w:sz w:val="18"/>
                <w:szCs w:val="18"/>
                <w:color w:val="auto"/>
              </w:rPr>
              <w:t>independent compensation consultant</w:t>
            </w:r>
          </w:p>
        </w:tc>
        <w:tc>
          <w:tcPr>
            <w:tcW w:w="2280" w:type="dxa"/>
            <w:vAlign w:val="bottom"/>
          </w:tcPr>
          <w:p>
            <w:pPr>
              <w:ind w:left="20"/>
              <w:spacing w:after="0"/>
              <w:rPr>
                <w:sz w:val="20"/>
                <w:szCs w:val="20"/>
                <w:color w:val="auto"/>
              </w:rPr>
            </w:pPr>
            <w:r>
              <w:rPr>
                <w:rFonts w:ascii="Arial" w:cs="Arial" w:eastAsia="Arial" w:hAnsi="Arial"/>
                <w:sz w:val="18"/>
                <w:szCs w:val="18"/>
                <w:color w:val="auto"/>
              </w:rPr>
              <w:t>independent</w:t>
            </w:r>
          </w:p>
        </w:tc>
        <w:tc>
          <w:tcPr>
            <w:tcW w:w="0" w:type="dxa"/>
            <w:vAlign w:val="bottom"/>
          </w:tcPr>
          <w:p>
            <w:pPr>
              <w:spacing w:after="0"/>
              <w:rPr>
                <w:sz w:val="1"/>
                <w:szCs w:val="1"/>
                <w:color w:val="auto"/>
              </w:rPr>
            </w:pPr>
          </w:p>
        </w:tc>
      </w:tr>
      <w:tr>
        <w:trPr>
          <w:trHeight w:val="324"/>
        </w:trPr>
        <w:tc>
          <w:tcPr>
            <w:tcW w:w="8880" w:type="dxa"/>
            <w:vAlign w:val="bottom"/>
            <w:shd w:val="clear" w:color="auto" w:fill="CCD4DB"/>
          </w:tcPr>
          <w:p>
            <w:pPr>
              <w:ind w:left="40"/>
              <w:spacing w:after="0"/>
              <w:rPr>
                <w:sz w:val="20"/>
                <w:szCs w:val="20"/>
                <w:color w:val="auto"/>
              </w:rPr>
            </w:pPr>
            <w:r>
              <w:rPr>
                <w:rFonts w:ascii="Arial" w:cs="Arial" w:eastAsia="Arial" w:hAnsi="Arial"/>
                <w:sz w:val="13"/>
                <w:szCs w:val="13"/>
                <w:color w:val="00249C"/>
              </w:rPr>
              <w:t xml:space="preserve">● </w:t>
            </w:r>
            <w:r>
              <w:rPr>
                <w:rFonts w:ascii="Arial" w:cs="Arial" w:eastAsia="Arial" w:hAnsi="Arial"/>
                <w:sz w:val="17"/>
                <w:szCs w:val="17"/>
                <w:color w:val="000000"/>
              </w:rPr>
              <w:t>overseeing and reviewing the Company's management of its human capital risk</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880" w:type="dxa"/>
            <w:vAlign w:val="bottom"/>
            <w:shd w:val="clear" w:color="auto" w:fill="CCD4DB"/>
          </w:tcPr>
          <w:p>
            <w:pPr>
              <w:ind w:left="40"/>
              <w:spacing w:after="0"/>
              <w:rPr>
                <w:sz w:val="20"/>
                <w:szCs w:val="20"/>
                <w:color w:val="auto"/>
              </w:rPr>
            </w:pPr>
            <w:r>
              <w:rPr>
                <w:rFonts w:ascii="Arial" w:cs="Arial" w:eastAsia="Arial" w:hAnsi="Arial"/>
                <w:sz w:val="13"/>
                <w:szCs w:val="13"/>
                <w:color w:val="00249C"/>
              </w:rPr>
              <w:t xml:space="preserve">● </w:t>
            </w:r>
            <w:r>
              <w:rPr>
                <w:rFonts w:ascii="Arial" w:cs="Arial" w:eastAsia="Arial" w:hAnsi="Arial"/>
                <w:sz w:val="17"/>
                <w:szCs w:val="17"/>
                <w:color w:val="000000"/>
              </w:rPr>
              <w:t>reviewing and monitoring the Company's diversity, equity and inclusion programs</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880" w:type="dxa"/>
            <w:vAlign w:val="bottom"/>
            <w:shd w:val="clear" w:color="auto" w:fill="CCD4DB"/>
          </w:tcPr>
          <w:p>
            <w:pPr>
              <w:ind w:left="40"/>
              <w:spacing w:after="0"/>
              <w:rPr>
                <w:sz w:val="20"/>
                <w:szCs w:val="20"/>
                <w:color w:val="auto"/>
              </w:rPr>
            </w:pPr>
            <w:r>
              <w:rPr>
                <w:rFonts w:ascii="Arial" w:cs="Arial" w:eastAsia="Arial" w:hAnsi="Arial"/>
                <w:sz w:val="13"/>
                <w:szCs w:val="13"/>
                <w:color w:val="00249C"/>
              </w:rPr>
              <w:t xml:space="preserve">● </w:t>
            </w:r>
            <w:r>
              <w:rPr>
                <w:rFonts w:ascii="Arial" w:cs="Arial" w:eastAsia="Arial" w:hAnsi="Arial"/>
                <w:sz w:val="17"/>
                <w:szCs w:val="17"/>
                <w:color w:val="000000"/>
              </w:rPr>
              <w:t>conducting an annual evaluation of the compensation consultant and reporting results of the evaluation to the</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880" w:type="dxa"/>
            <w:vAlign w:val="bottom"/>
            <w:shd w:val="clear" w:color="auto" w:fill="CCD4DB"/>
          </w:tcPr>
          <w:p>
            <w:pPr>
              <w:ind w:left="280"/>
              <w:spacing w:after="0"/>
              <w:rPr>
                <w:sz w:val="20"/>
                <w:szCs w:val="20"/>
                <w:color w:val="auto"/>
              </w:rPr>
            </w:pPr>
            <w:r>
              <w:rPr>
                <w:rFonts w:ascii="Arial" w:cs="Arial" w:eastAsia="Arial" w:hAnsi="Arial"/>
                <w:sz w:val="18"/>
                <w:szCs w:val="18"/>
                <w:color w:val="auto"/>
              </w:rPr>
              <w:t>Board</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880" w:type="dxa"/>
            <w:vAlign w:val="bottom"/>
            <w:shd w:val="clear" w:color="auto" w:fill="CCD4DB"/>
          </w:tcPr>
          <w:p>
            <w:pPr>
              <w:ind w:left="40"/>
              <w:spacing w:after="0"/>
              <w:rPr>
                <w:sz w:val="20"/>
                <w:szCs w:val="20"/>
                <w:color w:val="auto"/>
              </w:rPr>
            </w:pPr>
            <w:r>
              <w:rPr>
                <w:rFonts w:ascii="Arial" w:cs="Arial" w:eastAsia="Arial" w:hAnsi="Arial"/>
                <w:sz w:val="13"/>
                <w:szCs w:val="13"/>
                <w:color w:val="00249C"/>
              </w:rPr>
              <w:t xml:space="preserve">● </w:t>
            </w:r>
            <w:r>
              <w:rPr>
                <w:rFonts w:ascii="Arial" w:cs="Arial" w:eastAsia="Arial" w:hAnsi="Arial"/>
                <w:sz w:val="17"/>
                <w:szCs w:val="17"/>
                <w:color w:val="000000"/>
              </w:rPr>
              <w:t>producing an annual report on executive compensation for inclusion in the proxy statement</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880" w:type="dxa"/>
            <w:vAlign w:val="bottom"/>
            <w:shd w:val="clear" w:color="auto" w:fill="CCD4DB"/>
          </w:tcPr>
          <w:p>
            <w:pPr>
              <w:ind w:left="40"/>
              <w:spacing w:after="0"/>
              <w:rPr>
                <w:sz w:val="20"/>
                <w:szCs w:val="20"/>
                <w:color w:val="auto"/>
              </w:rPr>
            </w:pPr>
            <w:r>
              <w:rPr>
                <w:rFonts w:ascii="Arial" w:cs="Arial" w:eastAsia="Arial" w:hAnsi="Arial"/>
                <w:sz w:val="13"/>
                <w:szCs w:val="13"/>
                <w:color w:val="00249C"/>
              </w:rPr>
              <w:t xml:space="preserve">● </w:t>
            </w:r>
            <w:r>
              <w:rPr>
                <w:rFonts w:ascii="Arial" w:cs="Arial" w:eastAsia="Arial" w:hAnsi="Arial"/>
                <w:sz w:val="17"/>
                <w:szCs w:val="17"/>
                <w:color w:val="000000"/>
              </w:rPr>
              <w:t>establishing stock ownership guidelines and reviewing ownership levels on an annual basis</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8880" w:type="dxa"/>
            <w:vAlign w:val="bottom"/>
            <w:shd w:val="clear" w:color="auto" w:fill="CCD4DB"/>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40575" cy="38747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0575" cy="3874770"/>
                    </a:xfrm>
                    <a:prstGeom prst="rect">
                      <a:avLst/>
                    </a:prstGeom>
                    <a:noFill/>
                  </pic:spPr>
                </pic:pic>
              </a:graphicData>
            </a:graphic>
          </wp:anchor>
        </w:drawing>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00249C"/>
        </w:rPr>
        <w:t>Governance Committee</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8680" w:type="dxa"/>
            <w:vAlign w:val="bottom"/>
          </w:tcPr>
          <w:p>
            <w:pPr>
              <w:spacing w:after="0"/>
              <w:rPr>
                <w:sz w:val="20"/>
                <w:szCs w:val="20"/>
                <w:color w:val="auto"/>
              </w:rPr>
            </w:pPr>
            <w:r>
              <w:rPr>
                <w:rFonts w:ascii="Arial" w:cs="Arial" w:eastAsia="Arial" w:hAnsi="Arial"/>
                <w:sz w:val="18"/>
                <w:szCs w:val="18"/>
                <w:b w:val="1"/>
                <w:bCs w:val="1"/>
                <w:color w:val="00249C"/>
              </w:rPr>
              <w:t>Roles and Responsibilities</w:t>
            </w:r>
          </w:p>
        </w:tc>
        <w:tc>
          <w:tcPr>
            <w:tcW w:w="2400" w:type="dxa"/>
            <w:vAlign w:val="bottom"/>
          </w:tcPr>
          <w:p>
            <w:pPr>
              <w:ind w:left="180"/>
              <w:spacing w:after="0"/>
              <w:rPr>
                <w:sz w:val="20"/>
                <w:szCs w:val="20"/>
                <w:color w:val="auto"/>
              </w:rPr>
            </w:pPr>
            <w:r>
              <w:rPr>
                <w:rFonts w:ascii="Arial" w:cs="Arial" w:eastAsia="Arial" w:hAnsi="Arial"/>
                <w:sz w:val="18"/>
                <w:szCs w:val="18"/>
                <w:b w:val="1"/>
                <w:bCs w:val="1"/>
                <w:color w:val="00249C"/>
              </w:rPr>
              <w:t>Committee Members</w:t>
            </w:r>
          </w:p>
        </w:tc>
        <w:tc>
          <w:tcPr>
            <w:tcW w:w="0" w:type="dxa"/>
            <w:vAlign w:val="bottom"/>
          </w:tcPr>
          <w:p>
            <w:pPr>
              <w:spacing w:after="0"/>
              <w:rPr>
                <w:sz w:val="1"/>
                <w:szCs w:val="1"/>
                <w:color w:val="auto"/>
              </w:rPr>
            </w:pPr>
          </w:p>
        </w:tc>
      </w:tr>
      <w:tr>
        <w:trPr>
          <w:trHeight w:val="310"/>
        </w:trPr>
        <w:tc>
          <w:tcPr>
            <w:tcW w:w="8680" w:type="dxa"/>
            <w:vAlign w:val="bottom"/>
          </w:tcPr>
          <w:p>
            <w:pPr>
              <w:spacing w:after="0"/>
              <w:rPr>
                <w:sz w:val="20"/>
                <w:szCs w:val="20"/>
                <w:color w:val="auto"/>
              </w:rPr>
            </w:pPr>
            <w:r>
              <w:rPr>
                <w:rFonts w:ascii="Arial" w:cs="Arial" w:eastAsia="Arial" w:hAnsi="Arial"/>
                <w:sz w:val="18"/>
                <w:szCs w:val="18"/>
                <w:color w:val="auto"/>
              </w:rPr>
              <w:t>Assist the Board in overseeing the Company's corporate governance practices by:</w:t>
            </w:r>
          </w:p>
        </w:tc>
        <w:tc>
          <w:tcPr>
            <w:tcW w:w="2400" w:type="dxa"/>
            <w:vAlign w:val="bottom"/>
          </w:tcPr>
          <w:p>
            <w:pPr>
              <w:ind w:left="180"/>
              <w:spacing w:after="0"/>
              <w:rPr>
                <w:sz w:val="20"/>
                <w:szCs w:val="20"/>
                <w:color w:val="auto"/>
              </w:rPr>
            </w:pPr>
            <w:r>
              <w:rPr>
                <w:rFonts w:ascii="Arial" w:cs="Arial" w:eastAsia="Arial" w:hAnsi="Arial"/>
                <w:sz w:val="18"/>
                <w:szCs w:val="18"/>
                <w:color w:val="auto"/>
                <w:w w:val="99"/>
              </w:rPr>
              <w:t>Madeleine A. Kleiner (chair)</w:t>
            </w:r>
          </w:p>
        </w:tc>
        <w:tc>
          <w:tcPr>
            <w:tcW w:w="0" w:type="dxa"/>
            <w:vAlign w:val="bottom"/>
          </w:tcPr>
          <w:p>
            <w:pPr>
              <w:spacing w:after="0"/>
              <w:rPr>
                <w:sz w:val="1"/>
                <w:szCs w:val="1"/>
                <w:color w:val="auto"/>
              </w:rPr>
            </w:pPr>
          </w:p>
        </w:tc>
      </w:tr>
      <w:tr>
        <w:trPr>
          <w:trHeight w:val="175"/>
        </w:trPr>
        <w:tc>
          <w:tcPr>
            <w:tcW w:w="8680" w:type="dxa"/>
            <w:vAlign w:val="bottom"/>
          </w:tcPr>
          <w:p>
            <w:pPr>
              <w:spacing w:after="0"/>
              <w:rPr>
                <w:sz w:val="15"/>
                <w:szCs w:val="15"/>
                <w:color w:val="auto"/>
              </w:rPr>
            </w:pPr>
          </w:p>
        </w:tc>
        <w:tc>
          <w:tcPr>
            <w:tcW w:w="2400" w:type="dxa"/>
            <w:vAlign w:val="bottom"/>
          </w:tcPr>
          <w:p>
            <w:pPr>
              <w:ind w:left="180"/>
              <w:spacing w:after="0" w:line="175" w:lineRule="exact"/>
              <w:rPr>
                <w:sz w:val="20"/>
                <w:szCs w:val="20"/>
                <w:color w:val="auto"/>
              </w:rPr>
            </w:pPr>
            <w:r>
              <w:rPr>
                <w:rFonts w:ascii="Arial" w:cs="Arial" w:eastAsia="Arial" w:hAnsi="Arial"/>
                <w:sz w:val="18"/>
                <w:szCs w:val="18"/>
                <w:color w:val="auto"/>
              </w:rPr>
              <w:t>Donald E. Felsinger</w:t>
            </w:r>
          </w:p>
        </w:tc>
        <w:tc>
          <w:tcPr>
            <w:tcW w:w="0" w:type="dxa"/>
            <w:vAlign w:val="bottom"/>
          </w:tcPr>
          <w:p>
            <w:pPr>
              <w:spacing w:after="0"/>
              <w:rPr>
                <w:sz w:val="1"/>
                <w:szCs w:val="1"/>
                <w:color w:val="auto"/>
              </w:rPr>
            </w:pPr>
          </w:p>
        </w:tc>
      </w:tr>
      <w:tr>
        <w:trPr>
          <w:trHeight w:val="176"/>
        </w:trPr>
        <w:tc>
          <w:tcPr>
            <w:tcW w:w="8680" w:type="dxa"/>
            <w:vAlign w:val="bottom"/>
          </w:tcPr>
          <w:p>
            <w:pPr>
              <w:spacing w:after="0" w:line="176" w:lineRule="exact"/>
              <w:rPr>
                <w:sz w:val="20"/>
                <w:szCs w:val="20"/>
                <w:color w:val="auto"/>
              </w:rPr>
            </w:pPr>
            <w:r>
              <w:rPr>
                <w:rFonts w:ascii="Arial" w:cs="Arial" w:eastAsia="Arial" w:hAnsi="Arial"/>
                <w:sz w:val="13"/>
                <w:szCs w:val="13"/>
                <w:color w:val="00249C"/>
              </w:rPr>
              <w:t xml:space="preserve">● </w:t>
            </w:r>
            <w:r>
              <w:rPr>
                <w:rFonts w:ascii="Arial" w:cs="Arial" w:eastAsia="Arial" w:hAnsi="Arial"/>
                <w:sz w:val="17"/>
                <w:szCs w:val="17"/>
                <w:color w:val="000000"/>
              </w:rPr>
              <w:t>overseeing and reviewing the Company's management of governance-related risks, including the risks</w:t>
            </w:r>
          </w:p>
        </w:tc>
        <w:tc>
          <w:tcPr>
            <w:tcW w:w="2400" w:type="dxa"/>
            <w:vAlign w:val="bottom"/>
          </w:tcPr>
          <w:p>
            <w:pPr>
              <w:ind w:left="180"/>
              <w:spacing w:after="0" w:line="176" w:lineRule="exact"/>
              <w:rPr>
                <w:sz w:val="20"/>
                <w:szCs w:val="20"/>
                <w:color w:val="auto"/>
              </w:rPr>
            </w:pPr>
            <w:r>
              <w:rPr>
                <w:rFonts w:ascii="Arial" w:cs="Arial" w:eastAsia="Arial" w:hAnsi="Arial"/>
                <w:sz w:val="18"/>
                <w:szCs w:val="18"/>
                <w:color w:val="auto"/>
              </w:rPr>
              <w:t>Ann M. Fudge</w:t>
            </w:r>
          </w:p>
        </w:tc>
        <w:tc>
          <w:tcPr>
            <w:tcW w:w="0" w:type="dxa"/>
            <w:vAlign w:val="bottom"/>
          </w:tcPr>
          <w:p>
            <w:pPr>
              <w:spacing w:after="0"/>
              <w:rPr>
                <w:sz w:val="1"/>
                <w:szCs w:val="1"/>
                <w:color w:val="auto"/>
              </w:rPr>
            </w:pPr>
          </w:p>
        </w:tc>
      </w:tr>
      <w:tr>
        <w:trPr>
          <w:trHeight w:val="175"/>
        </w:trPr>
        <w:tc>
          <w:tcPr>
            <w:tcW w:w="8680" w:type="dxa"/>
            <w:vAlign w:val="bottom"/>
          </w:tcPr>
          <w:p>
            <w:pPr>
              <w:ind w:left="240"/>
              <w:spacing w:after="0" w:line="176" w:lineRule="exact"/>
              <w:rPr>
                <w:sz w:val="20"/>
                <w:szCs w:val="20"/>
                <w:color w:val="auto"/>
              </w:rPr>
            </w:pPr>
            <w:r>
              <w:rPr>
                <w:rFonts w:ascii="Arial" w:cs="Arial" w:eastAsia="Arial" w:hAnsi="Arial"/>
                <w:sz w:val="18"/>
                <w:szCs w:val="18"/>
                <w:color w:val="auto"/>
              </w:rPr>
              <w:t>related to corporate culture</w:t>
            </w:r>
          </w:p>
        </w:tc>
        <w:tc>
          <w:tcPr>
            <w:tcW w:w="2400" w:type="dxa"/>
            <w:vAlign w:val="bottom"/>
          </w:tcPr>
          <w:p>
            <w:pPr>
              <w:ind w:left="180"/>
              <w:spacing w:after="0" w:line="176" w:lineRule="exact"/>
              <w:rPr>
                <w:sz w:val="20"/>
                <w:szCs w:val="20"/>
                <w:color w:val="auto"/>
              </w:rPr>
            </w:pPr>
            <w:r>
              <w:rPr>
                <w:rFonts w:ascii="Arial" w:cs="Arial" w:eastAsia="Arial" w:hAnsi="Arial"/>
                <w:sz w:val="18"/>
                <w:szCs w:val="18"/>
                <w:color w:val="auto"/>
              </w:rPr>
              <w:t>William H. Hernandez</w:t>
            </w:r>
          </w:p>
        </w:tc>
        <w:tc>
          <w:tcPr>
            <w:tcW w:w="0" w:type="dxa"/>
            <w:vAlign w:val="bottom"/>
          </w:tcPr>
          <w:p>
            <w:pPr>
              <w:spacing w:after="0"/>
              <w:rPr>
                <w:sz w:val="1"/>
                <w:szCs w:val="1"/>
                <w:color w:val="auto"/>
              </w:rPr>
            </w:pPr>
          </w:p>
        </w:tc>
      </w:tr>
      <w:tr>
        <w:trPr>
          <w:trHeight w:val="175"/>
        </w:trPr>
        <w:tc>
          <w:tcPr>
            <w:tcW w:w="8680" w:type="dxa"/>
            <w:vAlign w:val="bottom"/>
            <w:vMerge w:val="restart"/>
          </w:tcPr>
          <w:p>
            <w:pPr>
              <w:spacing w:after="0"/>
              <w:rPr>
                <w:sz w:val="20"/>
                <w:szCs w:val="20"/>
                <w:color w:val="auto"/>
              </w:rPr>
            </w:pPr>
            <w:r>
              <w:rPr>
                <w:rFonts w:ascii="Arial" w:cs="Arial" w:eastAsia="Arial" w:hAnsi="Arial"/>
                <w:sz w:val="13"/>
                <w:szCs w:val="13"/>
                <w:color w:val="00249C"/>
              </w:rPr>
              <w:t xml:space="preserve">● </w:t>
            </w:r>
            <w:r>
              <w:rPr>
                <w:rFonts w:ascii="Arial" w:cs="Arial" w:eastAsia="Arial" w:hAnsi="Arial"/>
                <w:sz w:val="17"/>
                <w:szCs w:val="17"/>
                <w:color w:val="000000"/>
              </w:rPr>
              <w:t>regularly reviewing the Company's corporate governance policies and practices, including the Company's</w:t>
            </w:r>
          </w:p>
        </w:tc>
        <w:tc>
          <w:tcPr>
            <w:tcW w:w="2400" w:type="dxa"/>
            <w:vAlign w:val="bottom"/>
          </w:tcPr>
          <w:p>
            <w:pPr>
              <w:ind w:left="180"/>
              <w:spacing w:after="0" w:line="175" w:lineRule="exact"/>
              <w:rPr>
                <w:sz w:val="20"/>
                <w:szCs w:val="20"/>
                <w:color w:val="auto"/>
              </w:rPr>
            </w:pPr>
            <w:r>
              <w:rPr>
                <w:rFonts w:ascii="Arial" w:cs="Arial" w:eastAsia="Arial" w:hAnsi="Arial"/>
                <w:sz w:val="18"/>
                <w:szCs w:val="18"/>
                <w:color w:val="auto"/>
              </w:rPr>
              <w:t>Karl J. Krapek</w:t>
            </w:r>
          </w:p>
        </w:tc>
        <w:tc>
          <w:tcPr>
            <w:tcW w:w="0" w:type="dxa"/>
            <w:vAlign w:val="bottom"/>
          </w:tcPr>
          <w:p>
            <w:pPr>
              <w:spacing w:after="0"/>
              <w:rPr>
                <w:sz w:val="1"/>
                <w:szCs w:val="1"/>
                <w:color w:val="auto"/>
              </w:rPr>
            </w:pPr>
          </w:p>
        </w:tc>
      </w:tr>
      <w:tr>
        <w:trPr>
          <w:trHeight w:val="162"/>
        </w:trPr>
        <w:tc>
          <w:tcPr>
            <w:tcW w:w="8680" w:type="dxa"/>
            <w:vAlign w:val="bottom"/>
            <w:vMerge w:val="continue"/>
          </w:tcPr>
          <w:p>
            <w:pPr>
              <w:spacing w:after="0"/>
              <w:rPr>
                <w:sz w:val="14"/>
                <w:szCs w:val="14"/>
                <w:color w:val="auto"/>
              </w:rPr>
            </w:pPr>
          </w:p>
        </w:tc>
        <w:tc>
          <w:tcPr>
            <w:tcW w:w="2400" w:type="dxa"/>
            <w:vAlign w:val="bottom"/>
          </w:tcPr>
          <w:p>
            <w:pPr>
              <w:ind w:left="180"/>
              <w:spacing w:after="0" w:line="162" w:lineRule="exact"/>
              <w:rPr>
                <w:sz w:val="20"/>
                <w:szCs w:val="20"/>
                <w:color w:val="auto"/>
              </w:rPr>
            </w:pPr>
            <w:r>
              <w:rPr>
                <w:rFonts w:ascii="Arial" w:cs="Arial" w:eastAsia="Arial" w:hAnsi="Arial"/>
                <w:sz w:val="18"/>
                <w:szCs w:val="18"/>
                <w:color w:val="auto"/>
              </w:rPr>
              <w:t>James S. Turley</w:t>
            </w:r>
          </w:p>
        </w:tc>
        <w:tc>
          <w:tcPr>
            <w:tcW w:w="0" w:type="dxa"/>
            <w:vAlign w:val="bottom"/>
          </w:tcPr>
          <w:p>
            <w:pPr>
              <w:spacing w:after="0"/>
              <w:rPr>
                <w:sz w:val="1"/>
                <w:szCs w:val="1"/>
                <w:color w:val="auto"/>
              </w:rPr>
            </w:pPr>
          </w:p>
        </w:tc>
      </w:tr>
      <w:tr>
        <w:trPr>
          <w:trHeight w:val="217"/>
        </w:trPr>
        <w:tc>
          <w:tcPr>
            <w:tcW w:w="8680" w:type="dxa"/>
            <w:vAlign w:val="bottom"/>
          </w:tcPr>
          <w:p>
            <w:pPr>
              <w:ind w:left="240"/>
              <w:spacing w:after="0"/>
              <w:rPr>
                <w:sz w:val="20"/>
                <w:szCs w:val="20"/>
                <w:color w:val="auto"/>
              </w:rPr>
            </w:pPr>
            <w:r>
              <w:rPr>
                <w:rFonts w:ascii="Arial" w:cs="Arial" w:eastAsia="Arial" w:hAnsi="Arial"/>
                <w:sz w:val="18"/>
                <w:szCs w:val="18"/>
                <w:color w:val="auto"/>
              </w:rPr>
              <w:t>Bylaws and other corporate documents</w:t>
            </w:r>
          </w:p>
        </w:tc>
        <w:tc>
          <w:tcPr>
            <w:tcW w:w="2400" w:type="dxa"/>
            <w:vAlign w:val="bottom"/>
            <w:vMerge w:val="restart"/>
          </w:tcPr>
          <w:p>
            <w:pPr>
              <w:ind w:left="180"/>
              <w:spacing w:after="0"/>
              <w:rPr>
                <w:sz w:val="20"/>
                <w:szCs w:val="20"/>
                <w:color w:val="auto"/>
              </w:rPr>
            </w:pPr>
            <w:r>
              <w:rPr>
                <w:rFonts w:ascii="Arial" w:cs="Arial" w:eastAsia="Arial" w:hAnsi="Arial"/>
                <w:sz w:val="18"/>
                <w:szCs w:val="18"/>
                <w:b w:val="1"/>
                <w:bCs w:val="1"/>
                <w:color w:val="00249C"/>
              </w:rPr>
              <w:t>Number of meetings in</w:t>
            </w:r>
          </w:p>
        </w:tc>
        <w:tc>
          <w:tcPr>
            <w:tcW w:w="0" w:type="dxa"/>
            <w:vAlign w:val="bottom"/>
          </w:tcPr>
          <w:p>
            <w:pPr>
              <w:spacing w:after="0"/>
              <w:rPr>
                <w:sz w:val="1"/>
                <w:szCs w:val="1"/>
                <w:color w:val="auto"/>
              </w:rPr>
            </w:pPr>
          </w:p>
        </w:tc>
      </w:tr>
      <w:tr>
        <w:trPr>
          <w:trHeight w:val="40"/>
        </w:trPr>
        <w:tc>
          <w:tcPr>
            <w:tcW w:w="8680" w:type="dxa"/>
            <w:vAlign w:val="bottom"/>
          </w:tcPr>
          <w:p>
            <w:pPr>
              <w:spacing w:after="0"/>
              <w:rPr>
                <w:sz w:val="3"/>
                <w:szCs w:val="3"/>
                <w:color w:val="auto"/>
              </w:rPr>
            </w:pPr>
          </w:p>
        </w:tc>
        <w:tc>
          <w:tcPr>
            <w:tcW w:w="2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8680" w:type="dxa"/>
            <w:vAlign w:val="bottom"/>
          </w:tcPr>
          <w:p>
            <w:pPr>
              <w:spacing w:after="0"/>
              <w:rPr>
                <w:sz w:val="20"/>
                <w:szCs w:val="20"/>
                <w:color w:val="auto"/>
              </w:rPr>
            </w:pPr>
            <w:r>
              <w:rPr>
                <w:rFonts w:ascii="Arial" w:cs="Arial" w:eastAsia="Arial" w:hAnsi="Arial"/>
                <w:sz w:val="13"/>
                <w:szCs w:val="13"/>
                <w:color w:val="00249C"/>
              </w:rPr>
              <w:t xml:space="preserve">● </w:t>
            </w:r>
            <w:r>
              <w:rPr>
                <w:rFonts w:ascii="Arial" w:cs="Arial" w:eastAsia="Arial" w:hAnsi="Arial"/>
                <w:sz w:val="17"/>
                <w:szCs w:val="17"/>
                <w:color w:val="000000"/>
              </w:rPr>
              <w:t>regularly reviewing and considering corporate governance developments, emerging trends and best</w:t>
            </w:r>
          </w:p>
        </w:tc>
        <w:tc>
          <w:tcPr>
            <w:tcW w:w="2400" w:type="dxa"/>
            <w:vAlign w:val="bottom"/>
          </w:tcPr>
          <w:p>
            <w:pPr>
              <w:ind w:left="180"/>
              <w:spacing w:after="0"/>
              <w:rPr>
                <w:sz w:val="20"/>
                <w:szCs w:val="20"/>
                <w:color w:val="auto"/>
              </w:rPr>
            </w:pPr>
            <w:r>
              <w:rPr>
                <w:rFonts w:ascii="Arial" w:cs="Arial" w:eastAsia="Arial" w:hAnsi="Arial"/>
                <w:sz w:val="18"/>
                <w:szCs w:val="18"/>
                <w:b w:val="1"/>
                <w:bCs w:val="1"/>
                <w:color w:val="00249C"/>
              </w:rPr>
              <w:t xml:space="preserve">2020: </w:t>
            </w:r>
            <w:r>
              <w:rPr>
                <w:rFonts w:ascii="Arial" w:cs="Arial" w:eastAsia="Arial" w:hAnsi="Arial"/>
                <w:sz w:val="18"/>
                <w:szCs w:val="18"/>
                <w:color w:val="000000"/>
              </w:rPr>
              <w:t>5</w:t>
            </w:r>
          </w:p>
        </w:tc>
        <w:tc>
          <w:tcPr>
            <w:tcW w:w="0" w:type="dxa"/>
            <w:vAlign w:val="bottom"/>
          </w:tcPr>
          <w:p>
            <w:pPr>
              <w:spacing w:after="0"/>
              <w:rPr>
                <w:sz w:val="1"/>
                <w:szCs w:val="1"/>
                <w:color w:val="auto"/>
              </w:rPr>
            </w:pPr>
          </w:p>
        </w:tc>
      </w:tr>
      <w:tr>
        <w:trPr>
          <w:trHeight w:val="244"/>
        </w:trPr>
        <w:tc>
          <w:tcPr>
            <w:tcW w:w="8680" w:type="dxa"/>
            <w:vAlign w:val="bottom"/>
          </w:tcPr>
          <w:p>
            <w:pPr>
              <w:ind w:left="240"/>
              <w:spacing w:after="0"/>
              <w:rPr>
                <w:sz w:val="20"/>
                <w:szCs w:val="20"/>
                <w:color w:val="auto"/>
              </w:rPr>
            </w:pPr>
            <w:r>
              <w:rPr>
                <w:rFonts w:ascii="Arial" w:cs="Arial" w:eastAsia="Arial" w:hAnsi="Arial"/>
                <w:sz w:val="18"/>
                <w:szCs w:val="18"/>
                <w:color w:val="auto"/>
              </w:rPr>
              <w:t>practices and recommending changes to the Board</w:t>
            </w:r>
          </w:p>
        </w:tc>
        <w:tc>
          <w:tcPr>
            <w:tcW w:w="2400" w:type="dxa"/>
            <w:vAlign w:val="bottom"/>
          </w:tcPr>
          <w:p>
            <w:pPr>
              <w:ind w:left="180"/>
              <w:spacing w:after="0"/>
              <w:rPr>
                <w:sz w:val="20"/>
                <w:szCs w:val="20"/>
                <w:color w:val="auto"/>
              </w:rPr>
            </w:pPr>
            <w:r>
              <w:rPr>
                <w:rFonts w:ascii="Arial" w:cs="Arial" w:eastAsia="Arial" w:hAnsi="Arial"/>
                <w:sz w:val="18"/>
                <w:szCs w:val="18"/>
                <w:b w:val="1"/>
                <w:bCs w:val="1"/>
                <w:color w:val="00249C"/>
              </w:rPr>
              <w:t>Independence</w:t>
            </w:r>
          </w:p>
        </w:tc>
        <w:tc>
          <w:tcPr>
            <w:tcW w:w="0" w:type="dxa"/>
            <w:vAlign w:val="bottom"/>
          </w:tcPr>
          <w:p>
            <w:pPr>
              <w:spacing w:after="0"/>
              <w:rPr>
                <w:sz w:val="1"/>
                <w:szCs w:val="1"/>
                <w:color w:val="auto"/>
              </w:rPr>
            </w:pPr>
          </w:p>
        </w:tc>
      </w:tr>
      <w:tr>
        <w:trPr>
          <w:trHeight w:val="243"/>
        </w:trPr>
        <w:tc>
          <w:tcPr>
            <w:tcW w:w="11080" w:type="dxa"/>
            <w:vAlign w:val="bottom"/>
            <w:gridSpan w:val="2"/>
          </w:tcPr>
          <w:p>
            <w:pPr>
              <w:spacing w:after="0" w:line="243" w:lineRule="exact"/>
              <w:rPr>
                <w:sz w:val="20"/>
                <w:szCs w:val="20"/>
                <w:color w:val="auto"/>
              </w:rPr>
            </w:pPr>
            <w:r>
              <w:rPr>
                <w:rFonts w:ascii="Arial" w:cs="Arial" w:eastAsia="Arial" w:hAnsi="Arial"/>
                <w:sz w:val="11"/>
                <w:szCs w:val="11"/>
                <w:color w:val="00249C"/>
              </w:rPr>
              <w:t xml:space="preserve">● </w:t>
            </w:r>
            <w:r>
              <w:rPr>
                <w:rFonts w:ascii="Arial" w:cs="Arial" w:eastAsia="Arial" w:hAnsi="Arial"/>
                <w:sz w:val="15"/>
                <w:szCs w:val="15"/>
                <w:color w:val="000000"/>
              </w:rPr>
              <w:t>reviewing and making recommendations to the Board with respect to the corporate governance section of the</w:t>
            </w:r>
            <w:r>
              <w:rPr>
                <w:rFonts w:ascii="Arial" w:cs="Arial" w:eastAsia="Arial" w:hAnsi="Arial"/>
                <w:sz w:val="11"/>
                <w:szCs w:val="11"/>
                <w:color w:val="00249C"/>
              </w:rPr>
              <w:t xml:space="preserve"> </w:t>
            </w:r>
            <w:r>
              <w:rPr>
                <w:rFonts w:ascii="Arial" w:cs="Arial" w:eastAsia="Arial" w:hAnsi="Arial"/>
                <w:sz w:val="28"/>
                <w:szCs w:val="28"/>
                <w:color w:val="000000"/>
                <w:vertAlign w:val="superscript"/>
              </w:rPr>
              <w:t>All members are</w:t>
            </w:r>
          </w:p>
        </w:tc>
        <w:tc>
          <w:tcPr>
            <w:tcW w:w="0" w:type="dxa"/>
            <w:vAlign w:val="bottom"/>
          </w:tcPr>
          <w:p>
            <w:pPr>
              <w:spacing w:after="0"/>
              <w:rPr>
                <w:sz w:val="1"/>
                <w:szCs w:val="1"/>
                <w:color w:val="auto"/>
              </w:rPr>
            </w:pPr>
          </w:p>
        </w:tc>
      </w:tr>
      <w:tr>
        <w:trPr>
          <w:trHeight w:val="230"/>
        </w:trPr>
        <w:tc>
          <w:tcPr>
            <w:tcW w:w="8680" w:type="dxa"/>
            <w:vAlign w:val="bottom"/>
          </w:tcPr>
          <w:p>
            <w:pPr>
              <w:ind w:left="240"/>
              <w:spacing w:after="0"/>
              <w:rPr>
                <w:sz w:val="20"/>
                <w:szCs w:val="20"/>
                <w:color w:val="auto"/>
              </w:rPr>
            </w:pPr>
            <w:r>
              <w:rPr>
                <w:rFonts w:ascii="Arial" w:cs="Arial" w:eastAsia="Arial" w:hAnsi="Arial"/>
                <w:sz w:val="18"/>
                <w:szCs w:val="18"/>
                <w:color w:val="auto"/>
              </w:rPr>
              <w:t>proxy statement, including proposed responses to shareholder proposals</w:t>
            </w:r>
          </w:p>
        </w:tc>
        <w:tc>
          <w:tcPr>
            <w:tcW w:w="2400" w:type="dxa"/>
            <w:vAlign w:val="bottom"/>
          </w:tcPr>
          <w:p>
            <w:pPr>
              <w:ind w:left="180"/>
              <w:spacing w:after="0"/>
              <w:rPr>
                <w:sz w:val="20"/>
                <w:szCs w:val="20"/>
                <w:color w:val="auto"/>
              </w:rPr>
            </w:pPr>
            <w:r>
              <w:rPr>
                <w:rFonts w:ascii="Arial" w:cs="Arial" w:eastAsia="Arial" w:hAnsi="Arial"/>
                <w:sz w:val="18"/>
                <w:szCs w:val="18"/>
                <w:color w:val="auto"/>
              </w:rPr>
              <w:t>independent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0"/>
        <w:spacing w:after="0"/>
        <w:rPr>
          <w:sz w:val="20"/>
          <w:szCs w:val="20"/>
          <w:color w:val="auto"/>
        </w:rPr>
      </w:pPr>
      <w:r>
        <w:rPr>
          <w:rFonts w:ascii="Arial" w:cs="Arial" w:eastAsia="Arial" w:hAnsi="Arial"/>
          <w:sz w:val="13"/>
          <w:szCs w:val="13"/>
          <w:color w:val="00249C"/>
        </w:rPr>
        <w:t xml:space="preserve">● </w:t>
      </w:r>
      <w:r>
        <w:rPr>
          <w:rFonts w:ascii="Arial" w:cs="Arial" w:eastAsia="Arial" w:hAnsi="Arial"/>
          <w:sz w:val="17"/>
          <w:szCs w:val="17"/>
          <w:color w:val="000000"/>
        </w:rPr>
        <w:t>meeting with shareholders and proxy advisory groups, as needed, to discuss issues of corporate governance</w:t>
      </w:r>
    </w:p>
    <w:p>
      <w:pPr>
        <w:spacing w:after="0" w:line="291" w:lineRule="exact"/>
        <w:rPr>
          <w:sz w:val="20"/>
          <w:szCs w:val="20"/>
          <w:color w:val="auto"/>
        </w:rPr>
      </w:pPr>
    </w:p>
    <w:p>
      <w:pPr>
        <w:ind w:left="280" w:right="2660" w:hanging="242"/>
        <w:spacing w:after="0" w:line="232" w:lineRule="auto"/>
        <w:rPr>
          <w:sz w:val="20"/>
          <w:szCs w:val="20"/>
          <w:color w:val="auto"/>
        </w:rPr>
      </w:pPr>
      <w:r>
        <w:rPr>
          <w:rFonts w:ascii="Arial" w:cs="Arial" w:eastAsia="Arial" w:hAnsi="Arial"/>
          <w:sz w:val="13"/>
          <w:szCs w:val="13"/>
          <w:color w:val="00249C"/>
        </w:rPr>
        <w:t xml:space="preserve">● </w:t>
      </w:r>
      <w:r>
        <w:rPr>
          <w:rFonts w:ascii="Arial" w:cs="Arial" w:eastAsia="Arial" w:hAnsi="Arial"/>
          <w:sz w:val="17"/>
          <w:szCs w:val="17"/>
          <w:color w:val="000000"/>
        </w:rPr>
        <w:t>regularly reviewing and making recommendations to the Board regarding the composition and size of the</w:t>
      </w:r>
      <w:r>
        <w:rPr>
          <w:rFonts w:ascii="Arial" w:cs="Arial" w:eastAsia="Arial" w:hAnsi="Arial"/>
          <w:sz w:val="13"/>
          <w:szCs w:val="13"/>
          <w:color w:val="00249C"/>
        </w:rPr>
        <w:t xml:space="preserve"> </w:t>
      </w:r>
      <w:r>
        <w:rPr>
          <w:rFonts w:ascii="Arial" w:cs="Arial" w:eastAsia="Arial" w:hAnsi="Arial"/>
          <w:sz w:val="17"/>
          <w:szCs w:val="17"/>
          <w:color w:val="000000"/>
        </w:rPr>
        <w:t>Board and the criteria for Board membership, which should include, among other things, diversity, experience and integrity</w:t>
      </w:r>
    </w:p>
    <w:p>
      <w:pPr>
        <w:spacing w:after="0" w:line="135" w:lineRule="exact"/>
        <w:rPr>
          <w:sz w:val="20"/>
          <w:szCs w:val="20"/>
          <w:color w:val="auto"/>
        </w:rPr>
      </w:pPr>
    </w:p>
    <w:p>
      <w:pPr>
        <w:ind w:left="280" w:right="2380" w:hanging="242"/>
        <w:spacing w:after="0" w:line="232" w:lineRule="auto"/>
        <w:rPr>
          <w:sz w:val="20"/>
          <w:szCs w:val="20"/>
          <w:color w:val="auto"/>
        </w:rPr>
      </w:pPr>
      <w:r>
        <w:rPr>
          <w:rFonts w:ascii="Arial" w:cs="Arial" w:eastAsia="Arial" w:hAnsi="Arial"/>
          <w:sz w:val="13"/>
          <w:szCs w:val="13"/>
          <w:color w:val="00249C"/>
        </w:rPr>
        <w:t xml:space="preserve">● </w:t>
      </w:r>
      <w:r>
        <w:rPr>
          <w:rFonts w:ascii="Arial" w:cs="Arial" w:eastAsia="Arial" w:hAnsi="Arial"/>
          <w:sz w:val="17"/>
          <w:szCs w:val="17"/>
          <w:color w:val="000000"/>
        </w:rPr>
        <w:t>providing effective board succession planning, identifying and recommending to the Board qualified potential</w:t>
      </w:r>
      <w:r>
        <w:rPr>
          <w:rFonts w:ascii="Arial" w:cs="Arial" w:eastAsia="Arial" w:hAnsi="Arial"/>
          <w:sz w:val="13"/>
          <w:szCs w:val="13"/>
          <w:color w:val="00249C"/>
        </w:rPr>
        <w:t xml:space="preserve"> </w:t>
      </w:r>
      <w:r>
        <w:rPr>
          <w:rFonts w:ascii="Arial" w:cs="Arial" w:eastAsia="Arial" w:hAnsi="Arial"/>
          <w:sz w:val="17"/>
          <w:szCs w:val="17"/>
          <w:color w:val="000000"/>
        </w:rPr>
        <w:t>candidates to serve on the Board and its committees and, if applicable, meeting with proxy access nominees nominated through the Company's proxy access bylaw provision</w:t>
      </w:r>
    </w:p>
    <w:p>
      <w:pPr>
        <w:spacing w:after="0" w:line="135" w:lineRule="exact"/>
        <w:rPr>
          <w:sz w:val="20"/>
          <w:szCs w:val="20"/>
          <w:color w:val="auto"/>
        </w:rPr>
      </w:pPr>
    </w:p>
    <w:p>
      <w:pPr>
        <w:ind w:left="280" w:right="2620" w:hanging="242"/>
        <w:spacing w:after="0" w:line="241" w:lineRule="auto"/>
        <w:rPr>
          <w:sz w:val="20"/>
          <w:szCs w:val="20"/>
          <w:color w:val="auto"/>
        </w:rPr>
      </w:pPr>
      <w:r>
        <w:rPr>
          <w:rFonts w:ascii="Arial" w:cs="Arial" w:eastAsia="Arial" w:hAnsi="Arial"/>
          <w:sz w:val="13"/>
          <w:szCs w:val="13"/>
          <w:color w:val="00249C"/>
        </w:rPr>
        <w:t xml:space="preserve">● </w:t>
      </w:r>
      <w:r>
        <w:rPr>
          <w:rFonts w:ascii="Arial" w:cs="Arial" w:eastAsia="Arial" w:hAnsi="Arial"/>
          <w:sz w:val="17"/>
          <w:szCs w:val="17"/>
          <w:color w:val="000000"/>
        </w:rPr>
        <w:t>reviewing and determining whether a director's service on another board or elsewhere is likely to interfere</w:t>
      </w:r>
      <w:r>
        <w:rPr>
          <w:rFonts w:ascii="Arial" w:cs="Arial" w:eastAsia="Arial" w:hAnsi="Arial"/>
          <w:sz w:val="13"/>
          <w:szCs w:val="13"/>
          <w:color w:val="00249C"/>
        </w:rPr>
        <w:t xml:space="preserve"> </w:t>
      </w:r>
      <w:r>
        <w:rPr>
          <w:rFonts w:ascii="Arial" w:cs="Arial" w:eastAsia="Arial" w:hAnsi="Arial"/>
          <w:sz w:val="17"/>
          <w:szCs w:val="17"/>
          <w:color w:val="000000"/>
        </w:rPr>
        <w:t>with the director's duties and responsibilities as a member of the Board</w:t>
      </w:r>
    </w:p>
    <w:p>
      <w:pPr>
        <w:spacing w:after="0" w:line="107" w:lineRule="exact"/>
        <w:rPr>
          <w:sz w:val="20"/>
          <w:szCs w:val="20"/>
          <w:color w:val="auto"/>
        </w:rPr>
      </w:pPr>
    </w:p>
    <w:p>
      <w:pPr>
        <w:ind w:left="280" w:right="2780" w:hanging="242"/>
        <w:spacing w:after="0" w:line="241" w:lineRule="auto"/>
        <w:rPr>
          <w:sz w:val="20"/>
          <w:szCs w:val="20"/>
          <w:color w:val="auto"/>
        </w:rPr>
      </w:pPr>
      <w:r>
        <w:rPr>
          <w:rFonts w:ascii="Arial" w:cs="Arial" w:eastAsia="Arial" w:hAnsi="Arial"/>
          <w:sz w:val="13"/>
          <w:szCs w:val="13"/>
          <w:color w:val="00249C"/>
        </w:rPr>
        <w:t xml:space="preserve">● </w:t>
      </w:r>
      <w:r>
        <w:rPr>
          <w:rFonts w:ascii="Arial" w:cs="Arial" w:eastAsia="Arial" w:hAnsi="Arial"/>
          <w:sz w:val="17"/>
          <w:szCs w:val="17"/>
          <w:color w:val="000000"/>
        </w:rPr>
        <w:t>reviewing and recommending board, director and committee evaluation processes and coordinating the</w:t>
      </w:r>
      <w:r>
        <w:rPr>
          <w:rFonts w:ascii="Arial" w:cs="Arial" w:eastAsia="Arial" w:hAnsi="Arial"/>
          <w:sz w:val="13"/>
          <w:szCs w:val="13"/>
          <w:color w:val="00249C"/>
        </w:rPr>
        <w:t xml:space="preserve"> </w:t>
      </w:r>
      <w:r>
        <w:rPr>
          <w:rFonts w:ascii="Arial" w:cs="Arial" w:eastAsia="Arial" w:hAnsi="Arial"/>
          <w:sz w:val="17"/>
          <w:szCs w:val="17"/>
          <w:color w:val="000000"/>
        </w:rPr>
        <w:t>process for the Board to evaluate its performance</w:t>
      </w:r>
    </w:p>
    <w:p>
      <w:pPr>
        <w:sectPr>
          <w:pgSz w:w="11900" w:h="16838" w:orient="portrait"/>
          <w:cols w:equalWidth="0" w:num="1">
            <w:col w:w="11160"/>
          </w:cols>
          <w:pgMar w:left="320" w:top="607"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1160"/>
          </w:cols>
          <w:pgMar w:left="320" w:top="607" w:right="41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4629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462915"/>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249C"/>
        </w:rPr>
        <w:t>Policy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40575" cy="23577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0575" cy="2357755"/>
                    </a:xfrm>
                    <a:prstGeom prst="rect">
                      <a:avLst/>
                    </a:prstGeom>
                    <a:noFill/>
                  </pic:spPr>
                </pic:pic>
              </a:graphicData>
            </a:graphic>
          </wp:anchor>
        </w:drawing>
      </w:r>
    </w:p>
    <w:p>
      <w:pPr>
        <w:spacing w:after="0" w:line="38" w:lineRule="exact"/>
        <w:rPr>
          <w:sz w:val="20"/>
          <w:szCs w:val="20"/>
          <w:color w:val="auto"/>
        </w:rPr>
      </w:pPr>
    </w:p>
    <w:p>
      <w:pPr>
        <w:ind w:left="20"/>
        <w:spacing w:after="0"/>
        <w:tabs>
          <w:tab w:leader="none" w:pos="8860" w:val="left"/>
        </w:tabs>
        <w:rPr>
          <w:sz w:val="20"/>
          <w:szCs w:val="20"/>
          <w:color w:val="auto"/>
        </w:rPr>
      </w:pPr>
      <w:r>
        <w:rPr>
          <w:rFonts w:ascii="Arial" w:cs="Arial" w:eastAsia="Arial" w:hAnsi="Arial"/>
          <w:sz w:val="18"/>
          <w:szCs w:val="18"/>
          <w:b w:val="1"/>
          <w:bCs w:val="1"/>
          <w:color w:val="00249C"/>
        </w:rPr>
        <w:t>Roles and Responsibilities</w:t>
      </w:r>
      <w:r>
        <w:rPr>
          <w:sz w:val="20"/>
          <w:szCs w:val="20"/>
          <w:color w:val="auto"/>
        </w:rPr>
        <w:tab/>
      </w:r>
      <w:r>
        <w:rPr>
          <w:rFonts w:ascii="Arial" w:cs="Arial" w:eastAsia="Arial" w:hAnsi="Arial"/>
          <w:sz w:val="17"/>
          <w:szCs w:val="17"/>
          <w:b w:val="1"/>
          <w:bCs w:val="1"/>
          <w:color w:val="00249C"/>
        </w:rPr>
        <w:t>Committee Members</w:t>
      </w:r>
    </w:p>
    <w:p>
      <w:pPr>
        <w:sectPr>
          <w:pgSz w:w="11900" w:h="16838" w:orient="portrait"/>
          <w:cols w:equalWidth="0" w:num="1">
            <w:col w:w="11220"/>
          </w:cols>
          <w:pgMar w:left="340" w:top="607" w:right="339" w:bottom="1440" w:gutter="0" w:footer="0" w:header="0"/>
        </w:sectPr>
      </w:pP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Assist the Board in overseeing policy, government relations and corporate responsibility by:</w:t>
      </w:r>
    </w:p>
    <w:p>
      <w:pPr>
        <w:spacing w:after="0" w:line="144" w:lineRule="exact"/>
        <w:rPr>
          <w:sz w:val="20"/>
          <w:szCs w:val="20"/>
          <w:color w:val="auto"/>
        </w:rPr>
      </w:pPr>
    </w:p>
    <w:p>
      <w:pPr>
        <w:ind w:left="260" w:right="80" w:hanging="241"/>
        <w:spacing w:after="0" w:line="227" w:lineRule="auto"/>
        <w:tabs>
          <w:tab w:leader="none" w:pos="143" w:val="left"/>
        </w:tabs>
        <w:numPr>
          <w:ilvl w:val="0"/>
          <w:numId w:val="28"/>
        </w:numPr>
        <w:rPr>
          <w:rFonts w:ascii="Arial" w:cs="Arial" w:eastAsia="Arial" w:hAnsi="Arial"/>
          <w:sz w:val="13"/>
          <w:szCs w:val="13"/>
          <w:color w:val="00249C"/>
        </w:rPr>
      </w:pPr>
      <w:r>
        <w:rPr>
          <w:rFonts w:ascii="Arial" w:cs="Arial" w:eastAsia="Arial" w:hAnsi="Arial"/>
          <w:sz w:val="18"/>
          <w:szCs w:val="18"/>
          <w:color w:val="auto"/>
        </w:rPr>
        <w:t>identifying and evaluating global security, political, budgetary, technological and other issues and trends that could impact the Company's business activities and performance</w:t>
      </w:r>
    </w:p>
    <w:p>
      <w:pPr>
        <w:spacing w:after="0" w:line="107" w:lineRule="exact"/>
        <w:rPr>
          <w:rFonts w:ascii="Arial" w:cs="Arial" w:eastAsia="Arial" w:hAnsi="Arial"/>
          <w:sz w:val="13"/>
          <w:szCs w:val="13"/>
          <w:color w:val="00249C"/>
        </w:rPr>
      </w:pPr>
    </w:p>
    <w:p>
      <w:pPr>
        <w:ind w:left="260" w:hanging="241"/>
        <w:spacing w:after="0" w:line="227" w:lineRule="auto"/>
        <w:tabs>
          <w:tab w:leader="none" w:pos="143" w:val="left"/>
        </w:tabs>
        <w:numPr>
          <w:ilvl w:val="0"/>
          <w:numId w:val="28"/>
        </w:numPr>
        <w:rPr>
          <w:rFonts w:ascii="Arial" w:cs="Arial" w:eastAsia="Arial" w:hAnsi="Arial"/>
          <w:sz w:val="13"/>
          <w:szCs w:val="13"/>
          <w:color w:val="00249C"/>
        </w:rPr>
      </w:pPr>
      <w:r>
        <w:rPr>
          <w:rFonts w:ascii="Arial" w:cs="Arial" w:eastAsia="Arial" w:hAnsi="Arial"/>
          <w:sz w:val="18"/>
          <w:szCs w:val="18"/>
          <w:color w:val="auto"/>
        </w:rPr>
        <w:t>reviewing and providing oversight of the Company's programs regarding environmental and social aspects of sustainability, including environmental matters, human rights, health and safety</w:t>
      </w:r>
    </w:p>
    <w:p>
      <w:pPr>
        <w:spacing w:after="0" w:line="107" w:lineRule="exact"/>
        <w:rPr>
          <w:rFonts w:ascii="Arial" w:cs="Arial" w:eastAsia="Arial" w:hAnsi="Arial"/>
          <w:sz w:val="13"/>
          <w:szCs w:val="13"/>
          <w:color w:val="00249C"/>
        </w:rPr>
      </w:pPr>
    </w:p>
    <w:p>
      <w:pPr>
        <w:ind w:left="260" w:right="60" w:hanging="241"/>
        <w:spacing w:after="0" w:line="227" w:lineRule="auto"/>
        <w:tabs>
          <w:tab w:leader="none" w:pos="143" w:val="left"/>
        </w:tabs>
        <w:numPr>
          <w:ilvl w:val="0"/>
          <w:numId w:val="28"/>
        </w:numPr>
        <w:rPr>
          <w:rFonts w:ascii="Arial" w:cs="Arial" w:eastAsia="Arial" w:hAnsi="Arial"/>
          <w:sz w:val="13"/>
          <w:szCs w:val="13"/>
          <w:color w:val="00249C"/>
        </w:rPr>
      </w:pPr>
      <w:r>
        <w:rPr>
          <w:rFonts w:ascii="Arial" w:cs="Arial" w:eastAsia="Arial" w:hAnsi="Arial"/>
          <w:sz w:val="18"/>
          <w:szCs w:val="18"/>
          <w:color w:val="auto"/>
        </w:rPr>
        <w:t>reviewing and providing oversight over the Company's ethics and corporate social responsibility policies and programs</w:t>
      </w:r>
    </w:p>
    <w:p>
      <w:pPr>
        <w:spacing w:after="0" w:line="107" w:lineRule="exact"/>
        <w:rPr>
          <w:rFonts w:ascii="Arial" w:cs="Arial" w:eastAsia="Arial" w:hAnsi="Arial"/>
          <w:sz w:val="13"/>
          <w:szCs w:val="13"/>
          <w:color w:val="00249C"/>
        </w:rPr>
      </w:pPr>
    </w:p>
    <w:p>
      <w:pPr>
        <w:ind w:left="140" w:hanging="121"/>
        <w:spacing w:after="0"/>
        <w:tabs>
          <w:tab w:leader="none" w:pos="140" w:val="left"/>
        </w:tabs>
        <w:numPr>
          <w:ilvl w:val="0"/>
          <w:numId w:val="28"/>
        </w:numPr>
        <w:rPr>
          <w:rFonts w:ascii="Arial" w:cs="Arial" w:eastAsia="Arial" w:hAnsi="Arial"/>
          <w:sz w:val="13"/>
          <w:szCs w:val="13"/>
          <w:color w:val="00249C"/>
        </w:rPr>
      </w:pPr>
      <w:r>
        <w:rPr>
          <w:rFonts w:ascii="Arial" w:cs="Arial" w:eastAsia="Arial" w:hAnsi="Arial"/>
          <w:sz w:val="18"/>
          <w:szCs w:val="18"/>
          <w:color w:val="auto"/>
        </w:rPr>
        <w:t>reviewing the Company's public relations strategy</w:t>
      </w:r>
    </w:p>
    <w:p>
      <w:pPr>
        <w:spacing w:after="0" w:line="117" w:lineRule="exact"/>
        <w:rPr>
          <w:rFonts w:ascii="Arial" w:cs="Arial" w:eastAsia="Arial" w:hAnsi="Arial"/>
          <w:sz w:val="13"/>
          <w:szCs w:val="13"/>
          <w:color w:val="00249C"/>
        </w:rPr>
      </w:pPr>
    </w:p>
    <w:p>
      <w:pPr>
        <w:ind w:left="260" w:right="580" w:hanging="241"/>
        <w:spacing w:after="0" w:line="227" w:lineRule="auto"/>
        <w:tabs>
          <w:tab w:leader="none" w:pos="143" w:val="left"/>
        </w:tabs>
        <w:numPr>
          <w:ilvl w:val="0"/>
          <w:numId w:val="28"/>
        </w:numPr>
        <w:rPr>
          <w:rFonts w:ascii="Arial" w:cs="Arial" w:eastAsia="Arial" w:hAnsi="Arial"/>
          <w:sz w:val="13"/>
          <w:szCs w:val="13"/>
          <w:color w:val="00249C"/>
        </w:rPr>
      </w:pPr>
      <w:r>
        <w:rPr>
          <w:rFonts w:ascii="Arial" w:cs="Arial" w:eastAsia="Arial" w:hAnsi="Arial"/>
          <w:sz w:val="18"/>
          <w:szCs w:val="18"/>
          <w:color w:val="auto"/>
        </w:rPr>
        <w:t>reviewing and monitoring the Company's government relations strategy and political action committee policies</w:t>
      </w:r>
    </w:p>
    <w:p>
      <w:pPr>
        <w:spacing w:after="0" w:line="107" w:lineRule="exact"/>
        <w:rPr>
          <w:rFonts w:ascii="Arial" w:cs="Arial" w:eastAsia="Arial" w:hAnsi="Arial"/>
          <w:sz w:val="13"/>
          <w:szCs w:val="13"/>
          <w:color w:val="00249C"/>
        </w:rPr>
      </w:pPr>
    </w:p>
    <w:p>
      <w:pPr>
        <w:ind w:left="140" w:hanging="121"/>
        <w:spacing w:after="0"/>
        <w:tabs>
          <w:tab w:leader="none" w:pos="140" w:val="left"/>
        </w:tabs>
        <w:numPr>
          <w:ilvl w:val="0"/>
          <w:numId w:val="28"/>
        </w:numPr>
        <w:rPr>
          <w:rFonts w:ascii="Arial" w:cs="Arial" w:eastAsia="Arial" w:hAnsi="Arial"/>
          <w:sz w:val="13"/>
          <w:szCs w:val="13"/>
          <w:color w:val="00249C"/>
        </w:rPr>
      </w:pPr>
      <w:r>
        <w:rPr>
          <w:rFonts w:ascii="Arial" w:cs="Arial" w:eastAsia="Arial" w:hAnsi="Arial"/>
          <w:sz w:val="18"/>
          <w:szCs w:val="18"/>
          <w:color w:val="auto"/>
        </w:rPr>
        <w:t>reviewing the Company's community relations and charitable activities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right="520"/>
        <w:spacing w:after="0" w:line="211" w:lineRule="auto"/>
        <w:rPr>
          <w:sz w:val="20"/>
          <w:szCs w:val="20"/>
          <w:color w:val="auto"/>
        </w:rPr>
      </w:pPr>
      <w:r>
        <w:rPr>
          <w:rFonts w:ascii="Arial" w:cs="Arial" w:eastAsia="Arial" w:hAnsi="Arial"/>
          <w:sz w:val="18"/>
          <w:szCs w:val="18"/>
          <w:color w:val="auto"/>
        </w:rPr>
        <w:t>Gary Roughead (chair) David P. Abney Marianne C. Brown Bruce S. Gordon Thomas M. Schoewe Mark A. Welsh III</w:t>
      </w:r>
    </w:p>
    <w:p>
      <w:pPr>
        <w:spacing w:after="0" w:line="20" w:lineRule="exact"/>
        <w:rPr>
          <w:sz w:val="20"/>
          <w:szCs w:val="20"/>
          <w:color w:val="auto"/>
        </w:rPr>
      </w:pPr>
    </w:p>
    <w:p>
      <w:pPr>
        <w:ind w:right="400"/>
        <w:spacing w:after="0"/>
        <w:rPr>
          <w:sz w:val="20"/>
          <w:szCs w:val="20"/>
          <w:color w:val="auto"/>
        </w:rPr>
      </w:pPr>
      <w:r>
        <w:rPr>
          <w:rFonts w:ascii="Arial" w:cs="Arial" w:eastAsia="Arial" w:hAnsi="Arial"/>
          <w:sz w:val="18"/>
          <w:szCs w:val="18"/>
          <w:b w:val="1"/>
          <w:bCs w:val="1"/>
          <w:color w:val="00249C"/>
        </w:rPr>
        <w:t xml:space="preserve">Number of meetings in 2020: </w:t>
      </w:r>
      <w:r>
        <w:rPr>
          <w:rFonts w:ascii="Arial" w:cs="Arial" w:eastAsia="Arial" w:hAnsi="Arial"/>
          <w:sz w:val="18"/>
          <w:szCs w:val="18"/>
          <w:color w:val="000000"/>
        </w:rPr>
        <w:t>5</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00249C"/>
        </w:rPr>
        <w:t>Independence</w:t>
      </w:r>
    </w:p>
    <w:p>
      <w:pPr>
        <w:spacing w:after="0" w:line="72" w:lineRule="exact"/>
        <w:rPr>
          <w:sz w:val="20"/>
          <w:szCs w:val="20"/>
          <w:color w:val="auto"/>
        </w:rPr>
      </w:pPr>
    </w:p>
    <w:p>
      <w:pPr>
        <w:ind w:right="1040"/>
        <w:spacing w:after="0" w:line="241" w:lineRule="auto"/>
        <w:rPr>
          <w:sz w:val="20"/>
          <w:szCs w:val="20"/>
          <w:color w:val="auto"/>
        </w:rPr>
      </w:pPr>
      <w:r>
        <w:rPr>
          <w:rFonts w:ascii="Arial" w:cs="Arial" w:eastAsia="Arial" w:hAnsi="Arial"/>
          <w:sz w:val="17"/>
          <w:szCs w:val="17"/>
          <w:color w:val="auto"/>
        </w:rPr>
        <w:t>All members are independent</w:t>
      </w:r>
    </w:p>
    <w:p>
      <w:pPr>
        <w:spacing w:after="0" w:line="878" w:lineRule="exact"/>
        <w:rPr>
          <w:sz w:val="20"/>
          <w:szCs w:val="20"/>
          <w:color w:val="auto"/>
        </w:rPr>
      </w:pPr>
    </w:p>
    <w:p>
      <w:pPr>
        <w:sectPr>
          <w:pgSz w:w="11900" w:h="16838" w:orient="portrait"/>
          <w:cols w:equalWidth="0" w:num="2">
            <w:col w:w="8800" w:space="80"/>
            <w:col w:w="2340"/>
          </w:cols>
          <w:pgMar w:left="340" w:top="607" w:right="339" w:bottom="1440" w:gutter="0" w:footer="0" w:header="0"/>
          <w:type w:val="continuous"/>
        </w:sectPr>
      </w:pPr>
    </w:p>
    <w:p>
      <w:pPr>
        <w:spacing w:after="0" w:line="349" w:lineRule="exact"/>
        <w:rPr>
          <w:sz w:val="20"/>
          <w:szCs w:val="20"/>
          <w:color w:val="auto"/>
        </w:rPr>
      </w:pPr>
    </w:p>
    <w:p>
      <w:pPr>
        <w:ind w:left="5200"/>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19</w:t>
      </w:r>
    </w:p>
    <w:p>
      <w:pPr>
        <w:sectPr>
          <w:pgSz w:w="11900" w:h="16838" w:orient="portrait"/>
          <w:cols w:equalWidth="0" w:num="1">
            <w:col w:w="11220"/>
          </w:cols>
          <w:pgMar w:left="340" w:top="607" w:right="339" w:bottom="1440" w:gutter="0" w:footer="0" w:header="0"/>
          <w:type w:val="continuous"/>
        </w:sectPr>
      </w:pPr>
    </w:p>
    <w:bookmarkStart w:id="25" w:name="page26"/>
    <w:bookmarkEnd w:id="25"/>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4629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462915"/>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Board Meetings and Executive 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Board meets no fewer than nine times each year (including via telephonic meetings). Special meetings of the Board may be called from time to time as appropriate. On an annual basis, the Board holds an extended meeting to review our long-term strategy.</w:t>
      </w:r>
    </w:p>
    <w:p>
      <w:pPr>
        <w:spacing w:after="0" w:line="7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Board generally holds its meetings at Company locations other than our corporate headquarters on a regular basis to provide the directors with a first-hand view of different elements of our business and an opportunity to interact with local management and employees at various levels. Due to the COVID-19 pandemic, the Company was able to hold only one meeting at a business location outside of the Company's headquarters during 2020.</w:t>
      </w:r>
    </w:p>
    <w:p>
      <w:pPr>
        <w:spacing w:after="0" w:line="6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Board meets in executive session (with the directors only and then with the independent directors only) following each in-person Board meeting and on other occasions as needed. The non-executive Chairman or the Lead Independent Director presides over the executive sessions of the independent directors. The Audit and Risk Committee meets in executive session at least five times each year, and regularly requests separate executive sessions with representatives of our independent auditor and our senior management, including our Chief Financial Officer, General Counsel and our Vice President, Internal Audit. The Compensation Committee also meets in executive session from time to time and regularly receives a report from the Compensation Committee's independent compensation consultant. The Governance and Policy Committees also meet in executive session as they deem necessary.</w:t>
      </w:r>
    </w:p>
    <w:p>
      <w:pPr>
        <w:spacing w:after="0" w:line="85" w:lineRule="exact"/>
        <w:rPr>
          <w:sz w:val="20"/>
          <w:szCs w:val="20"/>
          <w:color w:val="auto"/>
        </w:rPr>
      </w:pPr>
    </w:p>
    <w:p>
      <w:pPr>
        <w:jc w:val="both"/>
        <w:ind w:right="440"/>
        <w:spacing w:after="0" w:line="256" w:lineRule="auto"/>
        <w:rPr>
          <w:sz w:val="20"/>
          <w:szCs w:val="20"/>
          <w:color w:val="auto"/>
        </w:rPr>
      </w:pPr>
      <w:r>
        <w:rPr>
          <w:rFonts w:ascii="Arial" w:cs="Arial" w:eastAsia="Arial" w:hAnsi="Arial"/>
          <w:sz w:val="18"/>
          <w:szCs w:val="18"/>
          <w:color w:val="auto"/>
        </w:rPr>
        <w:t>In 2020, the Board held two of its regularly scheduled meetings virtually because of the COVID-19 pandemic. The Board also met more frequently by telephone, including in executive session, to receive updates and to provide oversight on the impact of the pandemic and issues of social justice and the Company's responses to both.</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2020, the Board held 14 meetings. Each incumbent director serving in 2020 attended 75% or more of the total number of Board and committee meetings he or she was eligible to attend. Board members are expected to attend each annual meeting, except where the failure to attend is due to unavoidable circumstances. All of our then-serving directors attended the 2020 Annual Meeting.</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Board and the Governance Committee annually review the relevant relationships or arrangements between the Company and our directors or parties related to the directors in determining whether such directors are independent. No director is considered independent unless the Board has determined that the director meets the independence requirements under applicable New York Stock Exchange (NYSE) and SEC rules and under our categorical independence standards, which are described in our Principles of Corporate Governance. For a director to be considered independent, the Board must determine that a director has no material relationship with the Company other than as a director.</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Our Principles of Corporate Governance provide that a director may be found not to qualify as an independent director if the director:</w:t>
      </w:r>
    </w:p>
    <w:p>
      <w:pPr>
        <w:spacing w:after="0" w:line="131" w:lineRule="exact"/>
        <w:rPr>
          <w:sz w:val="20"/>
          <w:szCs w:val="20"/>
          <w:color w:val="auto"/>
        </w:rPr>
      </w:pPr>
    </w:p>
    <w:p>
      <w:pPr>
        <w:ind w:left="340" w:hanging="332"/>
        <w:spacing w:after="0" w:line="237" w:lineRule="auto"/>
        <w:tabs>
          <w:tab w:leader="none" w:pos="308" w:val="left"/>
        </w:tabs>
        <w:numPr>
          <w:ilvl w:val="0"/>
          <w:numId w:val="29"/>
        </w:numPr>
        <w:rPr>
          <w:rFonts w:ascii="Arial" w:cs="Arial" w:eastAsia="Arial" w:hAnsi="Arial"/>
          <w:sz w:val="22"/>
          <w:szCs w:val="22"/>
          <w:color w:val="00249C"/>
        </w:rPr>
      </w:pPr>
      <w:r>
        <w:rPr>
          <w:rFonts w:ascii="Arial" w:cs="Arial" w:eastAsia="Arial" w:hAnsi="Arial"/>
          <w:sz w:val="18"/>
          <w:szCs w:val="18"/>
          <w:color w:val="auto"/>
        </w:rPr>
        <w:t>has within the prior three years been a director, executive officer or trustee of a charitable organization that received annual contributions from the Company exceeding the greater of $1 million or 2% of the charitable organization's annual gross revenues, where the gifts were not normal matching charitable gifts, did not go through normal corporate charitable donation approval processes or were made "on behalf of" a director;</w:t>
      </w:r>
    </w:p>
    <w:p>
      <w:pPr>
        <w:spacing w:after="0" w:line="136" w:lineRule="exact"/>
        <w:rPr>
          <w:rFonts w:ascii="Arial" w:cs="Arial" w:eastAsia="Arial" w:hAnsi="Arial"/>
          <w:sz w:val="22"/>
          <w:szCs w:val="22"/>
          <w:color w:val="00249C"/>
        </w:rPr>
      </w:pPr>
    </w:p>
    <w:p>
      <w:pPr>
        <w:ind w:left="340" w:hanging="332"/>
        <w:spacing w:after="0" w:line="239" w:lineRule="auto"/>
        <w:tabs>
          <w:tab w:leader="none" w:pos="308" w:val="left"/>
        </w:tabs>
        <w:numPr>
          <w:ilvl w:val="0"/>
          <w:numId w:val="29"/>
        </w:numPr>
        <w:rPr>
          <w:rFonts w:ascii="Arial" w:cs="Arial" w:eastAsia="Arial" w:hAnsi="Arial"/>
          <w:sz w:val="22"/>
          <w:szCs w:val="22"/>
          <w:color w:val="00249C"/>
        </w:rPr>
      </w:pPr>
      <w:r>
        <w:rPr>
          <w:rFonts w:ascii="Arial" w:cs="Arial" w:eastAsia="Arial" w:hAnsi="Arial"/>
          <w:sz w:val="18"/>
          <w:szCs w:val="18"/>
          <w:color w:val="auto"/>
        </w:rPr>
        <w:t>has, or has an immediate family member who has, within the prior three years been employed by, a partner in or otherwise affiliated with any law firm or investment bank in which the director's or the immediate family member's compensation was contingent on the services performed for the Company or in which the director or the immediate family member personally performed services for the Company and the annual fees paid by the Company during the preceding fiscal year exceeded the greater of $1 million or 2% of the gross annual revenues of such firm; or</w:t>
      </w:r>
    </w:p>
    <w:p>
      <w:pPr>
        <w:spacing w:after="0" w:line="138" w:lineRule="exact"/>
        <w:rPr>
          <w:rFonts w:ascii="Arial" w:cs="Arial" w:eastAsia="Arial" w:hAnsi="Arial"/>
          <w:sz w:val="22"/>
          <w:szCs w:val="22"/>
          <w:color w:val="00249C"/>
        </w:rPr>
      </w:pPr>
    </w:p>
    <w:p>
      <w:pPr>
        <w:ind w:left="340" w:right="180" w:hanging="332"/>
        <w:spacing w:after="0" w:line="233" w:lineRule="auto"/>
        <w:tabs>
          <w:tab w:leader="none" w:pos="308" w:val="left"/>
        </w:tabs>
        <w:numPr>
          <w:ilvl w:val="0"/>
          <w:numId w:val="29"/>
        </w:numPr>
        <w:rPr>
          <w:rFonts w:ascii="Arial" w:cs="Arial" w:eastAsia="Arial" w:hAnsi="Arial"/>
          <w:sz w:val="22"/>
          <w:szCs w:val="22"/>
          <w:color w:val="00249C"/>
        </w:rPr>
      </w:pPr>
      <w:r>
        <w:rPr>
          <w:rFonts w:ascii="Arial" w:cs="Arial" w:eastAsia="Arial" w:hAnsi="Arial"/>
          <w:sz w:val="18"/>
          <w:szCs w:val="18"/>
          <w:color w:val="auto"/>
        </w:rPr>
        <w:t>has, or has an immediate family member who has, within the prior three years owned, either directly or indirectly as a partner, shareholder or officer of another company, more than 5% of the equity of an organization that has a material business relationship with (including significant purchasers of goods or services), or more than 5% ownership in, the Company.</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1200"/>
          </w:cols>
          <w:pgMar w:left="320" w:top="607" w:right="379" w:bottom="1440" w:gutter="0" w:footer="0" w:header="0"/>
        </w:sectPr>
      </w:pPr>
    </w:p>
    <w:bookmarkStart w:id="26" w:name="page27"/>
    <w:bookmarkEnd w:id="26"/>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4629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462915"/>
                    </a:xfrm>
                    <a:prstGeom prst="rect">
                      <a:avLst/>
                    </a:prstGeom>
                    <a:noFill/>
                  </pic:spPr>
                </pic:pic>
              </a:graphicData>
            </a:graphic>
          </wp:anchor>
        </w:drawing>
        <w:t>CORPORATE GOVERNANCE</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Independence Determination</w:t>
      </w:r>
    </w:p>
    <w:p>
      <w:pPr>
        <w:spacing w:after="0" w:line="121" w:lineRule="exact"/>
        <w:rPr>
          <w:sz w:val="20"/>
          <w:szCs w:val="20"/>
          <w:color w:val="auto"/>
        </w:rPr>
      </w:pPr>
    </w:p>
    <w:p>
      <w:pPr>
        <w:jc w:val="both"/>
        <w:ind w:right="460"/>
        <w:spacing w:after="0" w:line="261" w:lineRule="auto"/>
        <w:rPr>
          <w:sz w:val="20"/>
          <w:szCs w:val="20"/>
          <w:color w:val="auto"/>
        </w:rPr>
      </w:pPr>
      <w:r>
        <w:rPr>
          <w:rFonts w:ascii="Arial" w:cs="Arial" w:eastAsia="Arial" w:hAnsi="Arial"/>
          <w:sz w:val="18"/>
          <w:szCs w:val="18"/>
          <w:color w:val="auto"/>
        </w:rPr>
        <w:t>In connection with their annual independence review, the Board and Governance Committee considered the following relationships with organizations to which we have made payments or from which we have received payments in the usual course of our business in 2020.</w:t>
      </w:r>
    </w:p>
    <w:p>
      <w:pPr>
        <w:spacing w:after="0" w:line="67" w:lineRule="exact"/>
        <w:rPr>
          <w:sz w:val="20"/>
          <w:szCs w:val="20"/>
          <w:color w:val="auto"/>
        </w:rPr>
      </w:pPr>
    </w:p>
    <w:p>
      <w:pPr>
        <w:ind w:left="300" w:hanging="292"/>
        <w:spacing w:after="0"/>
        <w:tabs>
          <w:tab w:leader="none" w:pos="300" w:val="left"/>
        </w:tabs>
        <w:numPr>
          <w:ilvl w:val="0"/>
          <w:numId w:val="30"/>
        </w:numPr>
        <w:rPr>
          <w:rFonts w:ascii="Arial" w:cs="Arial" w:eastAsia="Arial" w:hAnsi="Arial"/>
          <w:sz w:val="22"/>
          <w:szCs w:val="22"/>
          <w:color w:val="00249C"/>
        </w:rPr>
      </w:pPr>
      <w:r>
        <w:rPr>
          <w:rFonts w:ascii="Arial" w:cs="Arial" w:eastAsia="Arial" w:hAnsi="Arial"/>
          <w:sz w:val="18"/>
          <w:szCs w:val="18"/>
          <w:color w:val="auto"/>
        </w:rPr>
        <w:t>Mr. Abney's service as a member of the Board of Directors of United Parcel Service;</w:t>
      </w:r>
    </w:p>
    <w:p>
      <w:pPr>
        <w:spacing w:after="0" w:line="98" w:lineRule="exact"/>
        <w:rPr>
          <w:rFonts w:ascii="Arial" w:cs="Arial" w:eastAsia="Arial" w:hAnsi="Arial"/>
          <w:sz w:val="22"/>
          <w:szCs w:val="22"/>
          <w:color w:val="00249C"/>
        </w:rPr>
      </w:pPr>
    </w:p>
    <w:p>
      <w:pPr>
        <w:ind w:left="300" w:hanging="292"/>
        <w:spacing w:after="0"/>
        <w:tabs>
          <w:tab w:leader="none" w:pos="300" w:val="left"/>
        </w:tabs>
        <w:numPr>
          <w:ilvl w:val="0"/>
          <w:numId w:val="30"/>
        </w:numPr>
        <w:rPr>
          <w:rFonts w:ascii="Arial" w:cs="Arial" w:eastAsia="Arial" w:hAnsi="Arial"/>
          <w:sz w:val="22"/>
          <w:szCs w:val="22"/>
          <w:color w:val="00249C"/>
        </w:rPr>
      </w:pPr>
      <w:r>
        <w:rPr>
          <w:rFonts w:ascii="Arial" w:cs="Arial" w:eastAsia="Arial" w:hAnsi="Arial"/>
          <w:sz w:val="18"/>
          <w:szCs w:val="18"/>
          <w:color w:val="auto"/>
        </w:rPr>
        <w:t>Ms. Brown's service as a member of the Board of Directors of VMWare;</w:t>
      </w:r>
    </w:p>
    <w:p>
      <w:pPr>
        <w:spacing w:after="0" w:line="98" w:lineRule="exact"/>
        <w:rPr>
          <w:rFonts w:ascii="Arial" w:cs="Arial" w:eastAsia="Arial" w:hAnsi="Arial"/>
          <w:sz w:val="22"/>
          <w:szCs w:val="22"/>
          <w:color w:val="00249C"/>
        </w:rPr>
      </w:pPr>
    </w:p>
    <w:p>
      <w:pPr>
        <w:ind w:left="300" w:hanging="292"/>
        <w:spacing w:after="0"/>
        <w:tabs>
          <w:tab w:leader="none" w:pos="300" w:val="left"/>
        </w:tabs>
        <w:numPr>
          <w:ilvl w:val="0"/>
          <w:numId w:val="30"/>
        </w:numPr>
        <w:rPr>
          <w:rFonts w:ascii="Arial" w:cs="Arial" w:eastAsia="Arial" w:hAnsi="Arial"/>
          <w:sz w:val="22"/>
          <w:szCs w:val="22"/>
          <w:color w:val="00249C"/>
        </w:rPr>
      </w:pPr>
      <w:r>
        <w:rPr>
          <w:rFonts w:ascii="Arial" w:cs="Arial" w:eastAsia="Arial" w:hAnsi="Arial"/>
          <w:sz w:val="18"/>
          <w:szCs w:val="18"/>
          <w:color w:val="auto"/>
        </w:rPr>
        <w:t>Ms. Fudge's service as a trustee of the Brookings Institution;</w:t>
      </w:r>
    </w:p>
    <w:p>
      <w:pPr>
        <w:spacing w:after="0" w:line="84" w:lineRule="exact"/>
        <w:rPr>
          <w:rFonts w:ascii="Arial" w:cs="Arial" w:eastAsia="Arial" w:hAnsi="Arial"/>
          <w:sz w:val="22"/>
          <w:szCs w:val="22"/>
          <w:color w:val="00249C"/>
        </w:rPr>
      </w:pPr>
    </w:p>
    <w:p>
      <w:pPr>
        <w:ind w:left="300" w:hanging="292"/>
        <w:spacing w:after="0"/>
        <w:tabs>
          <w:tab w:leader="none" w:pos="300" w:val="left"/>
        </w:tabs>
        <w:numPr>
          <w:ilvl w:val="0"/>
          <w:numId w:val="30"/>
        </w:numPr>
        <w:rPr>
          <w:rFonts w:ascii="Arial" w:cs="Arial" w:eastAsia="Arial" w:hAnsi="Arial"/>
          <w:sz w:val="22"/>
          <w:szCs w:val="22"/>
          <w:color w:val="00249C"/>
        </w:rPr>
      </w:pPr>
      <w:r>
        <w:rPr>
          <w:rFonts w:ascii="Arial" w:cs="Arial" w:eastAsia="Arial" w:hAnsi="Arial"/>
          <w:sz w:val="18"/>
          <w:szCs w:val="18"/>
          <w:color w:val="auto"/>
        </w:rPr>
        <w:t>Mr. Hernandez's service as a member of the Board of Directors of Albemarle Corporation;</w:t>
      </w:r>
    </w:p>
    <w:p>
      <w:pPr>
        <w:spacing w:after="0" w:line="134" w:lineRule="exact"/>
        <w:rPr>
          <w:rFonts w:ascii="Arial" w:cs="Arial" w:eastAsia="Arial" w:hAnsi="Arial"/>
          <w:sz w:val="22"/>
          <w:szCs w:val="22"/>
          <w:color w:val="00249C"/>
        </w:rPr>
      </w:pPr>
    </w:p>
    <w:p>
      <w:pPr>
        <w:ind w:left="340" w:right="720" w:hanging="332"/>
        <w:spacing w:after="0" w:line="225" w:lineRule="auto"/>
        <w:tabs>
          <w:tab w:leader="none" w:pos="308" w:val="left"/>
        </w:tabs>
        <w:numPr>
          <w:ilvl w:val="0"/>
          <w:numId w:val="30"/>
        </w:numPr>
        <w:rPr>
          <w:rFonts w:ascii="Arial" w:cs="Arial" w:eastAsia="Arial" w:hAnsi="Arial"/>
          <w:sz w:val="22"/>
          <w:szCs w:val="22"/>
          <w:color w:val="00249C"/>
        </w:rPr>
      </w:pPr>
      <w:r>
        <w:rPr>
          <w:rFonts w:ascii="Arial" w:cs="Arial" w:eastAsia="Arial" w:hAnsi="Arial"/>
          <w:sz w:val="18"/>
          <w:szCs w:val="18"/>
          <w:color w:val="auto"/>
        </w:rPr>
        <w:t>Admiral Roughead's service as a trustee of Johns Hopkins University and a member of the Board of Managers of Johns Hopkins University Applied Physics Laboratory;</w:t>
      </w:r>
    </w:p>
    <w:p>
      <w:pPr>
        <w:spacing w:after="0" w:line="99" w:lineRule="exact"/>
        <w:rPr>
          <w:rFonts w:ascii="Arial" w:cs="Arial" w:eastAsia="Arial" w:hAnsi="Arial"/>
          <w:sz w:val="22"/>
          <w:szCs w:val="22"/>
          <w:color w:val="00249C"/>
        </w:rPr>
      </w:pPr>
    </w:p>
    <w:p>
      <w:pPr>
        <w:ind w:left="300" w:hanging="292"/>
        <w:spacing w:after="0"/>
        <w:tabs>
          <w:tab w:leader="none" w:pos="300" w:val="left"/>
        </w:tabs>
        <w:numPr>
          <w:ilvl w:val="0"/>
          <w:numId w:val="30"/>
        </w:numPr>
        <w:rPr>
          <w:rFonts w:ascii="Arial" w:cs="Arial" w:eastAsia="Arial" w:hAnsi="Arial"/>
          <w:sz w:val="22"/>
          <w:szCs w:val="22"/>
          <w:color w:val="00249C"/>
        </w:rPr>
      </w:pPr>
      <w:r>
        <w:rPr>
          <w:rFonts w:ascii="Arial" w:cs="Arial" w:eastAsia="Arial" w:hAnsi="Arial"/>
          <w:sz w:val="18"/>
          <w:szCs w:val="18"/>
          <w:color w:val="auto"/>
        </w:rPr>
        <w:t>Mr. Schoewe's service as a member of the Board of Directors of General Motors;</w:t>
      </w:r>
    </w:p>
    <w:p>
      <w:pPr>
        <w:spacing w:after="0" w:line="84" w:lineRule="exact"/>
        <w:rPr>
          <w:rFonts w:ascii="Arial" w:cs="Arial" w:eastAsia="Arial" w:hAnsi="Arial"/>
          <w:sz w:val="22"/>
          <w:szCs w:val="22"/>
          <w:color w:val="00249C"/>
        </w:rPr>
      </w:pPr>
    </w:p>
    <w:p>
      <w:pPr>
        <w:ind w:left="300" w:hanging="292"/>
        <w:spacing w:after="0"/>
        <w:tabs>
          <w:tab w:leader="none" w:pos="300" w:val="left"/>
        </w:tabs>
        <w:numPr>
          <w:ilvl w:val="0"/>
          <w:numId w:val="30"/>
        </w:numPr>
        <w:rPr>
          <w:rFonts w:ascii="Arial" w:cs="Arial" w:eastAsia="Arial" w:hAnsi="Arial"/>
          <w:sz w:val="22"/>
          <w:szCs w:val="22"/>
          <w:color w:val="00249C"/>
        </w:rPr>
      </w:pPr>
      <w:r>
        <w:rPr>
          <w:rFonts w:ascii="Arial" w:cs="Arial" w:eastAsia="Arial" w:hAnsi="Arial"/>
          <w:sz w:val="18"/>
          <w:szCs w:val="18"/>
          <w:color w:val="auto"/>
        </w:rPr>
        <w:t>Mr. Turley's service as a member of the Board of Directors of Citigroup; and</w:t>
      </w:r>
    </w:p>
    <w:p>
      <w:pPr>
        <w:spacing w:after="0" w:line="134" w:lineRule="exact"/>
        <w:rPr>
          <w:rFonts w:ascii="Arial" w:cs="Arial" w:eastAsia="Arial" w:hAnsi="Arial"/>
          <w:sz w:val="22"/>
          <w:szCs w:val="22"/>
          <w:color w:val="00249C"/>
        </w:rPr>
      </w:pPr>
    </w:p>
    <w:p>
      <w:pPr>
        <w:ind w:left="340" w:right="440" w:hanging="332"/>
        <w:spacing w:after="0" w:line="225" w:lineRule="auto"/>
        <w:tabs>
          <w:tab w:leader="none" w:pos="308" w:val="left"/>
        </w:tabs>
        <w:numPr>
          <w:ilvl w:val="0"/>
          <w:numId w:val="30"/>
        </w:numPr>
        <w:rPr>
          <w:rFonts w:ascii="Arial" w:cs="Arial" w:eastAsia="Arial" w:hAnsi="Arial"/>
          <w:sz w:val="22"/>
          <w:szCs w:val="22"/>
          <w:color w:val="00249C"/>
        </w:rPr>
      </w:pPr>
      <w:r>
        <w:rPr>
          <w:rFonts w:ascii="Arial" w:cs="Arial" w:eastAsia="Arial" w:hAnsi="Arial"/>
          <w:sz w:val="18"/>
          <w:szCs w:val="18"/>
          <w:color w:val="auto"/>
        </w:rPr>
        <w:t>General Welsh's service as a member of the Board of Directors of the Air Force Association and the Board of Trustees of the Falcon Foundation.</w:t>
      </w:r>
    </w:p>
    <w:p>
      <w:pPr>
        <w:spacing w:after="0" w:line="95" w:lineRule="exact"/>
        <w:rPr>
          <w:sz w:val="20"/>
          <w:szCs w:val="20"/>
          <w:color w:val="auto"/>
        </w:rPr>
      </w:pPr>
    </w:p>
    <w:p>
      <w:pPr>
        <w:jc w:val="both"/>
        <w:ind w:right="140"/>
        <w:spacing w:after="0" w:line="254" w:lineRule="auto"/>
        <w:rPr>
          <w:sz w:val="20"/>
          <w:szCs w:val="20"/>
          <w:color w:val="auto"/>
        </w:rPr>
      </w:pPr>
      <w:r>
        <w:rPr>
          <w:rFonts w:ascii="Arial" w:cs="Arial" w:eastAsia="Arial" w:hAnsi="Arial"/>
          <w:sz w:val="18"/>
          <w:szCs w:val="18"/>
          <w:color w:val="auto"/>
        </w:rPr>
        <w:t>The Board of Directors considered that Mr. Abney, Ms. Fudge, Admiral Roughead, Mr. Turley and General Welsh served as members of the boards of organizations to which the Company made contributions during 2020 in the usual course of our charitable contributions program, as well as in connection with our matching gifts program (which limits the contributions to $10,000 per year per director). The amounts paid were below the applicable thresholds under NYSE rules and our Principles of Corporate Governance.</w:t>
      </w:r>
    </w:p>
    <w:p>
      <w:pPr>
        <w:spacing w:after="0" w:line="69"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Following its review and the recommendation of the Governance Committee, the Board affirmatively determined that all of the directors, except Ms. Warden, are independent. The independent directors constitute approximately 92% of the members of our Board.</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Board Composition and Director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Governance Committee actively considers the composition and diversity of the Board to ensure it is well positioned to serve the best interests of the Company and its shareholders. The Governance Committee regularly assesses what skills, experiences and other attributes can best contribute to the effective operation of the Board, particularly in light of the evolving needs of the Company. The Committee also seeks to balance experience and new perspectives. The Governance Committee identifies director candidates from a wide range of sources and often employs a third-party search firm to assist in the process.</w:t>
      </w:r>
    </w:p>
    <w:p>
      <w:pPr>
        <w:spacing w:after="0" w:line="8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Governance Committee evaluates potential director candidates on the basis of the candidate's background, qualifications and experience. The Governance Committee carefully considers whether each potential candidate would be able to fulfill his or her duties to the Company consistent with Delaware law and the Company’s governing documents, including the Principles of Corporate Governance and security requirements. The Committee recommends to the full Board nominees for election.</w:t>
      </w:r>
    </w:p>
    <w:p>
      <w:pPr>
        <w:spacing w:after="0" w:line="8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Shareholders may recommend director candidates for consideration by the Governance Committee pursuant to our Principles of Corporate Governance. The Governance Committee considers such director candidates recommended by shareholders similarly to other potential director candidates brought to the attention of the Governance Committee. Shareholder recommendations for director candidates under our Principles of Corporate Governance must be addressed to the Governance Committee in care of the Corporate Secretary. In addition, and as discussed immediately below, shareholders may also directly nominate director candidates in accordance with our Bylaws.</w:t>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21</w:t>
      </w:r>
    </w:p>
    <w:p>
      <w:pPr>
        <w:sectPr>
          <w:pgSz w:w="11900" w:h="16838" w:orient="portrait"/>
          <w:cols w:equalWidth="0" w:num="1">
            <w:col w:w="11240"/>
          </w:cols>
          <w:pgMar w:left="320" w:top="607" w:right="339" w:bottom="1440" w:gutter="0" w:footer="0" w:header="0"/>
        </w:sectPr>
      </w:pPr>
    </w:p>
    <w:bookmarkStart w:id="27" w:name="page28"/>
    <w:bookmarkEnd w:id="27"/>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4629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462915"/>
                    </a:xfrm>
                    <a:prstGeom prst="rect">
                      <a:avLst/>
                    </a:prstGeom>
                    <a:noFill/>
                  </pic:spPr>
                </pic:pic>
              </a:graphicData>
            </a:graphic>
          </wp:anchor>
        </w:drawing>
        <w:t>CORPORATE GOVERNANCE</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Proxy Access</w:t>
      </w:r>
    </w:p>
    <w:p>
      <w:pPr>
        <w:spacing w:after="0" w:line="12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2015, the Board amended our Bylaws explicitly to provide our shareholders the right to nominate directors through access to our proxy materials. The Board did so consistent with and to reflect shareholder input. Under the Company’s proxy access bylaws, a shareholder, or a group of up to 20 shareholders, that has maintained continuous ownership of 3% or more of the Company's outstanding common stock for at least three years may include in the Company's proxy materials director nominees constituting up to the greater of two nominees or nominees constituting 20% of the number of directors in office. Director nominees may receive compensation from third parties for their candidacy, up to the total annual compensation paid to directors of the Company, as well as reimbursement for reasonable expenses, provided there is full disclosure of such compensation. Under the Company’s bylaw provisions, directors are treated similarly, whether nominated through proxy access or otherwise, and held to the same high fiduciary standards to serve all shareholders.</w:t>
      </w:r>
    </w:p>
    <w:p>
      <w:pPr>
        <w:spacing w:after="0" w:line="70"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Company's Bylaws provide our shareholders with broad and meaningful access to the Company’s proxy materials while enhancing transparency, protecting the interests of all shareholders and ensuring good governance. The terms of the Company’s proxy access bylaw provisions are also broadly consistent with the terms of proxy access bylaws adopted by other Fortune 500 companies, reflecting best practices.</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Director Election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Bylaws and Certificate of Incorporation provide for the annual election of directors. Each director will hold office until the next annual meeting of shareholders or until his or her earlier resignation or removal. Generally, in order to be elected, a director must receive more votes cast "for" than "against" his or her election, unless one or more shareholders provide notice of an intention to nominate one or more candidates to compete with the Board's nominees for election in accordance with the procedures set forth in the Company's corporate governance documents.</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Director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Governance Committee is responsible for establishing the criteria for Board membership. In nominating directors, the Governance Committee bears in mind that the foremost responsibility of a director is to represent the interests of our shareholders as a whole. The activities and associations of candidates are reviewed for any legal impediment, conflict of interest or other consideration that might prevent or interfere with service on our Board.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In evaluating candidates, the Governance Committee considers:</w:t>
      </w:r>
    </w:p>
    <w:p>
      <w:pPr>
        <w:spacing w:after="0" w:line="108" w:lineRule="exact"/>
        <w:rPr>
          <w:sz w:val="20"/>
          <w:szCs w:val="20"/>
          <w:color w:val="auto"/>
        </w:rPr>
      </w:pPr>
    </w:p>
    <w:p>
      <w:pPr>
        <w:ind w:left="300" w:hanging="292"/>
        <w:spacing w:after="0"/>
        <w:tabs>
          <w:tab w:leader="none" w:pos="300" w:val="left"/>
        </w:tabs>
        <w:numPr>
          <w:ilvl w:val="0"/>
          <w:numId w:val="31"/>
        </w:numPr>
        <w:rPr>
          <w:rFonts w:ascii="Arial" w:cs="Arial" w:eastAsia="Arial" w:hAnsi="Arial"/>
          <w:sz w:val="22"/>
          <w:szCs w:val="22"/>
          <w:color w:val="00249C"/>
        </w:rPr>
      </w:pPr>
      <w:r>
        <w:rPr>
          <w:rFonts w:ascii="Arial" w:cs="Arial" w:eastAsia="Arial" w:hAnsi="Arial"/>
          <w:sz w:val="18"/>
          <w:szCs w:val="18"/>
          <w:color w:val="auto"/>
        </w:rPr>
        <w:t>the personal integrity and the professional reputation of the individual;</w:t>
      </w:r>
    </w:p>
    <w:p>
      <w:pPr>
        <w:spacing w:after="0" w:line="84" w:lineRule="exact"/>
        <w:rPr>
          <w:rFonts w:ascii="Arial" w:cs="Arial" w:eastAsia="Arial" w:hAnsi="Arial"/>
          <w:sz w:val="22"/>
          <w:szCs w:val="22"/>
          <w:color w:val="00249C"/>
        </w:rPr>
      </w:pPr>
    </w:p>
    <w:p>
      <w:pPr>
        <w:ind w:left="300" w:hanging="292"/>
        <w:spacing w:after="0"/>
        <w:tabs>
          <w:tab w:leader="none" w:pos="300" w:val="left"/>
        </w:tabs>
        <w:numPr>
          <w:ilvl w:val="0"/>
          <w:numId w:val="31"/>
        </w:numPr>
        <w:rPr>
          <w:rFonts w:ascii="Arial" w:cs="Arial" w:eastAsia="Arial" w:hAnsi="Arial"/>
          <w:sz w:val="22"/>
          <w:szCs w:val="22"/>
          <w:color w:val="00249C"/>
        </w:rPr>
      </w:pPr>
      <w:r>
        <w:rPr>
          <w:rFonts w:ascii="Arial" w:cs="Arial" w:eastAsia="Arial" w:hAnsi="Arial"/>
          <w:sz w:val="18"/>
          <w:szCs w:val="18"/>
          <w:color w:val="auto"/>
        </w:rPr>
        <w:t>the education, professional background and particular skills and experience most beneficial to service on our Board;</w:t>
      </w:r>
    </w:p>
    <w:p>
      <w:pPr>
        <w:spacing w:after="0" w:line="98" w:lineRule="exact"/>
        <w:rPr>
          <w:rFonts w:ascii="Arial" w:cs="Arial" w:eastAsia="Arial" w:hAnsi="Arial"/>
          <w:sz w:val="22"/>
          <w:szCs w:val="22"/>
          <w:color w:val="00249C"/>
        </w:rPr>
      </w:pPr>
    </w:p>
    <w:p>
      <w:pPr>
        <w:ind w:left="300" w:hanging="292"/>
        <w:spacing w:after="0"/>
        <w:tabs>
          <w:tab w:leader="none" w:pos="300" w:val="left"/>
        </w:tabs>
        <w:numPr>
          <w:ilvl w:val="0"/>
          <w:numId w:val="31"/>
        </w:numPr>
        <w:rPr>
          <w:rFonts w:ascii="Arial" w:cs="Arial" w:eastAsia="Arial" w:hAnsi="Arial"/>
          <w:sz w:val="22"/>
          <w:szCs w:val="22"/>
          <w:color w:val="00249C"/>
        </w:rPr>
      </w:pPr>
      <w:r>
        <w:rPr>
          <w:rFonts w:ascii="Arial" w:cs="Arial" w:eastAsia="Arial" w:hAnsi="Arial"/>
          <w:sz w:val="18"/>
          <w:szCs w:val="18"/>
          <w:color w:val="auto"/>
        </w:rPr>
        <w:t>how the nominee brings diversity, experience and skills valuable to the Company and Board at the time; and</w:t>
      </w:r>
    </w:p>
    <w:p>
      <w:pPr>
        <w:spacing w:after="0" w:line="134" w:lineRule="exact"/>
        <w:rPr>
          <w:rFonts w:ascii="Arial" w:cs="Arial" w:eastAsia="Arial" w:hAnsi="Arial"/>
          <w:sz w:val="22"/>
          <w:szCs w:val="22"/>
          <w:color w:val="00249C"/>
        </w:rPr>
      </w:pPr>
    </w:p>
    <w:p>
      <w:pPr>
        <w:ind w:left="340" w:right="400" w:hanging="332"/>
        <w:spacing w:after="0" w:line="225" w:lineRule="auto"/>
        <w:tabs>
          <w:tab w:leader="none" w:pos="308" w:val="left"/>
        </w:tabs>
        <w:numPr>
          <w:ilvl w:val="0"/>
          <w:numId w:val="31"/>
        </w:numPr>
        <w:rPr>
          <w:rFonts w:ascii="Arial" w:cs="Arial" w:eastAsia="Arial" w:hAnsi="Arial"/>
          <w:sz w:val="22"/>
          <w:szCs w:val="22"/>
          <w:color w:val="00249C"/>
        </w:rPr>
      </w:pPr>
      <w:r>
        <w:rPr>
          <w:rFonts w:ascii="Arial" w:cs="Arial" w:eastAsia="Arial" w:hAnsi="Arial"/>
          <w:sz w:val="18"/>
          <w:szCs w:val="18"/>
          <w:color w:val="auto"/>
        </w:rPr>
        <w:t>whether a director candidate is willing to submit to and obtain a background check necessary for obtaining and retaining a top secret security clearance.</w:t>
      </w:r>
    </w:p>
    <w:p>
      <w:pPr>
        <w:spacing w:after="0" w:line="8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evaluating director candidates, the Governance Committee aims to foster diversity of thought on our Board. The Governance Committee seeks to ensure diversity, including in race and gender, as well as in perspective, professional experience, education, skill and other qualities that contribute to our Board and the long-term interests of our Company and shareholders.</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Director Orientation and Continuing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2"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All new directors to the Board receive in-person orientation and training that is individually tailored, taking into account the director's experience, background, education and committee assignments. The orientation program is led by members of senior management and covers a review of our strategy and operating plans, financial statements, corporate governance and key policies and practices, as well as the roles and responsibilities of our directors.</w:t>
      </w:r>
    </w:p>
    <w:p>
      <w:pPr>
        <w:spacing w:after="0" w:line="8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All directors receive regular in-person training regarding our Company policies and procedures, and broad exposure to our operations and the teams. Members of senior management review with the Board the operating plan for each of our business sectors and the Company as a whole. The Board also conducts periodic site visits to our facilities as part of its regularly scheduled Board meetings. These visits allow directors to interact with a broader group of our executives and employees and gain firsthand insights into our operations.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1220"/>
          </w:cols>
          <w:pgMar w:left="320" w:top="607" w:right="359" w:bottom="1440" w:gutter="0" w:footer="0" w:header="0"/>
        </w:sectPr>
      </w:pPr>
    </w:p>
    <w:bookmarkStart w:id="28" w:name="page29"/>
    <w:bookmarkEnd w:id="28"/>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4629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462915"/>
                    </a:xfrm>
                    <a:prstGeom prst="rect">
                      <a:avLst/>
                    </a:prstGeom>
                    <a:noFill/>
                  </pic:spPr>
                </pic:pic>
              </a:graphicData>
            </a:graphic>
          </wp:anchor>
        </w:drawing>
        <w:t>CORPORATE GOVERNANCE</w:t>
      </w:r>
    </w:p>
    <w:p>
      <w:pPr>
        <w:spacing w:after="0" w:line="200" w:lineRule="exact"/>
        <w:rPr>
          <w:sz w:val="20"/>
          <w:szCs w:val="20"/>
          <w:color w:val="auto"/>
        </w:rPr>
      </w:pPr>
    </w:p>
    <w:p>
      <w:pPr>
        <w:spacing w:after="0" w:line="375"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Directors may also attend outside director and other continuing education programs to assist them in staying current on developments in corporate governance, our industry, the global environment and issues critical to the operation of public company boards.</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Board Membership and External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Directors are required to ensure that their other commitments, including for example, other board memberships, employment, partnerships and consulting arrangements, do not interfere with their duties and responsibilities as members of the Board. Directors provide notice to the General Counsel prior to accepting an invitation to serve on the board of any other organization or agreeing to other new commitments that could interfere with their duties and responsibilities as a member of the Board, and the General Counsel advises the Chairman of the Governance Committee (or the Chairman of the Board, if notice is from the Chairman of the Governance Committee). A director should not accept the new commitment until advised by the Chairman of the Governance Committee (or Chairman of the Board, as appropriate) that such engagement will not unacceptably create conflicts of interest or regulatory issues, conflict with Company policies or otherwise interfere with the director's duties and responsibilities as a member of the Board. Directors are also required promptly to inform the General Counsel if a conflict of interest arises, or they are concerned that a conflict may arise or circumstances could otherwise interfere with their duties and responsibilities as a director. Directors are required to seek to avoid even an appearance of an improper conflict of interest.</w:t>
      </w:r>
    </w:p>
    <w:p>
      <w:pPr>
        <w:spacing w:after="0" w:line="9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Directors may not serve on more than three other boards of publicly traded companies in addition to our Board without the written approval of the Chairman of the Governance Committee (or Chairman of the Board, as appropriate). A director who is a full-time employee of our Company may not serve on the board of more than one other public company unless approved by the Board. When a director's principal occupation or business association changes substantially during his or her tenure as a director, the Board expects the director to tender his or her resignation for consideration by the Governance Committee, which subsequently will recommend to the Board what action to take.</w:t>
      </w:r>
    </w:p>
    <w:p>
      <w:pPr>
        <w:spacing w:after="0" w:line="70"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We have a retirement policy whereby a director will retire at the annual meeting following his or her 75th birthday, unless the Board determines, based on special circumstances, that it is in the Company's best interest to request that the director serve beyond such date.</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Effect of Failure to Receive the Required Vote or Obtain and Retain Security Clearance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2"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Each director is required to tender a resignation that will be effective upon (i) the failure to receive the required vote at any future meeting at which such director faces re-election, the failure to obtain top secret security clearance within 12 months of election or appointment to the Board or the failure to retain a top secret security clearance once obtained and (ii) the Board's acceptance of such resignation. If an incumbent director fails to receive the required vote for re-election or fails to obtain and retain a top secret security clearance, the Governance Committee will consider whether the Board should accept the director's resignation and will submit a recommendation for prompt consideration by the Board. The Board will decide whether to accept or reject a resignation within 90 days, unless the Board determines that compelling circumstances require additional time. The Governance Committee and the Board may consider any factor they deem relevant in deciding whether to accept a resignation, including, without limitation, any harm to our Company that may result from accepting the resignation, and the underlying reasons for the action at issue.</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Board Self-Evaluation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2"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Board conducts annually thorough self-assessment processes at the full board level, within each committee, and at the individual director level. These processes are intended to ensure and enhance the effective operation of the Board.</w:t>
      </w:r>
    </w:p>
    <w:p>
      <w:pPr>
        <w:spacing w:after="0" w:line="7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self-assessment of the full Board is overseen by the Governance Committee. As part of this assessment, the Lead Independent Director and Chairman of the Governance Committee facilitate a broad discussion of Board performance, held in executive session. Among other topics, the Board considers:</w:t>
      </w:r>
    </w:p>
    <w:p>
      <w:pPr>
        <w:spacing w:after="0" w:line="85" w:lineRule="exact"/>
        <w:rPr>
          <w:sz w:val="20"/>
          <w:szCs w:val="20"/>
          <w:color w:val="auto"/>
        </w:rPr>
      </w:pPr>
    </w:p>
    <w:p>
      <w:pPr>
        <w:ind w:left="300" w:hanging="292"/>
        <w:spacing w:after="0"/>
        <w:tabs>
          <w:tab w:leader="none" w:pos="300" w:val="left"/>
        </w:tabs>
        <w:numPr>
          <w:ilvl w:val="0"/>
          <w:numId w:val="32"/>
        </w:numPr>
        <w:rPr>
          <w:rFonts w:ascii="Arial" w:cs="Arial" w:eastAsia="Arial" w:hAnsi="Arial"/>
          <w:sz w:val="22"/>
          <w:szCs w:val="22"/>
          <w:color w:val="00249C"/>
        </w:rPr>
      </w:pPr>
      <w:r>
        <w:rPr>
          <w:rFonts w:ascii="Arial" w:cs="Arial" w:eastAsia="Arial" w:hAnsi="Arial"/>
          <w:sz w:val="18"/>
          <w:szCs w:val="18"/>
          <w:color w:val="auto"/>
        </w:rPr>
        <w:t>the Board's effectiveness in evaluating and monitoring the Company's business plan, long-term strategy and risks;</w:t>
      </w:r>
    </w:p>
    <w:p>
      <w:pPr>
        <w:spacing w:after="0" w:line="84" w:lineRule="exact"/>
        <w:rPr>
          <w:rFonts w:ascii="Arial" w:cs="Arial" w:eastAsia="Arial" w:hAnsi="Arial"/>
          <w:sz w:val="22"/>
          <w:szCs w:val="22"/>
          <w:color w:val="00249C"/>
        </w:rPr>
      </w:pPr>
    </w:p>
    <w:p>
      <w:pPr>
        <w:ind w:left="300" w:hanging="292"/>
        <w:spacing w:after="0"/>
        <w:tabs>
          <w:tab w:leader="none" w:pos="300" w:val="left"/>
        </w:tabs>
        <w:numPr>
          <w:ilvl w:val="0"/>
          <w:numId w:val="32"/>
        </w:numPr>
        <w:rPr>
          <w:rFonts w:ascii="Arial" w:cs="Arial" w:eastAsia="Arial" w:hAnsi="Arial"/>
          <w:sz w:val="22"/>
          <w:szCs w:val="22"/>
          <w:color w:val="00249C"/>
        </w:rPr>
      </w:pPr>
      <w:r>
        <w:rPr>
          <w:rFonts w:ascii="Arial" w:cs="Arial" w:eastAsia="Arial" w:hAnsi="Arial"/>
          <w:sz w:val="18"/>
          <w:szCs w:val="18"/>
          <w:color w:val="auto"/>
        </w:rPr>
        <w:t>whether strategic and critical issues are being addressed by the Board in a timely manner;</w:t>
      </w:r>
    </w:p>
    <w:p>
      <w:pPr>
        <w:spacing w:after="0" w:line="98" w:lineRule="exact"/>
        <w:rPr>
          <w:rFonts w:ascii="Arial" w:cs="Arial" w:eastAsia="Arial" w:hAnsi="Arial"/>
          <w:sz w:val="22"/>
          <w:szCs w:val="22"/>
          <w:color w:val="00249C"/>
        </w:rPr>
      </w:pPr>
    </w:p>
    <w:p>
      <w:pPr>
        <w:ind w:left="300" w:hanging="292"/>
        <w:spacing w:after="0"/>
        <w:tabs>
          <w:tab w:leader="none" w:pos="300" w:val="left"/>
        </w:tabs>
        <w:numPr>
          <w:ilvl w:val="0"/>
          <w:numId w:val="32"/>
        </w:numPr>
        <w:rPr>
          <w:rFonts w:ascii="Arial" w:cs="Arial" w:eastAsia="Arial" w:hAnsi="Arial"/>
          <w:sz w:val="22"/>
          <w:szCs w:val="22"/>
          <w:color w:val="00249C"/>
        </w:rPr>
      </w:pPr>
      <w:r>
        <w:rPr>
          <w:rFonts w:ascii="Arial" w:cs="Arial" w:eastAsia="Arial" w:hAnsi="Arial"/>
          <w:sz w:val="18"/>
          <w:szCs w:val="18"/>
          <w:color w:val="auto"/>
        </w:rPr>
        <w:t>whether the Board’s expectations and concerns are openly communicated to and discussed with the Chief Executive Officer;</w:t>
      </w:r>
    </w:p>
    <w:p>
      <w:pPr>
        <w:spacing w:after="0" w:line="98" w:lineRule="exact"/>
        <w:rPr>
          <w:rFonts w:ascii="Arial" w:cs="Arial" w:eastAsia="Arial" w:hAnsi="Arial"/>
          <w:sz w:val="22"/>
          <w:szCs w:val="22"/>
          <w:color w:val="00249C"/>
        </w:rPr>
      </w:pPr>
    </w:p>
    <w:p>
      <w:pPr>
        <w:ind w:left="300" w:hanging="292"/>
        <w:spacing w:after="0"/>
        <w:tabs>
          <w:tab w:leader="none" w:pos="300" w:val="left"/>
        </w:tabs>
        <w:numPr>
          <w:ilvl w:val="0"/>
          <w:numId w:val="32"/>
        </w:numPr>
        <w:rPr>
          <w:rFonts w:ascii="Arial" w:cs="Arial" w:eastAsia="Arial" w:hAnsi="Arial"/>
          <w:sz w:val="22"/>
          <w:szCs w:val="22"/>
          <w:color w:val="00249C"/>
        </w:rPr>
      </w:pPr>
      <w:r>
        <w:rPr>
          <w:rFonts w:ascii="Arial" w:cs="Arial" w:eastAsia="Arial" w:hAnsi="Arial"/>
          <w:sz w:val="18"/>
          <w:szCs w:val="18"/>
          <w:color w:val="auto"/>
        </w:rPr>
        <w:t>whether there is adequate contact between the Board and members of senior management;</w:t>
      </w:r>
    </w:p>
    <w:p>
      <w:pPr>
        <w:spacing w:after="0" w:line="84" w:lineRule="exact"/>
        <w:rPr>
          <w:rFonts w:ascii="Arial" w:cs="Arial" w:eastAsia="Arial" w:hAnsi="Arial"/>
          <w:sz w:val="22"/>
          <w:szCs w:val="22"/>
          <w:color w:val="00249C"/>
        </w:rPr>
      </w:pPr>
    </w:p>
    <w:p>
      <w:pPr>
        <w:ind w:left="300" w:hanging="292"/>
        <w:spacing w:after="0"/>
        <w:tabs>
          <w:tab w:leader="none" w:pos="300" w:val="left"/>
        </w:tabs>
        <w:numPr>
          <w:ilvl w:val="0"/>
          <w:numId w:val="32"/>
        </w:numPr>
        <w:rPr>
          <w:rFonts w:ascii="Arial" w:cs="Arial" w:eastAsia="Arial" w:hAnsi="Arial"/>
          <w:sz w:val="22"/>
          <w:szCs w:val="22"/>
          <w:color w:val="00249C"/>
        </w:rPr>
      </w:pPr>
      <w:r>
        <w:rPr>
          <w:rFonts w:ascii="Arial" w:cs="Arial" w:eastAsia="Arial" w:hAnsi="Arial"/>
          <w:sz w:val="18"/>
          <w:szCs w:val="18"/>
          <w:color w:val="auto"/>
        </w:rPr>
        <w:t>whether the directors collectively operate effectively as a Board;</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23</w:t>
      </w:r>
    </w:p>
    <w:p>
      <w:pPr>
        <w:sectPr>
          <w:pgSz w:w="11900" w:h="16838" w:orient="portrait"/>
          <w:cols w:equalWidth="0" w:num="1">
            <w:col w:w="11240"/>
          </w:cols>
          <w:pgMar w:left="320" w:top="607" w:right="339" w:bottom="1440" w:gutter="0" w:footer="0" w:header="0"/>
        </w:sectPr>
      </w:pPr>
    </w:p>
    <w:bookmarkStart w:id="29" w:name="page30"/>
    <w:bookmarkEnd w:id="29"/>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4629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462915"/>
                    </a:xfrm>
                    <a:prstGeom prst="rect">
                      <a:avLst/>
                    </a:prstGeom>
                    <a:noFill/>
                  </pic:spPr>
                </pic:pic>
              </a:graphicData>
            </a:graphic>
          </wp:anchor>
        </w:drawing>
        <w:t>CORPORATE GOVERNANCE</w:t>
      </w:r>
    </w:p>
    <w:p>
      <w:pPr>
        <w:spacing w:after="0" w:line="200" w:lineRule="exact"/>
        <w:rPr>
          <w:sz w:val="20"/>
          <w:szCs w:val="20"/>
          <w:color w:val="auto"/>
        </w:rPr>
      </w:pPr>
    </w:p>
    <w:p>
      <w:pPr>
        <w:spacing w:after="0" w:line="380" w:lineRule="exact"/>
        <w:rPr>
          <w:sz w:val="20"/>
          <w:szCs w:val="20"/>
          <w:color w:val="auto"/>
        </w:rPr>
      </w:pPr>
    </w:p>
    <w:p>
      <w:pPr>
        <w:ind w:left="300" w:hanging="292"/>
        <w:spacing w:after="0"/>
        <w:tabs>
          <w:tab w:leader="none" w:pos="300" w:val="left"/>
        </w:tabs>
        <w:numPr>
          <w:ilvl w:val="0"/>
          <w:numId w:val="33"/>
        </w:numPr>
        <w:rPr>
          <w:rFonts w:ascii="Arial" w:cs="Arial" w:eastAsia="Arial" w:hAnsi="Arial"/>
          <w:sz w:val="22"/>
          <w:szCs w:val="22"/>
          <w:color w:val="00249C"/>
        </w:rPr>
      </w:pPr>
      <w:r>
        <w:rPr>
          <w:rFonts w:ascii="Arial" w:cs="Arial" w:eastAsia="Arial" w:hAnsi="Arial"/>
          <w:sz w:val="18"/>
          <w:szCs w:val="18"/>
          <w:color w:val="auto"/>
        </w:rPr>
        <w:t>whether the individual directors have the appropriate mix of attributes and skills to fulfill their duties as directors of the Company;</w:t>
      </w:r>
    </w:p>
    <w:p>
      <w:pPr>
        <w:spacing w:after="0" w:line="98" w:lineRule="exact"/>
        <w:rPr>
          <w:rFonts w:ascii="Arial" w:cs="Arial" w:eastAsia="Arial" w:hAnsi="Arial"/>
          <w:sz w:val="22"/>
          <w:szCs w:val="22"/>
          <w:color w:val="00249C"/>
        </w:rPr>
      </w:pPr>
    </w:p>
    <w:p>
      <w:pPr>
        <w:ind w:left="300" w:hanging="292"/>
        <w:spacing w:after="0"/>
        <w:tabs>
          <w:tab w:leader="none" w:pos="300" w:val="left"/>
        </w:tabs>
        <w:numPr>
          <w:ilvl w:val="0"/>
          <w:numId w:val="33"/>
        </w:numPr>
        <w:rPr>
          <w:rFonts w:ascii="Arial" w:cs="Arial" w:eastAsia="Arial" w:hAnsi="Arial"/>
          <w:sz w:val="22"/>
          <w:szCs w:val="22"/>
          <w:color w:val="00249C"/>
        </w:rPr>
      </w:pPr>
      <w:r>
        <w:rPr>
          <w:rFonts w:ascii="Arial" w:cs="Arial" w:eastAsia="Arial" w:hAnsi="Arial"/>
          <w:sz w:val="18"/>
          <w:szCs w:val="18"/>
          <w:color w:val="auto"/>
        </w:rPr>
        <w:t>whether there are adequate opportunities to raise questions and comments on issues, both inside and outside of Board meetings;</w:t>
      </w:r>
    </w:p>
    <w:p>
      <w:pPr>
        <w:spacing w:after="0" w:line="84" w:lineRule="exact"/>
        <w:rPr>
          <w:rFonts w:ascii="Arial" w:cs="Arial" w:eastAsia="Arial" w:hAnsi="Arial"/>
          <w:sz w:val="22"/>
          <w:szCs w:val="22"/>
          <w:color w:val="00249C"/>
        </w:rPr>
      </w:pPr>
    </w:p>
    <w:p>
      <w:pPr>
        <w:ind w:left="300" w:hanging="292"/>
        <w:spacing w:after="0"/>
        <w:tabs>
          <w:tab w:leader="none" w:pos="300" w:val="left"/>
        </w:tabs>
        <w:numPr>
          <w:ilvl w:val="0"/>
          <w:numId w:val="33"/>
        </w:numPr>
        <w:rPr>
          <w:rFonts w:ascii="Arial" w:cs="Arial" w:eastAsia="Arial" w:hAnsi="Arial"/>
          <w:sz w:val="22"/>
          <w:szCs w:val="22"/>
          <w:color w:val="00249C"/>
        </w:rPr>
      </w:pPr>
      <w:r>
        <w:rPr>
          <w:rFonts w:ascii="Arial" w:cs="Arial" w:eastAsia="Arial" w:hAnsi="Arial"/>
          <w:sz w:val="18"/>
          <w:szCs w:val="18"/>
          <w:color w:val="auto"/>
        </w:rPr>
        <w:t>whether the Board has focused adequately on succession planning; and</w:t>
      </w:r>
    </w:p>
    <w:p>
      <w:pPr>
        <w:spacing w:after="0" w:line="98" w:lineRule="exact"/>
        <w:rPr>
          <w:rFonts w:ascii="Arial" w:cs="Arial" w:eastAsia="Arial" w:hAnsi="Arial"/>
          <w:sz w:val="22"/>
          <w:szCs w:val="22"/>
          <w:color w:val="00249C"/>
        </w:rPr>
      </w:pPr>
    </w:p>
    <w:p>
      <w:pPr>
        <w:ind w:left="300" w:hanging="292"/>
        <w:spacing w:after="0"/>
        <w:tabs>
          <w:tab w:leader="none" w:pos="300" w:val="left"/>
        </w:tabs>
        <w:numPr>
          <w:ilvl w:val="0"/>
          <w:numId w:val="33"/>
        </w:numPr>
        <w:rPr>
          <w:rFonts w:ascii="Arial" w:cs="Arial" w:eastAsia="Arial" w:hAnsi="Arial"/>
          <w:sz w:val="22"/>
          <w:szCs w:val="22"/>
          <w:color w:val="00249C"/>
        </w:rPr>
      </w:pPr>
      <w:r>
        <w:rPr>
          <w:rFonts w:ascii="Arial" w:cs="Arial" w:eastAsia="Arial" w:hAnsi="Arial"/>
          <w:sz w:val="18"/>
          <w:szCs w:val="18"/>
          <w:color w:val="auto"/>
        </w:rPr>
        <w:t>whether the Board is adequately responsive to shareholder communication.</w:t>
      </w:r>
    </w:p>
    <w:p>
      <w:pPr>
        <w:spacing w:after="0" w:line="94"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Following this review, the Board discusses the results and identifies opportunities for improvement, including any necessary steps to implement such improvements.</w:t>
      </w:r>
    </w:p>
    <w:p>
      <w:pPr>
        <w:spacing w:after="0" w:line="63"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Each of the Committees also conducts an annual self-assessment. During an executive session led by the Committee chairperson, each Committee discusses, among other topics: whether the quality of participation and discussion at the Committee meetings is effective in facilitating the Committee’s obligations under its charter; the opportunity to engage in strategic discussion; and whether the Committee is covering the right topics in the right amount of detail. Following this discussion, the Committee develops and implements a list of action items, as appropriate.</w:t>
      </w:r>
    </w:p>
    <w:p>
      <w:pPr>
        <w:spacing w:after="0" w:line="8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Also as part of the annual self-assessment process, each non-employee director completes an individual director evaluation for each of the other non-employee directors. These assessments include, among other topics, each non-employee director’s:</w:t>
      </w:r>
    </w:p>
    <w:p>
      <w:pPr>
        <w:spacing w:after="0" w:line="81" w:lineRule="exact"/>
        <w:rPr>
          <w:sz w:val="20"/>
          <w:szCs w:val="20"/>
          <w:color w:val="auto"/>
        </w:rPr>
      </w:pPr>
    </w:p>
    <w:p>
      <w:pPr>
        <w:ind w:left="300" w:hanging="292"/>
        <w:spacing w:after="0"/>
        <w:tabs>
          <w:tab w:leader="none" w:pos="300" w:val="left"/>
        </w:tabs>
        <w:numPr>
          <w:ilvl w:val="0"/>
          <w:numId w:val="34"/>
        </w:numPr>
        <w:rPr>
          <w:rFonts w:ascii="Arial" w:cs="Arial" w:eastAsia="Arial" w:hAnsi="Arial"/>
          <w:sz w:val="22"/>
          <w:szCs w:val="22"/>
          <w:color w:val="00249C"/>
        </w:rPr>
      </w:pPr>
      <w:r>
        <w:rPr>
          <w:rFonts w:ascii="Arial" w:cs="Arial" w:eastAsia="Arial" w:hAnsi="Arial"/>
          <w:sz w:val="18"/>
          <w:szCs w:val="18"/>
          <w:color w:val="auto"/>
        </w:rPr>
        <w:t>understanding of the Company’s overall business and risk profile and its significant financial opportunities and plans;</w:t>
      </w:r>
    </w:p>
    <w:p>
      <w:pPr>
        <w:spacing w:after="0" w:line="84" w:lineRule="exact"/>
        <w:rPr>
          <w:rFonts w:ascii="Arial" w:cs="Arial" w:eastAsia="Arial" w:hAnsi="Arial"/>
          <w:sz w:val="22"/>
          <w:szCs w:val="22"/>
          <w:color w:val="00249C"/>
        </w:rPr>
      </w:pPr>
    </w:p>
    <w:p>
      <w:pPr>
        <w:ind w:left="300" w:hanging="292"/>
        <w:spacing w:after="0"/>
        <w:tabs>
          <w:tab w:leader="none" w:pos="300" w:val="left"/>
        </w:tabs>
        <w:numPr>
          <w:ilvl w:val="0"/>
          <w:numId w:val="34"/>
        </w:numPr>
        <w:rPr>
          <w:rFonts w:ascii="Arial" w:cs="Arial" w:eastAsia="Arial" w:hAnsi="Arial"/>
          <w:sz w:val="22"/>
          <w:szCs w:val="22"/>
          <w:color w:val="00249C"/>
        </w:rPr>
      </w:pPr>
      <w:r>
        <w:rPr>
          <w:rFonts w:ascii="Arial" w:cs="Arial" w:eastAsia="Arial" w:hAnsi="Arial"/>
          <w:sz w:val="18"/>
          <w:szCs w:val="18"/>
          <w:color w:val="auto"/>
        </w:rPr>
        <w:t>engagement during meetings and other Board functions;</w:t>
      </w:r>
    </w:p>
    <w:p>
      <w:pPr>
        <w:spacing w:after="0" w:line="98" w:lineRule="exact"/>
        <w:rPr>
          <w:rFonts w:ascii="Arial" w:cs="Arial" w:eastAsia="Arial" w:hAnsi="Arial"/>
          <w:sz w:val="22"/>
          <w:szCs w:val="22"/>
          <w:color w:val="00249C"/>
        </w:rPr>
      </w:pPr>
    </w:p>
    <w:p>
      <w:pPr>
        <w:ind w:left="300" w:hanging="292"/>
        <w:spacing w:after="0"/>
        <w:tabs>
          <w:tab w:leader="none" w:pos="300" w:val="left"/>
        </w:tabs>
        <w:numPr>
          <w:ilvl w:val="0"/>
          <w:numId w:val="34"/>
        </w:numPr>
        <w:rPr>
          <w:rFonts w:ascii="Arial" w:cs="Arial" w:eastAsia="Arial" w:hAnsi="Arial"/>
          <w:sz w:val="22"/>
          <w:szCs w:val="22"/>
          <w:color w:val="00249C"/>
        </w:rPr>
      </w:pPr>
      <w:r>
        <w:rPr>
          <w:rFonts w:ascii="Arial" w:cs="Arial" w:eastAsia="Arial" w:hAnsi="Arial"/>
          <w:sz w:val="18"/>
          <w:szCs w:val="18"/>
          <w:color w:val="auto"/>
        </w:rPr>
        <w:t>analysis of benefits and risks of courses of action considered by the Board; and</w:t>
      </w:r>
    </w:p>
    <w:p>
      <w:pPr>
        <w:spacing w:after="0" w:line="98" w:lineRule="exact"/>
        <w:rPr>
          <w:rFonts w:ascii="Arial" w:cs="Arial" w:eastAsia="Arial" w:hAnsi="Arial"/>
          <w:sz w:val="22"/>
          <w:szCs w:val="22"/>
          <w:color w:val="00249C"/>
        </w:rPr>
      </w:pPr>
    </w:p>
    <w:p>
      <w:pPr>
        <w:ind w:left="300" w:hanging="292"/>
        <w:spacing w:after="0"/>
        <w:tabs>
          <w:tab w:leader="none" w:pos="300" w:val="left"/>
        </w:tabs>
        <w:numPr>
          <w:ilvl w:val="0"/>
          <w:numId w:val="34"/>
        </w:numPr>
        <w:rPr>
          <w:rFonts w:ascii="Arial" w:cs="Arial" w:eastAsia="Arial" w:hAnsi="Arial"/>
          <w:sz w:val="22"/>
          <w:szCs w:val="22"/>
          <w:color w:val="00249C"/>
        </w:rPr>
      </w:pPr>
      <w:r>
        <w:rPr>
          <w:rFonts w:ascii="Arial" w:cs="Arial" w:eastAsia="Arial" w:hAnsi="Arial"/>
          <w:sz w:val="18"/>
          <w:szCs w:val="18"/>
          <w:color w:val="auto"/>
        </w:rPr>
        <w:t>appropriate respect for the views of other Board members.</w:t>
      </w:r>
    </w:p>
    <w:p>
      <w:pPr>
        <w:spacing w:after="0" w:line="8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Lead Independent Director or the Chairman of the Governance Committee meets with each non-employee director individually to discuss the results of his or her assessment, including comments provided by other non-employee directors. The Lead Independent Director or the Chairman of the Governance Committee reports generally on the overall results of these discussions to the Board in executive session. These evaluations also assist the Governance Committee with its recommendation for directors to be renominated for election to the Board of Directors.</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2"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The Board believes that providing for strong and effective continuity of leadership is critical to the success of our Company. The Board commits significant resources to succession planning, with processes in place for the Board:</w:t>
      </w:r>
    </w:p>
    <w:p>
      <w:pPr>
        <w:spacing w:after="0" w:line="81" w:lineRule="exact"/>
        <w:rPr>
          <w:sz w:val="20"/>
          <w:szCs w:val="20"/>
          <w:color w:val="auto"/>
        </w:rPr>
      </w:pPr>
    </w:p>
    <w:p>
      <w:pPr>
        <w:ind w:left="300" w:hanging="292"/>
        <w:spacing w:after="0"/>
        <w:tabs>
          <w:tab w:leader="none" w:pos="300" w:val="left"/>
        </w:tabs>
        <w:numPr>
          <w:ilvl w:val="0"/>
          <w:numId w:val="35"/>
        </w:numPr>
        <w:rPr>
          <w:rFonts w:ascii="Arial" w:cs="Arial" w:eastAsia="Arial" w:hAnsi="Arial"/>
          <w:sz w:val="22"/>
          <w:szCs w:val="22"/>
          <w:color w:val="00249C"/>
        </w:rPr>
      </w:pPr>
      <w:r>
        <w:rPr>
          <w:rFonts w:ascii="Arial" w:cs="Arial" w:eastAsia="Arial" w:hAnsi="Arial"/>
          <w:sz w:val="18"/>
          <w:szCs w:val="18"/>
          <w:color w:val="auto"/>
        </w:rPr>
        <w:t>to evaluate the Chief Executive Officer annually based on a specific set of performance objectives;</w:t>
      </w:r>
    </w:p>
    <w:p>
      <w:pPr>
        <w:spacing w:after="0" w:line="134" w:lineRule="exact"/>
        <w:rPr>
          <w:rFonts w:ascii="Arial" w:cs="Arial" w:eastAsia="Arial" w:hAnsi="Arial"/>
          <w:sz w:val="22"/>
          <w:szCs w:val="22"/>
          <w:color w:val="00249C"/>
        </w:rPr>
      </w:pPr>
    </w:p>
    <w:p>
      <w:pPr>
        <w:ind w:left="340" w:right="820" w:hanging="332"/>
        <w:spacing w:after="0" w:line="225" w:lineRule="auto"/>
        <w:tabs>
          <w:tab w:leader="none" w:pos="308" w:val="left"/>
        </w:tabs>
        <w:numPr>
          <w:ilvl w:val="0"/>
          <w:numId w:val="35"/>
        </w:numPr>
        <w:rPr>
          <w:rFonts w:ascii="Arial" w:cs="Arial" w:eastAsia="Arial" w:hAnsi="Arial"/>
          <w:sz w:val="22"/>
          <w:szCs w:val="22"/>
          <w:color w:val="00249C"/>
        </w:rPr>
      </w:pPr>
      <w:r>
        <w:rPr>
          <w:rFonts w:ascii="Arial" w:cs="Arial" w:eastAsia="Arial" w:hAnsi="Arial"/>
          <w:sz w:val="18"/>
          <w:szCs w:val="18"/>
          <w:color w:val="auto"/>
        </w:rPr>
        <w:t>to work with the Chief Executive Officer to support and ensure the development of potential succession candidates for the Chief Executive Officer and other leadership positions;</w:t>
      </w:r>
    </w:p>
    <w:p>
      <w:pPr>
        <w:spacing w:after="0" w:line="122" w:lineRule="exact"/>
        <w:rPr>
          <w:rFonts w:ascii="Arial" w:cs="Arial" w:eastAsia="Arial" w:hAnsi="Arial"/>
          <w:sz w:val="22"/>
          <w:szCs w:val="22"/>
          <w:color w:val="00249C"/>
        </w:rPr>
      </w:pPr>
    </w:p>
    <w:p>
      <w:pPr>
        <w:ind w:left="340" w:right="740" w:hanging="332"/>
        <w:spacing w:after="0" w:line="225" w:lineRule="auto"/>
        <w:tabs>
          <w:tab w:leader="none" w:pos="308" w:val="left"/>
        </w:tabs>
        <w:numPr>
          <w:ilvl w:val="0"/>
          <w:numId w:val="35"/>
        </w:numPr>
        <w:rPr>
          <w:rFonts w:ascii="Arial" w:cs="Arial" w:eastAsia="Arial" w:hAnsi="Arial"/>
          <w:sz w:val="22"/>
          <w:szCs w:val="22"/>
          <w:color w:val="00249C"/>
        </w:rPr>
      </w:pPr>
      <w:r>
        <w:rPr>
          <w:rFonts w:ascii="Arial" w:cs="Arial" w:eastAsia="Arial" w:hAnsi="Arial"/>
          <w:sz w:val="18"/>
          <w:szCs w:val="18"/>
          <w:color w:val="auto"/>
        </w:rPr>
        <w:t>to discuss with the Chief Executive Officer annually an assessment of persons considered potential successors to various senior management positions; and</w:t>
      </w:r>
    </w:p>
    <w:p>
      <w:pPr>
        <w:spacing w:after="0" w:line="99" w:lineRule="exact"/>
        <w:rPr>
          <w:rFonts w:ascii="Arial" w:cs="Arial" w:eastAsia="Arial" w:hAnsi="Arial"/>
          <w:sz w:val="22"/>
          <w:szCs w:val="22"/>
          <w:color w:val="00249C"/>
        </w:rPr>
      </w:pPr>
    </w:p>
    <w:p>
      <w:pPr>
        <w:ind w:left="300" w:hanging="292"/>
        <w:spacing w:after="0"/>
        <w:tabs>
          <w:tab w:leader="none" w:pos="300" w:val="left"/>
        </w:tabs>
        <w:numPr>
          <w:ilvl w:val="0"/>
          <w:numId w:val="35"/>
        </w:numPr>
        <w:rPr>
          <w:rFonts w:ascii="Arial" w:cs="Arial" w:eastAsia="Arial" w:hAnsi="Arial"/>
          <w:sz w:val="22"/>
          <w:szCs w:val="22"/>
          <w:color w:val="00249C"/>
        </w:rPr>
      </w:pPr>
      <w:r>
        <w:rPr>
          <w:rFonts w:ascii="Arial" w:cs="Arial" w:eastAsia="Arial" w:hAnsi="Arial"/>
          <w:sz w:val="18"/>
          <w:szCs w:val="18"/>
          <w:color w:val="auto"/>
        </w:rPr>
        <w:t>robustly to consider, plan for and ensure successful transitions of leadership.</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Departure and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On June 10, 2020, David P. Abney was elected to the Board.</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accordance with the retirement policy described above, Mr. Gordon, a director who served during 2021, will not stand for re-election at the 2021 Annual Meeting, as he will have attained his 75th birthday prior to the Annual Meeting. The Board intends to reduce the number of members on the Board from 13 to 12 directors effective upon Mr. Gordon's retirement.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1240"/>
          </w:cols>
          <w:pgMar w:left="320" w:top="607" w:right="339" w:bottom="1440" w:gutter="0" w:footer="0" w:header="0"/>
        </w:sectPr>
      </w:pPr>
    </w:p>
    <w:bookmarkStart w:id="30" w:name="page31"/>
    <w:bookmarkEnd w:id="30"/>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4629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462915"/>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Communications with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Any interested person may communicate with any of our directors, our Board as a group, our non-employee directors as a group or our Lead Independent Director through the Corporate Secretary by writing to the following address: </w:t>
      </w:r>
      <w:r>
        <w:rPr>
          <w:rFonts w:ascii="Arial" w:cs="Arial" w:eastAsia="Arial" w:hAnsi="Arial"/>
          <w:sz w:val="18"/>
          <w:szCs w:val="18"/>
          <w:b w:val="1"/>
          <w:bCs w:val="1"/>
          <w:i w:val="1"/>
          <w:iCs w:val="1"/>
          <w:color w:val="auto"/>
        </w:rPr>
        <w:t>Office of the Corporate Secretary, Northrop</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Grumman Corporation, 2980 Fairview Park Drive, Falls Church, Virginia 22042</w:t>
      </w:r>
      <w:r>
        <w:rPr>
          <w:rFonts w:ascii="Arial" w:cs="Arial" w:eastAsia="Arial" w:hAnsi="Arial"/>
          <w:sz w:val="18"/>
          <w:szCs w:val="18"/>
          <w:color w:val="auto"/>
        </w:rPr>
        <w:t>. The Corporate Secretary will forward correspondence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director or directors to whom it is addressed, except for job inquiries, surveys, business solicitations or advertisements and other inappropriate material. The Corporate Secretary may forward certain correspondence elsewhere within our Company for review and possible response.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Board has met with, and looks forward to the opportunity to meet with, interested shareholders to address concerns and to receive input.</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Interested persons may also report any concerns relating to accounting matters, internal accounting controls or auditing matters to non-management directors (including anonymously) by writing to the Chairman of the Audit Committee</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Northrop Grumman Board of Directors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 Corporate Ethics Office, 2980 Fairview Park Drive, Falls Church, Virginia 22042</w:t>
      </w:r>
      <w:r>
        <w:rPr>
          <w:rFonts w:ascii="Arial" w:cs="Arial" w:eastAsia="Arial" w:hAnsi="Arial"/>
          <w:sz w:val="18"/>
          <w:szCs w:val="18"/>
          <w:color w:val="auto"/>
        </w:rPr>
        <w:t>.</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Corporate Responsibility and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2"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Corporate responsibility and sustainability are critical to our business and long-term value creation for our shareholders, customers, employees, communities and suppliers. Our strong culture — founded in ethics, integrity, diversity, equity and inclusion, and focused on enduring performance, innovation, accountability and long-term profitable growth — enables our success. Strong environmental, social and governance (ESG) programs and practices help us attract and retain the best talent, perform for our customers, serve as responsible corporate citizens in the communities we operate, and create long-term value for our stakeholders. We are particularly proud of our longstanding focus on and commitment to diversity, equity and inclusion.</w:t>
      </w:r>
    </w:p>
    <w:p>
      <w:pPr>
        <w:spacing w:after="0" w:line="86"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Our Board of Directors provides leadership and oversight with respect to ESG practices, and regularly receives reports from management on these issues. The Policy Committee reviews, monitors and provides oversight of the Company's policies and programs for ethics and standards of business conduct, corporate responsibility, environmental matters, human rights, employee health and safety, and corporate citizenship and charitable programs. The Governance Committee oversees matters related to corporate governance, the board and shareholder rights, and our corporate culture. The Compensation Committee provides oversight of compensation programs and the Company's management of its human capital, including the Company's focus on diversity, equity and inclusion. The full Board regularly receives reports from the Committees and management, meets with employees across our business, and addresses in depth a full range of issues referred to broadly as sustainability. The Enterprise Risk Management Council also reviews risks related to corporate responsibility and sustainability, including risks related to climate change and natural disasters that may affect operations, especially in regions prone to hurricanes, earthquakes, damaging storms and other natural disasters.</w:t>
      </w:r>
    </w:p>
    <w:p>
      <w:pPr>
        <w:spacing w:after="0" w:line="9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commitment to strong corporate responsibility and sustainability is demonstrated by the incorporation of non-financial ESG performance metrics into our annual incentive compensation program. See page 50 in the Compensation Discussion and Analysis section. We engage with a variety of stakeholders — including shareholders, employees, customers and community advocates — and regularly obtain feedback on our ESG performance.</w:t>
      </w:r>
    </w:p>
    <w:p>
      <w:pPr>
        <w:spacing w:after="0" w:line="6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As a responsible corporate citizen, we understand the importance of environmental stewardship for local and global communities and we recognize the role we must play in protecting our planet. By managing and reducing our environmental footprint, we improve operational efficiencies, realize long-term cost savings and enhance our understanding of climate-related risks and opportunities. In 2020, we took bold steps on renewable energy and completed the last year of our 2020 Environmental Sustainability Goals.</w:t>
      </w:r>
    </w:p>
    <w:p>
      <w:pPr>
        <w:spacing w:after="0" w:line="8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Our Sustainability Report provides our stakeholders detailed information on various ESG programs, goals, and achievements. The report, our ESG Performance Data Matrix, and other ESG-related disclosures are available at </w:t>
      </w:r>
      <w:r>
        <w:rPr>
          <w:rFonts w:ascii="Arial" w:cs="Arial" w:eastAsia="Arial" w:hAnsi="Arial"/>
          <w:sz w:val="18"/>
          <w:szCs w:val="18"/>
          <w:i w:val="1"/>
          <w:iCs w:val="1"/>
          <w:color w:val="auto"/>
        </w:rPr>
        <w:t>https://www.northropgrumman.com/corporate-responsibility/reports-disclosures/</w:t>
      </w:r>
      <w:r>
        <w:rPr>
          <w:rFonts w:ascii="Arial" w:cs="Arial" w:eastAsia="Arial" w:hAnsi="Arial"/>
          <w:sz w:val="18"/>
          <w:szCs w:val="18"/>
          <w:i w:val="1"/>
          <w:iCs w:val="1"/>
          <w:color w:val="0563C1"/>
        </w:rPr>
        <w: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We are proud that our corporate responsibility and sustainability programs received various notable recognitions in 2020. They include:</w:t>
      </w:r>
    </w:p>
    <w:p>
      <w:pPr>
        <w:spacing w:after="0" w:line="94" w:lineRule="exact"/>
        <w:rPr>
          <w:sz w:val="20"/>
          <w:szCs w:val="20"/>
          <w:color w:val="auto"/>
        </w:rPr>
      </w:pPr>
    </w:p>
    <w:p>
      <w:pPr>
        <w:ind w:left="620" w:hanging="288"/>
        <w:spacing w:after="0"/>
        <w:tabs>
          <w:tab w:leader="none" w:pos="620" w:val="left"/>
        </w:tabs>
        <w:numPr>
          <w:ilvl w:val="0"/>
          <w:numId w:val="36"/>
        </w:numPr>
        <w:rPr>
          <w:rFonts w:ascii="Arial" w:cs="Arial" w:eastAsia="Arial" w:hAnsi="Arial"/>
          <w:sz w:val="22"/>
          <w:szCs w:val="22"/>
          <w:color w:val="00249C"/>
        </w:rPr>
      </w:pPr>
      <w:r>
        <w:rPr>
          <w:rFonts w:ascii="Arial" w:cs="Arial" w:eastAsia="Arial" w:hAnsi="Arial"/>
          <w:sz w:val="18"/>
          <w:szCs w:val="18"/>
          <w:color w:val="auto"/>
        </w:rPr>
        <w:t>Dow Jones Sustainability North America Index for the fifth consecutive year;</w:t>
      </w:r>
    </w:p>
    <w:p>
      <w:pPr>
        <w:spacing w:after="0" w:line="98" w:lineRule="exact"/>
        <w:rPr>
          <w:rFonts w:ascii="Arial" w:cs="Arial" w:eastAsia="Arial" w:hAnsi="Arial"/>
          <w:sz w:val="22"/>
          <w:szCs w:val="22"/>
          <w:color w:val="00249C"/>
        </w:rPr>
      </w:pPr>
    </w:p>
    <w:p>
      <w:pPr>
        <w:ind w:left="620" w:hanging="288"/>
        <w:spacing w:after="0"/>
        <w:tabs>
          <w:tab w:leader="none" w:pos="620" w:val="left"/>
        </w:tabs>
        <w:numPr>
          <w:ilvl w:val="0"/>
          <w:numId w:val="36"/>
        </w:numPr>
        <w:rPr>
          <w:rFonts w:ascii="Arial" w:cs="Arial" w:eastAsia="Arial" w:hAnsi="Arial"/>
          <w:sz w:val="22"/>
          <w:szCs w:val="22"/>
          <w:color w:val="00249C"/>
        </w:rPr>
      </w:pPr>
      <w:r>
        <w:rPr>
          <w:rFonts w:ascii="Arial" w:cs="Arial" w:eastAsia="Arial" w:hAnsi="Arial"/>
          <w:sz w:val="18"/>
          <w:szCs w:val="18"/>
          <w:color w:val="auto"/>
        </w:rPr>
        <w:t>an AA rating from MSCI for environmental, social and governance management and performance;</w:t>
      </w:r>
    </w:p>
    <w:p>
      <w:pPr>
        <w:spacing w:after="0" w:line="98" w:lineRule="exact"/>
        <w:rPr>
          <w:rFonts w:ascii="Arial" w:cs="Arial" w:eastAsia="Arial" w:hAnsi="Arial"/>
          <w:sz w:val="22"/>
          <w:szCs w:val="22"/>
          <w:color w:val="00249C"/>
        </w:rPr>
      </w:pPr>
    </w:p>
    <w:p>
      <w:pPr>
        <w:ind w:left="620" w:hanging="288"/>
        <w:spacing w:after="0"/>
        <w:tabs>
          <w:tab w:leader="none" w:pos="620" w:val="left"/>
        </w:tabs>
        <w:numPr>
          <w:ilvl w:val="0"/>
          <w:numId w:val="36"/>
        </w:numPr>
        <w:rPr>
          <w:rFonts w:ascii="Arial" w:cs="Arial" w:eastAsia="Arial" w:hAnsi="Arial"/>
          <w:sz w:val="22"/>
          <w:szCs w:val="22"/>
          <w:color w:val="00249C"/>
        </w:rPr>
      </w:pPr>
      <w:r>
        <w:rPr>
          <w:rFonts w:ascii="Arial" w:cs="Arial" w:eastAsia="Arial" w:hAnsi="Arial"/>
          <w:sz w:val="18"/>
          <w:szCs w:val="18"/>
          <w:color w:val="auto"/>
        </w:rPr>
        <w:t>achieved a perfect score on the CPA-Zicklin Index of Corporate Political Disclosure and Accountability;</w:t>
      </w:r>
    </w:p>
    <w:p>
      <w:pPr>
        <w:spacing w:after="0" w:line="84" w:lineRule="exact"/>
        <w:rPr>
          <w:rFonts w:ascii="Arial" w:cs="Arial" w:eastAsia="Arial" w:hAnsi="Arial"/>
          <w:sz w:val="22"/>
          <w:szCs w:val="22"/>
          <w:color w:val="00249C"/>
        </w:rPr>
      </w:pPr>
    </w:p>
    <w:p>
      <w:pPr>
        <w:ind w:left="620" w:hanging="288"/>
        <w:spacing w:after="0"/>
        <w:tabs>
          <w:tab w:leader="none" w:pos="620" w:val="left"/>
        </w:tabs>
        <w:numPr>
          <w:ilvl w:val="0"/>
          <w:numId w:val="36"/>
        </w:numPr>
        <w:rPr>
          <w:rFonts w:ascii="Arial" w:cs="Arial" w:eastAsia="Arial" w:hAnsi="Arial"/>
          <w:sz w:val="22"/>
          <w:szCs w:val="22"/>
          <w:color w:val="00249C"/>
        </w:rPr>
      </w:pPr>
      <w:r>
        <w:rPr>
          <w:rFonts w:ascii="Arial" w:cs="Arial" w:eastAsia="Arial" w:hAnsi="Arial"/>
          <w:sz w:val="18"/>
          <w:szCs w:val="18"/>
          <w:color w:val="auto"/>
        </w:rPr>
        <w:t>named as one of Corporate Responsibility Magazine's 100 Best Corporate Citizens;</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5220"/>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25</w:t>
      </w:r>
    </w:p>
    <w:p>
      <w:pPr>
        <w:sectPr>
          <w:pgSz w:w="11900" w:h="16838" w:orient="portrait"/>
          <w:cols w:equalWidth="0" w:num="1">
            <w:col w:w="11240"/>
          </w:cols>
          <w:pgMar w:left="320" w:top="607" w:right="339" w:bottom="1440" w:gutter="0" w:footer="0" w:header="0"/>
          <w:type w:val="continuous"/>
        </w:sectPr>
      </w:pPr>
    </w:p>
    <w:bookmarkStart w:id="31" w:name="page32"/>
    <w:bookmarkEnd w:id="31"/>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4629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462915"/>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hanging="328"/>
        <w:spacing w:after="0" w:line="225" w:lineRule="auto"/>
        <w:tabs>
          <w:tab w:leader="none" w:pos="628" w:val="left"/>
        </w:tabs>
        <w:numPr>
          <w:ilvl w:val="0"/>
          <w:numId w:val="37"/>
        </w:numPr>
        <w:rPr>
          <w:rFonts w:ascii="Arial" w:cs="Arial" w:eastAsia="Arial" w:hAnsi="Arial"/>
          <w:sz w:val="22"/>
          <w:szCs w:val="22"/>
          <w:color w:val="00249C"/>
        </w:rPr>
      </w:pPr>
      <w:r>
        <w:rPr>
          <w:rFonts w:ascii="Arial" w:cs="Arial" w:eastAsia="Arial" w:hAnsi="Arial"/>
          <w:sz w:val="18"/>
          <w:szCs w:val="18"/>
          <w:color w:val="auto"/>
        </w:rPr>
        <w:t>one of DiversityInc's Top 50 Companies for Diversity for the 11th year in a row as well as a top company for veterans and people with disabilities, employee resource groups, executive diversity councils, philanthropy and ESG;</w:t>
      </w:r>
    </w:p>
    <w:p>
      <w:pPr>
        <w:spacing w:after="0" w:line="99" w:lineRule="exact"/>
        <w:rPr>
          <w:rFonts w:ascii="Arial" w:cs="Arial" w:eastAsia="Arial" w:hAnsi="Arial"/>
          <w:sz w:val="22"/>
          <w:szCs w:val="22"/>
          <w:color w:val="00249C"/>
        </w:rPr>
      </w:pPr>
    </w:p>
    <w:p>
      <w:pPr>
        <w:ind w:left="620" w:hanging="288"/>
        <w:spacing w:after="0"/>
        <w:tabs>
          <w:tab w:leader="none" w:pos="620" w:val="left"/>
        </w:tabs>
        <w:numPr>
          <w:ilvl w:val="0"/>
          <w:numId w:val="37"/>
        </w:numPr>
        <w:rPr>
          <w:rFonts w:ascii="Arial" w:cs="Arial" w:eastAsia="Arial" w:hAnsi="Arial"/>
          <w:sz w:val="22"/>
          <w:szCs w:val="22"/>
          <w:color w:val="00249C"/>
        </w:rPr>
      </w:pPr>
      <w:r>
        <w:rPr>
          <w:rFonts w:ascii="Arial" w:cs="Arial" w:eastAsia="Arial" w:hAnsi="Arial"/>
          <w:sz w:val="18"/>
          <w:szCs w:val="18"/>
          <w:color w:val="auto"/>
        </w:rPr>
        <w:t>named as one of Equileap’s top 25 companies on the S&amp;P 500 for gender equality;</w:t>
      </w:r>
    </w:p>
    <w:p>
      <w:pPr>
        <w:spacing w:after="0" w:line="84" w:lineRule="exact"/>
        <w:rPr>
          <w:rFonts w:ascii="Arial" w:cs="Arial" w:eastAsia="Arial" w:hAnsi="Arial"/>
          <w:sz w:val="22"/>
          <w:szCs w:val="22"/>
          <w:color w:val="00249C"/>
        </w:rPr>
      </w:pPr>
    </w:p>
    <w:p>
      <w:pPr>
        <w:ind w:left="620" w:hanging="288"/>
        <w:spacing w:after="0"/>
        <w:tabs>
          <w:tab w:leader="none" w:pos="620" w:val="left"/>
        </w:tabs>
        <w:numPr>
          <w:ilvl w:val="0"/>
          <w:numId w:val="37"/>
        </w:numPr>
        <w:rPr>
          <w:rFonts w:ascii="Arial" w:cs="Arial" w:eastAsia="Arial" w:hAnsi="Arial"/>
          <w:sz w:val="22"/>
          <w:szCs w:val="22"/>
          <w:color w:val="00249C"/>
        </w:rPr>
      </w:pPr>
      <w:r>
        <w:rPr>
          <w:rFonts w:ascii="Arial" w:cs="Arial" w:eastAsia="Arial" w:hAnsi="Arial"/>
          <w:sz w:val="18"/>
          <w:szCs w:val="18"/>
          <w:color w:val="auto"/>
        </w:rPr>
        <w:t>named as one of the top 10 industry supporters for engineering programs at HBCUs by Career Communications Group, Inc.;</w:t>
      </w:r>
    </w:p>
    <w:p>
      <w:pPr>
        <w:spacing w:after="0" w:line="134" w:lineRule="exact"/>
        <w:rPr>
          <w:rFonts w:ascii="Arial" w:cs="Arial" w:eastAsia="Arial" w:hAnsi="Arial"/>
          <w:sz w:val="22"/>
          <w:szCs w:val="22"/>
          <w:color w:val="00249C"/>
        </w:rPr>
      </w:pPr>
    </w:p>
    <w:p>
      <w:pPr>
        <w:ind w:left="660" w:right="700" w:hanging="328"/>
        <w:spacing w:after="0" w:line="225" w:lineRule="auto"/>
        <w:tabs>
          <w:tab w:leader="none" w:pos="628" w:val="left"/>
        </w:tabs>
        <w:numPr>
          <w:ilvl w:val="0"/>
          <w:numId w:val="37"/>
        </w:numPr>
        <w:rPr>
          <w:rFonts w:ascii="Arial" w:cs="Arial" w:eastAsia="Arial" w:hAnsi="Arial"/>
          <w:sz w:val="22"/>
          <w:szCs w:val="22"/>
          <w:color w:val="00249C"/>
        </w:rPr>
      </w:pPr>
      <w:r>
        <w:rPr>
          <w:rFonts w:ascii="Arial" w:cs="Arial" w:eastAsia="Arial" w:hAnsi="Arial"/>
          <w:sz w:val="18"/>
          <w:szCs w:val="18"/>
          <w:color w:val="auto"/>
        </w:rPr>
        <w:t>received the highest ranking for the sixth year in a row on the Disability Equality Index and named a “Best Place to Work For Disability Inclusion”;</w:t>
      </w:r>
    </w:p>
    <w:p>
      <w:pPr>
        <w:spacing w:after="0" w:line="99" w:lineRule="exact"/>
        <w:rPr>
          <w:rFonts w:ascii="Arial" w:cs="Arial" w:eastAsia="Arial" w:hAnsi="Arial"/>
          <w:sz w:val="22"/>
          <w:szCs w:val="22"/>
          <w:color w:val="00249C"/>
        </w:rPr>
      </w:pPr>
    </w:p>
    <w:p>
      <w:pPr>
        <w:ind w:left="620" w:hanging="288"/>
        <w:spacing w:after="0"/>
        <w:tabs>
          <w:tab w:leader="none" w:pos="620" w:val="left"/>
        </w:tabs>
        <w:numPr>
          <w:ilvl w:val="0"/>
          <w:numId w:val="37"/>
        </w:numPr>
        <w:rPr>
          <w:rFonts w:ascii="Arial" w:cs="Arial" w:eastAsia="Arial" w:hAnsi="Arial"/>
          <w:sz w:val="22"/>
          <w:szCs w:val="22"/>
          <w:color w:val="00249C"/>
        </w:rPr>
      </w:pPr>
      <w:r>
        <w:rPr>
          <w:rFonts w:ascii="Arial" w:cs="Arial" w:eastAsia="Arial" w:hAnsi="Arial"/>
          <w:sz w:val="18"/>
          <w:szCs w:val="18"/>
          <w:color w:val="auto"/>
        </w:rPr>
        <w:t>achieved a perfect score on the Corporate Equality Index and designated a “Best Place to Work for LGBTQ Equality”;</w:t>
      </w:r>
    </w:p>
    <w:p>
      <w:pPr>
        <w:spacing w:after="0" w:line="120" w:lineRule="exact"/>
        <w:rPr>
          <w:rFonts w:ascii="Arial" w:cs="Arial" w:eastAsia="Arial" w:hAnsi="Arial"/>
          <w:sz w:val="22"/>
          <w:szCs w:val="22"/>
          <w:color w:val="00249C"/>
        </w:rPr>
      </w:pPr>
    </w:p>
    <w:p>
      <w:pPr>
        <w:ind w:left="660" w:right="180" w:hanging="328"/>
        <w:spacing w:after="0" w:line="225" w:lineRule="auto"/>
        <w:tabs>
          <w:tab w:leader="none" w:pos="628" w:val="left"/>
        </w:tabs>
        <w:numPr>
          <w:ilvl w:val="0"/>
          <w:numId w:val="37"/>
        </w:numPr>
        <w:rPr>
          <w:rFonts w:ascii="Arial" w:cs="Arial" w:eastAsia="Arial" w:hAnsi="Arial"/>
          <w:sz w:val="22"/>
          <w:szCs w:val="22"/>
          <w:color w:val="00249C"/>
        </w:rPr>
      </w:pPr>
      <w:r>
        <w:rPr>
          <w:rFonts w:ascii="Arial" w:cs="Arial" w:eastAsia="Arial" w:hAnsi="Arial"/>
          <w:sz w:val="18"/>
          <w:szCs w:val="18"/>
          <w:color w:val="auto"/>
        </w:rPr>
        <w:t>named as one of the 2020 Best of the Best Top Supplier Diversity Programs and Top Veteran-Friendly Employers by U.S. Veterans magazine;</w:t>
      </w:r>
    </w:p>
    <w:p>
      <w:pPr>
        <w:spacing w:after="0" w:line="135" w:lineRule="exact"/>
        <w:rPr>
          <w:rFonts w:ascii="Arial" w:cs="Arial" w:eastAsia="Arial" w:hAnsi="Arial"/>
          <w:sz w:val="22"/>
          <w:szCs w:val="22"/>
          <w:color w:val="00249C"/>
        </w:rPr>
      </w:pPr>
    </w:p>
    <w:p>
      <w:pPr>
        <w:ind w:left="660" w:right="120" w:hanging="328"/>
        <w:spacing w:after="0" w:line="233" w:lineRule="auto"/>
        <w:tabs>
          <w:tab w:leader="none" w:pos="628" w:val="left"/>
        </w:tabs>
        <w:numPr>
          <w:ilvl w:val="0"/>
          <w:numId w:val="37"/>
        </w:numPr>
        <w:rPr>
          <w:rFonts w:ascii="Arial" w:cs="Arial" w:eastAsia="Arial" w:hAnsi="Arial"/>
          <w:sz w:val="22"/>
          <w:szCs w:val="22"/>
          <w:color w:val="00249C"/>
        </w:rPr>
      </w:pPr>
      <w:r>
        <w:rPr>
          <w:rFonts w:ascii="Arial" w:cs="Arial" w:eastAsia="Arial" w:hAnsi="Arial"/>
          <w:sz w:val="18"/>
          <w:szCs w:val="18"/>
          <w:color w:val="auto"/>
        </w:rPr>
        <w:t>received the Pledge to America’s Workers Presidential Award, highlighting our workforce development program, and Northrop Grumman subsidiary Park Air Systems Limited achieved Platinum accreditation for Investors in People, a national standard of good practice for people management; and</w:t>
      </w:r>
    </w:p>
    <w:p>
      <w:pPr>
        <w:spacing w:after="0" w:line="99" w:lineRule="exact"/>
        <w:rPr>
          <w:rFonts w:ascii="Arial" w:cs="Arial" w:eastAsia="Arial" w:hAnsi="Arial"/>
          <w:sz w:val="22"/>
          <w:szCs w:val="22"/>
          <w:color w:val="00249C"/>
        </w:rPr>
      </w:pPr>
    </w:p>
    <w:p>
      <w:pPr>
        <w:ind w:left="620" w:hanging="288"/>
        <w:spacing w:after="0"/>
        <w:tabs>
          <w:tab w:leader="none" w:pos="620" w:val="left"/>
        </w:tabs>
        <w:numPr>
          <w:ilvl w:val="0"/>
          <w:numId w:val="37"/>
        </w:numPr>
        <w:rPr>
          <w:rFonts w:ascii="Arial" w:cs="Arial" w:eastAsia="Arial" w:hAnsi="Arial"/>
          <w:sz w:val="22"/>
          <w:szCs w:val="22"/>
          <w:color w:val="00249C"/>
        </w:rPr>
      </w:pPr>
      <w:r>
        <w:rPr>
          <w:rFonts w:ascii="Arial" w:cs="Arial" w:eastAsia="Arial" w:hAnsi="Arial"/>
          <w:sz w:val="18"/>
          <w:szCs w:val="18"/>
          <w:color w:val="auto"/>
        </w:rPr>
        <w:t>a leadership score of A- in CDP’s 2020 climate change program for the ninth consecutive year.</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1200"/>
          </w:cols>
          <w:pgMar w:left="320" w:top="607" w:right="379" w:bottom="1440" w:gutter="0" w:footer="0" w:header="0"/>
        </w:sectPr>
      </w:pPr>
    </w:p>
    <w:bookmarkStart w:id="32" w:name="page33"/>
    <w:bookmarkEnd w:id="32"/>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4629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462915"/>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Human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 xml:space="preserve">Northrop Grumman is committed to maintaining a strong culture with a deep respect for individuals and human rights. We have adopted numerous policies, procedures and practices to reflect and implement this broad commitment. The Company enhanced its Human Rights Policy last year to reflect better the Company's commitment. (The Policy is available on the Company's website at </w:t>
      </w:r>
      <w:r>
        <w:rPr>
          <w:rFonts w:ascii="Arial" w:cs="Arial" w:eastAsia="Arial" w:hAnsi="Arial"/>
          <w:sz w:val="18"/>
          <w:szCs w:val="18"/>
          <w:i w:val="1"/>
          <w:iCs w:val="1"/>
          <w:color w:val="auto"/>
        </w:rPr>
        <w:t xml:space="preserve">https://www.northropgrumman.com/corporate-responsibility/northrop-grumman-human-rights-policy/). </w:t>
      </w:r>
      <w:r>
        <w:rPr>
          <w:rFonts w:ascii="Arial" w:cs="Arial" w:eastAsia="Arial" w:hAnsi="Arial"/>
          <w:sz w:val="18"/>
          <w:szCs w:val="18"/>
          <w:color w:val="auto"/>
        </w:rPr>
        <w:t>The Company has also established a</w:t>
      </w:r>
      <w:r>
        <w:rPr>
          <w:rFonts w:ascii="Arial" w:cs="Arial" w:eastAsia="Arial" w:hAnsi="Arial"/>
          <w:sz w:val="18"/>
          <w:szCs w:val="18"/>
          <w:i w:val="1"/>
          <w:iCs w:val="1"/>
          <w:color w:val="auto"/>
        </w:rPr>
        <w:t xml:space="preserve"> </w:t>
      </w:r>
      <w:r>
        <w:rPr>
          <w:rFonts w:ascii="Arial" w:cs="Arial" w:eastAsia="Arial" w:hAnsi="Arial"/>
          <w:sz w:val="18"/>
          <w:szCs w:val="18"/>
          <w:color w:val="auto"/>
        </w:rPr>
        <w:t>Human Rights Working Group to help ensure our human rights program is being implemented effectively and achieving our goals.</w:t>
      </w:r>
    </w:p>
    <w:p>
      <w:pPr>
        <w:spacing w:after="0" w:line="8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Board of Directors oversees the Company's commitment to human rights. The Policy Committee has specific responsibility to provide oversight of the Company's human rights program, including reviewing and making recommendations for enhancements, as appropriate. The Policy Committee receives reports from our Vice President, Global Corporate Responsibility, and our Corporate Vice President and General Counsel, who is chair of the Human Rights Working Group, on how we are implementing our Human Rights Policy and to discuss any areas of concern.</w:t>
      </w:r>
    </w:p>
    <w:p>
      <w:pPr>
        <w:spacing w:after="0" w:line="7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Company’s Human Rights Policy starts with our culture and core values, including our commitment to ethics and integrity, treating everyone with respect, valuing diversity and equity, and fostering safe and inclusive environments. We work hard to nurture a culture in which each person can thrive. The Human Rights Policy makes clear our commitment to people, including our respect for the rights of employees to work in a positive work environment that treats employees with respect and dignity. As an employer, the Company strives to provide a culture where the differing points of view that we each bring to the workplace challenge us to think more broadly and enhance the overall results. The Company has 14 employee resource networks with 25,000 diverse colleagues participating that inform and implement strategies and initiatives that align with the Company's business goals and its values. The Company does not tolerate any discrimination in employment based on an individual’s protected status. We do not tolerate the use of child labor, forced labor, bonded labor, human trafficking or any other such violations of human rights. We respect the privacy of employees and business partners who trust us with their personal information.</w:t>
      </w:r>
    </w:p>
    <w:p>
      <w:pPr>
        <w:spacing w:after="0" w:line="9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Human Rights Policy addresses explicitly the Company's supply chain, making clear both that we treat our suppliers with respect and dignity, and that we require our suppliers to follow similar policies protecting human rights. We require suppliers to adhere to a detailed Supplier Code of Conduct, which articulates our requirement for ethical conduct and social responsibility at all tiers of our supply base. The Supplier Code of Conduct specifically requires our suppliers to protect the rights of workers and prohibits the use of forced labor of any kind. Before entering into supply agreements, we undertake due diligence on potential suppliers to assess whether they will be able to meet our requirements, and we continue to monitor their performance during the contract period.</w:t>
      </w:r>
    </w:p>
    <w:p>
      <w:pPr>
        <w:spacing w:after="0" w:line="8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Human Rights Policy also addresses various processes the Company follows to consider a wide range of potential risks – including risks to human rights – as it develops products and determines whether to undertake certain business opportunities. For example, the Company has robust procedures to help ensure we do not do business in countries or sell products to customers that are not properly approved by our government, or, even if permissible, where the risk – to human rights or, more broadly, the reputation of the Company – is too significant. The Company is mindful of both intended and unintended uses of its products. The Company may exit programs and/or decline to pursue others because of concerns related to potential impacts on human rights.</w:t>
      </w:r>
    </w:p>
    <w:p>
      <w:pPr>
        <w:spacing w:after="0" w:line="7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For Northrop Grumman and its employees, being a good corporate citizen means improving the lives of the people in the communities where we live and work. As the Human Rights Policy makes clear, we invest in our communities, supporting a wide range of activities and causes around the globe. Our current efforts are focused on issues of education/STEM, diversity, equity and inclusion, human dignity, veterans and environmental stewardship, to name a few.</w:t>
      </w:r>
    </w:p>
    <w:p>
      <w:pPr>
        <w:spacing w:after="0" w:line="82"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As noted above, the Human Rights Policy provides for a Human Rights Working Group, tasked to help ensure that our Human Rights Policy is being implemented effectively and achieving our goals. The Working Group is led by the Company’s General Counsel (or her designee) and includes senior representatives from, among others, the Office of Global Corporate Responsibility, Global Supply Chain, Investor Relations, Contracts, EHS, Global Business Office, Government Relations, Communications and our Sectors.</w:t>
      </w:r>
    </w:p>
    <w:p>
      <w:pPr>
        <w:spacing w:after="0" w:line="3"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Human Rights Policy provides employees with various well-defined reporting channels when they believe there may have been a violation of the Policy. Concerns are investigated and corrective actions are taken.</w:t>
      </w:r>
    </w:p>
    <w:p>
      <w:pPr>
        <w:spacing w:after="0" w:line="7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Policy is also reinforced through communications and with robust training. Our Sustainability Report provides additional background and information on our human rights programs.</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Company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have a strong corporate culture, which is founded in ethics and integrity and respect. We value diversity, equity and inclusion and generate trust. We work together to deliver on our commitments to our customers, employees, shareholders and those with whom we work. Our culture is focused on breaking barriers and doing what others think is impossible. We are responsible</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5220"/>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27</w:t>
      </w:r>
    </w:p>
    <w:p>
      <w:pPr>
        <w:sectPr>
          <w:pgSz w:w="11900" w:h="16838" w:orient="portrait"/>
          <w:cols w:equalWidth="0" w:num="1">
            <w:col w:w="11240"/>
          </w:cols>
          <w:pgMar w:left="320" w:top="607" w:right="339" w:bottom="1440" w:gutter="0" w:footer="0" w:header="0"/>
          <w:type w:val="continuous"/>
        </w:sectPr>
      </w:pPr>
    </w:p>
    <w:bookmarkStart w:id="33" w:name="page34"/>
    <w:bookmarkEnd w:id="33"/>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4629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462915"/>
                    </a:xfrm>
                    <a:prstGeom prst="rect">
                      <a:avLst/>
                    </a:prstGeom>
                    <a:noFill/>
                  </pic:spPr>
                </pic:pic>
              </a:graphicData>
            </a:graphic>
          </wp:anchor>
        </w:drawing>
        <w:t>CORPORATE GOVERNANCE</w:t>
      </w:r>
    </w:p>
    <w:p>
      <w:pPr>
        <w:spacing w:after="0" w:line="200" w:lineRule="exact"/>
        <w:rPr>
          <w:sz w:val="20"/>
          <w:szCs w:val="20"/>
          <w:color w:val="auto"/>
        </w:rPr>
      </w:pPr>
    </w:p>
    <w:p>
      <w:pPr>
        <w:spacing w:after="0" w:line="37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environmental stewards and seek to give back to the communities in which we operate. Our culture enables long-term profitable growth and value creation for our shareholders and other stakeholders, while also maintaining a focus on safety and sustainability.</w:t>
      </w:r>
    </w:p>
    <w:p>
      <w:pPr>
        <w:spacing w:after="0" w:line="7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discussed previously on page 14, we recently restated the values that guide our Company and provide the foundation for our culture. We all have a shared responsibility to maintain and enhance those values and our culture. We work to ensure our employees feel that it is safe to speak up, to challenge how things are done and raise concerns without fear of retribution. There are many avenues to report concerns, including through one's manager, to ethics officers or members of our human resources and law departments, or through the OpenLine reporting system, which give employees, business partners, suppliers and other stakeholders resources to seek guidance on ethics questions or report suspected violations of law or Company policy.</w:t>
      </w:r>
    </w:p>
    <w:p>
      <w:pPr>
        <w:spacing w:after="0" w:line="73"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The Company promotes giving back to the community. The Company continually strives to be a good corporate citizen and encourages volunteerism, including honoring employees who have demonstrated commitment to volunteerism. The Company annually contributes to numerous charitable organizations, including those with a focus on STEM education and veterans.</w:t>
      </w:r>
    </w:p>
    <w:p>
      <w:pPr>
        <w:spacing w:after="0" w:line="8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During 2020, amidst the COVID-19 pandemic and drive for greater social justice, we focused in particular on keeping our employees safe as we continued to serve our customers and stakeholders, helping those most in need, and advancing social justice across our Company and our communities. The Company, our Foundation and our employees, individually and together, contributed time, skill and financial resources. We contributed to global, national and local efforts supporting healthcare, addressing food insecurity, advancing opportunity for all and increasing student access to technology, combating systemic discrimination, providing disaster relief, and serving some of our most vulnerable populations.</w:t>
      </w:r>
    </w:p>
    <w:p>
      <w:pPr>
        <w:spacing w:after="0" w:line="8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Management establishes and reinforces the Company's culture, and our Board and its Committees are actively engaged in providing oversight. The Board is committed to sustaining and enhancing the Company's strong culture with an engaged, diverse and inclusive workforce. The Company conducts an annual employee engagement survey, which gives our employees the opportunity to provide feedback on our Company culture. This survey is managed by a third-party vendor to encourage candor and solicit feedback on many aspects of engagement, including how our employees perceive Company leadership, and issues of accountability, inclusion and career development. The results of this survey are reported to and discussed with the full Board annually. The Board also meets regularly with employees at all levels to reaffirm the health of our culture. The Board meets with employees during site visits that are a critical part of Board meetings, and also during "Sector Days," when our directors visit the operations without members of senior leadership present. Members of our Board also often share their time by generously participating as speakers in Company leadership programs.</w:t>
      </w:r>
    </w:p>
    <w:p>
      <w:pPr>
        <w:spacing w:after="0" w:line="7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Committees of the Board oversee elements of the Company's culture associated with their respective area of responsibility. The Audit and Risk Committee reviews and discusses the Company's global compliance policies and programs with our General Counsel and Chief Compliance Officer, including the tone set by leaders throughout the organization, and meets quarterly with our Vice President, Global Corporate Responsibility to receive a report on issues that are received through the Company's OpenLine reporting system. The Compensation Committee reviews with the Chief Human Resources Officer the Company's human capital management, monitors policies and practices with respect to diversity and equal employment opportunity, and reviews a risk assessment of the Company's compensation programs. The Governance Committee provides the board oversight of the Company's corporate culture, with a focus on governance-related risks. The Policy Committee receives at least annually a report from our Vice President, Global Corporate Responsibility regarding our ethics and corporate responsibility programs, including our Standards of Business Conduct, and reviews and monitors practices with respect to sustainability and environmental matters, human rights, health and safety, and charitable organizations.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1220"/>
          </w:cols>
          <w:pgMar w:left="320" w:top="607" w:right="359" w:bottom="1440" w:gutter="0" w:footer="0" w:header="0"/>
        </w:sectPr>
      </w:pPr>
    </w:p>
    <w:bookmarkStart w:id="34" w:name="page35"/>
    <w:bookmarkEnd w:id="34"/>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5314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COMPENSATION OF DIRECTORS</w:t>
      </w:r>
    </w:p>
    <w:p>
      <w:pPr>
        <w:spacing w:after="0" w:line="200" w:lineRule="exact"/>
        <w:rPr>
          <w:sz w:val="20"/>
          <w:szCs w:val="20"/>
          <w:color w:val="auto"/>
        </w:rPr>
      </w:pPr>
    </w:p>
    <w:p>
      <w:pPr>
        <w:spacing w:after="0" w:line="389" w:lineRule="exact"/>
        <w:rPr>
          <w:sz w:val="20"/>
          <w:szCs w:val="20"/>
          <w:color w:val="auto"/>
        </w:rPr>
      </w:pPr>
    </w:p>
    <w:p>
      <w:pPr>
        <w:ind w:right="400"/>
        <w:spacing w:after="0" w:line="252" w:lineRule="auto"/>
        <w:rPr>
          <w:sz w:val="20"/>
          <w:szCs w:val="20"/>
          <w:color w:val="auto"/>
        </w:rPr>
      </w:pPr>
      <w:r>
        <w:rPr>
          <w:rFonts w:ascii="Arial" w:cs="Arial" w:eastAsia="Arial" w:hAnsi="Arial"/>
          <w:sz w:val="18"/>
          <w:szCs w:val="18"/>
          <w:color w:val="auto"/>
        </w:rPr>
        <w:t>The Compensation Committee, with the assistance of its independent compensation consultant, is responsible for reviewing and recommending for approval the compensation of the non-employee directors. At the request of the Compensation Committee, the independent compensation consultant prepares annually a comprehensive benchmarking of our non-employee director compensation program against the compensation programs offered by our Target Industry Peer Group (the same peer group against which executive compensation is compared). Consistent with this benchmarking, the overarching approach for non-employee director compensation is to target approximately the 50th percentile of the Target Industry Peer Group and to align our director compensation with our shareholders' interests.</w:t>
      </w:r>
    </w:p>
    <w:p>
      <w:pPr>
        <w:spacing w:after="0" w:line="72"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 May 2019, the Compensation Committee recommended to the Board, and the Board approved, the current non-employee director fee structure, effective May 15, 2019. In May 2020, the Compensation Committee recommended to the Board, and the Board approved, maintaining the current non-employee director fee structure. There was no increase to director compensation in 2020. The table below lists the annual fees payable to our non-employee directors under the current fee structure effective since May 15, 2019.</w:t>
      </w:r>
    </w:p>
    <w:p>
      <w:pPr>
        <w:spacing w:after="0" w:line="110" w:lineRule="exact"/>
        <w:rPr>
          <w:sz w:val="20"/>
          <w:szCs w:val="20"/>
          <w:color w:val="auto"/>
        </w:rPr>
      </w:pPr>
    </w:p>
    <w:tbl>
      <w:tblPr>
        <w:tblLayout w:type="fixed"/>
        <w:tblInd w:w="1460" w:type="dxa"/>
        <w:tblCellMar>
          <w:top w:w="0" w:type="dxa"/>
          <w:left w:w="0" w:type="dxa"/>
          <w:bottom w:w="0" w:type="dxa"/>
          <w:right w:w="0" w:type="dxa"/>
        </w:tblCellMar>
      </w:tblPr>
      <w:tr>
        <w:trPr>
          <w:trHeight w:val="378"/>
        </w:trPr>
        <w:tc>
          <w:tcPr>
            <w:tcW w:w="4840" w:type="dxa"/>
            <w:vAlign w:val="bottom"/>
            <w:shd w:val="clear" w:color="auto" w:fill="00249C"/>
          </w:tcPr>
          <w:p>
            <w:pPr>
              <w:ind w:left="20"/>
              <w:spacing w:after="0"/>
              <w:rPr>
                <w:sz w:val="20"/>
                <w:szCs w:val="20"/>
                <w:color w:val="auto"/>
              </w:rPr>
            </w:pPr>
            <w:r>
              <w:rPr>
                <w:rFonts w:ascii="Arial" w:cs="Arial" w:eastAsia="Arial" w:hAnsi="Arial"/>
                <w:sz w:val="16"/>
                <w:szCs w:val="16"/>
                <w:b w:val="1"/>
                <w:bCs w:val="1"/>
                <w:color w:val="FFFFFF"/>
              </w:rPr>
              <w:t>Compensation Element</w:t>
            </w:r>
          </w:p>
        </w:tc>
        <w:tc>
          <w:tcPr>
            <w:tcW w:w="3500" w:type="dxa"/>
            <w:vAlign w:val="bottom"/>
            <w:shd w:val="clear" w:color="auto" w:fill="00249C"/>
          </w:tcPr>
          <w:p>
            <w:pPr>
              <w:ind w:left="1860"/>
              <w:spacing w:after="0"/>
              <w:rPr>
                <w:sz w:val="20"/>
                <w:szCs w:val="20"/>
                <w:color w:val="auto"/>
              </w:rPr>
            </w:pPr>
            <w:r>
              <w:rPr>
                <w:rFonts w:ascii="Arial" w:cs="Arial" w:eastAsia="Arial" w:hAnsi="Arial"/>
                <w:sz w:val="16"/>
                <w:szCs w:val="16"/>
                <w:b w:val="1"/>
                <w:bCs w:val="1"/>
                <w:color w:val="FFFFFF"/>
              </w:rPr>
              <w:t>Amount ($)</w:t>
            </w:r>
          </w:p>
        </w:tc>
      </w:tr>
      <w:tr>
        <w:trPr>
          <w:trHeight w:val="216"/>
        </w:trPr>
        <w:tc>
          <w:tcPr>
            <w:tcW w:w="4840" w:type="dxa"/>
            <w:vAlign w:val="bottom"/>
            <w:shd w:val="clear" w:color="auto" w:fill="CCD4DB"/>
          </w:tcPr>
          <w:p>
            <w:pPr>
              <w:ind w:left="20"/>
              <w:spacing w:after="0"/>
              <w:rPr>
                <w:sz w:val="20"/>
                <w:szCs w:val="20"/>
                <w:color w:val="auto"/>
              </w:rPr>
            </w:pPr>
            <w:r>
              <w:rPr>
                <w:rFonts w:ascii="Arial" w:cs="Arial" w:eastAsia="Arial" w:hAnsi="Arial"/>
                <w:sz w:val="16"/>
                <w:szCs w:val="16"/>
                <w:color w:val="auto"/>
              </w:rPr>
              <w:t>Annual Cash Retainer</w:t>
            </w:r>
          </w:p>
        </w:tc>
        <w:tc>
          <w:tcPr>
            <w:tcW w:w="3500" w:type="dxa"/>
            <w:vAlign w:val="bottom"/>
            <w:shd w:val="clear" w:color="auto" w:fill="CCD4DB"/>
          </w:tcPr>
          <w:p>
            <w:pPr>
              <w:jc w:val="center"/>
              <w:ind w:left="999"/>
              <w:spacing w:after="0"/>
              <w:rPr>
                <w:sz w:val="20"/>
                <w:szCs w:val="20"/>
                <w:color w:val="auto"/>
              </w:rPr>
            </w:pPr>
            <w:r>
              <w:rPr>
                <w:rFonts w:ascii="Arial" w:cs="Arial" w:eastAsia="Arial" w:hAnsi="Arial"/>
                <w:sz w:val="16"/>
                <w:szCs w:val="16"/>
                <w:color w:val="auto"/>
              </w:rPr>
              <w:t>130,000</w:t>
            </w:r>
          </w:p>
        </w:tc>
      </w:tr>
      <w:tr>
        <w:trPr>
          <w:trHeight w:val="227"/>
        </w:trPr>
        <w:tc>
          <w:tcPr>
            <w:tcW w:w="4840" w:type="dxa"/>
            <w:vAlign w:val="bottom"/>
          </w:tcPr>
          <w:p>
            <w:pPr>
              <w:ind w:left="20"/>
              <w:spacing w:after="0"/>
              <w:rPr>
                <w:sz w:val="20"/>
                <w:szCs w:val="20"/>
                <w:color w:val="auto"/>
              </w:rPr>
            </w:pPr>
            <w:r>
              <w:rPr>
                <w:rFonts w:ascii="Arial" w:cs="Arial" w:eastAsia="Arial" w:hAnsi="Arial"/>
                <w:sz w:val="16"/>
                <w:szCs w:val="16"/>
                <w:color w:val="auto"/>
              </w:rPr>
              <w:t>Lead Independent Director Retainer</w:t>
            </w:r>
          </w:p>
        </w:tc>
        <w:tc>
          <w:tcPr>
            <w:tcW w:w="3500" w:type="dxa"/>
            <w:vAlign w:val="bottom"/>
          </w:tcPr>
          <w:p>
            <w:pPr>
              <w:jc w:val="center"/>
              <w:ind w:left="999"/>
              <w:spacing w:after="0"/>
              <w:rPr>
                <w:sz w:val="20"/>
                <w:szCs w:val="20"/>
                <w:color w:val="auto"/>
              </w:rPr>
            </w:pPr>
            <w:r>
              <w:rPr>
                <w:rFonts w:ascii="Arial" w:cs="Arial" w:eastAsia="Arial" w:hAnsi="Arial"/>
                <w:sz w:val="16"/>
                <w:szCs w:val="16"/>
                <w:color w:val="auto"/>
              </w:rPr>
              <w:t>35,000</w:t>
            </w:r>
          </w:p>
        </w:tc>
      </w:tr>
      <w:tr>
        <w:trPr>
          <w:trHeight w:val="233"/>
        </w:trPr>
        <w:tc>
          <w:tcPr>
            <w:tcW w:w="4840" w:type="dxa"/>
            <w:vAlign w:val="bottom"/>
            <w:shd w:val="clear" w:color="auto" w:fill="CCD4DB"/>
          </w:tcPr>
          <w:p>
            <w:pPr>
              <w:ind w:left="20"/>
              <w:spacing w:after="0"/>
              <w:rPr>
                <w:sz w:val="20"/>
                <w:szCs w:val="20"/>
                <w:color w:val="auto"/>
              </w:rPr>
            </w:pPr>
            <w:r>
              <w:rPr>
                <w:rFonts w:ascii="Arial" w:cs="Arial" w:eastAsia="Arial" w:hAnsi="Arial"/>
                <w:sz w:val="16"/>
                <w:szCs w:val="16"/>
                <w:color w:val="auto"/>
              </w:rPr>
              <w:t>Audit and Risk Committee Retainer</w:t>
            </w:r>
          </w:p>
        </w:tc>
        <w:tc>
          <w:tcPr>
            <w:tcW w:w="3500" w:type="dxa"/>
            <w:vAlign w:val="bottom"/>
            <w:shd w:val="clear" w:color="auto" w:fill="CCD4DB"/>
          </w:tcPr>
          <w:p>
            <w:pPr>
              <w:jc w:val="center"/>
              <w:ind w:left="999"/>
              <w:spacing w:after="0"/>
              <w:rPr>
                <w:sz w:val="20"/>
                <w:szCs w:val="20"/>
                <w:color w:val="auto"/>
              </w:rPr>
            </w:pPr>
            <w:r>
              <w:rPr>
                <w:rFonts w:ascii="Arial" w:cs="Arial" w:eastAsia="Arial" w:hAnsi="Arial"/>
                <w:sz w:val="16"/>
                <w:szCs w:val="16"/>
                <w:color w:val="auto"/>
              </w:rPr>
              <w:t>10,000</w:t>
            </w:r>
          </w:p>
        </w:tc>
      </w:tr>
      <w:tr>
        <w:trPr>
          <w:trHeight w:val="227"/>
        </w:trPr>
        <w:tc>
          <w:tcPr>
            <w:tcW w:w="4840" w:type="dxa"/>
            <w:vAlign w:val="bottom"/>
          </w:tcPr>
          <w:p>
            <w:pPr>
              <w:ind w:left="20"/>
              <w:spacing w:after="0"/>
              <w:rPr>
                <w:sz w:val="20"/>
                <w:szCs w:val="20"/>
                <w:color w:val="auto"/>
              </w:rPr>
            </w:pPr>
            <w:r>
              <w:rPr>
                <w:rFonts w:ascii="Arial" w:cs="Arial" w:eastAsia="Arial" w:hAnsi="Arial"/>
                <w:sz w:val="16"/>
                <w:szCs w:val="16"/>
                <w:color w:val="auto"/>
              </w:rPr>
              <w:t>Audit and Risk Committee Chair Retainer</w:t>
            </w:r>
          </w:p>
        </w:tc>
        <w:tc>
          <w:tcPr>
            <w:tcW w:w="3500" w:type="dxa"/>
            <w:vAlign w:val="bottom"/>
          </w:tcPr>
          <w:p>
            <w:pPr>
              <w:jc w:val="center"/>
              <w:ind w:left="999"/>
              <w:spacing w:after="0"/>
              <w:rPr>
                <w:sz w:val="20"/>
                <w:szCs w:val="20"/>
                <w:color w:val="auto"/>
              </w:rPr>
            </w:pPr>
            <w:r>
              <w:rPr>
                <w:rFonts w:ascii="Arial" w:cs="Arial" w:eastAsia="Arial" w:hAnsi="Arial"/>
                <w:sz w:val="16"/>
                <w:szCs w:val="16"/>
                <w:color w:val="auto"/>
              </w:rPr>
              <w:t>20,000</w:t>
            </w:r>
          </w:p>
        </w:tc>
      </w:tr>
      <w:tr>
        <w:trPr>
          <w:trHeight w:val="233"/>
        </w:trPr>
        <w:tc>
          <w:tcPr>
            <w:tcW w:w="4840" w:type="dxa"/>
            <w:vAlign w:val="bottom"/>
            <w:shd w:val="clear" w:color="auto" w:fill="CCD4DB"/>
          </w:tcPr>
          <w:p>
            <w:pPr>
              <w:ind w:left="20"/>
              <w:spacing w:after="0"/>
              <w:rPr>
                <w:sz w:val="20"/>
                <w:szCs w:val="20"/>
                <w:color w:val="auto"/>
              </w:rPr>
            </w:pPr>
            <w:r>
              <w:rPr>
                <w:rFonts w:ascii="Arial" w:cs="Arial" w:eastAsia="Arial" w:hAnsi="Arial"/>
                <w:sz w:val="16"/>
                <w:szCs w:val="16"/>
                <w:color w:val="auto"/>
              </w:rPr>
              <w:t>Compensation Committee Chair Retainer</w:t>
            </w:r>
          </w:p>
        </w:tc>
        <w:tc>
          <w:tcPr>
            <w:tcW w:w="3500" w:type="dxa"/>
            <w:vAlign w:val="bottom"/>
            <w:shd w:val="clear" w:color="auto" w:fill="CCD4DB"/>
          </w:tcPr>
          <w:p>
            <w:pPr>
              <w:jc w:val="center"/>
              <w:ind w:left="999"/>
              <w:spacing w:after="0"/>
              <w:rPr>
                <w:sz w:val="20"/>
                <w:szCs w:val="20"/>
                <w:color w:val="auto"/>
              </w:rPr>
            </w:pPr>
            <w:r>
              <w:rPr>
                <w:rFonts w:ascii="Arial" w:cs="Arial" w:eastAsia="Arial" w:hAnsi="Arial"/>
                <w:sz w:val="16"/>
                <w:szCs w:val="16"/>
                <w:color w:val="auto"/>
              </w:rPr>
              <w:t>20,000</w:t>
            </w:r>
          </w:p>
        </w:tc>
      </w:tr>
      <w:tr>
        <w:trPr>
          <w:trHeight w:val="227"/>
        </w:trPr>
        <w:tc>
          <w:tcPr>
            <w:tcW w:w="4840" w:type="dxa"/>
            <w:vAlign w:val="bottom"/>
          </w:tcPr>
          <w:p>
            <w:pPr>
              <w:ind w:left="20"/>
              <w:spacing w:after="0"/>
              <w:rPr>
                <w:sz w:val="20"/>
                <w:szCs w:val="20"/>
                <w:color w:val="auto"/>
              </w:rPr>
            </w:pPr>
            <w:r>
              <w:rPr>
                <w:rFonts w:ascii="Arial" w:cs="Arial" w:eastAsia="Arial" w:hAnsi="Arial"/>
                <w:sz w:val="16"/>
                <w:szCs w:val="16"/>
                <w:color w:val="auto"/>
              </w:rPr>
              <w:t>Governance Committee Chair Retainer</w:t>
            </w:r>
          </w:p>
        </w:tc>
        <w:tc>
          <w:tcPr>
            <w:tcW w:w="3500" w:type="dxa"/>
            <w:vAlign w:val="bottom"/>
          </w:tcPr>
          <w:p>
            <w:pPr>
              <w:jc w:val="center"/>
              <w:ind w:left="999"/>
              <w:spacing w:after="0"/>
              <w:rPr>
                <w:sz w:val="20"/>
                <w:szCs w:val="20"/>
                <w:color w:val="auto"/>
              </w:rPr>
            </w:pPr>
            <w:r>
              <w:rPr>
                <w:rFonts w:ascii="Arial" w:cs="Arial" w:eastAsia="Arial" w:hAnsi="Arial"/>
                <w:sz w:val="16"/>
                <w:szCs w:val="16"/>
                <w:color w:val="auto"/>
              </w:rPr>
              <w:t>20,000</w:t>
            </w:r>
          </w:p>
        </w:tc>
      </w:tr>
      <w:tr>
        <w:trPr>
          <w:trHeight w:val="232"/>
        </w:trPr>
        <w:tc>
          <w:tcPr>
            <w:tcW w:w="4840" w:type="dxa"/>
            <w:vAlign w:val="bottom"/>
            <w:shd w:val="clear" w:color="auto" w:fill="CCD4DB"/>
          </w:tcPr>
          <w:p>
            <w:pPr>
              <w:ind w:left="20"/>
              <w:spacing w:after="0"/>
              <w:rPr>
                <w:sz w:val="20"/>
                <w:szCs w:val="20"/>
                <w:color w:val="auto"/>
              </w:rPr>
            </w:pPr>
            <w:r>
              <w:rPr>
                <w:rFonts w:ascii="Arial" w:cs="Arial" w:eastAsia="Arial" w:hAnsi="Arial"/>
                <w:sz w:val="16"/>
                <w:szCs w:val="16"/>
                <w:color w:val="auto"/>
              </w:rPr>
              <w:t>Policy Committee Chair Retainer</w:t>
            </w:r>
          </w:p>
        </w:tc>
        <w:tc>
          <w:tcPr>
            <w:tcW w:w="3500" w:type="dxa"/>
            <w:vAlign w:val="bottom"/>
            <w:shd w:val="clear" w:color="auto" w:fill="CCD4DB"/>
          </w:tcPr>
          <w:p>
            <w:pPr>
              <w:jc w:val="center"/>
              <w:ind w:left="999"/>
              <w:spacing w:after="0"/>
              <w:rPr>
                <w:sz w:val="20"/>
                <w:szCs w:val="20"/>
                <w:color w:val="auto"/>
              </w:rPr>
            </w:pPr>
            <w:r>
              <w:rPr>
                <w:rFonts w:ascii="Arial" w:cs="Arial" w:eastAsia="Arial" w:hAnsi="Arial"/>
                <w:sz w:val="16"/>
                <w:szCs w:val="16"/>
                <w:color w:val="auto"/>
              </w:rPr>
              <w:t>20,000</w:t>
            </w:r>
          </w:p>
        </w:tc>
      </w:tr>
      <w:tr>
        <w:trPr>
          <w:trHeight w:val="227"/>
        </w:trPr>
        <w:tc>
          <w:tcPr>
            <w:tcW w:w="4840" w:type="dxa"/>
            <w:vAlign w:val="bottom"/>
            <w:tcBorders>
              <w:bottom w:val="single" w:sz="8" w:color="00249C"/>
            </w:tcBorders>
          </w:tcPr>
          <w:p>
            <w:pPr>
              <w:ind w:left="20"/>
              <w:spacing w:after="0"/>
              <w:rPr>
                <w:sz w:val="20"/>
                <w:szCs w:val="20"/>
                <w:color w:val="auto"/>
              </w:rPr>
            </w:pPr>
            <w:r>
              <w:rPr>
                <w:rFonts w:ascii="Arial" w:cs="Arial" w:eastAsia="Arial" w:hAnsi="Arial"/>
                <w:sz w:val="16"/>
                <w:szCs w:val="16"/>
                <w:color w:val="auto"/>
              </w:rPr>
              <w:t>Annual Equity Grant (1)</w:t>
            </w:r>
          </w:p>
        </w:tc>
        <w:tc>
          <w:tcPr>
            <w:tcW w:w="3500" w:type="dxa"/>
            <w:vAlign w:val="bottom"/>
            <w:tcBorders>
              <w:bottom w:val="single" w:sz="8" w:color="00249C"/>
            </w:tcBorders>
          </w:tcPr>
          <w:p>
            <w:pPr>
              <w:jc w:val="center"/>
              <w:ind w:left="999"/>
              <w:spacing w:after="0"/>
              <w:rPr>
                <w:sz w:val="20"/>
                <w:szCs w:val="20"/>
                <w:color w:val="auto"/>
              </w:rPr>
            </w:pPr>
            <w:r>
              <w:rPr>
                <w:rFonts w:ascii="Arial" w:cs="Arial" w:eastAsia="Arial" w:hAnsi="Arial"/>
                <w:sz w:val="16"/>
                <w:szCs w:val="16"/>
                <w:color w:val="auto"/>
              </w:rPr>
              <w:t>160,000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-445135</wp:posOffset>
            </wp:positionV>
            <wp:extent cx="5297805" cy="1543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297805" cy="154305"/>
                    </a:xfrm>
                    <a:prstGeom prst="rect">
                      <a:avLst/>
                    </a:prstGeom>
                    <a:noFill/>
                  </pic:spPr>
                </pic:pic>
              </a:graphicData>
            </a:graphic>
          </wp:anchor>
        </w:drawing>
        <w:drawing>
          <wp:anchor simplePos="0" relativeHeight="251657728" behindDoc="1" locked="0" layoutInCell="0" allowOverlap="1">
            <wp:simplePos x="0" y="0"/>
            <wp:positionH relativeFrom="column">
              <wp:posOffset>922020</wp:posOffset>
            </wp:positionH>
            <wp:positionV relativeFrom="paragraph">
              <wp:posOffset>-736600</wp:posOffset>
            </wp:positionV>
            <wp:extent cx="5297805"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297805" cy="154305"/>
                    </a:xfrm>
                    <a:prstGeom prst="rect">
                      <a:avLst/>
                    </a:prstGeom>
                    <a:noFill/>
                  </pic:spPr>
                </pic:pic>
              </a:graphicData>
            </a:graphic>
          </wp:anchor>
        </w:drawing>
        <w:drawing>
          <wp:anchor simplePos="0" relativeHeight="251657728" behindDoc="1" locked="0" layoutInCell="0" allowOverlap="1">
            <wp:simplePos x="0" y="0"/>
            <wp:positionH relativeFrom="column">
              <wp:posOffset>922020</wp:posOffset>
            </wp:positionH>
            <wp:positionV relativeFrom="paragraph">
              <wp:posOffset>-1028065</wp:posOffset>
            </wp:positionV>
            <wp:extent cx="5297805"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297805" cy="154305"/>
                    </a:xfrm>
                    <a:prstGeom prst="rect">
                      <a:avLst/>
                    </a:prstGeom>
                    <a:noFill/>
                  </pic:spPr>
                </pic:pic>
              </a:graphicData>
            </a:graphic>
          </wp:anchor>
        </w:drawing>
      </w:r>
    </w:p>
    <w:p>
      <w:pPr>
        <w:spacing w:after="0" w:line="36" w:lineRule="exact"/>
        <w:rPr>
          <w:sz w:val="20"/>
          <w:szCs w:val="20"/>
          <w:color w:val="auto"/>
        </w:rPr>
      </w:pPr>
    </w:p>
    <w:p>
      <w:pPr>
        <w:ind w:left="1820" w:right="1820" w:hanging="350"/>
        <w:spacing w:after="0" w:line="221" w:lineRule="auto"/>
        <w:tabs>
          <w:tab w:leader="none" w:pos="18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annual equity grant is deferred into a stock unit account pursuant to the 2011 Long-Term Incentive Stock Plan (2011 Plan) as described below. The Northrop Grumman Equity Grant Program for Non-Employee Directors (Director Program) sets forth the terms and conditions of the equity awards granted to non-employee directors under the 2011 Plan.</w:t>
      </w:r>
    </w:p>
    <w:p>
      <w:pPr>
        <w:spacing w:after="0" w:line="346"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auto"/>
        </w:rPr>
        <w:t>Retainer fees are paid on a quarterly basis at the end of each quarter. To encourage directors to have a direct and material investment in shares of our common stock, non-employee directors are awarded an annual equity grant of $160,000 in the form of deferred stock units (Automatic Stock Units).</w:t>
      </w:r>
    </w:p>
    <w:p>
      <w:pPr>
        <w:spacing w:after="0" w:line="6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Director Program was amended and restated effective January 1, 2016 (the Amended Director Program). Non-employee directors other than Mr. Abney received an annual equity grant of Automatic Stock Units on May 15, 2019, which vested on May 15, 2020, and received an annual equity grant of Automatic Stock Units on May 20, 2020 which will vest on May 20, 2021. Mr. Abney received an annual equity grant of Automatic Stock Units upon his election to the Board on June 10, 2020 which will vest on May 20, 2021. Under the Amended Director Program, directors may elect to have all or any portion of their Automatic Stock Units paid on (A) the earlier of (i) the beginning of a specified calendar year after the vesting date or (ii) their separation from service as a member of the Board, or (B) the vesting date. Directors may elect to defer to a later year all or a portion of their remaining cash retainer or committee retainer fees into a stock unit account as Elective Stock Units or in alternative investment options. Elective Stock Units are awarded on a calendar quarterly basis. Directors may elect to have all or a portion of their Elective Stock Units paid on the earlier of (i) the beginning of a specified calendar year or (ii) their separation from service as a member of the Board. Stock units awarded under the Amended Director Program will be paid out in an equivalent number of shares of our common stock. Deferral elections are made prior to the beginning of the year for which the retainer fees will be paid. Directors are credited with dividend equivalents in connection with the accumulated stock units until the shares of common stock related to such stock units are issued.</w:t>
      </w:r>
    </w:p>
    <w:p>
      <w:pPr>
        <w:spacing w:after="0" w:line="8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Non-employee directors are eligible to participate in our Matching Gifts Program for Education. Under this program, the Northrop Grumman Foundation matches director contributions, up to $10,000 per year per director, to eligible educational programs in accordance with the program.</w:t>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29</w:t>
      </w:r>
    </w:p>
    <w:p>
      <w:pPr>
        <w:sectPr>
          <w:pgSz w:w="11900" w:h="16838" w:orient="portrait"/>
          <w:cols w:equalWidth="0" w:num="1">
            <w:col w:w="11240"/>
          </w:cols>
          <w:pgMar w:left="320" w:top="607" w:right="339" w:bottom="1440" w:gutter="0" w:footer="0" w:header="0"/>
        </w:sectPr>
      </w:pPr>
    </w:p>
    <w:bookmarkStart w:id="35" w:name="page36"/>
    <w:bookmarkEnd w:id="35"/>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5314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COMPENSATION OF DIRECTORS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Stock Ownership Requirements and Anti-Hedging and Pledging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Non-employee directors are required to own common stock of the Company in an amount equal to five times the annual cash retainer, with such ownership to be achieved within five years of the director's election to the Board. Deferred stock units and Company stock owned outright by the director count towards this requirement.</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Anti-Hedging and Pledging Policy</w:t>
      </w:r>
    </w:p>
    <w:p>
      <w:pPr>
        <w:spacing w:after="0" w:line="121"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Company policy prohibits our directors, NEOs, other elected and appointed officers, designated employees who are subject to specific preclearance procedures under the Company’s insider trading policy and any other employees who receive performance-based compensation, from engaging in hedging, pledging or other specified transactions. Specifically, this policy prohibits such persons from: engaging in hedging or derivative transactions, such as “cashless” collars, forward contracts, equity swaps or other similar or related transactions; entering into margin transactions involving Company stock; pledging Company securities as collateral for loans or other transactions; trading in puts, calls, options, warrants or other similar derivative instruments involving Company securities; or engaging in short sales of Company securities.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None of the shares of Company common stock held by our directors are pledged or subject to any hedging transaction.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1020"/>
          </w:cols>
          <w:pgMar w:left="320" w:top="607" w:right="559" w:bottom="1440" w:gutter="0" w:footer="0" w:header="0"/>
        </w:sectPr>
      </w:pPr>
    </w:p>
    <w:bookmarkStart w:id="36" w:name="page37"/>
    <w:bookmarkEnd w:id="36"/>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5314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COMPENSATION OF DIRECTORS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2020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information on the compensation of our non-employee directors for the year ended December 31, 2020.</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shd w:val="clear" w:color="auto" w:fill="00249C"/>
          </w:tcPr>
          <w:p>
            <w:pPr>
              <w:spacing w:after="0"/>
              <w:rPr>
                <w:sz w:val="16"/>
                <w:szCs w:val="16"/>
                <w:color w:val="auto"/>
              </w:rPr>
            </w:pPr>
          </w:p>
        </w:tc>
        <w:tc>
          <w:tcPr>
            <w:tcW w:w="2940" w:type="dxa"/>
            <w:vAlign w:val="bottom"/>
            <w:shd w:val="clear" w:color="auto" w:fill="00249C"/>
          </w:tcPr>
          <w:p>
            <w:pPr>
              <w:ind w:left="1440"/>
              <w:spacing w:after="0"/>
              <w:rPr>
                <w:sz w:val="20"/>
                <w:szCs w:val="20"/>
                <w:color w:val="auto"/>
              </w:rPr>
            </w:pPr>
            <w:r>
              <w:rPr>
                <w:rFonts w:ascii="Arial" w:cs="Arial" w:eastAsia="Arial" w:hAnsi="Arial"/>
                <w:sz w:val="16"/>
                <w:szCs w:val="16"/>
                <w:b w:val="1"/>
                <w:bCs w:val="1"/>
                <w:color w:val="FFFFFF"/>
              </w:rPr>
              <w:t>Fees Earned or</w:t>
            </w:r>
          </w:p>
        </w:tc>
        <w:tc>
          <w:tcPr>
            <w:tcW w:w="148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rPr>
              <w:t>Stock</w:t>
            </w:r>
          </w:p>
        </w:tc>
        <w:tc>
          <w:tcPr>
            <w:tcW w:w="216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rPr>
              <w:t>All Other</w:t>
            </w:r>
          </w:p>
        </w:tc>
        <w:tc>
          <w:tcPr>
            <w:tcW w:w="1520" w:type="dxa"/>
            <w:vAlign w:val="bottom"/>
            <w:vMerge w:val="restart"/>
            <w:shd w:val="clear" w:color="auto" w:fill="00249C"/>
          </w:tcPr>
          <w:p>
            <w:pPr>
              <w:ind w:left="560"/>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162"/>
        </w:trPr>
        <w:tc>
          <w:tcPr>
            <w:tcW w:w="3000" w:type="dxa"/>
            <w:vAlign w:val="bottom"/>
            <w:vMerge w:val="restart"/>
            <w:shd w:val="clear" w:color="auto" w:fill="00249C"/>
          </w:tcPr>
          <w:p>
            <w:pPr>
              <w:ind w:left="20"/>
              <w:spacing w:after="0"/>
              <w:rPr>
                <w:sz w:val="20"/>
                <w:szCs w:val="20"/>
                <w:color w:val="auto"/>
              </w:rPr>
            </w:pPr>
            <w:r>
              <w:rPr>
                <w:rFonts w:ascii="Arial" w:cs="Arial" w:eastAsia="Arial" w:hAnsi="Arial"/>
                <w:sz w:val="16"/>
                <w:szCs w:val="16"/>
                <w:b w:val="1"/>
                <w:bCs w:val="1"/>
                <w:color w:val="FFFFFF"/>
              </w:rPr>
              <w:t>Name</w:t>
            </w:r>
          </w:p>
        </w:tc>
        <w:tc>
          <w:tcPr>
            <w:tcW w:w="2940" w:type="dxa"/>
            <w:vAlign w:val="bottom"/>
            <w:shd w:val="clear" w:color="auto" w:fill="00249C"/>
          </w:tcPr>
          <w:p>
            <w:pPr>
              <w:ind w:left="1400"/>
              <w:spacing w:after="0" w:line="162" w:lineRule="exact"/>
              <w:rPr>
                <w:sz w:val="20"/>
                <w:szCs w:val="20"/>
                <w:color w:val="auto"/>
              </w:rPr>
            </w:pPr>
            <w:r>
              <w:rPr>
                <w:rFonts w:ascii="Arial" w:cs="Arial" w:eastAsia="Arial" w:hAnsi="Arial"/>
                <w:sz w:val="16"/>
                <w:szCs w:val="16"/>
                <w:b w:val="1"/>
                <w:bCs w:val="1"/>
                <w:color w:val="FFFFFF"/>
              </w:rPr>
              <w:t>Paid in Cash (1)</w:t>
            </w:r>
          </w:p>
        </w:tc>
        <w:tc>
          <w:tcPr>
            <w:tcW w:w="1480" w:type="dxa"/>
            <w:vAlign w:val="bottom"/>
            <w:shd w:val="clear" w:color="auto" w:fill="00249C"/>
          </w:tcPr>
          <w:p>
            <w:pPr>
              <w:jc w:val="center"/>
              <w:spacing w:after="0" w:line="162" w:lineRule="exact"/>
              <w:rPr>
                <w:sz w:val="20"/>
                <w:szCs w:val="20"/>
                <w:color w:val="auto"/>
              </w:rPr>
            </w:pPr>
            <w:r>
              <w:rPr>
                <w:rFonts w:ascii="Arial" w:cs="Arial" w:eastAsia="Arial" w:hAnsi="Arial"/>
                <w:sz w:val="16"/>
                <w:szCs w:val="16"/>
                <w:b w:val="1"/>
                <w:bCs w:val="1"/>
                <w:color w:val="FFFFFF"/>
              </w:rPr>
              <w:t>Awards (2)</w:t>
            </w:r>
          </w:p>
        </w:tc>
        <w:tc>
          <w:tcPr>
            <w:tcW w:w="2160" w:type="dxa"/>
            <w:vAlign w:val="bottom"/>
            <w:shd w:val="clear" w:color="auto" w:fill="00249C"/>
          </w:tcPr>
          <w:p>
            <w:pPr>
              <w:jc w:val="center"/>
              <w:spacing w:after="0" w:line="162" w:lineRule="exact"/>
              <w:rPr>
                <w:sz w:val="20"/>
                <w:szCs w:val="20"/>
                <w:color w:val="auto"/>
              </w:rPr>
            </w:pPr>
            <w:r>
              <w:rPr>
                <w:rFonts w:ascii="Arial" w:cs="Arial" w:eastAsia="Arial" w:hAnsi="Arial"/>
                <w:sz w:val="16"/>
                <w:szCs w:val="16"/>
                <w:b w:val="1"/>
                <w:bCs w:val="1"/>
                <w:color w:val="FFFFFF"/>
              </w:rPr>
              <w:t>Compensation (3)</w:t>
            </w:r>
          </w:p>
        </w:tc>
        <w:tc>
          <w:tcPr>
            <w:tcW w:w="1520" w:type="dxa"/>
            <w:vAlign w:val="bottom"/>
            <w:vMerge w:val="continue"/>
            <w:shd w:val="clear" w:color="auto" w:fill="00249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00" w:type="dxa"/>
            <w:vAlign w:val="bottom"/>
            <w:vMerge w:val="continue"/>
            <w:shd w:val="clear" w:color="auto" w:fill="00249C"/>
          </w:tcPr>
          <w:p>
            <w:pPr>
              <w:spacing w:after="0"/>
              <w:rPr>
                <w:sz w:val="18"/>
                <w:szCs w:val="18"/>
                <w:color w:val="auto"/>
              </w:rPr>
            </w:pPr>
          </w:p>
        </w:tc>
        <w:tc>
          <w:tcPr>
            <w:tcW w:w="2940" w:type="dxa"/>
            <w:vAlign w:val="bottom"/>
            <w:shd w:val="clear" w:color="auto" w:fill="00249C"/>
          </w:tcPr>
          <w:p>
            <w:pPr>
              <w:jc w:val="center"/>
              <w:ind w:left="1019"/>
              <w:spacing w:after="0"/>
              <w:rPr>
                <w:sz w:val="20"/>
                <w:szCs w:val="20"/>
                <w:color w:val="auto"/>
              </w:rPr>
            </w:pPr>
            <w:r>
              <w:rPr>
                <w:rFonts w:ascii="Arial" w:cs="Arial" w:eastAsia="Arial" w:hAnsi="Arial"/>
                <w:sz w:val="16"/>
                <w:szCs w:val="16"/>
                <w:b w:val="1"/>
                <w:bCs w:val="1"/>
                <w:color w:val="FFFFFF"/>
              </w:rPr>
              <w:t>($)</w:t>
            </w:r>
          </w:p>
        </w:tc>
        <w:tc>
          <w:tcPr>
            <w:tcW w:w="148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w w:val="91"/>
              </w:rPr>
              <w:t>($)</w:t>
            </w:r>
          </w:p>
        </w:tc>
        <w:tc>
          <w:tcPr>
            <w:tcW w:w="216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rPr>
              <w:t>($)</w:t>
            </w:r>
          </w:p>
        </w:tc>
        <w:tc>
          <w:tcPr>
            <w:tcW w:w="152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16"/>
        </w:trPr>
        <w:tc>
          <w:tcPr>
            <w:tcW w:w="3000" w:type="dxa"/>
            <w:vAlign w:val="bottom"/>
            <w:shd w:val="clear" w:color="auto" w:fill="D1DDE6"/>
          </w:tcPr>
          <w:p>
            <w:pPr>
              <w:ind w:left="20"/>
              <w:spacing w:after="0"/>
              <w:rPr>
                <w:sz w:val="20"/>
                <w:szCs w:val="20"/>
                <w:color w:val="auto"/>
              </w:rPr>
            </w:pPr>
            <w:r>
              <w:rPr>
                <w:rFonts w:ascii="Arial" w:cs="Arial" w:eastAsia="Arial" w:hAnsi="Arial"/>
                <w:sz w:val="16"/>
                <w:szCs w:val="16"/>
                <w:color w:val="auto"/>
              </w:rPr>
              <w:t>David P. Abney</w:t>
            </w:r>
          </w:p>
        </w:tc>
        <w:tc>
          <w:tcPr>
            <w:tcW w:w="2940" w:type="dxa"/>
            <w:vAlign w:val="bottom"/>
            <w:shd w:val="clear" w:color="auto" w:fill="D1DDE6"/>
          </w:tcPr>
          <w:p>
            <w:pPr>
              <w:jc w:val="center"/>
              <w:ind w:left="999"/>
              <w:spacing w:after="0"/>
              <w:rPr>
                <w:sz w:val="20"/>
                <w:szCs w:val="20"/>
                <w:color w:val="auto"/>
              </w:rPr>
            </w:pPr>
            <w:r>
              <w:rPr>
                <w:rFonts w:ascii="Arial" w:cs="Arial" w:eastAsia="Arial" w:hAnsi="Arial"/>
                <w:sz w:val="16"/>
                <w:szCs w:val="16"/>
                <w:color w:val="auto"/>
              </w:rPr>
              <w:t>77,700</w:t>
            </w:r>
          </w:p>
        </w:tc>
        <w:tc>
          <w:tcPr>
            <w:tcW w:w="1480" w:type="dxa"/>
            <w:vAlign w:val="bottom"/>
            <w:shd w:val="clear" w:color="auto" w:fill="D1DDE6"/>
          </w:tcPr>
          <w:p>
            <w:pPr>
              <w:jc w:val="center"/>
              <w:spacing w:after="0"/>
              <w:rPr>
                <w:sz w:val="20"/>
                <w:szCs w:val="20"/>
                <w:color w:val="auto"/>
              </w:rPr>
            </w:pPr>
            <w:r>
              <w:rPr>
                <w:rFonts w:ascii="Arial" w:cs="Arial" w:eastAsia="Arial" w:hAnsi="Arial"/>
                <w:sz w:val="16"/>
                <w:szCs w:val="16"/>
                <w:color w:val="auto"/>
              </w:rPr>
              <w:t>150,400</w:t>
            </w:r>
          </w:p>
        </w:tc>
        <w:tc>
          <w:tcPr>
            <w:tcW w:w="2160" w:type="dxa"/>
            <w:vAlign w:val="bottom"/>
            <w:shd w:val="clear" w:color="auto" w:fill="D1DDE6"/>
          </w:tcPr>
          <w:p>
            <w:pPr>
              <w:jc w:val="center"/>
              <w:spacing w:after="0"/>
              <w:rPr>
                <w:sz w:val="20"/>
                <w:szCs w:val="20"/>
                <w:color w:val="auto"/>
              </w:rPr>
            </w:pPr>
            <w:r>
              <w:rPr>
                <w:rFonts w:ascii="Arial" w:cs="Arial" w:eastAsia="Arial" w:hAnsi="Arial"/>
                <w:sz w:val="16"/>
                <w:szCs w:val="16"/>
                <w:color w:val="auto"/>
                <w:w w:val="89"/>
              </w:rPr>
              <w:t>3</w:t>
            </w:r>
          </w:p>
        </w:tc>
        <w:tc>
          <w:tcPr>
            <w:tcW w:w="1520" w:type="dxa"/>
            <w:vAlign w:val="bottom"/>
            <w:shd w:val="clear" w:color="auto" w:fill="D1DDE6"/>
          </w:tcPr>
          <w:p>
            <w:pPr>
              <w:jc w:val="center"/>
              <w:spacing w:after="0"/>
              <w:rPr>
                <w:sz w:val="20"/>
                <w:szCs w:val="20"/>
                <w:color w:val="auto"/>
              </w:rPr>
            </w:pPr>
            <w:r>
              <w:rPr>
                <w:rFonts w:ascii="Arial" w:cs="Arial" w:eastAsia="Arial" w:hAnsi="Arial"/>
                <w:sz w:val="16"/>
                <w:szCs w:val="16"/>
                <w:color w:val="auto"/>
              </w:rPr>
              <w:t>228,103</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color w:val="auto"/>
              </w:rPr>
              <w:t>Marianne C. Brown</w:t>
            </w:r>
          </w:p>
        </w:tc>
        <w:tc>
          <w:tcPr>
            <w:tcW w:w="2940" w:type="dxa"/>
            <w:vAlign w:val="bottom"/>
          </w:tcPr>
          <w:p>
            <w:pPr>
              <w:jc w:val="center"/>
              <w:ind w:left="999"/>
              <w:spacing w:after="0"/>
              <w:rPr>
                <w:sz w:val="20"/>
                <w:szCs w:val="20"/>
                <w:color w:val="auto"/>
              </w:rPr>
            </w:pPr>
            <w:r>
              <w:rPr>
                <w:rFonts w:ascii="Arial" w:cs="Arial" w:eastAsia="Arial" w:hAnsi="Arial"/>
                <w:sz w:val="16"/>
                <w:szCs w:val="16"/>
                <w:color w:val="auto"/>
              </w:rPr>
              <w:t>136,125</w:t>
            </w:r>
          </w:p>
        </w:tc>
        <w:tc>
          <w:tcPr>
            <w:tcW w:w="1480" w:type="dxa"/>
            <w:vAlign w:val="bottom"/>
          </w:tcPr>
          <w:p>
            <w:pPr>
              <w:jc w:val="center"/>
              <w:spacing w:after="0"/>
              <w:rPr>
                <w:sz w:val="20"/>
                <w:szCs w:val="20"/>
                <w:color w:val="auto"/>
              </w:rPr>
            </w:pPr>
            <w:r>
              <w:rPr>
                <w:rFonts w:ascii="Arial" w:cs="Arial" w:eastAsia="Arial" w:hAnsi="Arial"/>
                <w:sz w:val="16"/>
                <w:szCs w:val="16"/>
                <w:color w:val="auto"/>
              </w:rPr>
              <w:t>160,000</w:t>
            </w:r>
          </w:p>
        </w:tc>
        <w:tc>
          <w:tcPr>
            <w:tcW w:w="2160" w:type="dxa"/>
            <w:vAlign w:val="bottom"/>
          </w:tcPr>
          <w:p>
            <w:pPr>
              <w:jc w:val="center"/>
              <w:spacing w:after="0"/>
              <w:rPr>
                <w:sz w:val="20"/>
                <w:szCs w:val="20"/>
                <w:color w:val="auto"/>
              </w:rPr>
            </w:pPr>
            <w:r>
              <w:rPr>
                <w:rFonts w:ascii="Arial" w:cs="Arial" w:eastAsia="Arial" w:hAnsi="Arial"/>
                <w:sz w:val="16"/>
                <w:szCs w:val="16"/>
                <w:color w:val="auto"/>
                <w:w w:val="98"/>
              </w:rPr>
              <w:t>11,402</w:t>
            </w:r>
          </w:p>
        </w:tc>
        <w:tc>
          <w:tcPr>
            <w:tcW w:w="1520" w:type="dxa"/>
            <w:vAlign w:val="bottom"/>
          </w:tcPr>
          <w:p>
            <w:pPr>
              <w:jc w:val="center"/>
              <w:spacing w:after="0"/>
              <w:rPr>
                <w:sz w:val="20"/>
                <w:szCs w:val="20"/>
                <w:color w:val="auto"/>
              </w:rPr>
            </w:pPr>
            <w:r>
              <w:rPr>
                <w:rFonts w:ascii="Arial" w:cs="Arial" w:eastAsia="Arial" w:hAnsi="Arial"/>
                <w:sz w:val="16"/>
                <w:szCs w:val="16"/>
                <w:color w:val="auto"/>
              </w:rPr>
              <w:t>307,527</w:t>
            </w:r>
          </w:p>
        </w:tc>
        <w:tc>
          <w:tcPr>
            <w:tcW w:w="0" w:type="dxa"/>
            <w:vAlign w:val="bottom"/>
          </w:tcPr>
          <w:p>
            <w:pPr>
              <w:spacing w:after="0"/>
              <w:rPr>
                <w:sz w:val="1"/>
                <w:szCs w:val="1"/>
                <w:color w:val="auto"/>
              </w:rPr>
            </w:pPr>
          </w:p>
        </w:tc>
      </w:tr>
      <w:tr>
        <w:trPr>
          <w:trHeight w:val="219"/>
        </w:trPr>
        <w:tc>
          <w:tcPr>
            <w:tcW w:w="3000" w:type="dxa"/>
            <w:vAlign w:val="bottom"/>
            <w:shd w:val="clear" w:color="auto" w:fill="D1DDE6"/>
          </w:tcPr>
          <w:p>
            <w:pPr>
              <w:ind w:left="20"/>
              <w:spacing w:after="0"/>
              <w:rPr>
                <w:sz w:val="20"/>
                <w:szCs w:val="20"/>
                <w:color w:val="auto"/>
              </w:rPr>
            </w:pPr>
            <w:r>
              <w:rPr>
                <w:rFonts w:ascii="Arial" w:cs="Arial" w:eastAsia="Arial" w:hAnsi="Arial"/>
                <w:sz w:val="16"/>
                <w:szCs w:val="16"/>
                <w:color w:val="auto"/>
              </w:rPr>
              <w:t>Donald E. Felsinger</w:t>
            </w:r>
          </w:p>
        </w:tc>
        <w:tc>
          <w:tcPr>
            <w:tcW w:w="2940" w:type="dxa"/>
            <w:vAlign w:val="bottom"/>
            <w:shd w:val="clear" w:color="auto" w:fill="D1DDE6"/>
          </w:tcPr>
          <w:p>
            <w:pPr>
              <w:jc w:val="center"/>
              <w:ind w:left="999"/>
              <w:spacing w:after="0"/>
              <w:rPr>
                <w:sz w:val="20"/>
                <w:szCs w:val="20"/>
                <w:color w:val="auto"/>
              </w:rPr>
            </w:pPr>
            <w:r>
              <w:rPr>
                <w:rFonts w:ascii="Arial" w:cs="Arial" w:eastAsia="Arial" w:hAnsi="Arial"/>
                <w:sz w:val="16"/>
                <w:szCs w:val="16"/>
                <w:color w:val="auto"/>
              </w:rPr>
              <w:t>165,000</w:t>
            </w:r>
          </w:p>
        </w:tc>
        <w:tc>
          <w:tcPr>
            <w:tcW w:w="1480" w:type="dxa"/>
            <w:vAlign w:val="bottom"/>
            <w:shd w:val="clear" w:color="auto" w:fill="D1DDE6"/>
          </w:tcPr>
          <w:p>
            <w:pPr>
              <w:jc w:val="center"/>
              <w:spacing w:after="0"/>
              <w:rPr>
                <w:sz w:val="20"/>
                <w:szCs w:val="20"/>
                <w:color w:val="auto"/>
              </w:rPr>
            </w:pPr>
            <w:r>
              <w:rPr>
                <w:rFonts w:ascii="Arial" w:cs="Arial" w:eastAsia="Arial" w:hAnsi="Arial"/>
                <w:sz w:val="16"/>
                <w:szCs w:val="16"/>
                <w:color w:val="auto"/>
              </w:rPr>
              <w:t>160,000</w:t>
            </w:r>
          </w:p>
        </w:tc>
        <w:tc>
          <w:tcPr>
            <w:tcW w:w="2160" w:type="dxa"/>
            <w:vAlign w:val="bottom"/>
            <w:shd w:val="clear" w:color="auto" w:fill="D1DDE6"/>
          </w:tcPr>
          <w:p>
            <w:pPr>
              <w:jc w:val="center"/>
              <w:spacing w:after="0"/>
              <w:rPr>
                <w:sz w:val="20"/>
                <w:szCs w:val="20"/>
                <w:color w:val="auto"/>
              </w:rPr>
            </w:pPr>
            <w:r>
              <w:rPr>
                <w:rFonts w:ascii="Arial" w:cs="Arial" w:eastAsia="Arial" w:hAnsi="Arial"/>
                <w:sz w:val="16"/>
                <w:szCs w:val="16"/>
                <w:color w:val="auto"/>
                <w:w w:val="98"/>
              </w:rPr>
              <w:t>34,479</w:t>
            </w:r>
          </w:p>
        </w:tc>
        <w:tc>
          <w:tcPr>
            <w:tcW w:w="1520" w:type="dxa"/>
            <w:vAlign w:val="bottom"/>
            <w:shd w:val="clear" w:color="auto" w:fill="D1DDE6"/>
          </w:tcPr>
          <w:p>
            <w:pPr>
              <w:jc w:val="center"/>
              <w:spacing w:after="0"/>
              <w:rPr>
                <w:sz w:val="20"/>
                <w:szCs w:val="20"/>
                <w:color w:val="auto"/>
              </w:rPr>
            </w:pPr>
            <w:r>
              <w:rPr>
                <w:rFonts w:ascii="Arial" w:cs="Arial" w:eastAsia="Arial" w:hAnsi="Arial"/>
                <w:sz w:val="16"/>
                <w:szCs w:val="16"/>
                <w:color w:val="auto"/>
              </w:rPr>
              <w:t>359,479</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color w:val="auto"/>
              </w:rPr>
              <w:t>Ann M. Fudge</w:t>
            </w:r>
          </w:p>
        </w:tc>
        <w:tc>
          <w:tcPr>
            <w:tcW w:w="2940" w:type="dxa"/>
            <w:vAlign w:val="bottom"/>
          </w:tcPr>
          <w:p>
            <w:pPr>
              <w:jc w:val="center"/>
              <w:ind w:left="999"/>
              <w:spacing w:after="0"/>
              <w:rPr>
                <w:sz w:val="20"/>
                <w:szCs w:val="20"/>
                <w:color w:val="auto"/>
              </w:rPr>
            </w:pPr>
            <w:r>
              <w:rPr>
                <w:rFonts w:ascii="Arial" w:cs="Arial" w:eastAsia="Arial" w:hAnsi="Arial"/>
                <w:sz w:val="16"/>
                <w:szCs w:val="16"/>
                <w:color w:val="auto"/>
              </w:rPr>
              <w:t>140,000</w:t>
            </w:r>
          </w:p>
        </w:tc>
        <w:tc>
          <w:tcPr>
            <w:tcW w:w="1480" w:type="dxa"/>
            <w:vAlign w:val="bottom"/>
          </w:tcPr>
          <w:p>
            <w:pPr>
              <w:jc w:val="center"/>
              <w:spacing w:after="0"/>
              <w:rPr>
                <w:sz w:val="20"/>
                <w:szCs w:val="20"/>
                <w:color w:val="auto"/>
              </w:rPr>
            </w:pPr>
            <w:r>
              <w:rPr>
                <w:rFonts w:ascii="Arial" w:cs="Arial" w:eastAsia="Arial" w:hAnsi="Arial"/>
                <w:sz w:val="16"/>
                <w:szCs w:val="16"/>
                <w:color w:val="auto"/>
              </w:rPr>
              <w:t>160,000</w:t>
            </w:r>
          </w:p>
        </w:tc>
        <w:tc>
          <w:tcPr>
            <w:tcW w:w="2160" w:type="dxa"/>
            <w:vAlign w:val="bottom"/>
          </w:tcPr>
          <w:p>
            <w:pPr>
              <w:jc w:val="center"/>
              <w:spacing w:after="0"/>
              <w:rPr>
                <w:sz w:val="20"/>
                <w:szCs w:val="20"/>
                <w:color w:val="auto"/>
              </w:rPr>
            </w:pPr>
            <w:r>
              <w:rPr>
                <w:rFonts w:ascii="Arial" w:cs="Arial" w:eastAsia="Arial" w:hAnsi="Arial"/>
                <w:sz w:val="16"/>
                <w:szCs w:val="16"/>
                <w:color w:val="auto"/>
                <w:w w:val="98"/>
              </w:rPr>
              <w:t>10,740</w:t>
            </w:r>
          </w:p>
        </w:tc>
        <w:tc>
          <w:tcPr>
            <w:tcW w:w="1520" w:type="dxa"/>
            <w:vAlign w:val="bottom"/>
          </w:tcPr>
          <w:p>
            <w:pPr>
              <w:jc w:val="center"/>
              <w:spacing w:after="0"/>
              <w:rPr>
                <w:sz w:val="20"/>
                <w:szCs w:val="20"/>
                <w:color w:val="auto"/>
              </w:rPr>
            </w:pPr>
            <w:r>
              <w:rPr>
                <w:rFonts w:ascii="Arial" w:cs="Arial" w:eastAsia="Arial" w:hAnsi="Arial"/>
                <w:sz w:val="16"/>
                <w:szCs w:val="16"/>
                <w:color w:val="auto"/>
              </w:rPr>
              <w:t>310,740</w:t>
            </w:r>
          </w:p>
        </w:tc>
        <w:tc>
          <w:tcPr>
            <w:tcW w:w="0" w:type="dxa"/>
            <w:vAlign w:val="bottom"/>
          </w:tcPr>
          <w:p>
            <w:pPr>
              <w:spacing w:after="0"/>
              <w:rPr>
                <w:sz w:val="1"/>
                <w:szCs w:val="1"/>
                <w:color w:val="auto"/>
              </w:rPr>
            </w:pPr>
          </w:p>
        </w:tc>
      </w:tr>
      <w:tr>
        <w:trPr>
          <w:trHeight w:val="219"/>
        </w:trPr>
        <w:tc>
          <w:tcPr>
            <w:tcW w:w="3000" w:type="dxa"/>
            <w:vAlign w:val="bottom"/>
            <w:shd w:val="clear" w:color="auto" w:fill="D1DDE6"/>
          </w:tcPr>
          <w:p>
            <w:pPr>
              <w:ind w:left="20"/>
              <w:spacing w:after="0"/>
              <w:rPr>
                <w:sz w:val="20"/>
                <w:szCs w:val="20"/>
                <w:color w:val="auto"/>
              </w:rPr>
            </w:pPr>
            <w:r>
              <w:rPr>
                <w:rFonts w:ascii="Arial" w:cs="Arial" w:eastAsia="Arial" w:hAnsi="Arial"/>
                <w:sz w:val="16"/>
                <w:szCs w:val="16"/>
                <w:color w:val="auto"/>
              </w:rPr>
              <w:t>Bruce S. Gordon</w:t>
            </w:r>
          </w:p>
        </w:tc>
        <w:tc>
          <w:tcPr>
            <w:tcW w:w="2940" w:type="dxa"/>
            <w:vAlign w:val="bottom"/>
            <w:shd w:val="clear" w:color="auto" w:fill="D1DDE6"/>
          </w:tcPr>
          <w:p>
            <w:pPr>
              <w:jc w:val="center"/>
              <w:ind w:left="999"/>
              <w:spacing w:after="0"/>
              <w:rPr>
                <w:sz w:val="20"/>
                <w:szCs w:val="20"/>
                <w:color w:val="auto"/>
              </w:rPr>
            </w:pPr>
            <w:r>
              <w:rPr>
                <w:rFonts w:ascii="Arial" w:cs="Arial" w:eastAsia="Arial" w:hAnsi="Arial"/>
                <w:sz w:val="16"/>
                <w:szCs w:val="16"/>
                <w:color w:val="auto"/>
              </w:rPr>
              <w:t>130,000</w:t>
            </w:r>
          </w:p>
        </w:tc>
        <w:tc>
          <w:tcPr>
            <w:tcW w:w="1480" w:type="dxa"/>
            <w:vAlign w:val="bottom"/>
            <w:shd w:val="clear" w:color="auto" w:fill="D1DDE6"/>
          </w:tcPr>
          <w:p>
            <w:pPr>
              <w:jc w:val="center"/>
              <w:spacing w:after="0"/>
              <w:rPr>
                <w:sz w:val="20"/>
                <w:szCs w:val="20"/>
                <w:color w:val="auto"/>
              </w:rPr>
            </w:pPr>
            <w:r>
              <w:rPr>
                <w:rFonts w:ascii="Arial" w:cs="Arial" w:eastAsia="Arial" w:hAnsi="Arial"/>
                <w:sz w:val="16"/>
                <w:szCs w:val="16"/>
                <w:color w:val="auto"/>
              </w:rPr>
              <w:t>160,000</w:t>
            </w:r>
          </w:p>
        </w:tc>
        <w:tc>
          <w:tcPr>
            <w:tcW w:w="2160" w:type="dxa"/>
            <w:vAlign w:val="bottom"/>
            <w:shd w:val="clear" w:color="auto" w:fill="D1DDE6"/>
          </w:tcPr>
          <w:p>
            <w:pPr>
              <w:jc w:val="center"/>
              <w:spacing w:after="0"/>
              <w:rPr>
                <w:sz w:val="20"/>
                <w:szCs w:val="20"/>
                <w:color w:val="auto"/>
              </w:rPr>
            </w:pPr>
            <w:r>
              <w:rPr>
                <w:rFonts w:ascii="Arial" w:cs="Arial" w:eastAsia="Arial" w:hAnsi="Arial"/>
                <w:sz w:val="16"/>
                <w:szCs w:val="16"/>
                <w:color w:val="auto"/>
                <w:w w:val="98"/>
              </w:rPr>
              <w:t>34,814</w:t>
            </w:r>
          </w:p>
        </w:tc>
        <w:tc>
          <w:tcPr>
            <w:tcW w:w="1520" w:type="dxa"/>
            <w:vAlign w:val="bottom"/>
            <w:shd w:val="clear" w:color="auto" w:fill="D1DDE6"/>
          </w:tcPr>
          <w:p>
            <w:pPr>
              <w:jc w:val="center"/>
              <w:spacing w:after="0"/>
              <w:rPr>
                <w:sz w:val="20"/>
                <w:szCs w:val="20"/>
                <w:color w:val="auto"/>
              </w:rPr>
            </w:pPr>
            <w:r>
              <w:rPr>
                <w:rFonts w:ascii="Arial" w:cs="Arial" w:eastAsia="Arial" w:hAnsi="Arial"/>
                <w:sz w:val="16"/>
                <w:szCs w:val="16"/>
                <w:color w:val="auto"/>
              </w:rPr>
              <w:t>324,814</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color w:val="auto"/>
              </w:rPr>
              <w:t>William H. Hernandez</w:t>
            </w:r>
          </w:p>
        </w:tc>
        <w:tc>
          <w:tcPr>
            <w:tcW w:w="2940" w:type="dxa"/>
            <w:vAlign w:val="bottom"/>
          </w:tcPr>
          <w:p>
            <w:pPr>
              <w:jc w:val="center"/>
              <w:ind w:left="999"/>
              <w:spacing w:after="0"/>
              <w:rPr>
                <w:sz w:val="20"/>
                <w:szCs w:val="20"/>
                <w:color w:val="auto"/>
              </w:rPr>
            </w:pPr>
            <w:r>
              <w:rPr>
                <w:rFonts w:ascii="Arial" w:cs="Arial" w:eastAsia="Arial" w:hAnsi="Arial"/>
                <w:sz w:val="16"/>
                <w:szCs w:val="16"/>
                <w:color w:val="auto"/>
              </w:rPr>
              <w:t>160,000</w:t>
            </w:r>
          </w:p>
        </w:tc>
        <w:tc>
          <w:tcPr>
            <w:tcW w:w="1480" w:type="dxa"/>
            <w:vAlign w:val="bottom"/>
          </w:tcPr>
          <w:p>
            <w:pPr>
              <w:jc w:val="center"/>
              <w:spacing w:after="0"/>
              <w:rPr>
                <w:sz w:val="20"/>
                <w:szCs w:val="20"/>
                <w:color w:val="auto"/>
              </w:rPr>
            </w:pPr>
            <w:r>
              <w:rPr>
                <w:rFonts w:ascii="Arial" w:cs="Arial" w:eastAsia="Arial" w:hAnsi="Arial"/>
                <w:sz w:val="16"/>
                <w:szCs w:val="16"/>
                <w:color w:val="auto"/>
              </w:rPr>
              <w:t>160,000</w:t>
            </w:r>
          </w:p>
        </w:tc>
        <w:tc>
          <w:tcPr>
            <w:tcW w:w="2160" w:type="dxa"/>
            <w:vAlign w:val="bottom"/>
          </w:tcPr>
          <w:p>
            <w:pPr>
              <w:jc w:val="center"/>
              <w:spacing w:after="0"/>
              <w:rPr>
                <w:sz w:val="20"/>
                <w:szCs w:val="20"/>
                <w:color w:val="auto"/>
              </w:rPr>
            </w:pPr>
            <w:r>
              <w:rPr>
                <w:rFonts w:ascii="Arial" w:cs="Arial" w:eastAsia="Arial" w:hAnsi="Arial"/>
                <w:sz w:val="16"/>
                <w:szCs w:val="16"/>
                <w:color w:val="auto"/>
                <w:w w:val="99"/>
              </w:rPr>
              <w:t>1,835</w:t>
            </w:r>
          </w:p>
        </w:tc>
        <w:tc>
          <w:tcPr>
            <w:tcW w:w="1520" w:type="dxa"/>
            <w:vAlign w:val="bottom"/>
          </w:tcPr>
          <w:p>
            <w:pPr>
              <w:jc w:val="center"/>
              <w:spacing w:after="0"/>
              <w:rPr>
                <w:sz w:val="20"/>
                <w:szCs w:val="20"/>
                <w:color w:val="auto"/>
              </w:rPr>
            </w:pPr>
            <w:r>
              <w:rPr>
                <w:rFonts w:ascii="Arial" w:cs="Arial" w:eastAsia="Arial" w:hAnsi="Arial"/>
                <w:sz w:val="16"/>
                <w:szCs w:val="16"/>
                <w:color w:val="auto"/>
              </w:rPr>
              <w:t>321,835</w:t>
            </w:r>
          </w:p>
        </w:tc>
        <w:tc>
          <w:tcPr>
            <w:tcW w:w="0" w:type="dxa"/>
            <w:vAlign w:val="bottom"/>
          </w:tcPr>
          <w:p>
            <w:pPr>
              <w:spacing w:after="0"/>
              <w:rPr>
                <w:sz w:val="1"/>
                <w:szCs w:val="1"/>
                <w:color w:val="auto"/>
              </w:rPr>
            </w:pPr>
          </w:p>
        </w:tc>
      </w:tr>
      <w:tr>
        <w:trPr>
          <w:trHeight w:val="219"/>
        </w:trPr>
        <w:tc>
          <w:tcPr>
            <w:tcW w:w="3000" w:type="dxa"/>
            <w:vAlign w:val="bottom"/>
            <w:shd w:val="clear" w:color="auto" w:fill="D1DDE6"/>
          </w:tcPr>
          <w:p>
            <w:pPr>
              <w:ind w:left="20"/>
              <w:spacing w:after="0"/>
              <w:rPr>
                <w:sz w:val="20"/>
                <w:szCs w:val="20"/>
                <w:color w:val="auto"/>
              </w:rPr>
            </w:pPr>
            <w:r>
              <w:rPr>
                <w:rFonts w:ascii="Arial" w:cs="Arial" w:eastAsia="Arial" w:hAnsi="Arial"/>
                <w:sz w:val="16"/>
                <w:szCs w:val="16"/>
                <w:color w:val="auto"/>
              </w:rPr>
              <w:t>Madeleine A. Kleiner</w:t>
            </w:r>
          </w:p>
        </w:tc>
        <w:tc>
          <w:tcPr>
            <w:tcW w:w="2940" w:type="dxa"/>
            <w:vAlign w:val="bottom"/>
            <w:shd w:val="clear" w:color="auto" w:fill="D1DDE6"/>
          </w:tcPr>
          <w:p>
            <w:pPr>
              <w:jc w:val="center"/>
              <w:ind w:left="999"/>
              <w:spacing w:after="0"/>
              <w:rPr>
                <w:sz w:val="20"/>
                <w:szCs w:val="20"/>
                <w:color w:val="auto"/>
              </w:rPr>
            </w:pPr>
            <w:r>
              <w:rPr>
                <w:rFonts w:ascii="Arial" w:cs="Arial" w:eastAsia="Arial" w:hAnsi="Arial"/>
                <w:sz w:val="16"/>
                <w:szCs w:val="16"/>
                <w:color w:val="auto"/>
              </w:rPr>
              <w:t>153,875</w:t>
            </w:r>
          </w:p>
        </w:tc>
        <w:tc>
          <w:tcPr>
            <w:tcW w:w="1480" w:type="dxa"/>
            <w:vAlign w:val="bottom"/>
            <w:shd w:val="clear" w:color="auto" w:fill="D1DDE6"/>
          </w:tcPr>
          <w:p>
            <w:pPr>
              <w:jc w:val="center"/>
              <w:spacing w:after="0"/>
              <w:rPr>
                <w:sz w:val="20"/>
                <w:szCs w:val="20"/>
                <w:color w:val="auto"/>
              </w:rPr>
            </w:pPr>
            <w:r>
              <w:rPr>
                <w:rFonts w:ascii="Arial" w:cs="Arial" w:eastAsia="Arial" w:hAnsi="Arial"/>
                <w:sz w:val="16"/>
                <w:szCs w:val="16"/>
                <w:color w:val="auto"/>
              </w:rPr>
              <w:t>160,000</w:t>
            </w:r>
          </w:p>
        </w:tc>
        <w:tc>
          <w:tcPr>
            <w:tcW w:w="2160" w:type="dxa"/>
            <w:vAlign w:val="bottom"/>
            <w:shd w:val="clear" w:color="auto" w:fill="D1DDE6"/>
          </w:tcPr>
          <w:p>
            <w:pPr>
              <w:jc w:val="center"/>
              <w:spacing w:after="0"/>
              <w:rPr>
                <w:sz w:val="20"/>
                <w:szCs w:val="20"/>
                <w:color w:val="auto"/>
              </w:rPr>
            </w:pPr>
            <w:r>
              <w:rPr>
                <w:rFonts w:ascii="Arial" w:cs="Arial" w:eastAsia="Arial" w:hAnsi="Arial"/>
                <w:sz w:val="16"/>
                <w:szCs w:val="16"/>
                <w:color w:val="auto"/>
                <w:w w:val="98"/>
              </w:rPr>
              <w:t>19,446</w:t>
            </w:r>
          </w:p>
        </w:tc>
        <w:tc>
          <w:tcPr>
            <w:tcW w:w="1520" w:type="dxa"/>
            <w:vAlign w:val="bottom"/>
            <w:shd w:val="clear" w:color="auto" w:fill="D1DDE6"/>
          </w:tcPr>
          <w:p>
            <w:pPr>
              <w:jc w:val="center"/>
              <w:spacing w:after="0"/>
              <w:rPr>
                <w:sz w:val="20"/>
                <w:szCs w:val="20"/>
                <w:color w:val="auto"/>
              </w:rPr>
            </w:pPr>
            <w:r>
              <w:rPr>
                <w:rFonts w:ascii="Arial" w:cs="Arial" w:eastAsia="Arial" w:hAnsi="Arial"/>
                <w:sz w:val="16"/>
                <w:szCs w:val="16"/>
                <w:color w:val="auto"/>
              </w:rPr>
              <w:t>333,321</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color w:val="auto"/>
              </w:rPr>
              <w:t>Karl J. Krapek</w:t>
            </w:r>
          </w:p>
        </w:tc>
        <w:tc>
          <w:tcPr>
            <w:tcW w:w="2940" w:type="dxa"/>
            <w:vAlign w:val="bottom"/>
          </w:tcPr>
          <w:p>
            <w:pPr>
              <w:jc w:val="center"/>
              <w:ind w:left="999"/>
              <w:spacing w:after="0"/>
              <w:rPr>
                <w:sz w:val="20"/>
                <w:szCs w:val="20"/>
                <w:color w:val="auto"/>
              </w:rPr>
            </w:pPr>
            <w:r>
              <w:rPr>
                <w:rFonts w:ascii="Arial" w:cs="Arial" w:eastAsia="Arial" w:hAnsi="Arial"/>
                <w:sz w:val="16"/>
                <w:szCs w:val="16"/>
                <w:color w:val="auto"/>
              </w:rPr>
              <w:t>130,000</w:t>
            </w:r>
          </w:p>
        </w:tc>
        <w:tc>
          <w:tcPr>
            <w:tcW w:w="1480" w:type="dxa"/>
            <w:vAlign w:val="bottom"/>
          </w:tcPr>
          <w:p>
            <w:pPr>
              <w:jc w:val="center"/>
              <w:spacing w:after="0"/>
              <w:rPr>
                <w:sz w:val="20"/>
                <w:szCs w:val="20"/>
                <w:color w:val="auto"/>
              </w:rPr>
            </w:pPr>
            <w:r>
              <w:rPr>
                <w:rFonts w:ascii="Arial" w:cs="Arial" w:eastAsia="Arial" w:hAnsi="Arial"/>
                <w:sz w:val="16"/>
                <w:szCs w:val="16"/>
                <w:color w:val="auto"/>
              </w:rPr>
              <w:t>160,000</w:t>
            </w:r>
          </w:p>
        </w:tc>
        <w:tc>
          <w:tcPr>
            <w:tcW w:w="2160" w:type="dxa"/>
            <w:vAlign w:val="bottom"/>
          </w:tcPr>
          <w:p>
            <w:pPr>
              <w:jc w:val="center"/>
              <w:spacing w:after="0"/>
              <w:rPr>
                <w:sz w:val="20"/>
                <w:szCs w:val="20"/>
                <w:color w:val="auto"/>
              </w:rPr>
            </w:pPr>
            <w:r>
              <w:rPr>
                <w:rFonts w:ascii="Arial" w:cs="Arial" w:eastAsia="Arial" w:hAnsi="Arial"/>
                <w:sz w:val="16"/>
                <w:szCs w:val="16"/>
                <w:color w:val="auto"/>
                <w:w w:val="98"/>
              </w:rPr>
              <w:t>28,143</w:t>
            </w:r>
          </w:p>
        </w:tc>
        <w:tc>
          <w:tcPr>
            <w:tcW w:w="1520" w:type="dxa"/>
            <w:vAlign w:val="bottom"/>
          </w:tcPr>
          <w:p>
            <w:pPr>
              <w:jc w:val="center"/>
              <w:spacing w:after="0"/>
              <w:rPr>
                <w:sz w:val="20"/>
                <w:szCs w:val="20"/>
                <w:color w:val="auto"/>
              </w:rPr>
            </w:pPr>
            <w:r>
              <w:rPr>
                <w:rFonts w:ascii="Arial" w:cs="Arial" w:eastAsia="Arial" w:hAnsi="Arial"/>
                <w:sz w:val="16"/>
                <w:szCs w:val="16"/>
                <w:color w:val="auto"/>
              </w:rPr>
              <w:t>318,143</w:t>
            </w:r>
          </w:p>
        </w:tc>
        <w:tc>
          <w:tcPr>
            <w:tcW w:w="0" w:type="dxa"/>
            <w:vAlign w:val="bottom"/>
          </w:tcPr>
          <w:p>
            <w:pPr>
              <w:spacing w:after="0"/>
              <w:rPr>
                <w:sz w:val="1"/>
                <w:szCs w:val="1"/>
                <w:color w:val="auto"/>
              </w:rPr>
            </w:pPr>
          </w:p>
        </w:tc>
      </w:tr>
      <w:tr>
        <w:trPr>
          <w:trHeight w:val="219"/>
        </w:trPr>
        <w:tc>
          <w:tcPr>
            <w:tcW w:w="3000" w:type="dxa"/>
            <w:vAlign w:val="bottom"/>
            <w:shd w:val="clear" w:color="auto" w:fill="D1DDE6"/>
          </w:tcPr>
          <w:p>
            <w:pPr>
              <w:ind w:left="20"/>
              <w:spacing w:after="0"/>
              <w:rPr>
                <w:sz w:val="20"/>
                <w:szCs w:val="20"/>
                <w:color w:val="auto"/>
              </w:rPr>
            </w:pPr>
            <w:r>
              <w:rPr>
                <w:rFonts w:ascii="Arial" w:cs="Arial" w:eastAsia="Arial" w:hAnsi="Arial"/>
                <w:sz w:val="16"/>
                <w:szCs w:val="16"/>
                <w:color w:val="auto"/>
              </w:rPr>
              <w:t>Gary Roughead</w:t>
            </w:r>
          </w:p>
        </w:tc>
        <w:tc>
          <w:tcPr>
            <w:tcW w:w="2940" w:type="dxa"/>
            <w:vAlign w:val="bottom"/>
            <w:shd w:val="clear" w:color="auto" w:fill="D1DDE6"/>
          </w:tcPr>
          <w:p>
            <w:pPr>
              <w:jc w:val="center"/>
              <w:ind w:left="999"/>
              <w:spacing w:after="0"/>
              <w:rPr>
                <w:sz w:val="20"/>
                <w:szCs w:val="20"/>
                <w:color w:val="auto"/>
              </w:rPr>
            </w:pPr>
            <w:r>
              <w:rPr>
                <w:rFonts w:ascii="Arial" w:cs="Arial" w:eastAsia="Arial" w:hAnsi="Arial"/>
                <w:sz w:val="16"/>
                <w:szCs w:val="16"/>
                <w:color w:val="auto"/>
              </w:rPr>
              <w:t>150,000</w:t>
            </w:r>
          </w:p>
        </w:tc>
        <w:tc>
          <w:tcPr>
            <w:tcW w:w="1480" w:type="dxa"/>
            <w:vAlign w:val="bottom"/>
            <w:shd w:val="clear" w:color="auto" w:fill="D1DDE6"/>
          </w:tcPr>
          <w:p>
            <w:pPr>
              <w:jc w:val="center"/>
              <w:spacing w:after="0"/>
              <w:rPr>
                <w:sz w:val="20"/>
                <w:szCs w:val="20"/>
                <w:color w:val="auto"/>
              </w:rPr>
            </w:pPr>
            <w:r>
              <w:rPr>
                <w:rFonts w:ascii="Arial" w:cs="Arial" w:eastAsia="Arial" w:hAnsi="Arial"/>
                <w:sz w:val="16"/>
                <w:szCs w:val="16"/>
                <w:color w:val="auto"/>
              </w:rPr>
              <w:t>160,000</w:t>
            </w:r>
          </w:p>
        </w:tc>
        <w:tc>
          <w:tcPr>
            <w:tcW w:w="2160" w:type="dxa"/>
            <w:vAlign w:val="bottom"/>
            <w:shd w:val="clear" w:color="auto" w:fill="D1DDE6"/>
          </w:tcPr>
          <w:p>
            <w:pPr>
              <w:jc w:val="center"/>
              <w:spacing w:after="0"/>
              <w:rPr>
                <w:sz w:val="20"/>
                <w:szCs w:val="20"/>
                <w:color w:val="auto"/>
              </w:rPr>
            </w:pPr>
            <w:r>
              <w:rPr>
                <w:rFonts w:ascii="Arial" w:cs="Arial" w:eastAsia="Arial" w:hAnsi="Arial"/>
                <w:sz w:val="16"/>
                <w:szCs w:val="16"/>
                <w:color w:val="auto"/>
                <w:w w:val="99"/>
              </w:rPr>
              <w:t>4,217</w:t>
            </w:r>
          </w:p>
        </w:tc>
        <w:tc>
          <w:tcPr>
            <w:tcW w:w="1520" w:type="dxa"/>
            <w:vAlign w:val="bottom"/>
            <w:shd w:val="clear" w:color="auto" w:fill="D1DDE6"/>
          </w:tcPr>
          <w:p>
            <w:pPr>
              <w:jc w:val="center"/>
              <w:spacing w:after="0"/>
              <w:rPr>
                <w:sz w:val="20"/>
                <w:szCs w:val="20"/>
                <w:color w:val="auto"/>
              </w:rPr>
            </w:pPr>
            <w:r>
              <w:rPr>
                <w:rFonts w:ascii="Arial" w:cs="Arial" w:eastAsia="Arial" w:hAnsi="Arial"/>
                <w:sz w:val="16"/>
                <w:szCs w:val="16"/>
                <w:color w:val="auto"/>
              </w:rPr>
              <w:t>314,217</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color w:val="auto"/>
              </w:rPr>
              <w:t>Thomas M. Schoewe</w:t>
            </w:r>
          </w:p>
        </w:tc>
        <w:tc>
          <w:tcPr>
            <w:tcW w:w="2940" w:type="dxa"/>
            <w:vAlign w:val="bottom"/>
          </w:tcPr>
          <w:p>
            <w:pPr>
              <w:jc w:val="center"/>
              <w:ind w:left="999"/>
              <w:spacing w:after="0"/>
              <w:rPr>
                <w:sz w:val="20"/>
                <w:szCs w:val="20"/>
                <w:color w:val="auto"/>
              </w:rPr>
            </w:pPr>
            <w:r>
              <w:rPr>
                <w:rFonts w:ascii="Arial" w:cs="Arial" w:eastAsia="Arial" w:hAnsi="Arial"/>
                <w:sz w:val="16"/>
                <w:szCs w:val="16"/>
                <w:color w:val="auto"/>
              </w:rPr>
              <w:t>150,000</w:t>
            </w:r>
          </w:p>
        </w:tc>
        <w:tc>
          <w:tcPr>
            <w:tcW w:w="1480" w:type="dxa"/>
            <w:vAlign w:val="bottom"/>
          </w:tcPr>
          <w:p>
            <w:pPr>
              <w:jc w:val="center"/>
              <w:spacing w:after="0"/>
              <w:rPr>
                <w:sz w:val="20"/>
                <w:szCs w:val="20"/>
                <w:color w:val="auto"/>
              </w:rPr>
            </w:pPr>
            <w:r>
              <w:rPr>
                <w:rFonts w:ascii="Arial" w:cs="Arial" w:eastAsia="Arial" w:hAnsi="Arial"/>
                <w:sz w:val="16"/>
                <w:szCs w:val="16"/>
                <w:color w:val="auto"/>
              </w:rPr>
              <w:t>160,000</w:t>
            </w:r>
          </w:p>
        </w:tc>
        <w:tc>
          <w:tcPr>
            <w:tcW w:w="2160" w:type="dxa"/>
            <w:vAlign w:val="bottom"/>
          </w:tcPr>
          <w:p>
            <w:pPr>
              <w:jc w:val="center"/>
              <w:spacing w:after="0"/>
              <w:rPr>
                <w:sz w:val="20"/>
                <w:szCs w:val="20"/>
                <w:color w:val="auto"/>
              </w:rPr>
            </w:pPr>
            <w:r>
              <w:rPr>
                <w:rFonts w:ascii="Arial" w:cs="Arial" w:eastAsia="Arial" w:hAnsi="Arial"/>
                <w:sz w:val="16"/>
                <w:szCs w:val="16"/>
                <w:color w:val="auto"/>
                <w:w w:val="99"/>
              </w:rPr>
              <w:t>5,303</w:t>
            </w:r>
          </w:p>
        </w:tc>
        <w:tc>
          <w:tcPr>
            <w:tcW w:w="1520" w:type="dxa"/>
            <w:vAlign w:val="bottom"/>
          </w:tcPr>
          <w:p>
            <w:pPr>
              <w:jc w:val="center"/>
              <w:spacing w:after="0"/>
              <w:rPr>
                <w:sz w:val="20"/>
                <w:szCs w:val="20"/>
                <w:color w:val="auto"/>
              </w:rPr>
            </w:pPr>
            <w:r>
              <w:rPr>
                <w:rFonts w:ascii="Arial" w:cs="Arial" w:eastAsia="Arial" w:hAnsi="Arial"/>
                <w:sz w:val="16"/>
                <w:szCs w:val="16"/>
                <w:color w:val="auto"/>
              </w:rPr>
              <w:t>315,303</w:t>
            </w:r>
          </w:p>
        </w:tc>
        <w:tc>
          <w:tcPr>
            <w:tcW w:w="0" w:type="dxa"/>
            <w:vAlign w:val="bottom"/>
          </w:tcPr>
          <w:p>
            <w:pPr>
              <w:spacing w:after="0"/>
              <w:rPr>
                <w:sz w:val="1"/>
                <w:szCs w:val="1"/>
                <w:color w:val="auto"/>
              </w:rPr>
            </w:pPr>
          </w:p>
        </w:tc>
      </w:tr>
      <w:tr>
        <w:trPr>
          <w:trHeight w:val="219"/>
        </w:trPr>
        <w:tc>
          <w:tcPr>
            <w:tcW w:w="3000" w:type="dxa"/>
            <w:vAlign w:val="bottom"/>
            <w:shd w:val="clear" w:color="auto" w:fill="D1DDE6"/>
          </w:tcPr>
          <w:p>
            <w:pPr>
              <w:ind w:left="20"/>
              <w:spacing w:after="0"/>
              <w:rPr>
                <w:sz w:val="20"/>
                <w:szCs w:val="20"/>
                <w:color w:val="auto"/>
              </w:rPr>
            </w:pPr>
            <w:r>
              <w:rPr>
                <w:rFonts w:ascii="Arial" w:cs="Arial" w:eastAsia="Arial" w:hAnsi="Arial"/>
                <w:sz w:val="16"/>
                <w:szCs w:val="16"/>
                <w:color w:val="auto"/>
              </w:rPr>
              <w:t>James S. Turley</w:t>
            </w:r>
          </w:p>
        </w:tc>
        <w:tc>
          <w:tcPr>
            <w:tcW w:w="2940" w:type="dxa"/>
            <w:vAlign w:val="bottom"/>
            <w:shd w:val="clear" w:color="auto" w:fill="D1DDE6"/>
          </w:tcPr>
          <w:p>
            <w:pPr>
              <w:jc w:val="center"/>
              <w:ind w:left="999"/>
              <w:spacing w:after="0"/>
              <w:rPr>
                <w:sz w:val="20"/>
                <w:szCs w:val="20"/>
                <w:color w:val="auto"/>
              </w:rPr>
            </w:pPr>
            <w:r>
              <w:rPr>
                <w:rFonts w:ascii="Arial" w:cs="Arial" w:eastAsia="Arial" w:hAnsi="Arial"/>
                <w:sz w:val="16"/>
                <w:szCs w:val="16"/>
                <w:color w:val="auto"/>
              </w:rPr>
              <w:t>140,000</w:t>
            </w:r>
          </w:p>
        </w:tc>
        <w:tc>
          <w:tcPr>
            <w:tcW w:w="1480" w:type="dxa"/>
            <w:vAlign w:val="bottom"/>
            <w:shd w:val="clear" w:color="auto" w:fill="D1DDE6"/>
          </w:tcPr>
          <w:p>
            <w:pPr>
              <w:jc w:val="center"/>
              <w:spacing w:after="0"/>
              <w:rPr>
                <w:sz w:val="20"/>
                <w:szCs w:val="20"/>
                <w:color w:val="auto"/>
              </w:rPr>
            </w:pPr>
            <w:r>
              <w:rPr>
                <w:rFonts w:ascii="Arial" w:cs="Arial" w:eastAsia="Arial" w:hAnsi="Arial"/>
                <w:sz w:val="16"/>
                <w:szCs w:val="16"/>
                <w:color w:val="auto"/>
              </w:rPr>
              <w:t>160,000</w:t>
            </w:r>
          </w:p>
        </w:tc>
        <w:tc>
          <w:tcPr>
            <w:tcW w:w="2160" w:type="dxa"/>
            <w:vAlign w:val="bottom"/>
            <w:shd w:val="clear" w:color="auto" w:fill="D1DDE6"/>
          </w:tcPr>
          <w:p>
            <w:pPr>
              <w:jc w:val="center"/>
              <w:spacing w:after="0"/>
              <w:rPr>
                <w:sz w:val="20"/>
                <w:szCs w:val="20"/>
                <w:color w:val="auto"/>
              </w:rPr>
            </w:pPr>
            <w:r>
              <w:rPr>
                <w:rFonts w:ascii="Arial" w:cs="Arial" w:eastAsia="Arial" w:hAnsi="Arial"/>
                <w:sz w:val="16"/>
                <w:szCs w:val="16"/>
                <w:color w:val="auto"/>
                <w:w w:val="98"/>
              </w:rPr>
              <w:t>10,830</w:t>
            </w:r>
          </w:p>
        </w:tc>
        <w:tc>
          <w:tcPr>
            <w:tcW w:w="1520" w:type="dxa"/>
            <w:vAlign w:val="bottom"/>
            <w:shd w:val="clear" w:color="auto" w:fill="D1DDE6"/>
          </w:tcPr>
          <w:p>
            <w:pPr>
              <w:jc w:val="center"/>
              <w:spacing w:after="0"/>
              <w:rPr>
                <w:sz w:val="20"/>
                <w:szCs w:val="20"/>
                <w:color w:val="auto"/>
              </w:rPr>
            </w:pPr>
            <w:r>
              <w:rPr>
                <w:rFonts w:ascii="Arial" w:cs="Arial" w:eastAsia="Arial" w:hAnsi="Arial"/>
                <w:sz w:val="16"/>
                <w:szCs w:val="16"/>
                <w:color w:val="auto"/>
              </w:rPr>
              <w:t>310,830</w:t>
            </w:r>
          </w:p>
        </w:tc>
        <w:tc>
          <w:tcPr>
            <w:tcW w:w="0" w:type="dxa"/>
            <w:vAlign w:val="bottom"/>
          </w:tcPr>
          <w:p>
            <w:pPr>
              <w:spacing w:after="0"/>
              <w:rPr>
                <w:sz w:val="1"/>
                <w:szCs w:val="1"/>
                <w:color w:val="auto"/>
              </w:rPr>
            </w:pPr>
          </w:p>
        </w:tc>
      </w:tr>
      <w:tr>
        <w:trPr>
          <w:trHeight w:val="213"/>
        </w:trPr>
        <w:tc>
          <w:tcPr>
            <w:tcW w:w="3000" w:type="dxa"/>
            <w:vAlign w:val="bottom"/>
            <w:tcBorders>
              <w:bottom w:val="single" w:sz="8" w:color="00249C"/>
            </w:tcBorders>
          </w:tcPr>
          <w:p>
            <w:pPr>
              <w:ind w:left="20"/>
              <w:spacing w:after="0"/>
              <w:rPr>
                <w:sz w:val="20"/>
                <w:szCs w:val="20"/>
                <w:color w:val="auto"/>
              </w:rPr>
            </w:pPr>
            <w:r>
              <w:rPr>
                <w:rFonts w:ascii="Arial" w:cs="Arial" w:eastAsia="Arial" w:hAnsi="Arial"/>
                <w:sz w:val="16"/>
                <w:szCs w:val="16"/>
                <w:color w:val="auto"/>
              </w:rPr>
              <w:t>Mark A. Welsh III</w:t>
            </w:r>
          </w:p>
        </w:tc>
        <w:tc>
          <w:tcPr>
            <w:tcW w:w="2940" w:type="dxa"/>
            <w:vAlign w:val="bottom"/>
            <w:tcBorders>
              <w:bottom w:val="single" w:sz="8" w:color="00249C"/>
            </w:tcBorders>
          </w:tcPr>
          <w:p>
            <w:pPr>
              <w:jc w:val="center"/>
              <w:ind w:left="999"/>
              <w:spacing w:after="0"/>
              <w:rPr>
                <w:sz w:val="20"/>
                <w:szCs w:val="20"/>
                <w:color w:val="auto"/>
              </w:rPr>
            </w:pPr>
            <w:r>
              <w:rPr>
                <w:rFonts w:ascii="Arial" w:cs="Arial" w:eastAsia="Arial" w:hAnsi="Arial"/>
                <w:sz w:val="16"/>
                <w:szCs w:val="16"/>
                <w:color w:val="auto"/>
              </w:rPr>
              <w:t>140,000</w:t>
            </w:r>
          </w:p>
        </w:tc>
        <w:tc>
          <w:tcPr>
            <w:tcW w:w="1480" w:type="dxa"/>
            <w:vAlign w:val="bottom"/>
            <w:tcBorders>
              <w:bottom w:val="single" w:sz="8" w:color="00249C"/>
            </w:tcBorders>
          </w:tcPr>
          <w:p>
            <w:pPr>
              <w:jc w:val="center"/>
              <w:spacing w:after="0"/>
              <w:rPr>
                <w:sz w:val="20"/>
                <w:szCs w:val="20"/>
                <w:color w:val="auto"/>
              </w:rPr>
            </w:pPr>
            <w:r>
              <w:rPr>
                <w:rFonts w:ascii="Arial" w:cs="Arial" w:eastAsia="Arial" w:hAnsi="Arial"/>
                <w:sz w:val="16"/>
                <w:szCs w:val="16"/>
                <w:color w:val="auto"/>
              </w:rPr>
              <w:t>160,000</w:t>
            </w:r>
          </w:p>
        </w:tc>
        <w:tc>
          <w:tcPr>
            <w:tcW w:w="2160" w:type="dxa"/>
            <w:vAlign w:val="bottom"/>
            <w:tcBorders>
              <w:bottom w:val="single" w:sz="8" w:color="00249C"/>
            </w:tcBorders>
          </w:tcPr>
          <w:p>
            <w:pPr>
              <w:jc w:val="center"/>
              <w:spacing w:after="0"/>
              <w:rPr>
                <w:sz w:val="20"/>
                <w:szCs w:val="20"/>
                <w:color w:val="auto"/>
              </w:rPr>
            </w:pPr>
            <w:r>
              <w:rPr>
                <w:rFonts w:ascii="Arial" w:cs="Arial" w:eastAsia="Arial" w:hAnsi="Arial"/>
                <w:sz w:val="16"/>
                <w:szCs w:val="16"/>
                <w:color w:val="auto"/>
              </w:rPr>
              <w:t>414</w:t>
            </w:r>
          </w:p>
        </w:tc>
        <w:tc>
          <w:tcPr>
            <w:tcW w:w="1520" w:type="dxa"/>
            <w:vAlign w:val="bottom"/>
            <w:tcBorders>
              <w:bottom w:val="single" w:sz="8" w:color="00249C"/>
            </w:tcBorders>
          </w:tcPr>
          <w:p>
            <w:pPr>
              <w:jc w:val="center"/>
              <w:spacing w:after="0"/>
              <w:rPr>
                <w:sz w:val="20"/>
                <w:szCs w:val="20"/>
                <w:color w:val="auto"/>
              </w:rPr>
            </w:pPr>
            <w:r>
              <w:rPr>
                <w:rFonts w:ascii="Arial" w:cs="Arial" w:eastAsia="Arial" w:hAnsi="Arial"/>
                <w:sz w:val="16"/>
                <w:szCs w:val="16"/>
                <w:color w:val="auto"/>
              </w:rPr>
              <w:t>300,414</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420" w:hanging="412"/>
        <w:spacing w:after="0" w:line="254" w:lineRule="auto"/>
        <w:tabs>
          <w:tab w:leader="none" w:pos="437"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Amounts reflect the annual cash retainer paid to each director, including any applicable annual committee and committee chair retainers and any applicable Lead Independent Director or Chairman retainer. As described above, a director may elect to defer all or a portion of his or her annual cash retainer into a deferred stock unit account. Amounts deferred as Elective Stock Units or deferred into alternative investment options are reflected in this column.</w:t>
      </w:r>
    </w:p>
    <w:p>
      <w:pPr>
        <w:spacing w:after="0" w:line="82" w:lineRule="exact"/>
        <w:rPr>
          <w:rFonts w:ascii="Arial" w:cs="Arial" w:eastAsia="Arial" w:hAnsi="Arial"/>
          <w:sz w:val="18"/>
          <w:szCs w:val="18"/>
          <w:color w:val="auto"/>
        </w:rPr>
      </w:pPr>
    </w:p>
    <w:p>
      <w:pPr>
        <w:ind w:left="420" w:right="140" w:hanging="412"/>
        <w:spacing w:after="0" w:line="252" w:lineRule="auto"/>
        <w:tabs>
          <w:tab w:leader="none" w:pos="437"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Amounts represent the target value of Automatic Stock Units awarded to each of our non-employee directors in 2020 under the 2011 Plan pursuant to the Amended Director Program. The amount reported for each director reflects the aggregate fair value of the Automatic Stock Units on the grant date, as determined under Financial Accounting Standards Board (FASB) Accounting Standards Codification (ASC) Topic 718, Stock Compensation, excluding any assumed forfeitures. The grant date fair value assumes the value of dividend equivalents accrued directly on the awarded units. The aggregate number of Automatic Stock Units and Elective Stock Units held by each director as of December 31, 2020 is provided in the Deferred Stock Units table below.</w:t>
      </w:r>
    </w:p>
    <w:p>
      <w:pPr>
        <w:spacing w:after="0" w:line="73" w:lineRule="exact"/>
        <w:rPr>
          <w:rFonts w:ascii="Arial" w:cs="Arial" w:eastAsia="Arial" w:hAnsi="Arial"/>
          <w:sz w:val="18"/>
          <w:szCs w:val="18"/>
          <w:color w:val="auto"/>
        </w:rPr>
      </w:pPr>
    </w:p>
    <w:p>
      <w:pPr>
        <w:ind w:left="420" w:right="360" w:hanging="412"/>
        <w:spacing w:after="0" w:line="271" w:lineRule="auto"/>
        <w:tabs>
          <w:tab w:leader="none" w:pos="437" w:val="left"/>
        </w:tabs>
        <w:numPr>
          <w:ilvl w:val="0"/>
          <w:numId w:val="39"/>
        </w:numPr>
        <w:rPr>
          <w:rFonts w:ascii="Arial" w:cs="Arial" w:eastAsia="Arial" w:hAnsi="Arial"/>
          <w:sz w:val="17"/>
          <w:szCs w:val="17"/>
          <w:color w:val="auto"/>
        </w:rPr>
      </w:pPr>
      <w:r>
        <w:rPr>
          <w:rFonts w:ascii="Arial" w:cs="Arial" w:eastAsia="Arial" w:hAnsi="Arial"/>
          <w:sz w:val="17"/>
          <w:szCs w:val="17"/>
          <w:color w:val="auto"/>
        </w:rPr>
        <w:t>Amounts reflect (i) the estimated dollar value of additional stock units credited to each non-employee director as a result of dividend equivalents earned, directly or indirectly, on reinvested dividend equivalents as such amounts are not assumed in the grant date fair value of the Automatic Stock Units shown in the "Stock Awards" column, and (ii) matching contributions made through our Matching Gifts Program for Education discussed above and to non-profit organizations under a Company program as follows: Ms. Brown, $10,000; Ms. Fudge, $10,000; Mr. Gordon, $20,000; Ms. Kleiner, $5,000; Mr. Krapek, $10,000; and Mr. Turley, $10,000.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31</w:t>
      </w:r>
    </w:p>
    <w:p>
      <w:pPr>
        <w:sectPr>
          <w:pgSz w:w="11900" w:h="16838" w:orient="portrait"/>
          <w:cols w:equalWidth="0" w:num="1">
            <w:col w:w="11240"/>
          </w:cols>
          <w:pgMar w:left="320" w:top="607" w:right="339" w:bottom="1440" w:gutter="0" w:footer="0" w:header="0"/>
        </w:sectPr>
      </w:pPr>
    </w:p>
    <w:bookmarkStart w:id="37" w:name="page38"/>
    <w:bookmarkEnd w:id="37"/>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5314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COMPENSATION OF DIRECTORS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Deferred Stock Units</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of December 31, 2020, the non-employee directors had the following aggregate number of deferred stock units accumulated in their deferral accounts for all years of service as a director, including additional stock units credited as a result of dividend equivalents earned on the stock units.</w:t>
      </w:r>
    </w:p>
    <w:p>
      <w:pPr>
        <w:spacing w:after="0" w:line="86" w:lineRule="exact"/>
        <w:rPr>
          <w:sz w:val="20"/>
          <w:szCs w:val="20"/>
          <w:color w:val="auto"/>
        </w:rPr>
      </w:pPr>
    </w:p>
    <w:tbl>
      <w:tblPr>
        <w:tblLayout w:type="fixed"/>
        <w:tblInd w:w="780" w:type="dxa"/>
        <w:tblCellMar>
          <w:top w:w="0" w:type="dxa"/>
          <w:left w:w="0" w:type="dxa"/>
          <w:bottom w:w="0" w:type="dxa"/>
          <w:right w:w="0" w:type="dxa"/>
        </w:tblCellMar>
      </w:tblPr>
      <w:tr>
        <w:trPr>
          <w:trHeight w:val="184"/>
        </w:trPr>
        <w:tc>
          <w:tcPr>
            <w:tcW w:w="3120" w:type="dxa"/>
            <w:vAlign w:val="bottom"/>
            <w:vMerge w:val="restart"/>
            <w:shd w:val="clear" w:color="auto" w:fill="00249C"/>
          </w:tcPr>
          <w:p>
            <w:pPr>
              <w:spacing w:after="0"/>
              <w:rPr>
                <w:sz w:val="20"/>
                <w:szCs w:val="20"/>
                <w:color w:val="auto"/>
              </w:rPr>
            </w:pPr>
            <w:r>
              <w:rPr>
                <w:rFonts w:ascii="Arial" w:cs="Arial" w:eastAsia="Arial" w:hAnsi="Arial"/>
                <w:sz w:val="16"/>
                <w:szCs w:val="16"/>
                <w:b w:val="1"/>
                <w:bCs w:val="1"/>
                <w:color w:val="FFFFFF"/>
              </w:rPr>
              <w:t>Name</w:t>
            </w:r>
          </w:p>
        </w:tc>
        <w:tc>
          <w:tcPr>
            <w:tcW w:w="3160" w:type="dxa"/>
            <w:vAlign w:val="bottom"/>
            <w:shd w:val="clear" w:color="auto" w:fill="00249C"/>
          </w:tcPr>
          <w:p>
            <w:pPr>
              <w:jc w:val="center"/>
              <w:ind w:left="1139"/>
              <w:spacing w:after="0"/>
              <w:rPr>
                <w:sz w:val="20"/>
                <w:szCs w:val="20"/>
                <w:color w:val="auto"/>
              </w:rPr>
            </w:pPr>
            <w:r>
              <w:rPr>
                <w:rFonts w:ascii="Arial" w:cs="Arial" w:eastAsia="Arial" w:hAnsi="Arial"/>
                <w:sz w:val="16"/>
                <w:szCs w:val="16"/>
                <w:b w:val="1"/>
                <w:bCs w:val="1"/>
                <w:color w:val="FFFFFF"/>
                <w:w w:val="99"/>
              </w:rPr>
              <w:t>Automatic Stock</w:t>
            </w:r>
          </w:p>
        </w:tc>
        <w:tc>
          <w:tcPr>
            <w:tcW w:w="1940" w:type="dxa"/>
            <w:vAlign w:val="bottom"/>
            <w:shd w:val="clear" w:color="auto" w:fill="00249C"/>
          </w:tcPr>
          <w:p>
            <w:pPr>
              <w:jc w:val="center"/>
              <w:ind w:right="59"/>
              <w:spacing w:after="0"/>
              <w:rPr>
                <w:sz w:val="20"/>
                <w:szCs w:val="20"/>
                <w:color w:val="auto"/>
              </w:rPr>
            </w:pPr>
            <w:r>
              <w:rPr>
                <w:rFonts w:ascii="Arial" w:cs="Arial" w:eastAsia="Arial" w:hAnsi="Arial"/>
                <w:sz w:val="16"/>
                <w:szCs w:val="16"/>
                <w:b w:val="1"/>
                <w:bCs w:val="1"/>
                <w:color w:val="FFFFFF"/>
                <w:w w:val="99"/>
              </w:rPr>
              <w:t>Elective Stock</w:t>
            </w:r>
          </w:p>
        </w:tc>
        <w:tc>
          <w:tcPr>
            <w:tcW w:w="1480" w:type="dxa"/>
            <w:vAlign w:val="bottom"/>
            <w:vMerge w:val="restart"/>
            <w:shd w:val="clear" w:color="auto" w:fill="00249C"/>
          </w:tcPr>
          <w:p>
            <w:pPr>
              <w:ind w:left="540"/>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3120" w:type="dxa"/>
            <w:vAlign w:val="bottom"/>
            <w:vMerge w:val="continue"/>
            <w:shd w:val="clear" w:color="auto" w:fill="00249C"/>
          </w:tcPr>
          <w:p>
            <w:pPr>
              <w:spacing w:after="0"/>
              <w:rPr>
                <w:sz w:val="18"/>
                <w:szCs w:val="18"/>
                <w:color w:val="auto"/>
              </w:rPr>
            </w:pPr>
          </w:p>
        </w:tc>
        <w:tc>
          <w:tcPr>
            <w:tcW w:w="3160" w:type="dxa"/>
            <w:vAlign w:val="bottom"/>
            <w:shd w:val="clear" w:color="auto" w:fill="00249C"/>
          </w:tcPr>
          <w:p>
            <w:pPr>
              <w:jc w:val="center"/>
              <w:ind w:left="1139"/>
              <w:spacing w:after="0"/>
              <w:rPr>
                <w:sz w:val="20"/>
                <w:szCs w:val="20"/>
                <w:color w:val="auto"/>
              </w:rPr>
            </w:pPr>
            <w:r>
              <w:rPr>
                <w:rFonts w:ascii="Arial" w:cs="Arial" w:eastAsia="Arial" w:hAnsi="Arial"/>
                <w:sz w:val="16"/>
                <w:szCs w:val="16"/>
                <w:b w:val="1"/>
                <w:bCs w:val="1"/>
                <w:color w:val="FFFFFF"/>
              </w:rPr>
              <w:t>Units</w:t>
            </w:r>
          </w:p>
        </w:tc>
        <w:tc>
          <w:tcPr>
            <w:tcW w:w="1940" w:type="dxa"/>
            <w:vAlign w:val="bottom"/>
            <w:shd w:val="clear" w:color="auto" w:fill="00249C"/>
          </w:tcPr>
          <w:p>
            <w:pPr>
              <w:jc w:val="center"/>
              <w:ind w:right="59"/>
              <w:spacing w:after="0"/>
              <w:rPr>
                <w:sz w:val="20"/>
                <w:szCs w:val="20"/>
                <w:color w:val="auto"/>
              </w:rPr>
            </w:pPr>
            <w:r>
              <w:rPr>
                <w:rFonts w:ascii="Arial" w:cs="Arial" w:eastAsia="Arial" w:hAnsi="Arial"/>
                <w:sz w:val="16"/>
                <w:szCs w:val="16"/>
                <w:b w:val="1"/>
                <w:bCs w:val="1"/>
                <w:color w:val="FFFFFF"/>
                <w:w w:val="99"/>
              </w:rPr>
              <w:t>Units</w:t>
            </w:r>
          </w:p>
        </w:tc>
        <w:tc>
          <w:tcPr>
            <w:tcW w:w="1480" w:type="dxa"/>
            <w:vAlign w:val="bottom"/>
            <w:vMerge w:val="continue"/>
            <w:shd w:val="clear" w:color="auto" w:fill="00249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D1DDE6"/>
          </w:tcPr>
          <w:p>
            <w:pPr>
              <w:spacing w:after="0"/>
              <w:rPr>
                <w:sz w:val="20"/>
                <w:szCs w:val="20"/>
                <w:color w:val="auto"/>
              </w:rPr>
            </w:pPr>
            <w:r>
              <w:rPr>
                <w:rFonts w:ascii="Arial" w:cs="Arial" w:eastAsia="Arial" w:hAnsi="Arial"/>
                <w:sz w:val="16"/>
                <w:szCs w:val="16"/>
                <w:color w:val="auto"/>
              </w:rPr>
              <w:t>David P. Abney</w:t>
            </w:r>
          </w:p>
        </w:tc>
        <w:tc>
          <w:tcPr>
            <w:tcW w:w="3160" w:type="dxa"/>
            <w:vAlign w:val="bottom"/>
            <w:shd w:val="clear" w:color="auto" w:fill="D1DDE6"/>
          </w:tcPr>
          <w:p>
            <w:pPr>
              <w:jc w:val="center"/>
              <w:ind w:left="1139"/>
              <w:spacing w:after="0"/>
              <w:rPr>
                <w:sz w:val="20"/>
                <w:szCs w:val="20"/>
                <w:color w:val="auto"/>
              </w:rPr>
            </w:pPr>
            <w:r>
              <w:rPr>
                <w:rFonts w:ascii="Arial" w:cs="Arial" w:eastAsia="Arial" w:hAnsi="Arial"/>
                <w:sz w:val="16"/>
                <w:szCs w:val="16"/>
                <w:color w:val="auto"/>
                <w:w w:val="97"/>
              </w:rPr>
              <w:t>445</w:t>
            </w:r>
          </w:p>
        </w:tc>
        <w:tc>
          <w:tcPr>
            <w:tcW w:w="1940" w:type="dxa"/>
            <w:vAlign w:val="bottom"/>
            <w:shd w:val="clear" w:color="auto" w:fill="D1DDE6"/>
          </w:tcPr>
          <w:p>
            <w:pPr>
              <w:jc w:val="center"/>
              <w:ind w:right="59"/>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D1DDE6"/>
          </w:tcPr>
          <w:p>
            <w:pPr>
              <w:jc w:val="center"/>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213"/>
        </w:trPr>
        <w:tc>
          <w:tcPr>
            <w:tcW w:w="3120" w:type="dxa"/>
            <w:vAlign w:val="bottom"/>
          </w:tcPr>
          <w:p>
            <w:pPr>
              <w:spacing w:after="0"/>
              <w:rPr>
                <w:sz w:val="20"/>
                <w:szCs w:val="20"/>
                <w:color w:val="auto"/>
              </w:rPr>
            </w:pPr>
            <w:r>
              <w:rPr>
                <w:rFonts w:ascii="Arial" w:cs="Arial" w:eastAsia="Arial" w:hAnsi="Arial"/>
                <w:sz w:val="16"/>
                <w:szCs w:val="16"/>
                <w:color w:val="auto"/>
              </w:rPr>
              <w:t>Marianne C. Brown</w:t>
            </w:r>
          </w:p>
        </w:tc>
        <w:tc>
          <w:tcPr>
            <w:tcW w:w="3160" w:type="dxa"/>
            <w:vAlign w:val="bottom"/>
          </w:tcPr>
          <w:p>
            <w:pPr>
              <w:jc w:val="center"/>
              <w:ind w:left="1139"/>
              <w:spacing w:after="0"/>
              <w:rPr>
                <w:sz w:val="20"/>
                <w:szCs w:val="20"/>
                <w:color w:val="auto"/>
              </w:rPr>
            </w:pPr>
            <w:r>
              <w:rPr>
                <w:rFonts w:ascii="Arial" w:cs="Arial" w:eastAsia="Arial" w:hAnsi="Arial"/>
                <w:sz w:val="16"/>
                <w:szCs w:val="16"/>
                <w:color w:val="auto"/>
              </w:rPr>
              <w:t>3,932</w:t>
            </w:r>
          </w:p>
        </w:tc>
        <w:tc>
          <w:tcPr>
            <w:tcW w:w="1940" w:type="dxa"/>
            <w:vAlign w:val="bottom"/>
          </w:tcPr>
          <w:p>
            <w:pPr>
              <w:jc w:val="center"/>
              <w:ind w:right="59"/>
              <w:spacing w:after="0"/>
              <w:rPr>
                <w:sz w:val="20"/>
                <w:szCs w:val="20"/>
                <w:color w:val="auto"/>
              </w:rPr>
            </w:pPr>
            <w:r>
              <w:rPr>
                <w:rFonts w:ascii="Arial" w:cs="Arial" w:eastAsia="Arial" w:hAnsi="Arial"/>
                <w:sz w:val="16"/>
                <w:szCs w:val="16"/>
                <w:color w:val="auto"/>
                <w:w w:val="99"/>
              </w:rPr>
              <w:t>2,479</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6,411</w:t>
            </w:r>
          </w:p>
        </w:tc>
        <w:tc>
          <w:tcPr>
            <w:tcW w:w="0" w:type="dxa"/>
            <w:vAlign w:val="bottom"/>
          </w:tcPr>
          <w:p>
            <w:pPr>
              <w:spacing w:after="0"/>
              <w:rPr>
                <w:sz w:val="1"/>
                <w:szCs w:val="1"/>
                <w:color w:val="auto"/>
              </w:rPr>
            </w:pPr>
          </w:p>
        </w:tc>
      </w:tr>
      <w:tr>
        <w:trPr>
          <w:trHeight w:val="219"/>
        </w:trPr>
        <w:tc>
          <w:tcPr>
            <w:tcW w:w="3120" w:type="dxa"/>
            <w:vAlign w:val="bottom"/>
            <w:shd w:val="clear" w:color="auto" w:fill="D1DDE6"/>
          </w:tcPr>
          <w:p>
            <w:pPr>
              <w:spacing w:after="0"/>
              <w:rPr>
                <w:sz w:val="20"/>
                <w:szCs w:val="20"/>
                <w:color w:val="auto"/>
              </w:rPr>
            </w:pPr>
            <w:r>
              <w:rPr>
                <w:rFonts w:ascii="Arial" w:cs="Arial" w:eastAsia="Arial" w:hAnsi="Arial"/>
                <w:sz w:val="16"/>
                <w:szCs w:val="16"/>
                <w:color w:val="auto"/>
              </w:rPr>
              <w:t>Donald E. Felsinger</w:t>
            </w:r>
          </w:p>
        </w:tc>
        <w:tc>
          <w:tcPr>
            <w:tcW w:w="3160" w:type="dxa"/>
            <w:vAlign w:val="bottom"/>
            <w:shd w:val="clear" w:color="auto" w:fill="D1DDE6"/>
          </w:tcPr>
          <w:p>
            <w:pPr>
              <w:jc w:val="center"/>
              <w:ind w:left="1139"/>
              <w:spacing w:after="0"/>
              <w:rPr>
                <w:sz w:val="20"/>
                <w:szCs w:val="20"/>
                <w:color w:val="auto"/>
              </w:rPr>
            </w:pPr>
            <w:r>
              <w:rPr>
                <w:rFonts w:ascii="Arial" w:cs="Arial" w:eastAsia="Arial" w:hAnsi="Arial"/>
                <w:sz w:val="16"/>
                <w:szCs w:val="16"/>
                <w:color w:val="auto"/>
              </w:rPr>
              <w:t>22,224</w:t>
            </w:r>
          </w:p>
        </w:tc>
        <w:tc>
          <w:tcPr>
            <w:tcW w:w="1940" w:type="dxa"/>
            <w:vAlign w:val="bottom"/>
            <w:shd w:val="clear" w:color="auto" w:fill="D1DDE6"/>
          </w:tcPr>
          <w:p>
            <w:pPr>
              <w:jc w:val="center"/>
              <w:ind w:right="59"/>
              <w:spacing w:after="0"/>
              <w:rPr>
                <w:sz w:val="20"/>
                <w:szCs w:val="20"/>
                <w:color w:val="auto"/>
              </w:rPr>
            </w:pPr>
            <w:r>
              <w:rPr>
                <w:rFonts w:ascii="Arial" w:cs="Arial" w:eastAsia="Arial" w:hAnsi="Arial"/>
                <w:sz w:val="16"/>
                <w:szCs w:val="16"/>
                <w:color w:val="auto"/>
                <w:w w:val="98"/>
              </w:rPr>
              <w:t>15,930</w:t>
            </w:r>
          </w:p>
        </w:tc>
        <w:tc>
          <w:tcPr>
            <w:tcW w:w="1480" w:type="dxa"/>
            <w:vAlign w:val="bottom"/>
            <w:shd w:val="clear" w:color="auto" w:fill="D1DDE6"/>
          </w:tcPr>
          <w:p>
            <w:pPr>
              <w:jc w:val="center"/>
              <w:spacing w:after="0"/>
              <w:rPr>
                <w:sz w:val="20"/>
                <w:szCs w:val="20"/>
                <w:color w:val="auto"/>
              </w:rPr>
            </w:pPr>
            <w:r>
              <w:rPr>
                <w:rFonts w:ascii="Arial" w:cs="Arial" w:eastAsia="Arial" w:hAnsi="Arial"/>
                <w:sz w:val="16"/>
                <w:szCs w:val="16"/>
                <w:color w:val="auto"/>
                <w:w w:val="98"/>
              </w:rPr>
              <w:t>38,154</w:t>
            </w:r>
          </w:p>
        </w:tc>
        <w:tc>
          <w:tcPr>
            <w:tcW w:w="0" w:type="dxa"/>
            <w:vAlign w:val="bottom"/>
          </w:tcPr>
          <w:p>
            <w:pPr>
              <w:spacing w:after="0"/>
              <w:rPr>
                <w:sz w:val="1"/>
                <w:szCs w:val="1"/>
                <w:color w:val="auto"/>
              </w:rPr>
            </w:pPr>
          </w:p>
        </w:tc>
      </w:tr>
      <w:tr>
        <w:trPr>
          <w:trHeight w:val="213"/>
        </w:trPr>
        <w:tc>
          <w:tcPr>
            <w:tcW w:w="3120" w:type="dxa"/>
            <w:vAlign w:val="bottom"/>
          </w:tcPr>
          <w:p>
            <w:pPr>
              <w:spacing w:after="0"/>
              <w:rPr>
                <w:sz w:val="20"/>
                <w:szCs w:val="20"/>
                <w:color w:val="auto"/>
              </w:rPr>
            </w:pPr>
            <w:r>
              <w:rPr>
                <w:rFonts w:ascii="Arial" w:cs="Arial" w:eastAsia="Arial" w:hAnsi="Arial"/>
                <w:sz w:val="16"/>
                <w:szCs w:val="16"/>
                <w:color w:val="auto"/>
              </w:rPr>
              <w:t>Ann M. Fudge</w:t>
            </w:r>
          </w:p>
        </w:tc>
        <w:tc>
          <w:tcPr>
            <w:tcW w:w="3160" w:type="dxa"/>
            <w:vAlign w:val="bottom"/>
          </w:tcPr>
          <w:p>
            <w:pPr>
              <w:jc w:val="center"/>
              <w:ind w:left="1139"/>
              <w:spacing w:after="0"/>
              <w:rPr>
                <w:sz w:val="20"/>
                <w:szCs w:val="20"/>
                <w:color w:val="auto"/>
              </w:rPr>
            </w:pPr>
            <w:r>
              <w:rPr>
                <w:rFonts w:ascii="Arial" w:cs="Arial" w:eastAsia="Arial" w:hAnsi="Arial"/>
                <w:sz w:val="16"/>
                <w:szCs w:val="16"/>
                <w:color w:val="auto"/>
              </w:rPr>
              <w:t>2,947</w:t>
            </w:r>
          </w:p>
        </w:tc>
        <w:tc>
          <w:tcPr>
            <w:tcW w:w="1940" w:type="dxa"/>
            <w:vAlign w:val="bottom"/>
          </w:tcPr>
          <w:p>
            <w:pPr>
              <w:jc w:val="center"/>
              <w:ind w:right="59"/>
              <w:spacing w:after="0"/>
              <w:rPr>
                <w:sz w:val="20"/>
                <w:szCs w:val="20"/>
                <w:color w:val="auto"/>
              </w:rPr>
            </w:pPr>
            <w:r>
              <w:rPr>
                <w:rFonts w:ascii="Arial" w:cs="Arial" w:eastAsia="Arial" w:hAnsi="Arial"/>
                <w:sz w:val="16"/>
                <w:szCs w:val="16"/>
                <w:color w:val="auto"/>
              </w:rPr>
              <w:t>498</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3,445</w:t>
            </w:r>
          </w:p>
        </w:tc>
        <w:tc>
          <w:tcPr>
            <w:tcW w:w="0" w:type="dxa"/>
            <w:vAlign w:val="bottom"/>
          </w:tcPr>
          <w:p>
            <w:pPr>
              <w:spacing w:after="0"/>
              <w:rPr>
                <w:sz w:val="1"/>
                <w:szCs w:val="1"/>
                <w:color w:val="auto"/>
              </w:rPr>
            </w:pPr>
          </w:p>
        </w:tc>
      </w:tr>
      <w:tr>
        <w:trPr>
          <w:trHeight w:val="219"/>
        </w:trPr>
        <w:tc>
          <w:tcPr>
            <w:tcW w:w="3120" w:type="dxa"/>
            <w:vAlign w:val="bottom"/>
            <w:shd w:val="clear" w:color="auto" w:fill="D1DDE6"/>
          </w:tcPr>
          <w:p>
            <w:pPr>
              <w:spacing w:after="0"/>
              <w:rPr>
                <w:sz w:val="20"/>
                <w:szCs w:val="20"/>
                <w:color w:val="auto"/>
              </w:rPr>
            </w:pPr>
            <w:r>
              <w:rPr>
                <w:rFonts w:ascii="Arial" w:cs="Arial" w:eastAsia="Arial" w:hAnsi="Arial"/>
                <w:sz w:val="16"/>
                <w:szCs w:val="16"/>
                <w:color w:val="auto"/>
              </w:rPr>
              <w:t>Bruce S. Gordon</w:t>
            </w:r>
          </w:p>
        </w:tc>
        <w:tc>
          <w:tcPr>
            <w:tcW w:w="3160" w:type="dxa"/>
            <w:vAlign w:val="bottom"/>
            <w:shd w:val="clear" w:color="auto" w:fill="D1DDE6"/>
          </w:tcPr>
          <w:p>
            <w:pPr>
              <w:jc w:val="center"/>
              <w:ind w:left="1139"/>
              <w:spacing w:after="0"/>
              <w:rPr>
                <w:sz w:val="20"/>
                <w:szCs w:val="20"/>
                <w:color w:val="auto"/>
              </w:rPr>
            </w:pPr>
            <w:r>
              <w:rPr>
                <w:rFonts w:ascii="Arial" w:cs="Arial" w:eastAsia="Arial" w:hAnsi="Arial"/>
                <w:sz w:val="16"/>
                <w:szCs w:val="16"/>
                <w:color w:val="auto"/>
              </w:rPr>
              <w:t>18,706</w:t>
            </w:r>
          </w:p>
        </w:tc>
        <w:tc>
          <w:tcPr>
            <w:tcW w:w="1940" w:type="dxa"/>
            <w:vAlign w:val="bottom"/>
            <w:shd w:val="clear" w:color="auto" w:fill="D1DDE6"/>
          </w:tcPr>
          <w:p>
            <w:pPr>
              <w:jc w:val="center"/>
              <w:ind w:right="59"/>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D1DDE6"/>
          </w:tcPr>
          <w:p>
            <w:pPr>
              <w:jc w:val="center"/>
              <w:spacing w:after="0"/>
              <w:rPr>
                <w:sz w:val="20"/>
                <w:szCs w:val="20"/>
                <w:color w:val="auto"/>
              </w:rPr>
            </w:pPr>
            <w:r>
              <w:rPr>
                <w:rFonts w:ascii="Arial" w:cs="Arial" w:eastAsia="Arial" w:hAnsi="Arial"/>
                <w:sz w:val="16"/>
                <w:szCs w:val="16"/>
                <w:color w:val="auto"/>
                <w:w w:val="98"/>
              </w:rPr>
              <w:t>18,706</w:t>
            </w:r>
          </w:p>
        </w:tc>
        <w:tc>
          <w:tcPr>
            <w:tcW w:w="0" w:type="dxa"/>
            <w:vAlign w:val="bottom"/>
          </w:tcPr>
          <w:p>
            <w:pPr>
              <w:spacing w:after="0"/>
              <w:rPr>
                <w:sz w:val="1"/>
                <w:szCs w:val="1"/>
                <w:color w:val="auto"/>
              </w:rPr>
            </w:pPr>
          </w:p>
        </w:tc>
      </w:tr>
      <w:tr>
        <w:trPr>
          <w:trHeight w:val="213"/>
        </w:trPr>
        <w:tc>
          <w:tcPr>
            <w:tcW w:w="3120" w:type="dxa"/>
            <w:vAlign w:val="bottom"/>
          </w:tcPr>
          <w:p>
            <w:pPr>
              <w:spacing w:after="0"/>
              <w:rPr>
                <w:sz w:val="20"/>
                <w:szCs w:val="20"/>
                <w:color w:val="auto"/>
              </w:rPr>
            </w:pPr>
            <w:r>
              <w:rPr>
                <w:rFonts w:ascii="Arial" w:cs="Arial" w:eastAsia="Arial" w:hAnsi="Arial"/>
                <w:sz w:val="16"/>
                <w:szCs w:val="16"/>
                <w:color w:val="auto"/>
              </w:rPr>
              <w:t>William H. Hernandez</w:t>
            </w:r>
          </w:p>
        </w:tc>
        <w:tc>
          <w:tcPr>
            <w:tcW w:w="3160" w:type="dxa"/>
            <w:vAlign w:val="bottom"/>
          </w:tcPr>
          <w:p>
            <w:pPr>
              <w:jc w:val="center"/>
              <w:ind w:left="1139"/>
              <w:spacing w:after="0"/>
              <w:rPr>
                <w:sz w:val="20"/>
                <w:szCs w:val="20"/>
                <w:color w:val="auto"/>
              </w:rPr>
            </w:pPr>
            <w:r>
              <w:rPr>
                <w:rFonts w:ascii="Arial" w:cs="Arial" w:eastAsia="Arial" w:hAnsi="Arial"/>
                <w:sz w:val="16"/>
                <w:szCs w:val="16"/>
                <w:color w:val="auto"/>
              </w:rPr>
              <w:t>5,613</w:t>
            </w:r>
          </w:p>
        </w:tc>
        <w:tc>
          <w:tcPr>
            <w:tcW w:w="1940" w:type="dxa"/>
            <w:vAlign w:val="bottom"/>
          </w:tcPr>
          <w:p>
            <w:pPr>
              <w:jc w:val="center"/>
              <w:ind w:right="59"/>
              <w:spacing w:after="0"/>
              <w:rPr>
                <w:sz w:val="20"/>
                <w:szCs w:val="20"/>
                <w:color w:val="auto"/>
              </w:rPr>
            </w:pPr>
            <w:r>
              <w:rPr>
                <w:rFonts w:ascii="Arial" w:cs="Arial" w:eastAsia="Arial" w:hAnsi="Arial"/>
                <w:sz w:val="16"/>
                <w:szCs w:val="16"/>
                <w:color w:val="auto"/>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5,613</w:t>
            </w:r>
          </w:p>
        </w:tc>
        <w:tc>
          <w:tcPr>
            <w:tcW w:w="0" w:type="dxa"/>
            <w:vAlign w:val="bottom"/>
          </w:tcPr>
          <w:p>
            <w:pPr>
              <w:spacing w:after="0"/>
              <w:rPr>
                <w:sz w:val="1"/>
                <w:szCs w:val="1"/>
                <w:color w:val="auto"/>
              </w:rPr>
            </w:pPr>
          </w:p>
        </w:tc>
      </w:tr>
      <w:tr>
        <w:trPr>
          <w:trHeight w:val="219"/>
        </w:trPr>
        <w:tc>
          <w:tcPr>
            <w:tcW w:w="3120" w:type="dxa"/>
            <w:vAlign w:val="bottom"/>
            <w:shd w:val="clear" w:color="auto" w:fill="D1DDE6"/>
          </w:tcPr>
          <w:p>
            <w:pPr>
              <w:spacing w:after="0"/>
              <w:rPr>
                <w:sz w:val="20"/>
                <w:szCs w:val="20"/>
                <w:color w:val="auto"/>
              </w:rPr>
            </w:pPr>
            <w:r>
              <w:rPr>
                <w:rFonts w:ascii="Arial" w:cs="Arial" w:eastAsia="Arial" w:hAnsi="Arial"/>
                <w:sz w:val="16"/>
                <w:szCs w:val="16"/>
                <w:color w:val="auto"/>
              </w:rPr>
              <w:t>Madeleine A. Kleiner</w:t>
            </w:r>
          </w:p>
        </w:tc>
        <w:tc>
          <w:tcPr>
            <w:tcW w:w="3160" w:type="dxa"/>
            <w:vAlign w:val="bottom"/>
            <w:shd w:val="clear" w:color="auto" w:fill="D1DDE6"/>
          </w:tcPr>
          <w:p>
            <w:pPr>
              <w:jc w:val="center"/>
              <w:ind w:left="1139"/>
              <w:spacing w:after="0"/>
              <w:rPr>
                <w:sz w:val="20"/>
                <w:szCs w:val="20"/>
                <w:color w:val="auto"/>
              </w:rPr>
            </w:pPr>
            <w:r>
              <w:rPr>
                <w:rFonts w:ascii="Arial" w:cs="Arial" w:eastAsia="Arial" w:hAnsi="Arial"/>
                <w:sz w:val="16"/>
                <w:szCs w:val="16"/>
                <w:color w:val="auto"/>
              </w:rPr>
              <w:t>17,671</w:t>
            </w:r>
          </w:p>
        </w:tc>
        <w:tc>
          <w:tcPr>
            <w:tcW w:w="1940" w:type="dxa"/>
            <w:vAlign w:val="bottom"/>
            <w:shd w:val="clear" w:color="auto" w:fill="D1DDE6"/>
          </w:tcPr>
          <w:p>
            <w:pPr>
              <w:jc w:val="center"/>
              <w:ind w:right="59"/>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D1DDE6"/>
          </w:tcPr>
          <w:p>
            <w:pPr>
              <w:jc w:val="center"/>
              <w:spacing w:after="0"/>
              <w:rPr>
                <w:sz w:val="20"/>
                <w:szCs w:val="20"/>
                <w:color w:val="auto"/>
              </w:rPr>
            </w:pPr>
            <w:r>
              <w:rPr>
                <w:rFonts w:ascii="Arial" w:cs="Arial" w:eastAsia="Arial" w:hAnsi="Arial"/>
                <w:sz w:val="16"/>
                <w:szCs w:val="16"/>
                <w:color w:val="auto"/>
                <w:w w:val="98"/>
              </w:rPr>
              <w:t>17,671</w:t>
            </w:r>
          </w:p>
        </w:tc>
        <w:tc>
          <w:tcPr>
            <w:tcW w:w="0" w:type="dxa"/>
            <w:vAlign w:val="bottom"/>
          </w:tcPr>
          <w:p>
            <w:pPr>
              <w:spacing w:after="0"/>
              <w:rPr>
                <w:sz w:val="1"/>
                <w:szCs w:val="1"/>
                <w:color w:val="auto"/>
              </w:rPr>
            </w:pPr>
          </w:p>
        </w:tc>
      </w:tr>
      <w:tr>
        <w:trPr>
          <w:trHeight w:val="213"/>
        </w:trPr>
        <w:tc>
          <w:tcPr>
            <w:tcW w:w="3120" w:type="dxa"/>
            <w:vAlign w:val="bottom"/>
          </w:tcPr>
          <w:p>
            <w:pPr>
              <w:spacing w:after="0"/>
              <w:rPr>
                <w:sz w:val="20"/>
                <w:szCs w:val="20"/>
                <w:color w:val="auto"/>
              </w:rPr>
            </w:pPr>
            <w:r>
              <w:rPr>
                <w:rFonts w:ascii="Arial" w:cs="Arial" w:eastAsia="Arial" w:hAnsi="Arial"/>
                <w:sz w:val="16"/>
                <w:szCs w:val="16"/>
                <w:color w:val="auto"/>
              </w:rPr>
              <w:t>Karl J. Krapek</w:t>
            </w:r>
          </w:p>
        </w:tc>
        <w:tc>
          <w:tcPr>
            <w:tcW w:w="3160" w:type="dxa"/>
            <w:vAlign w:val="bottom"/>
          </w:tcPr>
          <w:p>
            <w:pPr>
              <w:jc w:val="center"/>
              <w:ind w:left="1139"/>
              <w:spacing w:after="0"/>
              <w:rPr>
                <w:sz w:val="20"/>
                <w:szCs w:val="20"/>
                <w:color w:val="auto"/>
              </w:rPr>
            </w:pPr>
            <w:r>
              <w:rPr>
                <w:rFonts w:ascii="Arial" w:cs="Arial" w:eastAsia="Arial" w:hAnsi="Arial"/>
                <w:sz w:val="16"/>
                <w:szCs w:val="16"/>
                <w:color w:val="auto"/>
              </w:rPr>
              <w:t>17,715</w:t>
            </w:r>
          </w:p>
        </w:tc>
        <w:tc>
          <w:tcPr>
            <w:tcW w:w="1940" w:type="dxa"/>
            <w:vAlign w:val="bottom"/>
          </w:tcPr>
          <w:p>
            <w:pPr>
              <w:jc w:val="center"/>
              <w:ind w:right="59"/>
              <w:spacing w:after="0"/>
              <w:rPr>
                <w:sz w:val="20"/>
                <w:szCs w:val="20"/>
                <w:color w:val="auto"/>
              </w:rPr>
            </w:pPr>
            <w:r>
              <w:rPr>
                <w:rFonts w:ascii="Arial" w:cs="Arial" w:eastAsia="Arial" w:hAnsi="Arial"/>
                <w:sz w:val="16"/>
                <w:szCs w:val="16"/>
                <w:color w:val="auto"/>
                <w:w w:val="99"/>
              </w:rPr>
              <w:t>4,690</w:t>
            </w:r>
          </w:p>
        </w:tc>
        <w:tc>
          <w:tcPr>
            <w:tcW w:w="1480" w:type="dxa"/>
            <w:vAlign w:val="bottom"/>
          </w:tcPr>
          <w:p>
            <w:pPr>
              <w:jc w:val="center"/>
              <w:spacing w:after="0"/>
              <w:rPr>
                <w:sz w:val="20"/>
                <w:szCs w:val="20"/>
                <w:color w:val="auto"/>
              </w:rPr>
            </w:pPr>
            <w:r>
              <w:rPr>
                <w:rFonts w:ascii="Arial" w:cs="Arial" w:eastAsia="Arial" w:hAnsi="Arial"/>
                <w:sz w:val="16"/>
                <w:szCs w:val="16"/>
                <w:color w:val="auto"/>
                <w:w w:val="98"/>
              </w:rPr>
              <w:t>22,405</w:t>
            </w:r>
          </w:p>
        </w:tc>
        <w:tc>
          <w:tcPr>
            <w:tcW w:w="0" w:type="dxa"/>
            <w:vAlign w:val="bottom"/>
          </w:tcPr>
          <w:p>
            <w:pPr>
              <w:spacing w:after="0"/>
              <w:rPr>
                <w:sz w:val="1"/>
                <w:szCs w:val="1"/>
                <w:color w:val="auto"/>
              </w:rPr>
            </w:pPr>
          </w:p>
        </w:tc>
      </w:tr>
      <w:tr>
        <w:trPr>
          <w:trHeight w:val="219"/>
        </w:trPr>
        <w:tc>
          <w:tcPr>
            <w:tcW w:w="3120" w:type="dxa"/>
            <w:vAlign w:val="bottom"/>
            <w:shd w:val="clear" w:color="auto" w:fill="D1DDE6"/>
          </w:tcPr>
          <w:p>
            <w:pPr>
              <w:spacing w:after="0"/>
              <w:rPr>
                <w:sz w:val="20"/>
                <w:szCs w:val="20"/>
                <w:color w:val="auto"/>
              </w:rPr>
            </w:pPr>
            <w:r>
              <w:rPr>
                <w:rFonts w:ascii="Arial" w:cs="Arial" w:eastAsia="Arial" w:hAnsi="Arial"/>
                <w:sz w:val="16"/>
                <w:szCs w:val="16"/>
                <w:color w:val="auto"/>
              </w:rPr>
              <w:t>Gary Roughead</w:t>
            </w:r>
          </w:p>
        </w:tc>
        <w:tc>
          <w:tcPr>
            <w:tcW w:w="3160" w:type="dxa"/>
            <w:vAlign w:val="bottom"/>
            <w:shd w:val="clear" w:color="auto" w:fill="D1DDE6"/>
          </w:tcPr>
          <w:p>
            <w:pPr>
              <w:jc w:val="center"/>
              <w:ind w:left="1139"/>
              <w:spacing w:after="0"/>
              <w:rPr>
                <w:sz w:val="20"/>
                <w:szCs w:val="20"/>
                <w:color w:val="auto"/>
              </w:rPr>
            </w:pPr>
            <w:r>
              <w:rPr>
                <w:rFonts w:ascii="Arial" w:cs="Arial" w:eastAsia="Arial" w:hAnsi="Arial"/>
                <w:sz w:val="16"/>
                <w:szCs w:val="16"/>
                <w:color w:val="auto"/>
              </w:rPr>
              <w:t>8,965</w:t>
            </w:r>
          </w:p>
        </w:tc>
        <w:tc>
          <w:tcPr>
            <w:tcW w:w="1940" w:type="dxa"/>
            <w:vAlign w:val="bottom"/>
            <w:shd w:val="clear" w:color="auto" w:fill="D1DDE6"/>
          </w:tcPr>
          <w:p>
            <w:pPr>
              <w:jc w:val="center"/>
              <w:ind w:right="59"/>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D1DDE6"/>
          </w:tcPr>
          <w:p>
            <w:pPr>
              <w:jc w:val="center"/>
              <w:spacing w:after="0"/>
              <w:rPr>
                <w:sz w:val="20"/>
                <w:szCs w:val="20"/>
                <w:color w:val="auto"/>
              </w:rPr>
            </w:pPr>
            <w:r>
              <w:rPr>
                <w:rFonts w:ascii="Arial" w:cs="Arial" w:eastAsia="Arial" w:hAnsi="Arial"/>
                <w:sz w:val="16"/>
                <w:szCs w:val="16"/>
                <w:color w:val="auto"/>
                <w:w w:val="99"/>
              </w:rPr>
              <w:t>8,965</w:t>
            </w:r>
          </w:p>
        </w:tc>
        <w:tc>
          <w:tcPr>
            <w:tcW w:w="0" w:type="dxa"/>
            <w:vAlign w:val="bottom"/>
          </w:tcPr>
          <w:p>
            <w:pPr>
              <w:spacing w:after="0"/>
              <w:rPr>
                <w:sz w:val="1"/>
                <w:szCs w:val="1"/>
                <w:color w:val="auto"/>
              </w:rPr>
            </w:pPr>
          </w:p>
        </w:tc>
      </w:tr>
      <w:tr>
        <w:trPr>
          <w:trHeight w:val="213"/>
        </w:trPr>
        <w:tc>
          <w:tcPr>
            <w:tcW w:w="3120" w:type="dxa"/>
            <w:vAlign w:val="bottom"/>
          </w:tcPr>
          <w:p>
            <w:pPr>
              <w:spacing w:after="0"/>
              <w:rPr>
                <w:sz w:val="20"/>
                <w:szCs w:val="20"/>
                <w:color w:val="auto"/>
              </w:rPr>
            </w:pPr>
            <w:r>
              <w:rPr>
                <w:rFonts w:ascii="Arial" w:cs="Arial" w:eastAsia="Arial" w:hAnsi="Arial"/>
                <w:sz w:val="16"/>
                <w:szCs w:val="16"/>
                <w:color w:val="auto"/>
              </w:rPr>
              <w:t>Thomas M. Schoewe</w:t>
            </w:r>
          </w:p>
        </w:tc>
        <w:tc>
          <w:tcPr>
            <w:tcW w:w="3160" w:type="dxa"/>
            <w:vAlign w:val="bottom"/>
          </w:tcPr>
          <w:p>
            <w:pPr>
              <w:jc w:val="center"/>
              <w:ind w:left="1139"/>
              <w:spacing w:after="0"/>
              <w:rPr>
                <w:sz w:val="20"/>
                <w:szCs w:val="20"/>
                <w:color w:val="auto"/>
              </w:rPr>
            </w:pPr>
            <w:r>
              <w:rPr>
                <w:rFonts w:ascii="Arial" w:cs="Arial" w:eastAsia="Arial" w:hAnsi="Arial"/>
                <w:sz w:val="16"/>
                <w:szCs w:val="16"/>
                <w:color w:val="auto"/>
              </w:rPr>
              <w:t>10,220</w:t>
            </w:r>
          </w:p>
        </w:tc>
        <w:tc>
          <w:tcPr>
            <w:tcW w:w="1940" w:type="dxa"/>
            <w:vAlign w:val="bottom"/>
          </w:tcPr>
          <w:p>
            <w:pPr>
              <w:jc w:val="center"/>
              <w:ind w:right="59"/>
              <w:spacing w:after="0"/>
              <w:rPr>
                <w:sz w:val="20"/>
                <w:szCs w:val="20"/>
                <w:color w:val="auto"/>
              </w:rPr>
            </w:pPr>
            <w:r>
              <w:rPr>
                <w:rFonts w:ascii="Arial" w:cs="Arial" w:eastAsia="Arial" w:hAnsi="Arial"/>
                <w:sz w:val="16"/>
                <w:szCs w:val="16"/>
                <w:color w:val="auto"/>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auto"/>
                <w:w w:val="98"/>
              </w:rPr>
              <w:t>10,220</w:t>
            </w:r>
          </w:p>
        </w:tc>
        <w:tc>
          <w:tcPr>
            <w:tcW w:w="0" w:type="dxa"/>
            <w:vAlign w:val="bottom"/>
          </w:tcPr>
          <w:p>
            <w:pPr>
              <w:spacing w:after="0"/>
              <w:rPr>
                <w:sz w:val="1"/>
                <w:szCs w:val="1"/>
                <w:color w:val="auto"/>
              </w:rPr>
            </w:pPr>
          </w:p>
        </w:tc>
      </w:tr>
      <w:tr>
        <w:trPr>
          <w:trHeight w:val="219"/>
        </w:trPr>
        <w:tc>
          <w:tcPr>
            <w:tcW w:w="3120" w:type="dxa"/>
            <w:vAlign w:val="bottom"/>
            <w:shd w:val="clear" w:color="auto" w:fill="D1DDE6"/>
          </w:tcPr>
          <w:p>
            <w:pPr>
              <w:spacing w:after="0"/>
              <w:rPr>
                <w:sz w:val="20"/>
                <w:szCs w:val="20"/>
                <w:color w:val="auto"/>
              </w:rPr>
            </w:pPr>
            <w:r>
              <w:rPr>
                <w:rFonts w:ascii="Arial" w:cs="Arial" w:eastAsia="Arial" w:hAnsi="Arial"/>
                <w:sz w:val="16"/>
                <w:szCs w:val="16"/>
                <w:color w:val="auto"/>
              </w:rPr>
              <w:t>James S. Turley</w:t>
            </w:r>
          </w:p>
        </w:tc>
        <w:tc>
          <w:tcPr>
            <w:tcW w:w="3160" w:type="dxa"/>
            <w:vAlign w:val="bottom"/>
            <w:shd w:val="clear" w:color="auto" w:fill="D1DDE6"/>
          </w:tcPr>
          <w:p>
            <w:pPr>
              <w:jc w:val="center"/>
              <w:ind w:left="1139"/>
              <w:spacing w:after="0"/>
              <w:rPr>
                <w:sz w:val="20"/>
                <w:szCs w:val="20"/>
                <w:color w:val="auto"/>
              </w:rPr>
            </w:pPr>
            <w:r>
              <w:rPr>
                <w:rFonts w:ascii="Arial" w:cs="Arial" w:eastAsia="Arial" w:hAnsi="Arial"/>
                <w:sz w:val="16"/>
                <w:szCs w:val="16"/>
                <w:color w:val="auto"/>
              </w:rPr>
              <w:t>3,358</w:t>
            </w:r>
          </w:p>
        </w:tc>
        <w:tc>
          <w:tcPr>
            <w:tcW w:w="1940" w:type="dxa"/>
            <w:vAlign w:val="bottom"/>
            <w:shd w:val="clear" w:color="auto" w:fill="D1DDE6"/>
          </w:tcPr>
          <w:p>
            <w:pPr>
              <w:jc w:val="center"/>
              <w:ind w:right="59"/>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D1DDE6"/>
          </w:tcPr>
          <w:p>
            <w:pPr>
              <w:jc w:val="center"/>
              <w:spacing w:after="0"/>
              <w:rPr>
                <w:sz w:val="20"/>
                <w:szCs w:val="20"/>
                <w:color w:val="auto"/>
              </w:rPr>
            </w:pPr>
            <w:r>
              <w:rPr>
                <w:rFonts w:ascii="Arial" w:cs="Arial" w:eastAsia="Arial" w:hAnsi="Arial"/>
                <w:sz w:val="16"/>
                <w:szCs w:val="16"/>
                <w:color w:val="auto"/>
                <w:w w:val="99"/>
              </w:rPr>
              <w:t>3,358</w:t>
            </w:r>
          </w:p>
        </w:tc>
        <w:tc>
          <w:tcPr>
            <w:tcW w:w="0" w:type="dxa"/>
            <w:vAlign w:val="bottom"/>
          </w:tcPr>
          <w:p>
            <w:pPr>
              <w:spacing w:after="0"/>
              <w:rPr>
                <w:sz w:val="1"/>
                <w:szCs w:val="1"/>
                <w:color w:val="auto"/>
              </w:rPr>
            </w:pPr>
          </w:p>
        </w:tc>
      </w:tr>
      <w:tr>
        <w:trPr>
          <w:trHeight w:val="213"/>
        </w:trPr>
        <w:tc>
          <w:tcPr>
            <w:tcW w:w="3120" w:type="dxa"/>
            <w:vAlign w:val="bottom"/>
            <w:tcBorders>
              <w:bottom w:val="single" w:sz="8" w:color="00249C"/>
            </w:tcBorders>
          </w:tcPr>
          <w:p>
            <w:pPr>
              <w:spacing w:after="0"/>
              <w:rPr>
                <w:sz w:val="20"/>
                <w:szCs w:val="20"/>
                <w:color w:val="auto"/>
              </w:rPr>
            </w:pPr>
            <w:r>
              <w:rPr>
                <w:rFonts w:ascii="Arial" w:cs="Arial" w:eastAsia="Arial" w:hAnsi="Arial"/>
                <w:sz w:val="16"/>
                <w:szCs w:val="16"/>
                <w:color w:val="auto"/>
              </w:rPr>
              <w:t>Mark A. Welsh III</w:t>
            </w:r>
          </w:p>
        </w:tc>
        <w:tc>
          <w:tcPr>
            <w:tcW w:w="3160" w:type="dxa"/>
            <w:vAlign w:val="bottom"/>
            <w:tcBorders>
              <w:bottom w:val="single" w:sz="8" w:color="00249C"/>
            </w:tcBorders>
          </w:tcPr>
          <w:p>
            <w:pPr>
              <w:jc w:val="center"/>
              <w:ind w:left="1139"/>
              <w:spacing w:after="0"/>
              <w:rPr>
                <w:sz w:val="20"/>
                <w:szCs w:val="20"/>
                <w:color w:val="auto"/>
              </w:rPr>
            </w:pPr>
            <w:r>
              <w:rPr>
                <w:rFonts w:ascii="Arial" w:cs="Arial" w:eastAsia="Arial" w:hAnsi="Arial"/>
                <w:sz w:val="16"/>
                <w:szCs w:val="16"/>
                <w:color w:val="auto"/>
              </w:rPr>
              <w:t>2,504</w:t>
            </w:r>
          </w:p>
        </w:tc>
        <w:tc>
          <w:tcPr>
            <w:tcW w:w="1940" w:type="dxa"/>
            <w:vAlign w:val="bottom"/>
            <w:tcBorders>
              <w:bottom w:val="single" w:sz="8" w:color="00249C"/>
            </w:tcBorders>
          </w:tcPr>
          <w:p>
            <w:pPr>
              <w:jc w:val="center"/>
              <w:ind w:right="59"/>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00249C"/>
            </w:tcBorders>
          </w:tcPr>
          <w:p>
            <w:pPr>
              <w:jc w:val="center"/>
              <w:spacing w:after="0"/>
              <w:rPr>
                <w:sz w:val="20"/>
                <w:szCs w:val="20"/>
                <w:color w:val="auto"/>
              </w:rPr>
            </w:pPr>
            <w:r>
              <w:rPr>
                <w:rFonts w:ascii="Arial" w:cs="Arial" w:eastAsia="Arial" w:hAnsi="Arial"/>
                <w:sz w:val="16"/>
                <w:szCs w:val="16"/>
                <w:color w:val="auto"/>
                <w:w w:val="99"/>
              </w:rPr>
              <w:t>2,504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1060"/>
          </w:cols>
          <w:pgMar w:left="320" w:top="607" w:right="519" w:bottom="1440" w:gutter="0" w:footer="0" w:header="0"/>
        </w:sectPr>
      </w:pPr>
    </w:p>
    <w:bookmarkStart w:id="38" w:name="page39"/>
    <w:bookmarkEnd w:id="38"/>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400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t>TRANSACTIONS WITH RELATED PERSONS AND CONTROL PERSONS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Company has a written policy approved by the Board, for the review, approval and ratification of transactions between our Company and our directors, executive officers and other related persons (Related Person Transactions Policy). A copy of the policy is available on the Investor Relations section of our website (</w:t>
      </w:r>
      <w:r>
        <w:rPr>
          <w:rFonts w:ascii="Arial" w:cs="Arial" w:eastAsia="Arial" w:hAnsi="Arial"/>
          <w:sz w:val="18"/>
          <w:szCs w:val="18"/>
          <w:i w:val="1"/>
          <w:iCs w:val="1"/>
          <w:color w:val="auto"/>
        </w:rPr>
        <w:t>www.northropgrumman.com</w:t>
      </w:r>
      <w:r>
        <w:rPr>
          <w:rFonts w:ascii="Arial" w:cs="Arial" w:eastAsia="Arial" w:hAnsi="Arial"/>
          <w:sz w:val="18"/>
          <w:szCs w:val="18"/>
          <w:color w:val="auto"/>
        </w:rPr>
        <w:t>). The policy provides for related person transactions to be reviewed in advance and approved or ratified, as applicable, by the Board of Directors, the Governance Committee or the Chairman of the Governance Committee. A related person transaction may be approved if, after reviewing the relevant facts and circumstances, the reviewing party concludes that approving the related person transaction is in the best interests of the Company and its shareholders.</w:t>
      </w:r>
    </w:p>
    <w:p>
      <w:pPr>
        <w:spacing w:after="0" w:line="8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policy defines a related person transaction as any transaction in which the Company was, is or will be a participant, where the amount involved exceeds $120,000, and in which a related person had, has or is expected to have a direct or indirect material interest. A "related person" includes:</w:t>
      </w:r>
    </w:p>
    <w:p>
      <w:pPr>
        <w:spacing w:after="0" w:line="44" w:lineRule="exact"/>
        <w:rPr>
          <w:sz w:val="20"/>
          <w:szCs w:val="20"/>
          <w:color w:val="auto"/>
        </w:rPr>
      </w:pPr>
    </w:p>
    <w:p>
      <w:pPr>
        <w:ind w:left="300" w:hanging="292"/>
        <w:spacing w:after="0"/>
        <w:tabs>
          <w:tab w:leader="none" w:pos="300" w:val="left"/>
        </w:tabs>
        <w:numPr>
          <w:ilvl w:val="0"/>
          <w:numId w:val="40"/>
        </w:numPr>
        <w:rPr>
          <w:rFonts w:ascii="Arial" w:cs="Arial" w:eastAsia="Arial" w:hAnsi="Arial"/>
          <w:sz w:val="22"/>
          <w:szCs w:val="22"/>
          <w:color w:val="00249C"/>
        </w:rPr>
      </w:pPr>
      <w:r>
        <w:rPr>
          <w:rFonts w:ascii="Arial" w:cs="Arial" w:eastAsia="Arial" w:hAnsi="Arial"/>
          <w:sz w:val="18"/>
          <w:szCs w:val="18"/>
          <w:color w:val="auto"/>
        </w:rPr>
        <w:t>any of our directors or executive officers;</w:t>
      </w:r>
    </w:p>
    <w:p>
      <w:pPr>
        <w:spacing w:after="0" w:line="57" w:lineRule="exact"/>
        <w:rPr>
          <w:rFonts w:ascii="Arial" w:cs="Arial" w:eastAsia="Arial" w:hAnsi="Arial"/>
          <w:sz w:val="22"/>
          <w:szCs w:val="22"/>
          <w:color w:val="00249C"/>
        </w:rPr>
      </w:pPr>
    </w:p>
    <w:p>
      <w:pPr>
        <w:ind w:left="300" w:hanging="292"/>
        <w:spacing w:after="0"/>
        <w:tabs>
          <w:tab w:leader="none" w:pos="300" w:val="left"/>
        </w:tabs>
        <w:numPr>
          <w:ilvl w:val="0"/>
          <w:numId w:val="40"/>
        </w:numPr>
        <w:rPr>
          <w:rFonts w:ascii="Arial" w:cs="Arial" w:eastAsia="Arial" w:hAnsi="Arial"/>
          <w:sz w:val="22"/>
          <w:szCs w:val="22"/>
          <w:color w:val="00249C"/>
        </w:rPr>
      </w:pPr>
      <w:r>
        <w:rPr>
          <w:rFonts w:ascii="Arial" w:cs="Arial" w:eastAsia="Arial" w:hAnsi="Arial"/>
          <w:sz w:val="18"/>
          <w:szCs w:val="18"/>
          <w:color w:val="auto"/>
        </w:rPr>
        <w:t>any person who is known to be the beneficial owner of more than 5% of our common stock;</w:t>
      </w:r>
    </w:p>
    <w:p>
      <w:pPr>
        <w:spacing w:after="0" w:line="57" w:lineRule="exact"/>
        <w:rPr>
          <w:rFonts w:ascii="Arial" w:cs="Arial" w:eastAsia="Arial" w:hAnsi="Arial"/>
          <w:sz w:val="22"/>
          <w:szCs w:val="22"/>
          <w:color w:val="00249C"/>
        </w:rPr>
      </w:pPr>
    </w:p>
    <w:p>
      <w:pPr>
        <w:ind w:left="300" w:hanging="292"/>
        <w:spacing w:after="0"/>
        <w:tabs>
          <w:tab w:leader="none" w:pos="300" w:val="left"/>
        </w:tabs>
        <w:numPr>
          <w:ilvl w:val="0"/>
          <w:numId w:val="40"/>
        </w:numPr>
        <w:rPr>
          <w:rFonts w:ascii="Arial" w:cs="Arial" w:eastAsia="Arial" w:hAnsi="Arial"/>
          <w:sz w:val="22"/>
          <w:szCs w:val="22"/>
          <w:color w:val="00249C"/>
        </w:rPr>
      </w:pPr>
      <w:r>
        <w:rPr>
          <w:rFonts w:ascii="Arial" w:cs="Arial" w:eastAsia="Arial" w:hAnsi="Arial"/>
          <w:sz w:val="18"/>
          <w:szCs w:val="18"/>
          <w:color w:val="auto"/>
        </w:rPr>
        <w:t>an immediate family member of any such persons; or</w:t>
      </w:r>
    </w:p>
    <w:p>
      <w:pPr>
        <w:spacing w:after="0" w:line="44" w:lineRule="exact"/>
        <w:rPr>
          <w:rFonts w:ascii="Arial" w:cs="Arial" w:eastAsia="Arial" w:hAnsi="Arial"/>
          <w:sz w:val="22"/>
          <w:szCs w:val="22"/>
          <w:color w:val="00249C"/>
        </w:rPr>
      </w:pPr>
    </w:p>
    <w:p>
      <w:pPr>
        <w:ind w:left="300" w:hanging="292"/>
        <w:spacing w:after="0"/>
        <w:tabs>
          <w:tab w:leader="none" w:pos="300" w:val="left"/>
        </w:tabs>
        <w:numPr>
          <w:ilvl w:val="0"/>
          <w:numId w:val="40"/>
        </w:numPr>
        <w:rPr>
          <w:rFonts w:ascii="Arial" w:cs="Arial" w:eastAsia="Arial" w:hAnsi="Arial"/>
          <w:sz w:val="22"/>
          <w:szCs w:val="22"/>
          <w:color w:val="00249C"/>
        </w:rPr>
      </w:pPr>
      <w:r>
        <w:rPr>
          <w:rFonts w:ascii="Arial" w:cs="Arial" w:eastAsia="Arial" w:hAnsi="Arial"/>
          <w:sz w:val="18"/>
          <w:szCs w:val="18"/>
          <w:color w:val="auto"/>
        </w:rPr>
        <w:t>any firm, corporation, or other entity controlled by any such persons.</w:t>
      </w:r>
    </w:p>
    <w:p>
      <w:pPr>
        <w:spacing w:after="0" w:line="8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Corporate Secretary may determine that, based on facts and circumstances, a transaction in an amount less than $120,000 should nonetheless be deemed a related person transaction. If this occurs, the transaction would be submitted for review and approval or ratification in accordance with the policy. Under exceptional circumstances, if a related person transaction has not been approved in advance, the Governance Committee will recommend to the Board of Directors such action as the Governance Committee deems appropriate, including ratification, amendment or termination of the transaction.</w:t>
      </w:r>
    </w:p>
    <w:p>
      <w:pPr>
        <w:spacing w:after="0" w:line="84"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policy requires each director and executive officer to complete an annual questionnaire to identify his or her related interests and to notify the Corporate Secretary of any changes in their information.</w:t>
      </w:r>
    </w:p>
    <w:p>
      <w:pPr>
        <w:spacing w:after="0" w:line="6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ordinary course of business, the Company purchases logistical services from UPS. One of our directors, David P. Abney, served as the Chief Executive Officer of UPS until June 2020 and the Executive Chairman of the UPS Board of Directors through September 2020. For the year ended December 31, 2020, amounts paid for these services accounted for less than 0.1% of either company's revenues for the 2020 fiscal year.</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During 2020, the Company employed one family member of an executive officer who received compensation in excess of the reporting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threshold. The spouse of our Corporate Vice President and President, Enterprise Services, Shawn Purvis, was employed by the Company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Consulting Chief Engineer in our Mission Systems sector. He received cash compensation (base salary and bonus) of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$262,000 and participated in the Company’s benefit plans, commensurate with his position at the Company. Effective January 30, 2021, 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transferred to a new company pursuant to the sale of our IT services business and he is no longer employed by the Company.</w:t>
      </w:r>
    </w:p>
    <w:p>
      <w:pPr>
        <w:spacing w:after="0" w:line="10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State Street Corporation (State Street), acting in various fiduciary capacities, filed a Schedule 13G/A with the SEC reporting that as of December 31, 2020, State Street and certain of its subsidiaries collectively were the beneficial owners of more than 5% of our outstanding common stock. A subsidiary of State Street is the trustee for various Northrop Grumman defined benefit and defined contribution plan trusts. Two other State Street subsidiaries provide investment management services. During 2020, those State Street subsidiaries received approximately $5.75 million for such services, with over 99% of that amount paid by the plan trusts.</w:t>
      </w:r>
    </w:p>
    <w:p>
      <w:pPr>
        <w:spacing w:after="0" w:line="7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BlackRock, Inc. (BlackRock) filed a Schedule 13G/A with the SEC reporting that as of December 31, 2020, BlackRock and certain of its subsidiaries collectively were the beneficial owners of more than 5% of our outstanding common stock. A subsidiary of BlackRock provides investment management services for the Northrop Grumman Rabbi Trust II and certain assets within various Northrop Grumman defined benefit trusts. During 2020, the trusts paid that BlackRock subsidiary approximately $528,000 for such services.</w:t>
      </w:r>
    </w:p>
    <w:p>
      <w:pPr>
        <w:spacing w:after="0" w:line="8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Wellington Management Group LLP (Wellington) filed a Schedule 13G with the SEC reporting that as of December 31, 2020, Wellington and certain of its subsidiaries collectively were the beneficial owners of more than 5% of our outstanding common stock. A subsidiary of Wellington provides investment management services for certain assets within various Northrop Grumman defined benefit and defined contribution plan trusts. During 2020, the trusts paid that Wellington subsidiary approximately $1.14 million for such services.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33</w:t>
      </w:r>
    </w:p>
    <w:p>
      <w:pPr>
        <w:sectPr>
          <w:pgSz w:w="11900" w:h="16838" w:orient="portrait"/>
          <w:cols w:equalWidth="0" w:num="1">
            <w:col w:w="11240"/>
          </w:cols>
          <w:pgMar w:left="320" w:top="607" w:right="339" w:bottom="1440" w:gutter="0" w:footer="0" w:header="0"/>
        </w:sectPr>
      </w:pPr>
    </w:p>
    <w:bookmarkStart w:id="39" w:name="page40"/>
    <w:bookmarkEnd w:id="39"/>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400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t>TRANSACTIONS WITH RELATED PERSONS AND CONTROL PERSONS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During 2020, Ms. Brown, Ms. Kleiner and Messrs. Felsinger, Gordon, Krapek, Roughead and Schoewe served as members of the Compensation Committee. During 2020, no member of the Compensation Committee had a relationship with the Company or any of our subsidiaries, other than as directors and shareholders, and no member was an officer or employee of the Company or any of our subsidiaries, a participant in a related person transaction or an executive officer of another entity, where one of our executive officers serves on the board of directors that would constitute a related person transaction or raise concerns of a Compensation Committee interlock.</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Indemnification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Bylaws require us generally to indemnify our directors and executive officers to the fullest extent permitted by Delaware law. Additionally, as permitted by Delaware law, we have entered into indemnification agreements with each of our directors and elected officers. Under the indemnification agreements, we have agreed to hold harmless and indemnify each indemnitee, generally to the fullest extent permitted by Delaware law, against expenses, liabilities and loss incurred in connection with threatened, pending or completed action, suit or proceeding, whether civil, criminal, administrative or investigative to which the indemnitee is made a party by reason of the fact that the indemnitee is or was a director or officer of the Company or any other entity at our request, provided however, that the indemnitee acted in good faith and in a manner reasonably believed to be in the best interests of our Company.</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1200"/>
          </w:cols>
          <w:pgMar w:left="320" w:top="607" w:right="379" w:bottom="1440" w:gutter="0" w:footer="0" w:header="0"/>
        </w:sectPr>
      </w:pPr>
    </w:p>
    <w:bookmarkStart w:id="40" w:name="page41"/>
    <w:bookmarkEnd w:id="40"/>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5314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VOTING SECURITIES AND PRINCIPAL HOLDERS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Stock Ownership of Certain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5"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The following entities beneficially owned, to the best of our knowledge, more than five percent of the outstanding common stock as of the dates indicated in the footnotes below. All information shown is based on information reported by the filer on a Schedule 13G filed with the SEC on the dates indicated in the footnotes below.</w:t>
      </w:r>
    </w:p>
    <w:p>
      <w:pPr>
        <w:spacing w:after="0" w:line="73"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4100" w:type="dxa"/>
            <w:vAlign w:val="bottom"/>
            <w:shd w:val="clear" w:color="auto" w:fill="00249C"/>
          </w:tcPr>
          <w:p>
            <w:pPr>
              <w:spacing w:after="0"/>
              <w:rPr>
                <w:sz w:val="16"/>
                <w:szCs w:val="16"/>
                <w:color w:val="auto"/>
              </w:rPr>
            </w:pPr>
          </w:p>
        </w:tc>
        <w:tc>
          <w:tcPr>
            <w:tcW w:w="3220" w:type="dxa"/>
            <w:vAlign w:val="bottom"/>
            <w:gridSpan w:val="2"/>
            <w:shd w:val="clear" w:color="auto" w:fill="00249C"/>
          </w:tcPr>
          <w:p>
            <w:pPr>
              <w:jc w:val="center"/>
              <w:ind w:left="679"/>
              <w:spacing w:after="0"/>
              <w:rPr>
                <w:sz w:val="20"/>
                <w:szCs w:val="20"/>
                <w:color w:val="auto"/>
              </w:rPr>
            </w:pPr>
            <w:r>
              <w:rPr>
                <w:rFonts w:ascii="Arial" w:cs="Arial" w:eastAsia="Arial" w:hAnsi="Arial"/>
                <w:sz w:val="16"/>
                <w:szCs w:val="16"/>
                <w:b w:val="1"/>
                <w:bCs w:val="1"/>
                <w:color w:val="FFFFFF"/>
              </w:rPr>
              <w:t>Amount and Nature of</w:t>
            </w:r>
          </w:p>
        </w:tc>
        <w:tc>
          <w:tcPr>
            <w:tcW w:w="2600" w:type="dxa"/>
            <w:vAlign w:val="bottom"/>
            <w:vMerge w:val="restart"/>
            <w:shd w:val="clear" w:color="auto" w:fill="00249C"/>
          </w:tcPr>
          <w:p>
            <w:pPr>
              <w:jc w:val="center"/>
              <w:ind w:left="39"/>
              <w:spacing w:after="0"/>
              <w:rPr>
                <w:sz w:val="20"/>
                <w:szCs w:val="20"/>
                <w:color w:val="auto"/>
              </w:rPr>
            </w:pPr>
            <w:r>
              <w:rPr>
                <w:rFonts w:ascii="Arial" w:cs="Arial" w:eastAsia="Arial" w:hAnsi="Arial"/>
                <w:sz w:val="16"/>
                <w:szCs w:val="16"/>
                <w:b w:val="1"/>
                <w:bCs w:val="1"/>
                <w:color w:val="FFFFFF"/>
              </w:rPr>
              <w:t>Percent</w:t>
            </w:r>
          </w:p>
        </w:tc>
        <w:tc>
          <w:tcPr>
            <w:tcW w:w="0" w:type="dxa"/>
            <w:vAlign w:val="bottom"/>
          </w:tcPr>
          <w:p>
            <w:pPr>
              <w:spacing w:after="0"/>
              <w:rPr>
                <w:sz w:val="1"/>
                <w:szCs w:val="1"/>
                <w:color w:val="auto"/>
              </w:rPr>
            </w:pPr>
          </w:p>
        </w:tc>
      </w:tr>
      <w:tr>
        <w:trPr>
          <w:trHeight w:val="162"/>
        </w:trPr>
        <w:tc>
          <w:tcPr>
            <w:tcW w:w="4100" w:type="dxa"/>
            <w:vAlign w:val="bottom"/>
            <w:vMerge w:val="restart"/>
            <w:shd w:val="clear" w:color="auto" w:fill="00249C"/>
          </w:tcPr>
          <w:p>
            <w:pPr>
              <w:ind w:left="20"/>
              <w:spacing w:after="0"/>
              <w:rPr>
                <w:sz w:val="20"/>
                <w:szCs w:val="20"/>
                <w:color w:val="auto"/>
              </w:rPr>
            </w:pPr>
            <w:r>
              <w:rPr>
                <w:rFonts w:ascii="Arial" w:cs="Arial" w:eastAsia="Arial" w:hAnsi="Arial"/>
                <w:sz w:val="16"/>
                <w:szCs w:val="16"/>
                <w:b w:val="1"/>
                <w:bCs w:val="1"/>
                <w:color w:val="FFFFFF"/>
              </w:rPr>
              <w:t>Name and Address of Beneficial Owner</w:t>
            </w:r>
          </w:p>
        </w:tc>
        <w:tc>
          <w:tcPr>
            <w:tcW w:w="3220" w:type="dxa"/>
            <w:vAlign w:val="bottom"/>
            <w:gridSpan w:val="2"/>
            <w:shd w:val="clear" w:color="auto" w:fill="00249C"/>
          </w:tcPr>
          <w:p>
            <w:pPr>
              <w:jc w:val="center"/>
              <w:ind w:left="659"/>
              <w:spacing w:after="0" w:line="162" w:lineRule="exact"/>
              <w:rPr>
                <w:sz w:val="20"/>
                <w:szCs w:val="20"/>
                <w:color w:val="auto"/>
              </w:rPr>
            </w:pPr>
            <w:r>
              <w:rPr>
                <w:rFonts w:ascii="Arial" w:cs="Arial" w:eastAsia="Arial" w:hAnsi="Arial"/>
                <w:sz w:val="16"/>
                <w:szCs w:val="16"/>
                <w:b w:val="1"/>
                <w:bCs w:val="1"/>
                <w:color w:val="FFFFFF"/>
              </w:rPr>
              <w:t>Beneficial Ownership of</w:t>
            </w:r>
          </w:p>
        </w:tc>
        <w:tc>
          <w:tcPr>
            <w:tcW w:w="2600" w:type="dxa"/>
            <w:vAlign w:val="bottom"/>
            <w:vMerge w:val="continue"/>
            <w:shd w:val="clear" w:color="auto" w:fill="00249C"/>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100" w:type="dxa"/>
            <w:vAlign w:val="bottom"/>
            <w:vMerge w:val="continue"/>
            <w:shd w:val="clear" w:color="auto" w:fill="00249C"/>
          </w:tcPr>
          <w:p>
            <w:pPr>
              <w:spacing w:after="0"/>
              <w:rPr>
                <w:sz w:val="19"/>
                <w:szCs w:val="19"/>
                <w:color w:val="auto"/>
              </w:rPr>
            </w:pPr>
          </w:p>
        </w:tc>
        <w:tc>
          <w:tcPr>
            <w:tcW w:w="2620" w:type="dxa"/>
            <w:vAlign w:val="bottom"/>
            <w:shd w:val="clear" w:color="auto" w:fill="00249C"/>
          </w:tcPr>
          <w:p>
            <w:pPr>
              <w:jc w:val="center"/>
              <w:ind w:left="1299"/>
              <w:spacing w:after="0"/>
              <w:rPr>
                <w:sz w:val="20"/>
                <w:szCs w:val="20"/>
                <w:color w:val="auto"/>
              </w:rPr>
            </w:pPr>
            <w:r>
              <w:rPr>
                <w:rFonts w:ascii="Arial" w:cs="Arial" w:eastAsia="Arial" w:hAnsi="Arial"/>
                <w:sz w:val="16"/>
                <w:szCs w:val="16"/>
                <w:b w:val="1"/>
                <w:bCs w:val="1"/>
                <w:color w:val="FFFFFF"/>
              </w:rPr>
              <w:t>Common Stock</w:t>
            </w:r>
          </w:p>
        </w:tc>
        <w:tc>
          <w:tcPr>
            <w:tcW w:w="600" w:type="dxa"/>
            <w:vAlign w:val="bottom"/>
            <w:shd w:val="clear" w:color="auto" w:fill="00249C"/>
          </w:tcPr>
          <w:p>
            <w:pPr>
              <w:spacing w:after="0"/>
              <w:rPr>
                <w:sz w:val="19"/>
                <w:szCs w:val="19"/>
                <w:color w:val="auto"/>
              </w:rPr>
            </w:pPr>
          </w:p>
        </w:tc>
        <w:tc>
          <w:tcPr>
            <w:tcW w:w="2600" w:type="dxa"/>
            <w:vAlign w:val="bottom"/>
            <w:shd w:val="clear" w:color="auto" w:fill="00249C"/>
          </w:tcPr>
          <w:p>
            <w:pPr>
              <w:jc w:val="center"/>
              <w:ind w:left="39"/>
              <w:spacing w:after="0"/>
              <w:rPr>
                <w:sz w:val="20"/>
                <w:szCs w:val="20"/>
                <w:color w:val="auto"/>
              </w:rPr>
            </w:pPr>
            <w:r>
              <w:rPr>
                <w:rFonts w:ascii="Arial" w:cs="Arial" w:eastAsia="Arial" w:hAnsi="Arial"/>
                <w:sz w:val="16"/>
                <w:szCs w:val="16"/>
                <w:b w:val="1"/>
                <w:bCs w:val="1"/>
                <w:color w:val="FFFFFF"/>
              </w:rPr>
              <w:t>of Class</w:t>
            </w:r>
          </w:p>
        </w:tc>
        <w:tc>
          <w:tcPr>
            <w:tcW w:w="0" w:type="dxa"/>
            <w:vAlign w:val="bottom"/>
          </w:tcPr>
          <w:p>
            <w:pPr>
              <w:spacing w:after="0"/>
              <w:rPr>
                <w:sz w:val="1"/>
                <w:szCs w:val="1"/>
                <w:color w:val="auto"/>
              </w:rPr>
            </w:pPr>
          </w:p>
        </w:tc>
      </w:tr>
      <w:tr>
        <w:trPr>
          <w:trHeight w:val="177"/>
        </w:trPr>
        <w:tc>
          <w:tcPr>
            <w:tcW w:w="4100" w:type="dxa"/>
            <w:vAlign w:val="bottom"/>
            <w:shd w:val="clear" w:color="auto" w:fill="D1DDE6"/>
          </w:tcPr>
          <w:p>
            <w:pPr>
              <w:ind w:left="20"/>
              <w:spacing w:after="0" w:line="178" w:lineRule="exact"/>
              <w:rPr>
                <w:sz w:val="20"/>
                <w:szCs w:val="20"/>
                <w:color w:val="auto"/>
              </w:rPr>
            </w:pPr>
            <w:r>
              <w:rPr>
                <w:rFonts w:ascii="Arial" w:cs="Arial" w:eastAsia="Arial" w:hAnsi="Arial"/>
                <w:sz w:val="16"/>
                <w:szCs w:val="16"/>
                <w:b w:val="1"/>
                <w:bCs w:val="1"/>
                <w:color w:val="auto"/>
              </w:rPr>
              <w:t>State Street Corporation</w:t>
            </w:r>
          </w:p>
        </w:tc>
        <w:tc>
          <w:tcPr>
            <w:tcW w:w="2620" w:type="dxa"/>
            <w:vAlign w:val="bottom"/>
            <w:vMerge w:val="restart"/>
            <w:shd w:val="clear" w:color="auto" w:fill="D1DDE6"/>
          </w:tcPr>
          <w:p>
            <w:pPr>
              <w:jc w:val="center"/>
              <w:ind w:left="719"/>
              <w:spacing w:after="0"/>
              <w:rPr>
                <w:sz w:val="20"/>
                <w:szCs w:val="20"/>
                <w:color w:val="auto"/>
              </w:rPr>
            </w:pPr>
            <w:r>
              <w:rPr>
                <w:rFonts w:ascii="Arial" w:cs="Arial" w:eastAsia="Arial" w:hAnsi="Arial"/>
                <w:sz w:val="16"/>
                <w:szCs w:val="16"/>
                <w:color w:val="auto"/>
              </w:rPr>
              <w:t>16,098,467</w:t>
            </w:r>
          </w:p>
        </w:tc>
        <w:tc>
          <w:tcPr>
            <w:tcW w:w="600" w:type="dxa"/>
            <w:vAlign w:val="bottom"/>
            <w:vMerge w:val="restart"/>
            <w:shd w:val="clear" w:color="auto" w:fill="D1DDE6"/>
          </w:tcPr>
          <w:p>
            <w:pPr>
              <w:jc w:val="right"/>
              <w:ind w:right="279"/>
              <w:spacing w:after="0"/>
              <w:rPr>
                <w:sz w:val="20"/>
                <w:szCs w:val="20"/>
                <w:color w:val="auto"/>
              </w:rPr>
            </w:pPr>
            <w:r>
              <w:rPr>
                <w:rFonts w:ascii="Arial" w:cs="Arial" w:eastAsia="Arial" w:hAnsi="Arial"/>
                <w:sz w:val="16"/>
                <w:szCs w:val="16"/>
                <w:color w:val="auto"/>
              </w:rPr>
              <w:t>(1)</w:t>
            </w:r>
          </w:p>
        </w:tc>
        <w:tc>
          <w:tcPr>
            <w:tcW w:w="2600" w:type="dxa"/>
            <w:vAlign w:val="bottom"/>
            <w:vMerge w:val="restart"/>
            <w:shd w:val="clear" w:color="auto" w:fill="D1DDE6"/>
          </w:tcPr>
          <w:p>
            <w:pPr>
              <w:jc w:val="center"/>
              <w:ind w:left="39"/>
              <w:spacing w:after="0"/>
              <w:rPr>
                <w:sz w:val="20"/>
                <w:szCs w:val="20"/>
                <w:color w:val="auto"/>
              </w:rPr>
            </w:pPr>
            <w:r>
              <w:rPr>
                <w:rFonts w:ascii="Arial" w:cs="Arial" w:eastAsia="Arial" w:hAnsi="Arial"/>
                <w:sz w:val="16"/>
                <w:szCs w:val="16"/>
                <w:color w:val="auto"/>
                <w:w w:val="98"/>
              </w:rPr>
              <w:t>9.7%</w:t>
            </w:r>
          </w:p>
        </w:tc>
        <w:tc>
          <w:tcPr>
            <w:tcW w:w="0" w:type="dxa"/>
            <w:vAlign w:val="bottom"/>
          </w:tcPr>
          <w:p>
            <w:pPr>
              <w:spacing w:after="0"/>
              <w:rPr>
                <w:sz w:val="1"/>
                <w:szCs w:val="1"/>
                <w:color w:val="auto"/>
              </w:rPr>
            </w:pPr>
          </w:p>
        </w:tc>
      </w:tr>
      <w:tr>
        <w:trPr>
          <w:trHeight w:val="114"/>
        </w:trPr>
        <w:tc>
          <w:tcPr>
            <w:tcW w:w="4100" w:type="dxa"/>
            <w:vAlign w:val="bottom"/>
            <w:vMerge w:val="restart"/>
            <w:shd w:val="clear" w:color="auto" w:fill="D1DDE6"/>
          </w:tcPr>
          <w:p>
            <w:pPr>
              <w:ind w:left="20"/>
              <w:spacing w:after="0"/>
              <w:rPr>
                <w:sz w:val="20"/>
                <w:szCs w:val="20"/>
                <w:color w:val="auto"/>
              </w:rPr>
            </w:pPr>
            <w:r>
              <w:rPr>
                <w:rFonts w:ascii="Arial" w:cs="Arial" w:eastAsia="Arial" w:hAnsi="Arial"/>
                <w:sz w:val="16"/>
                <w:szCs w:val="16"/>
                <w:color w:val="auto"/>
              </w:rPr>
              <w:t>One Lincoln Street, Boston, MA 02111</w:t>
            </w:r>
          </w:p>
        </w:tc>
        <w:tc>
          <w:tcPr>
            <w:tcW w:w="2620" w:type="dxa"/>
            <w:vAlign w:val="bottom"/>
            <w:vMerge w:val="continue"/>
            <w:shd w:val="clear" w:color="auto" w:fill="D1DDE6"/>
          </w:tcPr>
          <w:p>
            <w:pPr>
              <w:spacing w:after="0"/>
              <w:rPr>
                <w:sz w:val="9"/>
                <w:szCs w:val="9"/>
                <w:color w:val="auto"/>
              </w:rPr>
            </w:pPr>
          </w:p>
        </w:tc>
        <w:tc>
          <w:tcPr>
            <w:tcW w:w="600" w:type="dxa"/>
            <w:vAlign w:val="bottom"/>
            <w:vMerge w:val="continue"/>
            <w:shd w:val="clear" w:color="auto" w:fill="D1DDE6"/>
          </w:tcPr>
          <w:p>
            <w:pPr>
              <w:spacing w:after="0"/>
              <w:rPr>
                <w:sz w:val="9"/>
                <w:szCs w:val="9"/>
                <w:color w:val="auto"/>
              </w:rPr>
            </w:pPr>
          </w:p>
        </w:tc>
        <w:tc>
          <w:tcPr>
            <w:tcW w:w="2600" w:type="dxa"/>
            <w:vAlign w:val="bottom"/>
            <w:vMerge w:val="continue"/>
            <w:shd w:val="clear" w:color="auto" w:fill="D1DDE6"/>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100" w:type="dxa"/>
            <w:vAlign w:val="bottom"/>
            <w:vMerge w:val="continue"/>
            <w:shd w:val="clear" w:color="auto" w:fill="D1DDE6"/>
          </w:tcPr>
          <w:p>
            <w:pPr>
              <w:spacing w:after="0"/>
              <w:rPr>
                <w:sz w:val="7"/>
                <w:szCs w:val="7"/>
                <w:color w:val="auto"/>
              </w:rPr>
            </w:pPr>
          </w:p>
        </w:tc>
        <w:tc>
          <w:tcPr>
            <w:tcW w:w="2620" w:type="dxa"/>
            <w:vAlign w:val="bottom"/>
            <w:shd w:val="clear" w:color="auto" w:fill="D1DDE6"/>
          </w:tcPr>
          <w:p>
            <w:pPr>
              <w:spacing w:after="0"/>
              <w:rPr>
                <w:sz w:val="7"/>
                <w:szCs w:val="7"/>
                <w:color w:val="auto"/>
              </w:rPr>
            </w:pPr>
          </w:p>
        </w:tc>
        <w:tc>
          <w:tcPr>
            <w:tcW w:w="600" w:type="dxa"/>
            <w:vAlign w:val="bottom"/>
            <w:shd w:val="clear" w:color="auto" w:fill="D1DDE6"/>
          </w:tcPr>
          <w:p>
            <w:pPr>
              <w:spacing w:after="0"/>
              <w:rPr>
                <w:sz w:val="7"/>
                <w:szCs w:val="7"/>
                <w:color w:val="auto"/>
              </w:rPr>
            </w:pPr>
          </w:p>
        </w:tc>
        <w:tc>
          <w:tcPr>
            <w:tcW w:w="2600" w:type="dxa"/>
            <w:vAlign w:val="bottom"/>
            <w:shd w:val="clear" w:color="auto" w:fill="D1DDE6"/>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100" w:type="dxa"/>
            <w:vAlign w:val="bottom"/>
          </w:tcPr>
          <w:p>
            <w:pPr>
              <w:ind w:left="20"/>
              <w:spacing w:after="0" w:line="178" w:lineRule="exact"/>
              <w:rPr>
                <w:sz w:val="20"/>
                <w:szCs w:val="20"/>
                <w:color w:val="auto"/>
              </w:rPr>
            </w:pPr>
            <w:r>
              <w:rPr>
                <w:rFonts w:ascii="Arial" w:cs="Arial" w:eastAsia="Arial" w:hAnsi="Arial"/>
                <w:sz w:val="16"/>
                <w:szCs w:val="16"/>
                <w:b w:val="1"/>
                <w:bCs w:val="1"/>
                <w:color w:val="auto"/>
              </w:rPr>
              <w:t>Capital International Investors</w:t>
            </w:r>
          </w:p>
        </w:tc>
        <w:tc>
          <w:tcPr>
            <w:tcW w:w="2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100" w:type="dxa"/>
            <w:vAlign w:val="bottom"/>
          </w:tcPr>
          <w:p>
            <w:pPr>
              <w:ind w:left="20"/>
              <w:spacing w:after="0" w:line="162" w:lineRule="exact"/>
              <w:rPr>
                <w:sz w:val="20"/>
                <w:szCs w:val="20"/>
                <w:color w:val="auto"/>
              </w:rPr>
            </w:pPr>
            <w:r>
              <w:rPr>
                <w:rFonts w:ascii="Arial" w:cs="Arial" w:eastAsia="Arial" w:hAnsi="Arial"/>
                <w:sz w:val="16"/>
                <w:szCs w:val="16"/>
                <w:color w:val="auto"/>
              </w:rPr>
              <w:t>333 South Hope Street, 55th Floor,</w:t>
            </w:r>
          </w:p>
        </w:tc>
        <w:tc>
          <w:tcPr>
            <w:tcW w:w="2620" w:type="dxa"/>
            <w:vAlign w:val="bottom"/>
          </w:tcPr>
          <w:p>
            <w:pPr>
              <w:jc w:val="center"/>
              <w:ind w:left="699"/>
              <w:spacing w:after="0" w:line="162" w:lineRule="exact"/>
              <w:rPr>
                <w:sz w:val="20"/>
                <w:szCs w:val="20"/>
                <w:color w:val="auto"/>
              </w:rPr>
            </w:pPr>
            <w:r>
              <w:rPr>
                <w:rFonts w:ascii="Arial" w:cs="Arial" w:eastAsia="Arial" w:hAnsi="Arial"/>
                <w:sz w:val="16"/>
                <w:szCs w:val="16"/>
                <w:color w:val="auto"/>
                <w:w w:val="99"/>
              </w:rPr>
              <w:t>14,658,627</w:t>
            </w:r>
          </w:p>
        </w:tc>
        <w:tc>
          <w:tcPr>
            <w:tcW w:w="600" w:type="dxa"/>
            <w:vAlign w:val="bottom"/>
          </w:tcPr>
          <w:p>
            <w:pPr>
              <w:jc w:val="right"/>
              <w:ind w:right="279"/>
              <w:spacing w:after="0" w:line="162" w:lineRule="exact"/>
              <w:rPr>
                <w:sz w:val="20"/>
                <w:szCs w:val="20"/>
                <w:color w:val="auto"/>
              </w:rPr>
            </w:pPr>
            <w:r>
              <w:rPr>
                <w:rFonts w:ascii="Arial" w:cs="Arial" w:eastAsia="Arial" w:hAnsi="Arial"/>
                <w:sz w:val="16"/>
                <w:szCs w:val="16"/>
                <w:color w:val="auto"/>
              </w:rPr>
              <w:t>(2)</w:t>
            </w:r>
          </w:p>
        </w:tc>
        <w:tc>
          <w:tcPr>
            <w:tcW w:w="2600" w:type="dxa"/>
            <w:vAlign w:val="bottom"/>
          </w:tcPr>
          <w:p>
            <w:pPr>
              <w:jc w:val="center"/>
              <w:ind w:left="39"/>
              <w:spacing w:after="0" w:line="162" w:lineRule="exact"/>
              <w:rPr>
                <w:sz w:val="20"/>
                <w:szCs w:val="20"/>
                <w:color w:val="auto"/>
              </w:rPr>
            </w:pPr>
            <w:r>
              <w:rPr>
                <w:rFonts w:ascii="Arial" w:cs="Arial" w:eastAsia="Arial" w:hAnsi="Arial"/>
                <w:sz w:val="16"/>
                <w:szCs w:val="16"/>
                <w:color w:val="auto"/>
                <w:w w:val="98"/>
              </w:rPr>
              <w:t>8.8%</w:t>
            </w:r>
          </w:p>
        </w:tc>
        <w:tc>
          <w:tcPr>
            <w:tcW w:w="0" w:type="dxa"/>
            <w:vAlign w:val="bottom"/>
          </w:tcPr>
          <w:p>
            <w:pPr>
              <w:spacing w:after="0"/>
              <w:rPr>
                <w:sz w:val="1"/>
                <w:szCs w:val="1"/>
                <w:color w:val="auto"/>
              </w:rPr>
            </w:pPr>
          </w:p>
        </w:tc>
      </w:tr>
      <w:tr>
        <w:trPr>
          <w:trHeight w:val="198"/>
        </w:trPr>
        <w:tc>
          <w:tcPr>
            <w:tcW w:w="4100" w:type="dxa"/>
            <w:vAlign w:val="bottom"/>
          </w:tcPr>
          <w:p>
            <w:pPr>
              <w:ind w:left="20"/>
              <w:spacing w:after="0"/>
              <w:rPr>
                <w:sz w:val="20"/>
                <w:szCs w:val="20"/>
                <w:color w:val="auto"/>
              </w:rPr>
            </w:pPr>
            <w:r>
              <w:rPr>
                <w:rFonts w:ascii="Arial" w:cs="Arial" w:eastAsia="Arial" w:hAnsi="Arial"/>
                <w:sz w:val="16"/>
                <w:szCs w:val="16"/>
                <w:color w:val="auto"/>
              </w:rPr>
              <w:t>Los Angeles, CA 90071</w:t>
            </w:r>
          </w:p>
        </w:tc>
        <w:tc>
          <w:tcPr>
            <w:tcW w:w="2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100" w:type="dxa"/>
            <w:vAlign w:val="bottom"/>
            <w:shd w:val="clear" w:color="auto" w:fill="D1DDE6"/>
          </w:tcPr>
          <w:p>
            <w:pPr>
              <w:ind w:left="20"/>
              <w:spacing w:after="0" w:line="181" w:lineRule="exact"/>
              <w:rPr>
                <w:sz w:val="20"/>
                <w:szCs w:val="20"/>
                <w:color w:val="auto"/>
              </w:rPr>
            </w:pPr>
            <w:r>
              <w:rPr>
                <w:rFonts w:ascii="Arial" w:cs="Arial" w:eastAsia="Arial" w:hAnsi="Arial"/>
                <w:sz w:val="16"/>
                <w:szCs w:val="16"/>
                <w:b w:val="1"/>
                <w:bCs w:val="1"/>
                <w:color w:val="auto"/>
              </w:rPr>
              <w:t>The Vanguard Group</w:t>
            </w:r>
          </w:p>
        </w:tc>
        <w:tc>
          <w:tcPr>
            <w:tcW w:w="2620" w:type="dxa"/>
            <w:vAlign w:val="bottom"/>
            <w:vMerge w:val="restart"/>
            <w:shd w:val="clear" w:color="auto" w:fill="D1DDE6"/>
          </w:tcPr>
          <w:p>
            <w:pPr>
              <w:jc w:val="center"/>
              <w:ind w:left="719"/>
              <w:spacing w:after="0"/>
              <w:rPr>
                <w:sz w:val="20"/>
                <w:szCs w:val="20"/>
                <w:color w:val="auto"/>
              </w:rPr>
            </w:pPr>
            <w:r>
              <w:rPr>
                <w:rFonts w:ascii="Arial" w:cs="Arial" w:eastAsia="Arial" w:hAnsi="Arial"/>
                <w:sz w:val="16"/>
                <w:szCs w:val="16"/>
                <w:color w:val="auto"/>
              </w:rPr>
              <w:t>12,540,325</w:t>
            </w:r>
          </w:p>
        </w:tc>
        <w:tc>
          <w:tcPr>
            <w:tcW w:w="600" w:type="dxa"/>
            <w:vAlign w:val="bottom"/>
            <w:vMerge w:val="restart"/>
            <w:shd w:val="clear" w:color="auto" w:fill="D1DDE6"/>
          </w:tcPr>
          <w:p>
            <w:pPr>
              <w:jc w:val="right"/>
              <w:ind w:right="279"/>
              <w:spacing w:after="0"/>
              <w:rPr>
                <w:sz w:val="20"/>
                <w:szCs w:val="20"/>
                <w:color w:val="auto"/>
              </w:rPr>
            </w:pPr>
            <w:r>
              <w:rPr>
                <w:rFonts w:ascii="Arial" w:cs="Arial" w:eastAsia="Arial" w:hAnsi="Arial"/>
                <w:sz w:val="16"/>
                <w:szCs w:val="16"/>
                <w:color w:val="auto"/>
              </w:rPr>
              <w:t>(3)</w:t>
            </w:r>
          </w:p>
        </w:tc>
        <w:tc>
          <w:tcPr>
            <w:tcW w:w="2600" w:type="dxa"/>
            <w:vAlign w:val="bottom"/>
            <w:vMerge w:val="restart"/>
            <w:shd w:val="clear" w:color="auto" w:fill="D1DDE6"/>
          </w:tcPr>
          <w:p>
            <w:pPr>
              <w:jc w:val="center"/>
              <w:ind w:left="39"/>
              <w:spacing w:after="0"/>
              <w:rPr>
                <w:sz w:val="20"/>
                <w:szCs w:val="20"/>
                <w:color w:val="auto"/>
              </w:rPr>
            </w:pPr>
            <w:r>
              <w:rPr>
                <w:rFonts w:ascii="Arial" w:cs="Arial" w:eastAsia="Arial" w:hAnsi="Arial"/>
                <w:sz w:val="16"/>
                <w:szCs w:val="16"/>
                <w:color w:val="auto"/>
                <w:w w:val="98"/>
              </w:rPr>
              <w:t>7.5%</w:t>
            </w:r>
          </w:p>
        </w:tc>
        <w:tc>
          <w:tcPr>
            <w:tcW w:w="0" w:type="dxa"/>
            <w:vAlign w:val="bottom"/>
          </w:tcPr>
          <w:p>
            <w:pPr>
              <w:spacing w:after="0"/>
              <w:rPr>
                <w:sz w:val="1"/>
                <w:szCs w:val="1"/>
                <w:color w:val="auto"/>
              </w:rPr>
            </w:pPr>
          </w:p>
        </w:tc>
      </w:tr>
      <w:tr>
        <w:trPr>
          <w:trHeight w:val="114"/>
        </w:trPr>
        <w:tc>
          <w:tcPr>
            <w:tcW w:w="4100" w:type="dxa"/>
            <w:vAlign w:val="bottom"/>
            <w:vMerge w:val="restart"/>
            <w:shd w:val="clear" w:color="auto" w:fill="D1DDE6"/>
          </w:tcPr>
          <w:p>
            <w:pPr>
              <w:ind w:left="20"/>
              <w:spacing w:after="0"/>
              <w:rPr>
                <w:sz w:val="20"/>
                <w:szCs w:val="20"/>
                <w:color w:val="auto"/>
              </w:rPr>
            </w:pPr>
            <w:r>
              <w:rPr>
                <w:rFonts w:ascii="Arial" w:cs="Arial" w:eastAsia="Arial" w:hAnsi="Arial"/>
                <w:sz w:val="16"/>
                <w:szCs w:val="16"/>
                <w:color w:val="auto"/>
              </w:rPr>
              <w:t>100 Vanguard Blvd., Malvern, PA 19355</w:t>
            </w:r>
          </w:p>
        </w:tc>
        <w:tc>
          <w:tcPr>
            <w:tcW w:w="2620" w:type="dxa"/>
            <w:vAlign w:val="bottom"/>
            <w:vMerge w:val="continue"/>
            <w:shd w:val="clear" w:color="auto" w:fill="D1DDE6"/>
          </w:tcPr>
          <w:p>
            <w:pPr>
              <w:spacing w:after="0"/>
              <w:rPr>
                <w:sz w:val="9"/>
                <w:szCs w:val="9"/>
                <w:color w:val="auto"/>
              </w:rPr>
            </w:pPr>
          </w:p>
        </w:tc>
        <w:tc>
          <w:tcPr>
            <w:tcW w:w="600" w:type="dxa"/>
            <w:vAlign w:val="bottom"/>
            <w:vMerge w:val="continue"/>
            <w:shd w:val="clear" w:color="auto" w:fill="D1DDE6"/>
          </w:tcPr>
          <w:p>
            <w:pPr>
              <w:spacing w:after="0"/>
              <w:rPr>
                <w:sz w:val="9"/>
                <w:szCs w:val="9"/>
                <w:color w:val="auto"/>
              </w:rPr>
            </w:pPr>
          </w:p>
        </w:tc>
        <w:tc>
          <w:tcPr>
            <w:tcW w:w="2600" w:type="dxa"/>
            <w:vAlign w:val="bottom"/>
            <w:vMerge w:val="continue"/>
            <w:shd w:val="clear" w:color="auto" w:fill="D1DDE6"/>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100" w:type="dxa"/>
            <w:vAlign w:val="bottom"/>
            <w:vMerge w:val="continue"/>
            <w:shd w:val="clear" w:color="auto" w:fill="D1DDE6"/>
          </w:tcPr>
          <w:p>
            <w:pPr>
              <w:spacing w:after="0"/>
              <w:rPr>
                <w:sz w:val="7"/>
                <w:szCs w:val="7"/>
                <w:color w:val="auto"/>
              </w:rPr>
            </w:pPr>
          </w:p>
        </w:tc>
        <w:tc>
          <w:tcPr>
            <w:tcW w:w="2620" w:type="dxa"/>
            <w:vAlign w:val="bottom"/>
            <w:shd w:val="clear" w:color="auto" w:fill="D1DDE6"/>
          </w:tcPr>
          <w:p>
            <w:pPr>
              <w:spacing w:after="0"/>
              <w:rPr>
                <w:sz w:val="7"/>
                <w:szCs w:val="7"/>
                <w:color w:val="auto"/>
              </w:rPr>
            </w:pPr>
          </w:p>
        </w:tc>
        <w:tc>
          <w:tcPr>
            <w:tcW w:w="600" w:type="dxa"/>
            <w:vAlign w:val="bottom"/>
            <w:shd w:val="clear" w:color="auto" w:fill="D1DDE6"/>
          </w:tcPr>
          <w:p>
            <w:pPr>
              <w:spacing w:after="0"/>
              <w:rPr>
                <w:sz w:val="7"/>
                <w:szCs w:val="7"/>
                <w:color w:val="auto"/>
              </w:rPr>
            </w:pPr>
          </w:p>
        </w:tc>
        <w:tc>
          <w:tcPr>
            <w:tcW w:w="2600" w:type="dxa"/>
            <w:vAlign w:val="bottom"/>
            <w:shd w:val="clear" w:color="auto" w:fill="D1DDE6"/>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100" w:type="dxa"/>
            <w:vAlign w:val="bottom"/>
          </w:tcPr>
          <w:p>
            <w:pPr>
              <w:ind w:left="20"/>
              <w:spacing w:after="0" w:line="178" w:lineRule="exact"/>
              <w:rPr>
                <w:sz w:val="20"/>
                <w:szCs w:val="20"/>
                <w:color w:val="auto"/>
              </w:rPr>
            </w:pPr>
            <w:r>
              <w:rPr>
                <w:rFonts w:ascii="Arial" w:cs="Arial" w:eastAsia="Arial" w:hAnsi="Arial"/>
                <w:sz w:val="16"/>
                <w:szCs w:val="16"/>
                <w:b w:val="1"/>
                <w:bCs w:val="1"/>
                <w:color w:val="auto"/>
              </w:rPr>
              <w:t>BlackRock, Inc.</w:t>
            </w:r>
          </w:p>
        </w:tc>
        <w:tc>
          <w:tcPr>
            <w:tcW w:w="2620" w:type="dxa"/>
            <w:vAlign w:val="bottom"/>
            <w:vMerge w:val="restart"/>
          </w:tcPr>
          <w:p>
            <w:pPr>
              <w:jc w:val="center"/>
              <w:ind w:left="699"/>
              <w:spacing w:after="0"/>
              <w:rPr>
                <w:sz w:val="20"/>
                <w:szCs w:val="20"/>
                <w:color w:val="auto"/>
              </w:rPr>
            </w:pPr>
            <w:r>
              <w:rPr>
                <w:rFonts w:ascii="Arial" w:cs="Arial" w:eastAsia="Arial" w:hAnsi="Arial"/>
                <w:sz w:val="16"/>
                <w:szCs w:val="16"/>
                <w:color w:val="auto"/>
              </w:rPr>
              <w:t>9,489,573</w:t>
            </w:r>
          </w:p>
        </w:tc>
        <w:tc>
          <w:tcPr>
            <w:tcW w:w="600" w:type="dxa"/>
            <w:vAlign w:val="bottom"/>
            <w:vMerge w:val="restart"/>
          </w:tcPr>
          <w:p>
            <w:pPr>
              <w:jc w:val="right"/>
              <w:ind w:right="279"/>
              <w:spacing w:after="0"/>
              <w:rPr>
                <w:sz w:val="20"/>
                <w:szCs w:val="20"/>
                <w:color w:val="auto"/>
              </w:rPr>
            </w:pPr>
            <w:r>
              <w:rPr>
                <w:rFonts w:ascii="Arial" w:cs="Arial" w:eastAsia="Arial" w:hAnsi="Arial"/>
                <w:sz w:val="16"/>
                <w:szCs w:val="16"/>
                <w:color w:val="auto"/>
              </w:rPr>
              <w:t>(4)</w:t>
            </w:r>
          </w:p>
        </w:tc>
        <w:tc>
          <w:tcPr>
            <w:tcW w:w="2600" w:type="dxa"/>
            <w:vAlign w:val="bottom"/>
            <w:vMerge w:val="restart"/>
          </w:tcPr>
          <w:p>
            <w:pPr>
              <w:jc w:val="center"/>
              <w:ind w:left="39"/>
              <w:spacing w:after="0"/>
              <w:rPr>
                <w:sz w:val="20"/>
                <w:szCs w:val="20"/>
                <w:color w:val="auto"/>
              </w:rPr>
            </w:pPr>
            <w:r>
              <w:rPr>
                <w:rFonts w:ascii="Arial" w:cs="Arial" w:eastAsia="Arial" w:hAnsi="Arial"/>
                <w:sz w:val="16"/>
                <w:szCs w:val="16"/>
                <w:color w:val="auto"/>
                <w:w w:val="98"/>
              </w:rPr>
              <w:t>5.7%</w:t>
            </w:r>
          </w:p>
        </w:tc>
        <w:tc>
          <w:tcPr>
            <w:tcW w:w="0" w:type="dxa"/>
            <w:vAlign w:val="bottom"/>
          </w:tcPr>
          <w:p>
            <w:pPr>
              <w:spacing w:after="0"/>
              <w:rPr>
                <w:sz w:val="1"/>
                <w:szCs w:val="1"/>
                <w:color w:val="auto"/>
              </w:rPr>
            </w:pPr>
          </w:p>
        </w:tc>
      </w:tr>
      <w:tr>
        <w:trPr>
          <w:trHeight w:val="114"/>
        </w:trPr>
        <w:tc>
          <w:tcPr>
            <w:tcW w:w="4100" w:type="dxa"/>
            <w:vAlign w:val="bottom"/>
            <w:vMerge w:val="restart"/>
          </w:tcPr>
          <w:p>
            <w:pPr>
              <w:ind w:left="20"/>
              <w:spacing w:after="0"/>
              <w:rPr>
                <w:sz w:val="20"/>
                <w:szCs w:val="20"/>
                <w:color w:val="auto"/>
              </w:rPr>
            </w:pPr>
            <w:r>
              <w:rPr>
                <w:rFonts w:ascii="Arial" w:cs="Arial" w:eastAsia="Arial" w:hAnsi="Arial"/>
                <w:sz w:val="16"/>
                <w:szCs w:val="16"/>
                <w:color w:val="auto"/>
              </w:rPr>
              <w:t>55 East 52nd Street, New York, NY 10055</w:t>
            </w:r>
          </w:p>
        </w:tc>
        <w:tc>
          <w:tcPr>
            <w:tcW w:w="26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4100" w:type="dxa"/>
            <w:vAlign w:val="bottom"/>
            <w:vMerge w:val="continue"/>
          </w:tcPr>
          <w:p>
            <w:pPr>
              <w:spacing w:after="0"/>
              <w:rPr>
                <w:sz w:val="7"/>
                <w:szCs w:val="7"/>
                <w:color w:val="auto"/>
              </w:rPr>
            </w:pPr>
          </w:p>
        </w:tc>
        <w:tc>
          <w:tcPr>
            <w:tcW w:w="2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4100" w:type="dxa"/>
            <w:vAlign w:val="bottom"/>
            <w:shd w:val="clear" w:color="auto" w:fill="D1DDE6"/>
          </w:tcPr>
          <w:p>
            <w:pPr>
              <w:ind w:left="20"/>
              <w:spacing w:after="0" w:line="181" w:lineRule="exact"/>
              <w:rPr>
                <w:sz w:val="20"/>
                <w:szCs w:val="20"/>
                <w:color w:val="auto"/>
              </w:rPr>
            </w:pPr>
            <w:r>
              <w:rPr>
                <w:rFonts w:ascii="Arial" w:cs="Arial" w:eastAsia="Arial" w:hAnsi="Arial"/>
                <w:sz w:val="16"/>
                <w:szCs w:val="16"/>
                <w:b w:val="1"/>
                <w:bCs w:val="1"/>
                <w:color w:val="auto"/>
              </w:rPr>
              <w:t>Wellington Management Group LLP</w:t>
            </w:r>
          </w:p>
        </w:tc>
        <w:tc>
          <w:tcPr>
            <w:tcW w:w="2620" w:type="dxa"/>
            <w:vAlign w:val="bottom"/>
            <w:vMerge w:val="restart"/>
            <w:shd w:val="clear" w:color="auto" w:fill="D1DDE6"/>
          </w:tcPr>
          <w:p>
            <w:pPr>
              <w:jc w:val="center"/>
              <w:ind w:left="699"/>
              <w:spacing w:after="0"/>
              <w:rPr>
                <w:sz w:val="20"/>
                <w:szCs w:val="20"/>
                <w:color w:val="auto"/>
              </w:rPr>
            </w:pPr>
            <w:r>
              <w:rPr>
                <w:rFonts w:ascii="Arial" w:cs="Arial" w:eastAsia="Arial" w:hAnsi="Arial"/>
                <w:sz w:val="16"/>
                <w:szCs w:val="16"/>
                <w:color w:val="auto"/>
              </w:rPr>
              <w:t>9,025,016</w:t>
            </w:r>
          </w:p>
        </w:tc>
        <w:tc>
          <w:tcPr>
            <w:tcW w:w="600" w:type="dxa"/>
            <w:vAlign w:val="bottom"/>
            <w:vMerge w:val="restart"/>
            <w:shd w:val="clear" w:color="auto" w:fill="D1DDE6"/>
          </w:tcPr>
          <w:p>
            <w:pPr>
              <w:jc w:val="right"/>
              <w:ind w:right="279"/>
              <w:spacing w:after="0"/>
              <w:rPr>
                <w:sz w:val="20"/>
                <w:szCs w:val="20"/>
                <w:color w:val="auto"/>
              </w:rPr>
            </w:pPr>
            <w:r>
              <w:rPr>
                <w:rFonts w:ascii="Arial" w:cs="Arial" w:eastAsia="Arial" w:hAnsi="Arial"/>
                <w:sz w:val="16"/>
                <w:szCs w:val="16"/>
                <w:color w:val="auto"/>
              </w:rPr>
              <w:t>(5)</w:t>
            </w:r>
          </w:p>
        </w:tc>
        <w:tc>
          <w:tcPr>
            <w:tcW w:w="2600" w:type="dxa"/>
            <w:vAlign w:val="bottom"/>
            <w:vMerge w:val="restart"/>
            <w:shd w:val="clear" w:color="auto" w:fill="D1DDE6"/>
          </w:tcPr>
          <w:p>
            <w:pPr>
              <w:jc w:val="center"/>
              <w:ind w:left="39"/>
              <w:spacing w:after="0"/>
              <w:rPr>
                <w:sz w:val="20"/>
                <w:szCs w:val="20"/>
                <w:color w:val="auto"/>
              </w:rPr>
            </w:pPr>
            <w:r>
              <w:rPr>
                <w:rFonts w:ascii="Arial" w:cs="Arial" w:eastAsia="Arial" w:hAnsi="Arial"/>
                <w:sz w:val="16"/>
                <w:szCs w:val="16"/>
                <w:color w:val="auto"/>
                <w:w w:val="98"/>
              </w:rPr>
              <w:t>5.4%</w:t>
            </w:r>
          </w:p>
        </w:tc>
        <w:tc>
          <w:tcPr>
            <w:tcW w:w="0" w:type="dxa"/>
            <w:vAlign w:val="bottom"/>
          </w:tcPr>
          <w:p>
            <w:pPr>
              <w:spacing w:after="0"/>
              <w:rPr>
                <w:sz w:val="1"/>
                <w:szCs w:val="1"/>
                <w:color w:val="auto"/>
              </w:rPr>
            </w:pPr>
          </w:p>
        </w:tc>
      </w:tr>
      <w:tr>
        <w:trPr>
          <w:trHeight w:val="114"/>
        </w:trPr>
        <w:tc>
          <w:tcPr>
            <w:tcW w:w="4100" w:type="dxa"/>
            <w:vAlign w:val="bottom"/>
            <w:vMerge w:val="restart"/>
            <w:shd w:val="clear" w:color="auto" w:fill="D1DDE6"/>
          </w:tcPr>
          <w:p>
            <w:pPr>
              <w:ind w:left="20"/>
              <w:spacing w:after="0"/>
              <w:rPr>
                <w:sz w:val="20"/>
                <w:szCs w:val="20"/>
                <w:color w:val="auto"/>
              </w:rPr>
            </w:pPr>
            <w:r>
              <w:rPr>
                <w:rFonts w:ascii="Arial" w:cs="Arial" w:eastAsia="Arial" w:hAnsi="Arial"/>
                <w:sz w:val="16"/>
                <w:szCs w:val="16"/>
                <w:color w:val="auto"/>
              </w:rPr>
              <w:t>280 Congress Street, Boston, MA 02210</w:t>
            </w:r>
          </w:p>
        </w:tc>
        <w:tc>
          <w:tcPr>
            <w:tcW w:w="2620" w:type="dxa"/>
            <w:vAlign w:val="bottom"/>
            <w:vMerge w:val="continue"/>
            <w:shd w:val="clear" w:color="auto" w:fill="D1DDE6"/>
          </w:tcPr>
          <w:p>
            <w:pPr>
              <w:spacing w:after="0"/>
              <w:rPr>
                <w:sz w:val="9"/>
                <w:szCs w:val="9"/>
                <w:color w:val="auto"/>
              </w:rPr>
            </w:pPr>
          </w:p>
        </w:tc>
        <w:tc>
          <w:tcPr>
            <w:tcW w:w="600" w:type="dxa"/>
            <w:vAlign w:val="bottom"/>
            <w:vMerge w:val="continue"/>
            <w:shd w:val="clear" w:color="auto" w:fill="D1DDE6"/>
          </w:tcPr>
          <w:p>
            <w:pPr>
              <w:spacing w:after="0"/>
              <w:rPr>
                <w:sz w:val="9"/>
                <w:szCs w:val="9"/>
                <w:color w:val="auto"/>
              </w:rPr>
            </w:pPr>
          </w:p>
        </w:tc>
        <w:tc>
          <w:tcPr>
            <w:tcW w:w="2600" w:type="dxa"/>
            <w:vAlign w:val="bottom"/>
            <w:vMerge w:val="continue"/>
            <w:shd w:val="clear" w:color="auto" w:fill="D1DDE6"/>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100" w:type="dxa"/>
            <w:vAlign w:val="bottom"/>
            <w:vMerge w:val="continue"/>
            <w:shd w:val="clear" w:color="auto" w:fill="D1DDE6"/>
          </w:tcPr>
          <w:p>
            <w:pPr>
              <w:spacing w:after="0"/>
              <w:rPr>
                <w:sz w:val="7"/>
                <w:szCs w:val="7"/>
                <w:color w:val="auto"/>
              </w:rPr>
            </w:pPr>
          </w:p>
        </w:tc>
        <w:tc>
          <w:tcPr>
            <w:tcW w:w="2620" w:type="dxa"/>
            <w:vAlign w:val="bottom"/>
            <w:shd w:val="clear" w:color="auto" w:fill="D1DDE6"/>
          </w:tcPr>
          <w:p>
            <w:pPr>
              <w:spacing w:after="0"/>
              <w:rPr>
                <w:sz w:val="7"/>
                <w:szCs w:val="7"/>
                <w:color w:val="auto"/>
              </w:rPr>
            </w:pPr>
          </w:p>
        </w:tc>
        <w:tc>
          <w:tcPr>
            <w:tcW w:w="600" w:type="dxa"/>
            <w:vAlign w:val="bottom"/>
            <w:shd w:val="clear" w:color="auto" w:fill="D1DDE6"/>
          </w:tcPr>
          <w:p>
            <w:pPr>
              <w:spacing w:after="0"/>
              <w:rPr>
                <w:sz w:val="7"/>
                <w:szCs w:val="7"/>
                <w:color w:val="auto"/>
              </w:rPr>
            </w:pPr>
          </w:p>
        </w:tc>
        <w:tc>
          <w:tcPr>
            <w:tcW w:w="2600" w:type="dxa"/>
            <w:vAlign w:val="bottom"/>
            <w:shd w:val="clear" w:color="auto" w:fill="D1DDE6"/>
          </w:tcPr>
          <w:p>
            <w:pPr>
              <w:spacing w:after="0"/>
              <w:rPr>
                <w:sz w:val="7"/>
                <w:szCs w:val="7"/>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420" w:right="80" w:hanging="412"/>
        <w:spacing w:after="0" w:line="252" w:lineRule="auto"/>
        <w:tabs>
          <w:tab w:leader="none" w:pos="43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information was provided by State Street Corporation (State Street) in a Schedule 13G/A filed with the SEC on February 24, 2021. According to State Street, as of December 31, 2020, State Street had shared voting power over 15,636,757 shares and shared dispositive power over 16,097,110 shares. This total includes 9,983,272 shares held as of December 31, 2020 in the Defined Contribution Plans Master Trust for the Northrop Grumman Savings Plan and the Northrop Grumman Financial Security and Savings Program, for which State Street Bank and Trust Company acts as trustee and State Street Global Advisors Trust Company acts as investment manager.</w:t>
      </w:r>
    </w:p>
    <w:p>
      <w:pPr>
        <w:spacing w:after="0" w:line="86" w:lineRule="exact"/>
        <w:rPr>
          <w:rFonts w:ascii="Arial" w:cs="Arial" w:eastAsia="Arial" w:hAnsi="Arial"/>
          <w:sz w:val="18"/>
          <w:szCs w:val="18"/>
          <w:color w:val="auto"/>
        </w:rPr>
      </w:pPr>
    </w:p>
    <w:p>
      <w:pPr>
        <w:ind w:left="420" w:right="40" w:hanging="412"/>
        <w:spacing w:after="0" w:line="278" w:lineRule="auto"/>
        <w:tabs>
          <w:tab w:leader="none" w:pos="437"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This information was provided by Capital International Investors (Capital International), a division of Capital Research and Management Company, in a Schedule 13G/A filed with the SEC on February 16, 2021. According to Capital International, as of December 31, 2020, Capital International had sole voting power over 14,636,652 shares and sole dispositive power over 14,658,627 shares.</w:t>
      </w:r>
    </w:p>
    <w:p>
      <w:pPr>
        <w:spacing w:after="0" w:line="49" w:lineRule="exact"/>
        <w:rPr>
          <w:rFonts w:ascii="Arial" w:cs="Arial" w:eastAsia="Arial" w:hAnsi="Arial"/>
          <w:sz w:val="17"/>
          <w:szCs w:val="17"/>
          <w:color w:val="auto"/>
        </w:rPr>
      </w:pPr>
    </w:p>
    <w:p>
      <w:pPr>
        <w:ind w:left="420" w:right="60" w:hanging="412"/>
        <w:spacing w:after="0" w:line="256" w:lineRule="auto"/>
        <w:tabs>
          <w:tab w:leader="none" w:pos="43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information was provided by The Vanguard Group (Vanguard) in a Schedule 13G/A filed with the SEC on February 10, 2021. According to Vanguard, as of December 31, 2020, Vanguard had shared voting power over 258,121 shares, sole dispositive power over 11,887,639 shares and shared dispositive power over 652,686 shares.</w:t>
      </w:r>
    </w:p>
    <w:p>
      <w:pPr>
        <w:spacing w:after="0" w:line="80" w:lineRule="exact"/>
        <w:rPr>
          <w:rFonts w:ascii="Arial" w:cs="Arial" w:eastAsia="Arial" w:hAnsi="Arial"/>
          <w:sz w:val="18"/>
          <w:szCs w:val="18"/>
          <w:color w:val="auto"/>
        </w:rPr>
      </w:pPr>
    </w:p>
    <w:p>
      <w:pPr>
        <w:ind w:left="420" w:right="100" w:hanging="412"/>
        <w:spacing w:after="0" w:line="256" w:lineRule="auto"/>
        <w:tabs>
          <w:tab w:leader="none" w:pos="43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information was provided by BlackRock, Inc. (BlackRock) in a Schedule 13G/A filed with the SEC on January 29, 2021. According to BlackRock, as of December 31, 2020, BlackRock had sole voting power over 8,627,438 shares and sole dispositive power over 9,489,573 shares.</w:t>
      </w:r>
    </w:p>
    <w:p>
      <w:pPr>
        <w:spacing w:after="0" w:line="80" w:lineRule="exact"/>
        <w:rPr>
          <w:rFonts w:ascii="Arial" w:cs="Arial" w:eastAsia="Arial" w:hAnsi="Arial"/>
          <w:sz w:val="18"/>
          <w:szCs w:val="18"/>
          <w:color w:val="auto"/>
        </w:rPr>
      </w:pPr>
    </w:p>
    <w:p>
      <w:pPr>
        <w:ind w:left="420" w:right="40" w:hanging="412"/>
        <w:spacing w:after="0" w:line="252" w:lineRule="auto"/>
        <w:tabs>
          <w:tab w:leader="none" w:pos="43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information was provided in a Schedule 13G jointly filed with the SEC on February 4, 2021 by Wellington Management Group LLP, a parent holding company, and three of its affiliates: Wellington Group Holdings LLP, owned by Wellington Management Group LLP; Wellington Investment Advisors Holdings LLP, owned by Wellington Group Holdings LLP; and Wellington Management Company LLP, an investment adviser controlled by Wellington Investment Advisors Holdings LLP (the four joint filers collectively, "Wellington"). Wellington reported that the shares as to which the Schedule 13G was filed are owned of record by clients of Wellington Management Company LLP. According to Wellington, as of December 31, 2020, each of the joint filers except Wellington Management Company LLP had shared voting power over 8,950,082 shares and shared dispositive power over 9,025,016 shares; and Wellington Management Company LLP had shared voting power over 8,865,582 shares and shared dispositive power over 8,919,050 shares.</w:t>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35</w:t>
      </w:r>
    </w:p>
    <w:p>
      <w:pPr>
        <w:sectPr>
          <w:pgSz w:w="11900" w:h="16838" w:orient="portrait"/>
          <w:cols w:equalWidth="0" w:num="1">
            <w:col w:w="11240"/>
          </w:cols>
          <w:pgMar w:left="320" w:top="607" w:right="339" w:bottom="1440" w:gutter="0" w:footer="0" w:header="0"/>
        </w:sectPr>
      </w:pPr>
    </w:p>
    <w:bookmarkStart w:id="41" w:name="page42"/>
    <w:bookmarkEnd w:id="41"/>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5314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VOTING SECURITIES AND PRINCIPAL HOLDERS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Stock Ownership of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following table shows beneficial ownership of our common stock as of March 23, 2021 by each of our current directors, our named executive officers and all directors and executive officers as a group. As of March 23, 2021, there were 160,962,047 shares of our common stock outstanding. None of the persons named below beneficially owns in excess of 1% of our outstanding common stock. Unless otherwise indicated, each individual has sole investment power and sole voting power with respect to the shares owned by such person.</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shd w:val="clear" w:color="auto" w:fill="00249C"/>
          </w:tcPr>
          <w:p>
            <w:pPr>
              <w:spacing w:after="0"/>
              <w:rPr>
                <w:sz w:val="16"/>
                <w:szCs w:val="16"/>
                <w:color w:val="auto"/>
              </w:rPr>
            </w:pPr>
          </w:p>
        </w:tc>
        <w:tc>
          <w:tcPr>
            <w:tcW w:w="240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rPr>
              <w:t>Shares of Common</w:t>
            </w:r>
          </w:p>
        </w:tc>
        <w:tc>
          <w:tcPr>
            <w:tcW w:w="1940" w:type="dxa"/>
            <w:vAlign w:val="bottom"/>
            <w:vMerge w:val="restart"/>
            <w:shd w:val="clear" w:color="auto" w:fill="00249C"/>
          </w:tcPr>
          <w:p>
            <w:pPr>
              <w:jc w:val="center"/>
              <w:spacing w:after="0"/>
              <w:rPr>
                <w:sz w:val="20"/>
                <w:szCs w:val="20"/>
                <w:color w:val="auto"/>
              </w:rPr>
            </w:pPr>
            <w:r>
              <w:rPr>
                <w:rFonts w:ascii="Arial" w:cs="Arial" w:eastAsia="Arial" w:hAnsi="Arial"/>
                <w:sz w:val="16"/>
                <w:szCs w:val="16"/>
                <w:b w:val="1"/>
                <w:bCs w:val="1"/>
                <w:color w:val="FFFFFF"/>
              </w:rPr>
              <w:t>Share</w:t>
            </w:r>
          </w:p>
        </w:tc>
        <w:tc>
          <w:tcPr>
            <w:tcW w:w="1220" w:type="dxa"/>
            <w:vAlign w:val="bottom"/>
            <w:shd w:val="clear" w:color="auto" w:fill="00249C"/>
          </w:tcPr>
          <w:p>
            <w:pPr>
              <w:spacing w:after="0"/>
              <w:rPr>
                <w:sz w:val="16"/>
                <w:szCs w:val="16"/>
                <w:color w:val="auto"/>
              </w:rPr>
            </w:pPr>
          </w:p>
        </w:tc>
        <w:tc>
          <w:tcPr>
            <w:tcW w:w="600" w:type="dxa"/>
            <w:vAlign w:val="bottom"/>
            <w:shd w:val="clear" w:color="auto" w:fill="00249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900" w:type="dxa"/>
            <w:vAlign w:val="bottom"/>
            <w:shd w:val="clear" w:color="auto" w:fill="00249C"/>
          </w:tcPr>
          <w:p>
            <w:pPr>
              <w:spacing w:after="0"/>
              <w:rPr>
                <w:sz w:val="14"/>
                <w:szCs w:val="14"/>
                <w:color w:val="auto"/>
              </w:rPr>
            </w:pPr>
          </w:p>
        </w:tc>
        <w:tc>
          <w:tcPr>
            <w:tcW w:w="2400" w:type="dxa"/>
            <w:vAlign w:val="bottom"/>
            <w:shd w:val="clear" w:color="auto" w:fill="00249C"/>
          </w:tcPr>
          <w:p>
            <w:pPr>
              <w:jc w:val="center"/>
              <w:spacing w:after="0" w:line="162" w:lineRule="exact"/>
              <w:rPr>
                <w:sz w:val="20"/>
                <w:szCs w:val="20"/>
                <w:color w:val="auto"/>
              </w:rPr>
            </w:pPr>
            <w:r>
              <w:rPr>
                <w:rFonts w:ascii="Arial" w:cs="Arial" w:eastAsia="Arial" w:hAnsi="Arial"/>
                <w:sz w:val="16"/>
                <w:szCs w:val="16"/>
                <w:b w:val="1"/>
                <w:bCs w:val="1"/>
                <w:color w:val="FFFFFF"/>
              </w:rPr>
              <w:t>Stock</w:t>
            </w:r>
          </w:p>
        </w:tc>
        <w:tc>
          <w:tcPr>
            <w:tcW w:w="1940" w:type="dxa"/>
            <w:vAlign w:val="bottom"/>
            <w:vMerge w:val="continue"/>
            <w:shd w:val="clear" w:color="auto" w:fill="00249C"/>
          </w:tcPr>
          <w:p>
            <w:pPr>
              <w:spacing w:after="0"/>
              <w:rPr>
                <w:sz w:val="14"/>
                <w:szCs w:val="14"/>
                <w:color w:val="auto"/>
              </w:rPr>
            </w:pPr>
          </w:p>
        </w:tc>
        <w:tc>
          <w:tcPr>
            <w:tcW w:w="1220" w:type="dxa"/>
            <w:vAlign w:val="bottom"/>
            <w:vMerge w:val="restart"/>
            <w:shd w:val="clear" w:color="auto" w:fill="00249C"/>
          </w:tcPr>
          <w:p>
            <w:pPr>
              <w:ind w:left="480"/>
              <w:spacing w:after="0"/>
              <w:rPr>
                <w:sz w:val="20"/>
                <w:szCs w:val="20"/>
                <w:color w:val="auto"/>
              </w:rPr>
            </w:pPr>
            <w:r>
              <w:rPr>
                <w:rFonts w:ascii="Arial" w:cs="Arial" w:eastAsia="Arial" w:hAnsi="Arial"/>
                <w:sz w:val="16"/>
                <w:szCs w:val="16"/>
                <w:b w:val="1"/>
                <w:bCs w:val="1"/>
                <w:color w:val="FFFFFF"/>
              </w:rPr>
              <w:t>Total</w:t>
            </w:r>
          </w:p>
        </w:tc>
        <w:tc>
          <w:tcPr>
            <w:tcW w:w="600" w:type="dxa"/>
            <w:vAlign w:val="bottom"/>
            <w:shd w:val="clear" w:color="auto" w:fill="00249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00249C"/>
          </w:tcPr>
          <w:p>
            <w:pPr>
              <w:spacing w:after="0"/>
              <w:rPr>
                <w:sz w:val="18"/>
                <w:szCs w:val="18"/>
                <w:color w:val="auto"/>
              </w:rPr>
            </w:pPr>
          </w:p>
        </w:tc>
        <w:tc>
          <w:tcPr>
            <w:tcW w:w="240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rPr>
              <w:t>Beneficially Owned</w:t>
            </w:r>
          </w:p>
        </w:tc>
        <w:tc>
          <w:tcPr>
            <w:tcW w:w="194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rPr>
              <w:t>Equivalents (1)</w:t>
            </w:r>
          </w:p>
        </w:tc>
        <w:tc>
          <w:tcPr>
            <w:tcW w:w="1220" w:type="dxa"/>
            <w:vAlign w:val="bottom"/>
            <w:vMerge w:val="continue"/>
            <w:shd w:val="clear" w:color="auto" w:fill="00249C"/>
          </w:tcPr>
          <w:p>
            <w:pPr>
              <w:spacing w:after="0"/>
              <w:rPr>
                <w:sz w:val="18"/>
                <w:szCs w:val="18"/>
                <w:color w:val="auto"/>
              </w:rPr>
            </w:pPr>
          </w:p>
        </w:tc>
        <w:tc>
          <w:tcPr>
            <w:tcW w:w="600" w:type="dxa"/>
            <w:vAlign w:val="bottom"/>
            <w:shd w:val="clear" w:color="auto" w:fill="00249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D1DDE6"/>
          </w:tcPr>
          <w:p>
            <w:pPr>
              <w:ind w:left="20"/>
              <w:spacing w:after="0"/>
              <w:rPr>
                <w:sz w:val="20"/>
                <w:szCs w:val="20"/>
                <w:color w:val="auto"/>
              </w:rPr>
            </w:pPr>
            <w:r>
              <w:rPr>
                <w:rFonts w:ascii="Arial" w:cs="Arial" w:eastAsia="Arial" w:hAnsi="Arial"/>
                <w:sz w:val="16"/>
                <w:szCs w:val="16"/>
                <w:b w:val="1"/>
                <w:bCs w:val="1"/>
                <w:color w:val="auto"/>
              </w:rPr>
              <w:t>Non-Employee Directors</w:t>
            </w:r>
          </w:p>
        </w:tc>
        <w:tc>
          <w:tcPr>
            <w:tcW w:w="2400" w:type="dxa"/>
            <w:vAlign w:val="bottom"/>
            <w:shd w:val="clear" w:color="auto" w:fill="D1DDE6"/>
          </w:tcPr>
          <w:p>
            <w:pPr>
              <w:spacing w:after="0"/>
              <w:rPr>
                <w:sz w:val="19"/>
                <w:szCs w:val="19"/>
                <w:color w:val="auto"/>
              </w:rPr>
            </w:pPr>
          </w:p>
        </w:tc>
        <w:tc>
          <w:tcPr>
            <w:tcW w:w="1940" w:type="dxa"/>
            <w:vAlign w:val="bottom"/>
            <w:shd w:val="clear" w:color="auto" w:fill="D1DDE6"/>
          </w:tcPr>
          <w:p>
            <w:pPr>
              <w:spacing w:after="0"/>
              <w:rPr>
                <w:sz w:val="19"/>
                <w:szCs w:val="19"/>
                <w:color w:val="auto"/>
              </w:rPr>
            </w:pPr>
          </w:p>
        </w:tc>
        <w:tc>
          <w:tcPr>
            <w:tcW w:w="1220" w:type="dxa"/>
            <w:vAlign w:val="bottom"/>
            <w:shd w:val="clear" w:color="auto" w:fill="D1DDE6"/>
          </w:tcPr>
          <w:p>
            <w:pPr>
              <w:spacing w:after="0"/>
              <w:rPr>
                <w:sz w:val="19"/>
                <w:szCs w:val="19"/>
                <w:color w:val="auto"/>
              </w:rPr>
            </w:pPr>
          </w:p>
        </w:tc>
        <w:tc>
          <w:tcPr>
            <w:tcW w:w="600" w:type="dxa"/>
            <w:vAlign w:val="bottom"/>
            <w:shd w:val="clear" w:color="auto" w:fill="D1DDE6"/>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Arial" w:cs="Arial" w:eastAsia="Arial" w:hAnsi="Arial"/>
                <w:sz w:val="16"/>
                <w:szCs w:val="16"/>
                <w:color w:val="auto"/>
              </w:rPr>
              <w:t>David P. Abney</w:t>
            </w:r>
          </w:p>
        </w:tc>
        <w:tc>
          <w:tcPr>
            <w:tcW w:w="24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940" w:type="dxa"/>
            <w:vAlign w:val="bottom"/>
          </w:tcPr>
          <w:p>
            <w:pPr>
              <w:jc w:val="center"/>
              <w:spacing w:after="0"/>
              <w:rPr>
                <w:sz w:val="20"/>
                <w:szCs w:val="20"/>
                <w:color w:val="auto"/>
              </w:rPr>
            </w:pPr>
            <w:r>
              <w:rPr>
                <w:rFonts w:ascii="Arial" w:cs="Arial" w:eastAsia="Arial" w:hAnsi="Arial"/>
                <w:sz w:val="16"/>
                <w:szCs w:val="16"/>
                <w:color w:val="auto"/>
                <w:w w:val="97"/>
              </w:rPr>
              <w:t>447</w:t>
            </w:r>
          </w:p>
        </w:tc>
        <w:tc>
          <w:tcPr>
            <w:tcW w:w="1220" w:type="dxa"/>
            <w:vAlign w:val="bottom"/>
          </w:tcPr>
          <w:p>
            <w:pPr>
              <w:jc w:val="center"/>
              <w:ind w:left="19"/>
              <w:spacing w:after="0"/>
              <w:rPr>
                <w:sz w:val="20"/>
                <w:szCs w:val="20"/>
                <w:color w:val="auto"/>
              </w:rPr>
            </w:pPr>
            <w:r>
              <w:rPr>
                <w:rFonts w:ascii="Arial" w:cs="Arial" w:eastAsia="Arial" w:hAnsi="Arial"/>
                <w:sz w:val="16"/>
                <w:szCs w:val="16"/>
                <w:color w:val="auto"/>
              </w:rPr>
              <w:t>447</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00" w:type="dxa"/>
            <w:vAlign w:val="bottom"/>
            <w:shd w:val="clear" w:color="auto" w:fill="D1DDE6"/>
          </w:tcPr>
          <w:p>
            <w:pPr>
              <w:ind w:left="360"/>
              <w:spacing w:after="0"/>
              <w:rPr>
                <w:sz w:val="20"/>
                <w:szCs w:val="20"/>
                <w:color w:val="auto"/>
              </w:rPr>
            </w:pPr>
            <w:r>
              <w:rPr>
                <w:rFonts w:ascii="Arial" w:cs="Arial" w:eastAsia="Arial" w:hAnsi="Arial"/>
                <w:sz w:val="16"/>
                <w:szCs w:val="16"/>
                <w:color w:val="auto"/>
              </w:rPr>
              <w:t>Marianne C. Brown</w:t>
            </w:r>
          </w:p>
        </w:tc>
        <w:tc>
          <w:tcPr>
            <w:tcW w:w="2400" w:type="dxa"/>
            <w:vAlign w:val="bottom"/>
            <w:shd w:val="clear" w:color="auto" w:fill="D1DDE6"/>
          </w:tcPr>
          <w:p>
            <w:pPr>
              <w:jc w:val="center"/>
              <w:spacing w:after="0"/>
              <w:rPr>
                <w:sz w:val="20"/>
                <w:szCs w:val="20"/>
                <w:color w:val="auto"/>
              </w:rPr>
            </w:pPr>
            <w:r>
              <w:rPr>
                <w:rFonts w:ascii="Arial" w:cs="Arial" w:eastAsia="Arial" w:hAnsi="Arial"/>
                <w:sz w:val="16"/>
                <w:szCs w:val="16"/>
                <w:color w:val="auto"/>
                <w:w w:val="99"/>
              </w:rPr>
              <w:t>—</w:t>
            </w:r>
          </w:p>
        </w:tc>
        <w:tc>
          <w:tcPr>
            <w:tcW w:w="1940" w:type="dxa"/>
            <w:vAlign w:val="bottom"/>
            <w:shd w:val="clear" w:color="auto" w:fill="D1DDE6"/>
          </w:tcPr>
          <w:p>
            <w:pPr>
              <w:jc w:val="center"/>
              <w:spacing w:after="0"/>
              <w:rPr>
                <w:sz w:val="20"/>
                <w:szCs w:val="20"/>
                <w:color w:val="auto"/>
              </w:rPr>
            </w:pPr>
            <w:r>
              <w:rPr>
                <w:rFonts w:ascii="Arial" w:cs="Arial" w:eastAsia="Arial" w:hAnsi="Arial"/>
                <w:sz w:val="16"/>
                <w:szCs w:val="16"/>
                <w:color w:val="auto"/>
              </w:rPr>
              <w:t>6,443</w:t>
            </w:r>
          </w:p>
        </w:tc>
        <w:tc>
          <w:tcPr>
            <w:tcW w:w="1220" w:type="dxa"/>
            <w:vAlign w:val="bottom"/>
            <w:shd w:val="clear" w:color="auto" w:fill="D1DDE6"/>
          </w:tcPr>
          <w:p>
            <w:pPr>
              <w:jc w:val="center"/>
              <w:ind w:left="19"/>
              <w:spacing w:after="0"/>
              <w:rPr>
                <w:sz w:val="20"/>
                <w:szCs w:val="20"/>
                <w:color w:val="auto"/>
              </w:rPr>
            </w:pPr>
            <w:r>
              <w:rPr>
                <w:rFonts w:ascii="Arial" w:cs="Arial" w:eastAsia="Arial" w:hAnsi="Arial"/>
                <w:sz w:val="16"/>
                <w:szCs w:val="16"/>
                <w:color w:val="auto"/>
                <w:w w:val="99"/>
              </w:rPr>
              <w:t>6,443</w:t>
            </w:r>
          </w:p>
        </w:tc>
        <w:tc>
          <w:tcPr>
            <w:tcW w:w="600" w:type="dxa"/>
            <w:vAlign w:val="bottom"/>
            <w:shd w:val="clear" w:color="auto" w:fill="D1DDE6"/>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Arial" w:cs="Arial" w:eastAsia="Arial" w:hAnsi="Arial"/>
                <w:sz w:val="16"/>
                <w:szCs w:val="16"/>
                <w:color w:val="auto"/>
              </w:rPr>
              <w:t>Donald E. Felsinger</w:t>
            </w:r>
          </w:p>
        </w:tc>
        <w:tc>
          <w:tcPr>
            <w:tcW w:w="24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940" w:type="dxa"/>
            <w:vAlign w:val="bottom"/>
          </w:tcPr>
          <w:p>
            <w:pPr>
              <w:jc w:val="center"/>
              <w:spacing w:after="0"/>
              <w:rPr>
                <w:sz w:val="20"/>
                <w:szCs w:val="20"/>
                <w:color w:val="auto"/>
              </w:rPr>
            </w:pPr>
            <w:r>
              <w:rPr>
                <w:rFonts w:ascii="Arial" w:cs="Arial" w:eastAsia="Arial" w:hAnsi="Arial"/>
                <w:sz w:val="16"/>
                <w:szCs w:val="16"/>
                <w:color w:val="auto"/>
              </w:rPr>
              <w:t>38,343</w:t>
            </w:r>
          </w:p>
        </w:tc>
        <w:tc>
          <w:tcPr>
            <w:tcW w:w="1220" w:type="dxa"/>
            <w:vAlign w:val="bottom"/>
          </w:tcPr>
          <w:p>
            <w:pPr>
              <w:jc w:val="center"/>
              <w:ind w:left="39"/>
              <w:spacing w:after="0"/>
              <w:rPr>
                <w:sz w:val="20"/>
                <w:szCs w:val="20"/>
                <w:color w:val="auto"/>
              </w:rPr>
            </w:pPr>
            <w:r>
              <w:rPr>
                <w:rFonts w:ascii="Arial" w:cs="Arial" w:eastAsia="Arial" w:hAnsi="Arial"/>
                <w:sz w:val="16"/>
                <w:szCs w:val="16"/>
                <w:color w:val="auto"/>
              </w:rPr>
              <w:t>38,343</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00" w:type="dxa"/>
            <w:vAlign w:val="bottom"/>
            <w:shd w:val="clear" w:color="auto" w:fill="D1DDE6"/>
          </w:tcPr>
          <w:p>
            <w:pPr>
              <w:ind w:left="360"/>
              <w:spacing w:after="0"/>
              <w:rPr>
                <w:sz w:val="20"/>
                <w:szCs w:val="20"/>
                <w:color w:val="auto"/>
              </w:rPr>
            </w:pPr>
            <w:r>
              <w:rPr>
                <w:rFonts w:ascii="Arial" w:cs="Arial" w:eastAsia="Arial" w:hAnsi="Arial"/>
                <w:sz w:val="16"/>
                <w:szCs w:val="16"/>
                <w:color w:val="auto"/>
              </w:rPr>
              <w:t>Ann M. Fudge</w:t>
            </w:r>
          </w:p>
        </w:tc>
        <w:tc>
          <w:tcPr>
            <w:tcW w:w="2400" w:type="dxa"/>
            <w:vAlign w:val="bottom"/>
            <w:shd w:val="clear" w:color="auto" w:fill="D1DDE6"/>
          </w:tcPr>
          <w:p>
            <w:pPr>
              <w:jc w:val="center"/>
              <w:spacing w:after="0"/>
              <w:rPr>
                <w:sz w:val="20"/>
                <w:szCs w:val="20"/>
                <w:color w:val="auto"/>
              </w:rPr>
            </w:pPr>
            <w:r>
              <w:rPr>
                <w:rFonts w:ascii="Arial" w:cs="Arial" w:eastAsia="Arial" w:hAnsi="Arial"/>
                <w:sz w:val="16"/>
                <w:szCs w:val="16"/>
                <w:color w:val="auto"/>
              </w:rPr>
              <w:t>93</w:t>
            </w:r>
          </w:p>
        </w:tc>
        <w:tc>
          <w:tcPr>
            <w:tcW w:w="1940" w:type="dxa"/>
            <w:vAlign w:val="bottom"/>
            <w:shd w:val="clear" w:color="auto" w:fill="D1DDE6"/>
          </w:tcPr>
          <w:p>
            <w:pPr>
              <w:jc w:val="center"/>
              <w:spacing w:after="0"/>
              <w:rPr>
                <w:sz w:val="20"/>
                <w:szCs w:val="20"/>
                <w:color w:val="auto"/>
              </w:rPr>
            </w:pPr>
            <w:r>
              <w:rPr>
                <w:rFonts w:ascii="Arial" w:cs="Arial" w:eastAsia="Arial" w:hAnsi="Arial"/>
                <w:sz w:val="16"/>
                <w:szCs w:val="16"/>
                <w:color w:val="auto"/>
              </w:rPr>
              <w:t>3,462</w:t>
            </w:r>
          </w:p>
        </w:tc>
        <w:tc>
          <w:tcPr>
            <w:tcW w:w="1220" w:type="dxa"/>
            <w:vAlign w:val="bottom"/>
            <w:shd w:val="clear" w:color="auto" w:fill="D1DDE6"/>
          </w:tcPr>
          <w:p>
            <w:pPr>
              <w:jc w:val="center"/>
              <w:ind w:left="19"/>
              <w:spacing w:after="0"/>
              <w:rPr>
                <w:sz w:val="20"/>
                <w:szCs w:val="20"/>
                <w:color w:val="auto"/>
              </w:rPr>
            </w:pPr>
            <w:r>
              <w:rPr>
                <w:rFonts w:ascii="Arial" w:cs="Arial" w:eastAsia="Arial" w:hAnsi="Arial"/>
                <w:sz w:val="16"/>
                <w:szCs w:val="16"/>
                <w:color w:val="auto"/>
                <w:w w:val="99"/>
              </w:rPr>
              <w:t>3,555</w:t>
            </w:r>
          </w:p>
        </w:tc>
        <w:tc>
          <w:tcPr>
            <w:tcW w:w="600" w:type="dxa"/>
            <w:vAlign w:val="bottom"/>
            <w:shd w:val="clear" w:color="auto" w:fill="D1DDE6"/>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Arial" w:cs="Arial" w:eastAsia="Arial" w:hAnsi="Arial"/>
                <w:sz w:val="16"/>
                <w:szCs w:val="16"/>
                <w:color w:val="auto"/>
              </w:rPr>
              <w:t>Bruce S. Gordon</w:t>
            </w:r>
          </w:p>
        </w:tc>
        <w:tc>
          <w:tcPr>
            <w:tcW w:w="24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940" w:type="dxa"/>
            <w:vAlign w:val="bottom"/>
          </w:tcPr>
          <w:p>
            <w:pPr>
              <w:jc w:val="center"/>
              <w:spacing w:after="0"/>
              <w:rPr>
                <w:sz w:val="20"/>
                <w:szCs w:val="20"/>
                <w:color w:val="auto"/>
              </w:rPr>
            </w:pPr>
            <w:r>
              <w:rPr>
                <w:rFonts w:ascii="Arial" w:cs="Arial" w:eastAsia="Arial" w:hAnsi="Arial"/>
                <w:sz w:val="16"/>
                <w:szCs w:val="16"/>
                <w:color w:val="auto"/>
              </w:rPr>
              <w:t>18,798</w:t>
            </w:r>
          </w:p>
        </w:tc>
        <w:tc>
          <w:tcPr>
            <w:tcW w:w="1220" w:type="dxa"/>
            <w:vAlign w:val="bottom"/>
          </w:tcPr>
          <w:p>
            <w:pPr>
              <w:jc w:val="center"/>
              <w:ind w:left="39"/>
              <w:spacing w:after="0"/>
              <w:rPr>
                <w:sz w:val="20"/>
                <w:szCs w:val="20"/>
                <w:color w:val="auto"/>
              </w:rPr>
            </w:pPr>
            <w:r>
              <w:rPr>
                <w:rFonts w:ascii="Arial" w:cs="Arial" w:eastAsia="Arial" w:hAnsi="Arial"/>
                <w:sz w:val="16"/>
                <w:szCs w:val="16"/>
                <w:color w:val="auto"/>
              </w:rPr>
              <w:t>18,798</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00" w:type="dxa"/>
            <w:vAlign w:val="bottom"/>
            <w:shd w:val="clear" w:color="auto" w:fill="D1DDE6"/>
          </w:tcPr>
          <w:p>
            <w:pPr>
              <w:ind w:left="360"/>
              <w:spacing w:after="0"/>
              <w:rPr>
                <w:sz w:val="20"/>
                <w:szCs w:val="20"/>
                <w:color w:val="auto"/>
              </w:rPr>
            </w:pPr>
            <w:r>
              <w:rPr>
                <w:rFonts w:ascii="Arial" w:cs="Arial" w:eastAsia="Arial" w:hAnsi="Arial"/>
                <w:sz w:val="16"/>
                <w:szCs w:val="16"/>
                <w:color w:val="auto"/>
              </w:rPr>
              <w:t>William H. Hernandez</w:t>
            </w:r>
          </w:p>
        </w:tc>
        <w:tc>
          <w:tcPr>
            <w:tcW w:w="2400" w:type="dxa"/>
            <w:vAlign w:val="bottom"/>
            <w:shd w:val="clear" w:color="auto" w:fill="D1DDE6"/>
          </w:tcPr>
          <w:p>
            <w:pPr>
              <w:jc w:val="center"/>
              <w:spacing w:after="0"/>
              <w:rPr>
                <w:sz w:val="20"/>
                <w:szCs w:val="20"/>
                <w:color w:val="auto"/>
              </w:rPr>
            </w:pPr>
            <w:r>
              <w:rPr>
                <w:rFonts w:ascii="Arial" w:cs="Arial" w:eastAsia="Arial" w:hAnsi="Arial"/>
                <w:sz w:val="16"/>
                <w:szCs w:val="16"/>
                <w:color w:val="auto"/>
                <w:w w:val="99"/>
              </w:rPr>
              <w:t>1,000</w:t>
            </w:r>
          </w:p>
        </w:tc>
        <w:tc>
          <w:tcPr>
            <w:tcW w:w="1940" w:type="dxa"/>
            <w:vAlign w:val="bottom"/>
            <w:shd w:val="clear" w:color="auto" w:fill="D1DDE6"/>
          </w:tcPr>
          <w:p>
            <w:pPr>
              <w:jc w:val="center"/>
              <w:spacing w:after="0"/>
              <w:rPr>
                <w:sz w:val="20"/>
                <w:szCs w:val="20"/>
                <w:color w:val="auto"/>
              </w:rPr>
            </w:pPr>
            <w:r>
              <w:rPr>
                <w:rFonts w:ascii="Arial" w:cs="Arial" w:eastAsia="Arial" w:hAnsi="Arial"/>
                <w:sz w:val="16"/>
                <w:szCs w:val="16"/>
                <w:color w:val="auto"/>
              </w:rPr>
              <w:t>5,641</w:t>
            </w:r>
          </w:p>
        </w:tc>
        <w:tc>
          <w:tcPr>
            <w:tcW w:w="1220" w:type="dxa"/>
            <w:vAlign w:val="bottom"/>
            <w:shd w:val="clear" w:color="auto" w:fill="D1DDE6"/>
          </w:tcPr>
          <w:p>
            <w:pPr>
              <w:jc w:val="center"/>
              <w:ind w:left="19"/>
              <w:spacing w:after="0"/>
              <w:rPr>
                <w:sz w:val="20"/>
                <w:szCs w:val="20"/>
                <w:color w:val="auto"/>
              </w:rPr>
            </w:pPr>
            <w:r>
              <w:rPr>
                <w:rFonts w:ascii="Arial" w:cs="Arial" w:eastAsia="Arial" w:hAnsi="Arial"/>
                <w:sz w:val="16"/>
                <w:szCs w:val="16"/>
                <w:color w:val="auto"/>
                <w:w w:val="99"/>
              </w:rPr>
              <w:t>6,641</w:t>
            </w:r>
          </w:p>
        </w:tc>
        <w:tc>
          <w:tcPr>
            <w:tcW w:w="600" w:type="dxa"/>
            <w:vAlign w:val="bottom"/>
            <w:shd w:val="clear" w:color="auto" w:fill="D1DDE6"/>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Arial" w:cs="Arial" w:eastAsia="Arial" w:hAnsi="Arial"/>
                <w:sz w:val="16"/>
                <w:szCs w:val="16"/>
                <w:color w:val="auto"/>
              </w:rPr>
              <w:t>Madeleine A. Kleiner</w:t>
            </w:r>
          </w:p>
        </w:tc>
        <w:tc>
          <w:tcPr>
            <w:tcW w:w="24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940" w:type="dxa"/>
            <w:vAlign w:val="bottom"/>
          </w:tcPr>
          <w:p>
            <w:pPr>
              <w:jc w:val="center"/>
              <w:spacing w:after="0"/>
              <w:rPr>
                <w:sz w:val="20"/>
                <w:szCs w:val="20"/>
                <w:color w:val="auto"/>
              </w:rPr>
            </w:pPr>
            <w:r>
              <w:rPr>
                <w:rFonts w:ascii="Arial" w:cs="Arial" w:eastAsia="Arial" w:hAnsi="Arial"/>
                <w:sz w:val="16"/>
                <w:szCs w:val="16"/>
                <w:color w:val="auto"/>
              </w:rPr>
              <w:t>17,758</w:t>
            </w:r>
          </w:p>
        </w:tc>
        <w:tc>
          <w:tcPr>
            <w:tcW w:w="1220" w:type="dxa"/>
            <w:vAlign w:val="bottom"/>
          </w:tcPr>
          <w:p>
            <w:pPr>
              <w:jc w:val="center"/>
              <w:ind w:left="39"/>
              <w:spacing w:after="0"/>
              <w:rPr>
                <w:sz w:val="20"/>
                <w:szCs w:val="20"/>
                <w:color w:val="auto"/>
              </w:rPr>
            </w:pPr>
            <w:r>
              <w:rPr>
                <w:rFonts w:ascii="Arial" w:cs="Arial" w:eastAsia="Arial" w:hAnsi="Arial"/>
                <w:sz w:val="16"/>
                <w:szCs w:val="16"/>
                <w:color w:val="auto"/>
              </w:rPr>
              <w:t>17,758</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00" w:type="dxa"/>
            <w:vAlign w:val="bottom"/>
            <w:shd w:val="clear" w:color="auto" w:fill="D1DDE6"/>
          </w:tcPr>
          <w:p>
            <w:pPr>
              <w:ind w:left="360"/>
              <w:spacing w:after="0"/>
              <w:rPr>
                <w:sz w:val="20"/>
                <w:szCs w:val="20"/>
                <w:color w:val="auto"/>
              </w:rPr>
            </w:pPr>
            <w:r>
              <w:rPr>
                <w:rFonts w:ascii="Arial" w:cs="Arial" w:eastAsia="Arial" w:hAnsi="Arial"/>
                <w:sz w:val="16"/>
                <w:szCs w:val="16"/>
                <w:color w:val="auto"/>
              </w:rPr>
              <w:t>Karl J. Krapek</w:t>
            </w:r>
          </w:p>
        </w:tc>
        <w:tc>
          <w:tcPr>
            <w:tcW w:w="2400" w:type="dxa"/>
            <w:vAlign w:val="bottom"/>
            <w:shd w:val="clear" w:color="auto" w:fill="D1DDE6"/>
          </w:tcPr>
          <w:p>
            <w:pPr>
              <w:jc w:val="center"/>
              <w:spacing w:after="0"/>
              <w:rPr>
                <w:sz w:val="20"/>
                <w:szCs w:val="20"/>
                <w:color w:val="auto"/>
              </w:rPr>
            </w:pPr>
            <w:r>
              <w:rPr>
                <w:rFonts w:ascii="Arial" w:cs="Arial" w:eastAsia="Arial" w:hAnsi="Arial"/>
                <w:sz w:val="16"/>
                <w:szCs w:val="16"/>
                <w:color w:val="auto"/>
                <w:w w:val="99"/>
              </w:rPr>
              <w:t>4,445</w:t>
            </w:r>
          </w:p>
        </w:tc>
        <w:tc>
          <w:tcPr>
            <w:tcW w:w="1940" w:type="dxa"/>
            <w:vAlign w:val="bottom"/>
            <w:shd w:val="clear" w:color="auto" w:fill="D1DDE6"/>
          </w:tcPr>
          <w:p>
            <w:pPr>
              <w:jc w:val="center"/>
              <w:spacing w:after="0"/>
              <w:rPr>
                <w:sz w:val="20"/>
                <w:szCs w:val="20"/>
                <w:color w:val="auto"/>
              </w:rPr>
            </w:pPr>
            <w:r>
              <w:rPr>
                <w:rFonts w:ascii="Arial" w:cs="Arial" w:eastAsia="Arial" w:hAnsi="Arial"/>
                <w:sz w:val="16"/>
                <w:szCs w:val="16"/>
                <w:color w:val="auto"/>
              </w:rPr>
              <w:t>21,305</w:t>
            </w:r>
          </w:p>
        </w:tc>
        <w:tc>
          <w:tcPr>
            <w:tcW w:w="1220" w:type="dxa"/>
            <w:vAlign w:val="bottom"/>
            <w:shd w:val="clear" w:color="auto" w:fill="D1DDE6"/>
          </w:tcPr>
          <w:p>
            <w:pPr>
              <w:jc w:val="center"/>
              <w:ind w:left="39"/>
              <w:spacing w:after="0"/>
              <w:rPr>
                <w:sz w:val="20"/>
                <w:szCs w:val="20"/>
                <w:color w:val="auto"/>
              </w:rPr>
            </w:pPr>
            <w:r>
              <w:rPr>
                <w:rFonts w:ascii="Arial" w:cs="Arial" w:eastAsia="Arial" w:hAnsi="Arial"/>
                <w:sz w:val="16"/>
                <w:szCs w:val="16"/>
                <w:color w:val="auto"/>
              </w:rPr>
              <w:t>25,750</w:t>
            </w:r>
          </w:p>
        </w:tc>
        <w:tc>
          <w:tcPr>
            <w:tcW w:w="600" w:type="dxa"/>
            <w:vAlign w:val="bottom"/>
            <w:shd w:val="clear" w:color="auto" w:fill="D1DDE6"/>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Arial" w:cs="Arial" w:eastAsia="Arial" w:hAnsi="Arial"/>
                <w:sz w:val="16"/>
                <w:szCs w:val="16"/>
                <w:color w:val="auto"/>
              </w:rPr>
              <w:t>Gary Roughead</w:t>
            </w:r>
          </w:p>
        </w:tc>
        <w:tc>
          <w:tcPr>
            <w:tcW w:w="24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940" w:type="dxa"/>
            <w:vAlign w:val="bottom"/>
          </w:tcPr>
          <w:p>
            <w:pPr>
              <w:jc w:val="center"/>
              <w:spacing w:after="0"/>
              <w:rPr>
                <w:sz w:val="20"/>
                <w:szCs w:val="20"/>
                <w:color w:val="auto"/>
              </w:rPr>
            </w:pPr>
            <w:r>
              <w:rPr>
                <w:rFonts w:ascii="Arial" w:cs="Arial" w:eastAsia="Arial" w:hAnsi="Arial"/>
                <w:sz w:val="16"/>
                <w:szCs w:val="16"/>
                <w:color w:val="auto"/>
              </w:rPr>
              <w:t>9,009</w:t>
            </w:r>
          </w:p>
        </w:tc>
        <w:tc>
          <w:tcPr>
            <w:tcW w:w="1220" w:type="dxa"/>
            <w:vAlign w:val="bottom"/>
          </w:tcPr>
          <w:p>
            <w:pPr>
              <w:jc w:val="center"/>
              <w:ind w:left="19"/>
              <w:spacing w:after="0"/>
              <w:rPr>
                <w:sz w:val="20"/>
                <w:szCs w:val="20"/>
                <w:color w:val="auto"/>
              </w:rPr>
            </w:pPr>
            <w:r>
              <w:rPr>
                <w:rFonts w:ascii="Arial" w:cs="Arial" w:eastAsia="Arial" w:hAnsi="Arial"/>
                <w:sz w:val="16"/>
                <w:szCs w:val="16"/>
                <w:color w:val="auto"/>
                <w:w w:val="99"/>
              </w:rPr>
              <w:t>9,009</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00" w:type="dxa"/>
            <w:vAlign w:val="bottom"/>
            <w:shd w:val="clear" w:color="auto" w:fill="D1DDE6"/>
          </w:tcPr>
          <w:p>
            <w:pPr>
              <w:ind w:left="360"/>
              <w:spacing w:after="0"/>
              <w:rPr>
                <w:sz w:val="20"/>
                <w:szCs w:val="20"/>
                <w:color w:val="auto"/>
              </w:rPr>
            </w:pPr>
            <w:r>
              <w:rPr>
                <w:rFonts w:ascii="Arial" w:cs="Arial" w:eastAsia="Arial" w:hAnsi="Arial"/>
                <w:sz w:val="16"/>
                <w:szCs w:val="16"/>
                <w:color w:val="auto"/>
              </w:rPr>
              <w:t>Thomas M. Schoewe</w:t>
            </w:r>
          </w:p>
        </w:tc>
        <w:tc>
          <w:tcPr>
            <w:tcW w:w="2400" w:type="dxa"/>
            <w:vAlign w:val="bottom"/>
            <w:shd w:val="clear" w:color="auto" w:fill="D1DDE6"/>
          </w:tcPr>
          <w:p>
            <w:pPr>
              <w:jc w:val="center"/>
              <w:spacing w:after="0"/>
              <w:rPr>
                <w:sz w:val="20"/>
                <w:szCs w:val="20"/>
                <w:color w:val="auto"/>
              </w:rPr>
            </w:pPr>
            <w:r>
              <w:rPr>
                <w:rFonts w:ascii="Arial" w:cs="Arial" w:eastAsia="Arial" w:hAnsi="Arial"/>
                <w:sz w:val="16"/>
                <w:szCs w:val="16"/>
                <w:color w:val="auto"/>
                <w:w w:val="99"/>
              </w:rPr>
              <w:t>3,160</w:t>
            </w:r>
          </w:p>
        </w:tc>
        <w:tc>
          <w:tcPr>
            <w:tcW w:w="1940" w:type="dxa"/>
            <w:vAlign w:val="bottom"/>
            <w:shd w:val="clear" w:color="auto" w:fill="D1DDE6"/>
          </w:tcPr>
          <w:p>
            <w:pPr>
              <w:jc w:val="center"/>
              <w:spacing w:after="0"/>
              <w:rPr>
                <w:sz w:val="20"/>
                <w:szCs w:val="20"/>
                <w:color w:val="auto"/>
              </w:rPr>
            </w:pPr>
            <w:r>
              <w:rPr>
                <w:rFonts w:ascii="Arial" w:cs="Arial" w:eastAsia="Arial" w:hAnsi="Arial"/>
                <w:sz w:val="16"/>
                <w:szCs w:val="16"/>
                <w:color w:val="auto"/>
              </w:rPr>
              <w:t>10,271</w:t>
            </w:r>
          </w:p>
        </w:tc>
        <w:tc>
          <w:tcPr>
            <w:tcW w:w="1220" w:type="dxa"/>
            <w:vAlign w:val="bottom"/>
            <w:shd w:val="clear" w:color="auto" w:fill="D1DDE6"/>
          </w:tcPr>
          <w:p>
            <w:pPr>
              <w:jc w:val="center"/>
              <w:ind w:left="39"/>
              <w:spacing w:after="0"/>
              <w:rPr>
                <w:sz w:val="20"/>
                <w:szCs w:val="20"/>
                <w:color w:val="auto"/>
              </w:rPr>
            </w:pPr>
            <w:r>
              <w:rPr>
                <w:rFonts w:ascii="Arial" w:cs="Arial" w:eastAsia="Arial" w:hAnsi="Arial"/>
                <w:sz w:val="16"/>
                <w:szCs w:val="16"/>
                <w:color w:val="auto"/>
              </w:rPr>
              <w:t>13,431</w:t>
            </w:r>
          </w:p>
        </w:tc>
        <w:tc>
          <w:tcPr>
            <w:tcW w:w="600" w:type="dxa"/>
            <w:vAlign w:val="bottom"/>
            <w:shd w:val="clear" w:color="auto" w:fill="D1DDE6"/>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Arial" w:cs="Arial" w:eastAsia="Arial" w:hAnsi="Arial"/>
                <w:sz w:val="16"/>
                <w:szCs w:val="16"/>
                <w:color w:val="auto"/>
              </w:rPr>
              <w:t>James S. Turley</w:t>
            </w:r>
          </w:p>
        </w:tc>
        <w:tc>
          <w:tcPr>
            <w:tcW w:w="2400" w:type="dxa"/>
            <w:vAlign w:val="bottom"/>
          </w:tcPr>
          <w:p>
            <w:pPr>
              <w:jc w:val="center"/>
              <w:spacing w:after="0"/>
              <w:rPr>
                <w:sz w:val="20"/>
                <w:szCs w:val="20"/>
                <w:color w:val="auto"/>
              </w:rPr>
            </w:pPr>
            <w:r>
              <w:rPr>
                <w:rFonts w:ascii="Arial" w:cs="Arial" w:eastAsia="Arial" w:hAnsi="Arial"/>
                <w:sz w:val="16"/>
                <w:szCs w:val="16"/>
                <w:color w:val="auto"/>
              </w:rPr>
              <w:t>635</w:t>
            </w:r>
          </w:p>
        </w:tc>
        <w:tc>
          <w:tcPr>
            <w:tcW w:w="1940" w:type="dxa"/>
            <w:vAlign w:val="bottom"/>
          </w:tcPr>
          <w:p>
            <w:pPr>
              <w:jc w:val="center"/>
              <w:spacing w:after="0"/>
              <w:rPr>
                <w:sz w:val="20"/>
                <w:szCs w:val="20"/>
                <w:color w:val="auto"/>
              </w:rPr>
            </w:pPr>
            <w:r>
              <w:rPr>
                <w:rFonts w:ascii="Arial" w:cs="Arial" w:eastAsia="Arial" w:hAnsi="Arial"/>
                <w:sz w:val="16"/>
                <w:szCs w:val="16"/>
                <w:color w:val="auto"/>
              </w:rPr>
              <w:t>3,374</w:t>
            </w:r>
          </w:p>
        </w:tc>
        <w:tc>
          <w:tcPr>
            <w:tcW w:w="1220" w:type="dxa"/>
            <w:vAlign w:val="bottom"/>
          </w:tcPr>
          <w:p>
            <w:pPr>
              <w:jc w:val="center"/>
              <w:ind w:left="19"/>
              <w:spacing w:after="0"/>
              <w:rPr>
                <w:sz w:val="20"/>
                <w:szCs w:val="20"/>
                <w:color w:val="auto"/>
              </w:rPr>
            </w:pPr>
            <w:r>
              <w:rPr>
                <w:rFonts w:ascii="Arial" w:cs="Arial" w:eastAsia="Arial" w:hAnsi="Arial"/>
                <w:sz w:val="16"/>
                <w:szCs w:val="16"/>
                <w:color w:val="auto"/>
                <w:w w:val="99"/>
              </w:rPr>
              <w:t>4,009</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Borders>
              <w:bottom w:val="single" w:sz="8" w:color="00249C"/>
            </w:tcBorders>
            <w:shd w:val="clear" w:color="auto" w:fill="D1DDE6"/>
          </w:tcPr>
          <w:p>
            <w:pPr>
              <w:ind w:left="360"/>
              <w:spacing w:after="0"/>
              <w:rPr>
                <w:sz w:val="20"/>
                <w:szCs w:val="20"/>
                <w:color w:val="auto"/>
              </w:rPr>
            </w:pPr>
            <w:r>
              <w:rPr>
                <w:rFonts w:ascii="Arial" w:cs="Arial" w:eastAsia="Arial" w:hAnsi="Arial"/>
                <w:sz w:val="16"/>
                <w:szCs w:val="16"/>
                <w:color w:val="auto"/>
              </w:rPr>
              <w:t>Mark A. Welsh III</w:t>
            </w:r>
          </w:p>
        </w:tc>
        <w:tc>
          <w:tcPr>
            <w:tcW w:w="2400" w:type="dxa"/>
            <w:vAlign w:val="bottom"/>
            <w:tcBorders>
              <w:bottom w:val="single" w:sz="8" w:color="00249C"/>
            </w:tcBorders>
            <w:shd w:val="clear" w:color="auto" w:fill="D1DDE6"/>
          </w:tcPr>
          <w:p>
            <w:pPr>
              <w:jc w:val="center"/>
              <w:spacing w:after="0"/>
              <w:rPr>
                <w:sz w:val="20"/>
                <w:szCs w:val="20"/>
                <w:color w:val="auto"/>
              </w:rPr>
            </w:pPr>
            <w:r>
              <w:rPr>
                <w:rFonts w:ascii="Arial" w:cs="Arial" w:eastAsia="Arial" w:hAnsi="Arial"/>
                <w:sz w:val="16"/>
                <w:szCs w:val="16"/>
                <w:color w:val="auto"/>
                <w:w w:val="99"/>
              </w:rPr>
              <w:t>—</w:t>
            </w:r>
          </w:p>
        </w:tc>
        <w:tc>
          <w:tcPr>
            <w:tcW w:w="1940" w:type="dxa"/>
            <w:vAlign w:val="bottom"/>
            <w:tcBorders>
              <w:bottom w:val="single" w:sz="8" w:color="00249C"/>
            </w:tcBorders>
            <w:shd w:val="clear" w:color="auto" w:fill="D1DDE6"/>
          </w:tcPr>
          <w:p>
            <w:pPr>
              <w:jc w:val="center"/>
              <w:spacing w:after="0"/>
              <w:rPr>
                <w:sz w:val="20"/>
                <w:szCs w:val="20"/>
                <w:color w:val="auto"/>
              </w:rPr>
            </w:pPr>
            <w:r>
              <w:rPr>
                <w:rFonts w:ascii="Arial" w:cs="Arial" w:eastAsia="Arial" w:hAnsi="Arial"/>
                <w:sz w:val="16"/>
                <w:szCs w:val="16"/>
                <w:color w:val="auto"/>
              </w:rPr>
              <w:t>2,516</w:t>
            </w:r>
          </w:p>
        </w:tc>
        <w:tc>
          <w:tcPr>
            <w:tcW w:w="1220" w:type="dxa"/>
            <w:vAlign w:val="bottom"/>
            <w:tcBorders>
              <w:bottom w:val="single" w:sz="8" w:color="00249C"/>
            </w:tcBorders>
            <w:shd w:val="clear" w:color="auto" w:fill="D1DDE6"/>
          </w:tcPr>
          <w:p>
            <w:pPr>
              <w:jc w:val="center"/>
              <w:ind w:left="19"/>
              <w:spacing w:after="0"/>
              <w:rPr>
                <w:sz w:val="20"/>
                <w:szCs w:val="20"/>
                <w:color w:val="auto"/>
              </w:rPr>
            </w:pPr>
            <w:r>
              <w:rPr>
                <w:rFonts w:ascii="Arial" w:cs="Arial" w:eastAsia="Arial" w:hAnsi="Arial"/>
                <w:sz w:val="16"/>
                <w:szCs w:val="16"/>
                <w:color w:val="auto"/>
                <w:w w:val="99"/>
              </w:rPr>
              <w:t>2,516</w:t>
            </w:r>
          </w:p>
        </w:tc>
        <w:tc>
          <w:tcPr>
            <w:tcW w:w="600" w:type="dxa"/>
            <w:vAlign w:val="bottom"/>
            <w:tcBorders>
              <w:bottom w:val="single" w:sz="8" w:color="00249C"/>
            </w:tcBorders>
            <w:shd w:val="clear" w:color="auto" w:fill="D1DDE6"/>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00" w:type="dxa"/>
            <w:vAlign w:val="bottom"/>
            <w:shd w:val="clear" w:color="auto" w:fill="D1DDE6"/>
          </w:tcPr>
          <w:p>
            <w:pPr>
              <w:ind w:left="20"/>
              <w:spacing w:after="0"/>
              <w:rPr>
                <w:sz w:val="20"/>
                <w:szCs w:val="20"/>
                <w:color w:val="auto"/>
              </w:rPr>
            </w:pPr>
            <w:r>
              <w:rPr>
                <w:rFonts w:ascii="Arial" w:cs="Arial" w:eastAsia="Arial" w:hAnsi="Arial"/>
                <w:sz w:val="16"/>
                <w:szCs w:val="16"/>
                <w:b w:val="1"/>
                <w:bCs w:val="1"/>
                <w:color w:val="auto"/>
              </w:rPr>
              <w:t>Named Executive Officers</w:t>
            </w:r>
          </w:p>
        </w:tc>
        <w:tc>
          <w:tcPr>
            <w:tcW w:w="2400" w:type="dxa"/>
            <w:vAlign w:val="bottom"/>
            <w:shd w:val="clear" w:color="auto" w:fill="D1DDE6"/>
          </w:tcPr>
          <w:p>
            <w:pPr>
              <w:spacing w:after="0"/>
              <w:rPr>
                <w:sz w:val="18"/>
                <w:szCs w:val="18"/>
                <w:color w:val="auto"/>
              </w:rPr>
            </w:pPr>
          </w:p>
        </w:tc>
        <w:tc>
          <w:tcPr>
            <w:tcW w:w="1940" w:type="dxa"/>
            <w:vAlign w:val="bottom"/>
            <w:shd w:val="clear" w:color="auto" w:fill="D1DDE6"/>
          </w:tcPr>
          <w:p>
            <w:pPr>
              <w:spacing w:after="0"/>
              <w:rPr>
                <w:sz w:val="18"/>
                <w:szCs w:val="18"/>
                <w:color w:val="auto"/>
              </w:rPr>
            </w:pPr>
          </w:p>
        </w:tc>
        <w:tc>
          <w:tcPr>
            <w:tcW w:w="1220" w:type="dxa"/>
            <w:vAlign w:val="bottom"/>
            <w:shd w:val="clear" w:color="auto" w:fill="D1DDE6"/>
          </w:tcPr>
          <w:p>
            <w:pPr>
              <w:spacing w:after="0"/>
              <w:rPr>
                <w:sz w:val="18"/>
                <w:szCs w:val="18"/>
                <w:color w:val="auto"/>
              </w:rPr>
            </w:pPr>
          </w:p>
        </w:tc>
        <w:tc>
          <w:tcPr>
            <w:tcW w:w="600" w:type="dxa"/>
            <w:vAlign w:val="bottom"/>
            <w:shd w:val="clear" w:color="auto" w:fill="D1DDE6"/>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Arial" w:cs="Arial" w:eastAsia="Arial" w:hAnsi="Arial"/>
                <w:sz w:val="16"/>
                <w:szCs w:val="16"/>
                <w:color w:val="auto"/>
              </w:rPr>
              <w:t>Kathy J. Warden (2)</w:t>
            </w:r>
          </w:p>
        </w:tc>
        <w:tc>
          <w:tcPr>
            <w:tcW w:w="2400" w:type="dxa"/>
            <w:vAlign w:val="bottom"/>
          </w:tcPr>
          <w:p>
            <w:pPr>
              <w:jc w:val="center"/>
              <w:spacing w:after="0"/>
              <w:rPr>
                <w:sz w:val="20"/>
                <w:szCs w:val="20"/>
                <w:color w:val="auto"/>
              </w:rPr>
            </w:pPr>
            <w:r>
              <w:rPr>
                <w:rFonts w:ascii="Arial" w:cs="Arial" w:eastAsia="Arial" w:hAnsi="Arial"/>
                <w:sz w:val="16"/>
                <w:szCs w:val="16"/>
                <w:color w:val="auto"/>
              </w:rPr>
              <w:t>118,956</w:t>
            </w:r>
          </w:p>
        </w:tc>
        <w:tc>
          <w:tcPr>
            <w:tcW w:w="1940" w:type="dxa"/>
            <w:vAlign w:val="bottom"/>
          </w:tcPr>
          <w:p>
            <w:pPr>
              <w:jc w:val="center"/>
              <w:spacing w:after="0"/>
              <w:rPr>
                <w:sz w:val="20"/>
                <w:szCs w:val="20"/>
                <w:color w:val="auto"/>
              </w:rPr>
            </w:pPr>
            <w:r>
              <w:rPr>
                <w:rFonts w:ascii="Arial" w:cs="Arial" w:eastAsia="Arial" w:hAnsi="Arial"/>
                <w:sz w:val="16"/>
                <w:szCs w:val="16"/>
                <w:color w:val="auto"/>
              </w:rPr>
              <w:t>—</w:t>
            </w:r>
          </w:p>
        </w:tc>
        <w:tc>
          <w:tcPr>
            <w:tcW w:w="1220" w:type="dxa"/>
            <w:vAlign w:val="bottom"/>
          </w:tcPr>
          <w:p>
            <w:pPr>
              <w:jc w:val="center"/>
              <w:ind w:left="39"/>
              <w:spacing w:after="0"/>
              <w:rPr>
                <w:sz w:val="20"/>
                <w:szCs w:val="20"/>
                <w:color w:val="auto"/>
              </w:rPr>
            </w:pPr>
            <w:r>
              <w:rPr>
                <w:rFonts w:ascii="Arial" w:cs="Arial" w:eastAsia="Arial" w:hAnsi="Arial"/>
                <w:sz w:val="16"/>
                <w:szCs w:val="16"/>
                <w:color w:val="auto"/>
              </w:rPr>
              <w:t>118,956</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00" w:type="dxa"/>
            <w:vAlign w:val="bottom"/>
            <w:shd w:val="clear" w:color="auto" w:fill="D1DDE6"/>
          </w:tcPr>
          <w:p>
            <w:pPr>
              <w:ind w:left="360"/>
              <w:spacing w:after="0"/>
              <w:rPr>
                <w:sz w:val="20"/>
                <w:szCs w:val="20"/>
                <w:color w:val="auto"/>
              </w:rPr>
            </w:pPr>
            <w:r>
              <w:rPr>
                <w:rFonts w:ascii="Arial" w:cs="Arial" w:eastAsia="Arial" w:hAnsi="Arial"/>
                <w:sz w:val="16"/>
                <w:szCs w:val="16"/>
                <w:color w:val="auto"/>
              </w:rPr>
              <w:t>David F. Keffer</w:t>
            </w:r>
          </w:p>
        </w:tc>
        <w:tc>
          <w:tcPr>
            <w:tcW w:w="2400" w:type="dxa"/>
            <w:vAlign w:val="bottom"/>
            <w:shd w:val="clear" w:color="auto" w:fill="D1DDE6"/>
          </w:tcPr>
          <w:p>
            <w:pPr>
              <w:jc w:val="center"/>
              <w:spacing w:after="0"/>
              <w:rPr>
                <w:sz w:val="20"/>
                <w:szCs w:val="20"/>
                <w:color w:val="auto"/>
              </w:rPr>
            </w:pPr>
            <w:r>
              <w:rPr>
                <w:rFonts w:ascii="Arial" w:cs="Arial" w:eastAsia="Arial" w:hAnsi="Arial"/>
                <w:sz w:val="16"/>
                <w:szCs w:val="16"/>
                <w:color w:val="auto"/>
                <w:w w:val="99"/>
              </w:rPr>
              <w:t>—</w:t>
            </w:r>
          </w:p>
        </w:tc>
        <w:tc>
          <w:tcPr>
            <w:tcW w:w="1940" w:type="dxa"/>
            <w:vAlign w:val="bottom"/>
            <w:shd w:val="clear" w:color="auto" w:fill="D1DDE6"/>
          </w:tcPr>
          <w:p>
            <w:pPr>
              <w:jc w:val="center"/>
              <w:spacing w:after="0"/>
              <w:rPr>
                <w:sz w:val="20"/>
                <w:szCs w:val="20"/>
                <w:color w:val="auto"/>
              </w:rPr>
            </w:pPr>
            <w:r>
              <w:rPr>
                <w:rFonts w:ascii="Arial" w:cs="Arial" w:eastAsia="Arial" w:hAnsi="Arial"/>
                <w:sz w:val="16"/>
                <w:szCs w:val="16"/>
                <w:color w:val="auto"/>
              </w:rPr>
              <w:t>—</w:t>
            </w:r>
          </w:p>
        </w:tc>
        <w:tc>
          <w:tcPr>
            <w:tcW w:w="1220" w:type="dxa"/>
            <w:vAlign w:val="bottom"/>
            <w:shd w:val="clear" w:color="auto" w:fill="D1DDE6"/>
          </w:tcPr>
          <w:p>
            <w:pPr>
              <w:jc w:val="center"/>
              <w:ind w:left="19"/>
              <w:spacing w:after="0"/>
              <w:rPr>
                <w:sz w:val="20"/>
                <w:szCs w:val="20"/>
                <w:color w:val="auto"/>
              </w:rPr>
            </w:pPr>
            <w:r>
              <w:rPr>
                <w:rFonts w:ascii="Arial" w:cs="Arial" w:eastAsia="Arial" w:hAnsi="Arial"/>
                <w:sz w:val="16"/>
                <w:szCs w:val="16"/>
                <w:color w:val="auto"/>
                <w:w w:val="99"/>
              </w:rPr>
              <w:t>—</w:t>
            </w:r>
          </w:p>
        </w:tc>
        <w:tc>
          <w:tcPr>
            <w:tcW w:w="600" w:type="dxa"/>
            <w:vAlign w:val="bottom"/>
            <w:shd w:val="clear" w:color="auto" w:fill="D1DDE6"/>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Arial" w:cs="Arial" w:eastAsia="Arial" w:hAnsi="Arial"/>
                <w:sz w:val="16"/>
                <w:szCs w:val="16"/>
                <w:color w:val="auto"/>
              </w:rPr>
              <w:t>Kenneth L. Bedingfield</w:t>
            </w:r>
          </w:p>
        </w:tc>
        <w:tc>
          <w:tcPr>
            <w:tcW w:w="2400" w:type="dxa"/>
            <w:vAlign w:val="bottom"/>
          </w:tcPr>
          <w:p>
            <w:pPr>
              <w:jc w:val="center"/>
              <w:spacing w:after="0"/>
              <w:rPr>
                <w:sz w:val="20"/>
                <w:szCs w:val="20"/>
                <w:color w:val="auto"/>
              </w:rPr>
            </w:pPr>
            <w:r>
              <w:rPr>
                <w:rFonts w:ascii="Arial" w:cs="Arial" w:eastAsia="Arial" w:hAnsi="Arial"/>
                <w:sz w:val="16"/>
                <w:szCs w:val="16"/>
                <w:color w:val="auto"/>
              </w:rPr>
              <w:t>10,153</w:t>
            </w:r>
          </w:p>
        </w:tc>
        <w:tc>
          <w:tcPr>
            <w:tcW w:w="1940" w:type="dxa"/>
            <w:vAlign w:val="bottom"/>
          </w:tcPr>
          <w:p>
            <w:pPr>
              <w:jc w:val="center"/>
              <w:spacing w:after="0"/>
              <w:rPr>
                <w:sz w:val="20"/>
                <w:szCs w:val="20"/>
                <w:color w:val="auto"/>
              </w:rPr>
            </w:pPr>
            <w:r>
              <w:rPr>
                <w:rFonts w:ascii="Arial" w:cs="Arial" w:eastAsia="Arial" w:hAnsi="Arial"/>
                <w:sz w:val="16"/>
                <w:szCs w:val="16"/>
                <w:color w:val="auto"/>
              </w:rPr>
              <w:t>—</w:t>
            </w:r>
          </w:p>
        </w:tc>
        <w:tc>
          <w:tcPr>
            <w:tcW w:w="1220" w:type="dxa"/>
            <w:vAlign w:val="bottom"/>
          </w:tcPr>
          <w:p>
            <w:pPr>
              <w:jc w:val="center"/>
              <w:ind w:left="39"/>
              <w:spacing w:after="0"/>
              <w:rPr>
                <w:sz w:val="20"/>
                <w:szCs w:val="20"/>
                <w:color w:val="auto"/>
              </w:rPr>
            </w:pPr>
            <w:r>
              <w:rPr>
                <w:rFonts w:ascii="Arial" w:cs="Arial" w:eastAsia="Arial" w:hAnsi="Arial"/>
                <w:sz w:val="16"/>
                <w:szCs w:val="16"/>
                <w:color w:val="auto"/>
              </w:rPr>
              <w:t>10,153</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00" w:type="dxa"/>
            <w:vAlign w:val="bottom"/>
            <w:shd w:val="clear" w:color="auto" w:fill="D1DDE6"/>
          </w:tcPr>
          <w:p>
            <w:pPr>
              <w:ind w:left="360"/>
              <w:spacing w:after="0"/>
              <w:rPr>
                <w:sz w:val="20"/>
                <w:szCs w:val="20"/>
                <w:color w:val="auto"/>
              </w:rPr>
            </w:pPr>
            <w:r>
              <w:rPr>
                <w:rFonts w:ascii="Arial" w:cs="Arial" w:eastAsia="Arial" w:hAnsi="Arial"/>
                <w:sz w:val="16"/>
                <w:szCs w:val="16"/>
                <w:color w:val="auto"/>
              </w:rPr>
              <w:t>Mark A. Caylor</w:t>
            </w:r>
          </w:p>
        </w:tc>
        <w:tc>
          <w:tcPr>
            <w:tcW w:w="2400" w:type="dxa"/>
            <w:vAlign w:val="bottom"/>
            <w:shd w:val="clear" w:color="auto" w:fill="D1DDE6"/>
          </w:tcPr>
          <w:p>
            <w:pPr>
              <w:jc w:val="center"/>
              <w:spacing w:after="0"/>
              <w:rPr>
                <w:sz w:val="20"/>
                <w:szCs w:val="20"/>
                <w:color w:val="auto"/>
              </w:rPr>
            </w:pPr>
            <w:r>
              <w:rPr>
                <w:rFonts w:ascii="Arial" w:cs="Arial" w:eastAsia="Arial" w:hAnsi="Arial"/>
                <w:sz w:val="16"/>
                <w:szCs w:val="16"/>
                <w:color w:val="auto"/>
              </w:rPr>
              <w:t>20,338</w:t>
            </w:r>
          </w:p>
        </w:tc>
        <w:tc>
          <w:tcPr>
            <w:tcW w:w="1940" w:type="dxa"/>
            <w:vAlign w:val="bottom"/>
            <w:shd w:val="clear" w:color="auto" w:fill="D1DDE6"/>
          </w:tcPr>
          <w:p>
            <w:pPr>
              <w:jc w:val="center"/>
              <w:spacing w:after="0"/>
              <w:rPr>
                <w:sz w:val="20"/>
                <w:szCs w:val="20"/>
                <w:color w:val="auto"/>
              </w:rPr>
            </w:pPr>
            <w:r>
              <w:rPr>
                <w:rFonts w:ascii="Arial" w:cs="Arial" w:eastAsia="Arial" w:hAnsi="Arial"/>
                <w:sz w:val="16"/>
                <w:szCs w:val="16"/>
                <w:color w:val="auto"/>
              </w:rPr>
              <w:t>36</w:t>
            </w:r>
          </w:p>
        </w:tc>
        <w:tc>
          <w:tcPr>
            <w:tcW w:w="1220" w:type="dxa"/>
            <w:vAlign w:val="bottom"/>
            <w:shd w:val="clear" w:color="auto" w:fill="D1DDE6"/>
          </w:tcPr>
          <w:p>
            <w:pPr>
              <w:jc w:val="center"/>
              <w:ind w:left="39"/>
              <w:spacing w:after="0"/>
              <w:rPr>
                <w:sz w:val="20"/>
                <w:szCs w:val="20"/>
                <w:color w:val="auto"/>
              </w:rPr>
            </w:pPr>
            <w:r>
              <w:rPr>
                <w:rFonts w:ascii="Arial" w:cs="Arial" w:eastAsia="Arial" w:hAnsi="Arial"/>
                <w:sz w:val="16"/>
                <w:szCs w:val="16"/>
                <w:color w:val="auto"/>
              </w:rPr>
              <w:t>20,374</w:t>
            </w:r>
          </w:p>
        </w:tc>
        <w:tc>
          <w:tcPr>
            <w:tcW w:w="600" w:type="dxa"/>
            <w:vAlign w:val="bottom"/>
            <w:shd w:val="clear" w:color="auto" w:fill="D1DDE6"/>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Arial" w:cs="Arial" w:eastAsia="Arial" w:hAnsi="Arial"/>
                <w:sz w:val="16"/>
                <w:szCs w:val="16"/>
                <w:color w:val="auto"/>
              </w:rPr>
              <w:t>Blake E. Larson</w:t>
            </w:r>
          </w:p>
        </w:tc>
        <w:tc>
          <w:tcPr>
            <w:tcW w:w="2400" w:type="dxa"/>
            <w:vAlign w:val="bottom"/>
          </w:tcPr>
          <w:p>
            <w:pPr>
              <w:jc w:val="center"/>
              <w:spacing w:after="0"/>
              <w:rPr>
                <w:sz w:val="20"/>
                <w:szCs w:val="20"/>
                <w:color w:val="auto"/>
              </w:rPr>
            </w:pPr>
            <w:r>
              <w:rPr>
                <w:rFonts w:ascii="Arial" w:cs="Arial" w:eastAsia="Arial" w:hAnsi="Arial"/>
                <w:sz w:val="16"/>
                <w:szCs w:val="16"/>
                <w:color w:val="auto"/>
              </w:rPr>
              <w:t>11,263</w:t>
            </w:r>
          </w:p>
        </w:tc>
        <w:tc>
          <w:tcPr>
            <w:tcW w:w="1940" w:type="dxa"/>
            <w:vAlign w:val="bottom"/>
          </w:tcPr>
          <w:p>
            <w:pPr>
              <w:jc w:val="center"/>
              <w:spacing w:after="0"/>
              <w:rPr>
                <w:sz w:val="20"/>
                <w:szCs w:val="20"/>
                <w:color w:val="auto"/>
              </w:rPr>
            </w:pPr>
            <w:r>
              <w:rPr>
                <w:rFonts w:ascii="Arial" w:cs="Arial" w:eastAsia="Arial" w:hAnsi="Arial"/>
                <w:sz w:val="16"/>
                <w:szCs w:val="16"/>
                <w:color w:val="auto"/>
              </w:rPr>
              <w:t>—</w:t>
            </w:r>
          </w:p>
        </w:tc>
        <w:tc>
          <w:tcPr>
            <w:tcW w:w="1220" w:type="dxa"/>
            <w:vAlign w:val="bottom"/>
          </w:tcPr>
          <w:p>
            <w:pPr>
              <w:jc w:val="center"/>
              <w:ind w:left="39"/>
              <w:spacing w:after="0"/>
              <w:rPr>
                <w:sz w:val="20"/>
                <w:szCs w:val="20"/>
                <w:color w:val="auto"/>
              </w:rPr>
            </w:pPr>
            <w:r>
              <w:rPr>
                <w:rFonts w:ascii="Arial" w:cs="Arial" w:eastAsia="Arial" w:hAnsi="Arial"/>
                <w:sz w:val="16"/>
                <w:szCs w:val="16"/>
                <w:color w:val="auto"/>
              </w:rPr>
              <w:t>11,263</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Borders>
              <w:bottom w:val="single" w:sz="8" w:color="00249C"/>
            </w:tcBorders>
            <w:shd w:val="clear" w:color="auto" w:fill="D1DDE6"/>
          </w:tcPr>
          <w:p>
            <w:pPr>
              <w:ind w:left="360"/>
              <w:spacing w:after="0"/>
              <w:rPr>
                <w:sz w:val="20"/>
                <w:szCs w:val="20"/>
                <w:color w:val="auto"/>
              </w:rPr>
            </w:pPr>
            <w:r>
              <w:rPr>
                <w:rFonts w:ascii="Arial" w:cs="Arial" w:eastAsia="Arial" w:hAnsi="Arial"/>
                <w:sz w:val="16"/>
                <w:szCs w:val="16"/>
                <w:color w:val="auto"/>
              </w:rPr>
              <w:t>Janis G. Pamiljans</w:t>
            </w:r>
          </w:p>
        </w:tc>
        <w:tc>
          <w:tcPr>
            <w:tcW w:w="2400" w:type="dxa"/>
            <w:vAlign w:val="bottom"/>
            <w:tcBorders>
              <w:bottom w:val="single" w:sz="8" w:color="00249C"/>
            </w:tcBorders>
            <w:shd w:val="clear" w:color="auto" w:fill="D1DDE6"/>
          </w:tcPr>
          <w:p>
            <w:pPr>
              <w:jc w:val="center"/>
              <w:spacing w:after="0"/>
              <w:rPr>
                <w:sz w:val="20"/>
                <w:szCs w:val="20"/>
                <w:color w:val="auto"/>
              </w:rPr>
            </w:pPr>
            <w:r>
              <w:rPr>
                <w:rFonts w:ascii="Arial" w:cs="Arial" w:eastAsia="Arial" w:hAnsi="Arial"/>
                <w:sz w:val="16"/>
                <w:szCs w:val="16"/>
                <w:color w:val="auto"/>
                <w:w w:val="99"/>
              </w:rPr>
              <w:t>7,948</w:t>
            </w:r>
          </w:p>
        </w:tc>
        <w:tc>
          <w:tcPr>
            <w:tcW w:w="1940" w:type="dxa"/>
            <w:vAlign w:val="bottom"/>
            <w:tcBorders>
              <w:bottom w:val="single" w:sz="8" w:color="00249C"/>
            </w:tcBorders>
            <w:shd w:val="clear" w:color="auto" w:fill="D1DDE6"/>
          </w:tcPr>
          <w:p>
            <w:pPr>
              <w:jc w:val="center"/>
              <w:spacing w:after="0"/>
              <w:rPr>
                <w:sz w:val="20"/>
                <w:szCs w:val="20"/>
                <w:color w:val="auto"/>
              </w:rPr>
            </w:pPr>
            <w:r>
              <w:rPr>
                <w:rFonts w:ascii="Arial" w:cs="Arial" w:eastAsia="Arial" w:hAnsi="Arial"/>
                <w:sz w:val="16"/>
                <w:szCs w:val="16"/>
                <w:color w:val="auto"/>
              </w:rPr>
              <w:t>6,914</w:t>
            </w:r>
          </w:p>
        </w:tc>
        <w:tc>
          <w:tcPr>
            <w:tcW w:w="1220" w:type="dxa"/>
            <w:vAlign w:val="bottom"/>
            <w:tcBorders>
              <w:bottom w:val="single" w:sz="8" w:color="00249C"/>
            </w:tcBorders>
            <w:shd w:val="clear" w:color="auto" w:fill="D1DDE6"/>
          </w:tcPr>
          <w:p>
            <w:pPr>
              <w:jc w:val="center"/>
              <w:ind w:left="39"/>
              <w:spacing w:after="0"/>
              <w:rPr>
                <w:sz w:val="20"/>
                <w:szCs w:val="20"/>
                <w:color w:val="auto"/>
              </w:rPr>
            </w:pPr>
            <w:r>
              <w:rPr>
                <w:rFonts w:ascii="Arial" w:cs="Arial" w:eastAsia="Arial" w:hAnsi="Arial"/>
                <w:sz w:val="16"/>
                <w:szCs w:val="16"/>
                <w:color w:val="auto"/>
              </w:rPr>
              <w:t>14,862</w:t>
            </w:r>
          </w:p>
        </w:tc>
        <w:tc>
          <w:tcPr>
            <w:tcW w:w="600" w:type="dxa"/>
            <w:vAlign w:val="bottom"/>
            <w:tcBorders>
              <w:bottom w:val="single" w:sz="8" w:color="00249C"/>
            </w:tcBorders>
            <w:shd w:val="clear" w:color="auto" w:fill="D1DDE6"/>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00" w:type="dxa"/>
            <w:vAlign w:val="bottom"/>
            <w:tcBorders>
              <w:bottom w:val="single" w:sz="8" w:color="00249C"/>
            </w:tcBorders>
            <w:shd w:val="clear" w:color="auto" w:fill="D1DDE6"/>
          </w:tcPr>
          <w:p>
            <w:pPr>
              <w:ind w:left="20"/>
              <w:spacing w:after="0"/>
              <w:rPr>
                <w:sz w:val="20"/>
                <w:szCs w:val="20"/>
                <w:color w:val="auto"/>
              </w:rPr>
            </w:pPr>
            <w:r>
              <w:rPr>
                <w:rFonts w:ascii="Arial" w:cs="Arial" w:eastAsia="Arial" w:hAnsi="Arial"/>
                <w:sz w:val="16"/>
                <w:szCs w:val="16"/>
                <w:b w:val="1"/>
                <w:bCs w:val="1"/>
                <w:color w:val="auto"/>
              </w:rPr>
              <w:t>Other Executive Officers</w:t>
            </w:r>
          </w:p>
        </w:tc>
        <w:tc>
          <w:tcPr>
            <w:tcW w:w="2400" w:type="dxa"/>
            <w:vAlign w:val="bottom"/>
            <w:tcBorders>
              <w:bottom w:val="single" w:sz="8" w:color="00249C"/>
            </w:tcBorders>
            <w:shd w:val="clear" w:color="auto" w:fill="D1DDE6"/>
          </w:tcPr>
          <w:p>
            <w:pPr>
              <w:jc w:val="center"/>
              <w:spacing w:after="0"/>
              <w:rPr>
                <w:sz w:val="20"/>
                <w:szCs w:val="20"/>
                <w:color w:val="auto"/>
              </w:rPr>
            </w:pPr>
            <w:r>
              <w:rPr>
                <w:rFonts w:ascii="Arial" w:cs="Arial" w:eastAsia="Arial" w:hAnsi="Arial"/>
                <w:sz w:val="16"/>
                <w:szCs w:val="16"/>
                <w:color w:val="auto"/>
              </w:rPr>
              <w:t>77,909</w:t>
            </w:r>
          </w:p>
        </w:tc>
        <w:tc>
          <w:tcPr>
            <w:tcW w:w="1940" w:type="dxa"/>
            <w:vAlign w:val="bottom"/>
            <w:tcBorders>
              <w:bottom w:val="single" w:sz="8" w:color="00249C"/>
            </w:tcBorders>
            <w:shd w:val="clear" w:color="auto" w:fill="D1DDE6"/>
          </w:tcPr>
          <w:p>
            <w:pPr>
              <w:jc w:val="center"/>
              <w:spacing w:after="0"/>
              <w:rPr>
                <w:sz w:val="20"/>
                <w:szCs w:val="20"/>
                <w:color w:val="auto"/>
              </w:rPr>
            </w:pPr>
            <w:r>
              <w:rPr>
                <w:rFonts w:ascii="Arial" w:cs="Arial" w:eastAsia="Arial" w:hAnsi="Arial"/>
                <w:sz w:val="16"/>
                <w:szCs w:val="16"/>
                <w:color w:val="auto"/>
              </w:rPr>
              <w:t>3,343</w:t>
            </w:r>
          </w:p>
        </w:tc>
        <w:tc>
          <w:tcPr>
            <w:tcW w:w="1220" w:type="dxa"/>
            <w:vAlign w:val="bottom"/>
            <w:tcBorders>
              <w:bottom w:val="single" w:sz="8" w:color="00249C"/>
            </w:tcBorders>
            <w:shd w:val="clear" w:color="auto" w:fill="D1DDE6"/>
          </w:tcPr>
          <w:p>
            <w:pPr>
              <w:jc w:val="center"/>
              <w:ind w:left="39"/>
              <w:spacing w:after="0"/>
              <w:rPr>
                <w:sz w:val="20"/>
                <w:szCs w:val="20"/>
                <w:color w:val="auto"/>
              </w:rPr>
            </w:pPr>
            <w:r>
              <w:rPr>
                <w:rFonts w:ascii="Arial" w:cs="Arial" w:eastAsia="Arial" w:hAnsi="Arial"/>
                <w:sz w:val="16"/>
                <w:szCs w:val="16"/>
                <w:color w:val="auto"/>
              </w:rPr>
              <w:t>81,252</w:t>
            </w:r>
          </w:p>
        </w:tc>
        <w:tc>
          <w:tcPr>
            <w:tcW w:w="600" w:type="dxa"/>
            <w:vAlign w:val="bottom"/>
            <w:tcBorders>
              <w:bottom w:val="single" w:sz="8" w:color="00249C"/>
            </w:tcBorders>
            <w:shd w:val="clear" w:color="auto" w:fill="D1DDE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00" w:type="dxa"/>
            <w:vAlign w:val="bottom"/>
            <w:tcBorders>
              <w:bottom w:val="single" w:sz="8" w:color="00249C"/>
            </w:tcBorders>
          </w:tcPr>
          <w:p>
            <w:pPr>
              <w:ind w:left="20"/>
              <w:spacing w:after="0"/>
              <w:rPr>
                <w:sz w:val="20"/>
                <w:szCs w:val="20"/>
                <w:color w:val="auto"/>
              </w:rPr>
            </w:pPr>
            <w:r>
              <w:rPr>
                <w:rFonts w:ascii="Arial" w:cs="Arial" w:eastAsia="Arial" w:hAnsi="Arial"/>
                <w:sz w:val="16"/>
                <w:szCs w:val="16"/>
                <w:b w:val="1"/>
                <w:bCs w:val="1"/>
                <w:color w:val="auto"/>
              </w:rPr>
              <w:t>All Directors and Executive Officers as a Group (27 persons)</w:t>
            </w:r>
          </w:p>
        </w:tc>
        <w:tc>
          <w:tcPr>
            <w:tcW w:w="2400" w:type="dxa"/>
            <w:vAlign w:val="bottom"/>
            <w:tcBorders>
              <w:bottom w:val="single" w:sz="8" w:color="00249C"/>
            </w:tcBorders>
          </w:tcPr>
          <w:p>
            <w:pPr>
              <w:jc w:val="center"/>
              <w:spacing w:after="0"/>
              <w:rPr>
                <w:sz w:val="20"/>
                <w:szCs w:val="20"/>
                <w:color w:val="auto"/>
              </w:rPr>
            </w:pPr>
            <w:r>
              <w:rPr>
                <w:rFonts w:ascii="Arial" w:cs="Arial" w:eastAsia="Arial" w:hAnsi="Arial"/>
                <w:sz w:val="16"/>
                <w:szCs w:val="16"/>
                <w:color w:val="auto"/>
              </w:rPr>
              <w:t>255,900</w:t>
            </w:r>
          </w:p>
        </w:tc>
        <w:tc>
          <w:tcPr>
            <w:tcW w:w="1940" w:type="dxa"/>
            <w:vAlign w:val="bottom"/>
            <w:tcBorders>
              <w:bottom w:val="single" w:sz="8" w:color="00249C"/>
            </w:tcBorders>
          </w:tcPr>
          <w:p>
            <w:pPr>
              <w:jc w:val="center"/>
              <w:spacing w:after="0"/>
              <w:rPr>
                <w:sz w:val="20"/>
                <w:szCs w:val="20"/>
                <w:color w:val="auto"/>
              </w:rPr>
            </w:pPr>
            <w:r>
              <w:rPr>
                <w:rFonts w:ascii="Arial" w:cs="Arial" w:eastAsia="Arial" w:hAnsi="Arial"/>
                <w:sz w:val="16"/>
                <w:szCs w:val="16"/>
                <w:color w:val="auto"/>
              </w:rPr>
              <w:t>147,660</w:t>
            </w:r>
          </w:p>
        </w:tc>
        <w:tc>
          <w:tcPr>
            <w:tcW w:w="1220" w:type="dxa"/>
            <w:vAlign w:val="bottom"/>
            <w:tcBorders>
              <w:bottom w:val="single" w:sz="8" w:color="00249C"/>
            </w:tcBorders>
          </w:tcPr>
          <w:p>
            <w:pPr>
              <w:jc w:val="center"/>
              <w:ind w:left="39"/>
              <w:spacing w:after="0"/>
              <w:rPr>
                <w:sz w:val="20"/>
                <w:szCs w:val="20"/>
                <w:color w:val="auto"/>
              </w:rPr>
            </w:pPr>
            <w:r>
              <w:rPr>
                <w:rFonts w:ascii="Arial" w:cs="Arial" w:eastAsia="Arial" w:hAnsi="Arial"/>
                <w:sz w:val="16"/>
                <w:szCs w:val="16"/>
                <w:color w:val="auto"/>
              </w:rPr>
              <w:t>403,560</w:t>
            </w:r>
          </w:p>
        </w:tc>
        <w:tc>
          <w:tcPr>
            <w:tcW w:w="600" w:type="dxa"/>
            <w:vAlign w:val="bottom"/>
            <w:tcBorders>
              <w:bottom w:val="single" w:sz="8" w:color="00249C"/>
            </w:tcBorders>
          </w:tcPr>
          <w:p>
            <w:pPr>
              <w:jc w:val="right"/>
              <w:ind w:right="3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420" w:right="100" w:hanging="412"/>
        <w:spacing w:after="0" w:line="254" w:lineRule="auto"/>
        <w:tabs>
          <w:tab w:leader="none" w:pos="437"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Share equivalents for directors represent non-voting deferred stock units acquired under the 2011 Plan, some of which are paid out in shares of common stock at the conclusion of a director-specified deferral period, and others are paid out upon termination of the director's service on the Board. Certain of the NEOs hold share equivalents with pass-through voting rights in the Northrop Grumman Savings Plan or the Northrop Grumman Financial Security and Savings Program.</w:t>
      </w:r>
    </w:p>
    <w:p>
      <w:pPr>
        <w:spacing w:after="0" w:line="82" w:lineRule="exact"/>
        <w:rPr>
          <w:rFonts w:ascii="Arial" w:cs="Arial" w:eastAsia="Arial" w:hAnsi="Arial"/>
          <w:sz w:val="18"/>
          <w:szCs w:val="18"/>
          <w:color w:val="auto"/>
        </w:rPr>
      </w:pPr>
    </w:p>
    <w:p>
      <w:pPr>
        <w:ind w:left="440" w:hanging="432"/>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Ms. Warden also serves on the Company's Board of Directors.</w:t>
      </w:r>
    </w:p>
    <w:p>
      <w:pPr>
        <w:spacing w:after="0" w:line="103" w:lineRule="exact"/>
        <w:rPr>
          <w:rFonts w:ascii="Arial" w:cs="Arial" w:eastAsia="Arial" w:hAnsi="Arial"/>
          <w:sz w:val="18"/>
          <w:szCs w:val="18"/>
          <w:color w:val="auto"/>
        </w:rPr>
      </w:pPr>
    </w:p>
    <w:p>
      <w:pPr>
        <w:ind w:left="440" w:hanging="432"/>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Total represents 0.25% of the outstanding common stock as of March 23,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1140"/>
          </w:cols>
          <w:pgMar w:left="320" w:top="607" w:right="439" w:bottom="1440" w:gutter="0" w:footer="0" w:header="0"/>
        </w:sectPr>
      </w:pPr>
    </w:p>
    <w:bookmarkStart w:id="42" w:name="page43"/>
    <w:bookmarkEnd w:id="42"/>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5314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EQUITY COMPENSATION PLAN INFORMATION</w:t>
      </w:r>
    </w:p>
    <w:p>
      <w:pPr>
        <w:spacing w:after="0" w:line="200" w:lineRule="exact"/>
        <w:rPr>
          <w:sz w:val="20"/>
          <w:szCs w:val="20"/>
          <w:color w:val="auto"/>
        </w:rPr>
      </w:pPr>
    </w:p>
    <w:p>
      <w:pPr>
        <w:spacing w:after="0" w:line="389"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We currently maintain two equity compensation plans: the 2011 Plan and the 1993 Stock Plan for Non-Employee Directors, as amended (1993 Directors Plan). Each of these plans has been approved by our shareholders.</w:t>
      </w:r>
    </w:p>
    <w:p>
      <w:pPr>
        <w:spacing w:after="0" w:line="6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following table sets forth the number of shares of our common stock to be issued upon payout of outstanding awards and the number of shares remaining available for future award grants under these equity compensation plans as of December 31, 2020.</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0" w:type="dxa"/>
            <w:vAlign w:val="bottom"/>
            <w:shd w:val="clear" w:color="auto" w:fill="00249C"/>
          </w:tcPr>
          <w:p>
            <w:pPr>
              <w:spacing w:after="0"/>
              <w:rPr>
                <w:sz w:val="16"/>
                <w:szCs w:val="16"/>
                <w:color w:val="auto"/>
              </w:rPr>
            </w:pPr>
          </w:p>
        </w:tc>
        <w:tc>
          <w:tcPr>
            <w:tcW w:w="2520" w:type="dxa"/>
            <w:vAlign w:val="bottom"/>
            <w:vMerge w:val="restart"/>
            <w:shd w:val="clear" w:color="auto" w:fill="00249C"/>
          </w:tcPr>
          <w:p>
            <w:pPr>
              <w:jc w:val="center"/>
              <w:spacing w:after="0"/>
              <w:rPr>
                <w:sz w:val="20"/>
                <w:szCs w:val="20"/>
                <w:color w:val="auto"/>
              </w:rPr>
            </w:pPr>
            <w:r>
              <w:rPr>
                <w:rFonts w:ascii="Arial" w:cs="Arial" w:eastAsia="Arial" w:hAnsi="Arial"/>
                <w:sz w:val="16"/>
                <w:szCs w:val="16"/>
                <w:b w:val="1"/>
                <w:bCs w:val="1"/>
                <w:color w:val="FFFFFF"/>
              </w:rPr>
              <w:t>Number of shares of</w:t>
            </w:r>
          </w:p>
        </w:tc>
        <w:tc>
          <w:tcPr>
            <w:tcW w:w="2200" w:type="dxa"/>
            <w:vAlign w:val="bottom"/>
            <w:shd w:val="clear" w:color="auto" w:fill="00249C"/>
          </w:tcPr>
          <w:p>
            <w:pPr>
              <w:spacing w:after="0"/>
              <w:rPr>
                <w:sz w:val="16"/>
                <w:szCs w:val="16"/>
                <w:color w:val="auto"/>
              </w:rPr>
            </w:pPr>
          </w:p>
        </w:tc>
        <w:tc>
          <w:tcPr>
            <w:tcW w:w="270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rPr>
              <w:t>Number of shares of</w:t>
            </w:r>
          </w:p>
        </w:tc>
        <w:tc>
          <w:tcPr>
            <w:tcW w:w="420" w:type="dxa"/>
            <w:vAlign w:val="bottom"/>
            <w:shd w:val="clear" w:color="auto" w:fill="00249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400" w:type="dxa"/>
            <w:vAlign w:val="bottom"/>
            <w:shd w:val="clear" w:color="auto" w:fill="00249C"/>
          </w:tcPr>
          <w:p>
            <w:pPr>
              <w:spacing w:after="0"/>
              <w:rPr>
                <w:sz w:val="14"/>
                <w:szCs w:val="14"/>
                <w:color w:val="auto"/>
              </w:rPr>
            </w:pPr>
          </w:p>
        </w:tc>
        <w:tc>
          <w:tcPr>
            <w:tcW w:w="2520" w:type="dxa"/>
            <w:vAlign w:val="bottom"/>
            <w:vMerge w:val="continue"/>
            <w:shd w:val="clear" w:color="auto" w:fill="00249C"/>
          </w:tcPr>
          <w:p>
            <w:pPr>
              <w:spacing w:after="0"/>
              <w:rPr>
                <w:sz w:val="14"/>
                <w:szCs w:val="14"/>
                <w:color w:val="auto"/>
              </w:rPr>
            </w:pPr>
          </w:p>
        </w:tc>
        <w:tc>
          <w:tcPr>
            <w:tcW w:w="2200" w:type="dxa"/>
            <w:vAlign w:val="bottom"/>
            <w:shd w:val="clear" w:color="auto" w:fill="00249C"/>
          </w:tcPr>
          <w:p>
            <w:pPr>
              <w:spacing w:after="0"/>
              <w:rPr>
                <w:sz w:val="14"/>
                <w:szCs w:val="14"/>
                <w:color w:val="auto"/>
              </w:rPr>
            </w:pPr>
          </w:p>
        </w:tc>
        <w:tc>
          <w:tcPr>
            <w:tcW w:w="2700" w:type="dxa"/>
            <w:vAlign w:val="bottom"/>
            <w:shd w:val="clear" w:color="auto" w:fill="00249C"/>
          </w:tcPr>
          <w:p>
            <w:pPr>
              <w:jc w:val="center"/>
              <w:spacing w:after="0" w:line="162" w:lineRule="exact"/>
              <w:rPr>
                <w:sz w:val="20"/>
                <w:szCs w:val="20"/>
                <w:color w:val="auto"/>
              </w:rPr>
            </w:pPr>
            <w:r>
              <w:rPr>
                <w:rFonts w:ascii="Arial" w:cs="Arial" w:eastAsia="Arial" w:hAnsi="Arial"/>
                <w:sz w:val="16"/>
                <w:szCs w:val="16"/>
                <w:b w:val="1"/>
                <w:bCs w:val="1"/>
                <w:color w:val="FFFFFF"/>
              </w:rPr>
              <w:t>common stock</w:t>
            </w:r>
          </w:p>
        </w:tc>
        <w:tc>
          <w:tcPr>
            <w:tcW w:w="420" w:type="dxa"/>
            <w:vAlign w:val="bottom"/>
            <w:shd w:val="clear" w:color="auto" w:fill="00249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shd w:val="clear" w:color="auto" w:fill="00249C"/>
          </w:tcPr>
          <w:p>
            <w:pPr>
              <w:spacing w:after="0"/>
              <w:rPr>
                <w:sz w:val="14"/>
                <w:szCs w:val="14"/>
                <w:color w:val="auto"/>
              </w:rPr>
            </w:pPr>
          </w:p>
        </w:tc>
        <w:tc>
          <w:tcPr>
            <w:tcW w:w="2520" w:type="dxa"/>
            <w:vAlign w:val="bottom"/>
            <w:shd w:val="clear" w:color="auto" w:fill="00249C"/>
          </w:tcPr>
          <w:p>
            <w:pPr>
              <w:jc w:val="center"/>
              <w:spacing w:after="0" w:line="162" w:lineRule="exact"/>
              <w:rPr>
                <w:sz w:val="20"/>
                <w:szCs w:val="20"/>
                <w:color w:val="auto"/>
              </w:rPr>
            </w:pPr>
            <w:r>
              <w:rPr>
                <w:rFonts w:ascii="Arial" w:cs="Arial" w:eastAsia="Arial" w:hAnsi="Arial"/>
                <w:sz w:val="16"/>
                <w:szCs w:val="16"/>
                <w:b w:val="1"/>
                <w:bCs w:val="1"/>
                <w:color w:val="FFFFFF"/>
              </w:rPr>
              <w:t>common stock to be</w:t>
            </w:r>
          </w:p>
        </w:tc>
        <w:tc>
          <w:tcPr>
            <w:tcW w:w="2200" w:type="dxa"/>
            <w:vAlign w:val="bottom"/>
            <w:shd w:val="clear" w:color="auto" w:fill="00249C"/>
          </w:tcPr>
          <w:p>
            <w:pPr>
              <w:spacing w:after="0"/>
              <w:rPr>
                <w:sz w:val="14"/>
                <w:szCs w:val="14"/>
                <w:color w:val="auto"/>
              </w:rPr>
            </w:pPr>
          </w:p>
        </w:tc>
        <w:tc>
          <w:tcPr>
            <w:tcW w:w="2700" w:type="dxa"/>
            <w:vAlign w:val="bottom"/>
            <w:shd w:val="clear" w:color="auto" w:fill="00249C"/>
          </w:tcPr>
          <w:p>
            <w:pPr>
              <w:jc w:val="center"/>
              <w:spacing w:after="0" w:line="162" w:lineRule="exact"/>
              <w:rPr>
                <w:sz w:val="20"/>
                <w:szCs w:val="20"/>
                <w:color w:val="auto"/>
              </w:rPr>
            </w:pPr>
            <w:r>
              <w:rPr>
                <w:rFonts w:ascii="Arial" w:cs="Arial" w:eastAsia="Arial" w:hAnsi="Arial"/>
                <w:sz w:val="16"/>
                <w:szCs w:val="16"/>
                <w:b w:val="1"/>
                <w:bCs w:val="1"/>
                <w:color w:val="FFFFFF"/>
              </w:rPr>
              <w:t>remaining available for future</w:t>
            </w:r>
          </w:p>
        </w:tc>
        <w:tc>
          <w:tcPr>
            <w:tcW w:w="420" w:type="dxa"/>
            <w:vAlign w:val="bottom"/>
            <w:shd w:val="clear" w:color="auto" w:fill="00249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shd w:val="clear" w:color="auto" w:fill="00249C"/>
          </w:tcPr>
          <w:p>
            <w:pPr>
              <w:spacing w:after="0"/>
              <w:rPr>
                <w:sz w:val="14"/>
                <w:szCs w:val="14"/>
                <w:color w:val="auto"/>
              </w:rPr>
            </w:pPr>
          </w:p>
        </w:tc>
        <w:tc>
          <w:tcPr>
            <w:tcW w:w="2520" w:type="dxa"/>
            <w:vAlign w:val="bottom"/>
            <w:shd w:val="clear" w:color="auto" w:fill="00249C"/>
          </w:tcPr>
          <w:p>
            <w:pPr>
              <w:jc w:val="center"/>
              <w:spacing w:after="0" w:line="162" w:lineRule="exact"/>
              <w:rPr>
                <w:sz w:val="20"/>
                <w:szCs w:val="20"/>
                <w:color w:val="auto"/>
              </w:rPr>
            </w:pPr>
            <w:r>
              <w:rPr>
                <w:rFonts w:ascii="Arial" w:cs="Arial" w:eastAsia="Arial" w:hAnsi="Arial"/>
                <w:sz w:val="16"/>
                <w:szCs w:val="16"/>
                <w:b w:val="1"/>
                <w:bCs w:val="1"/>
                <w:color w:val="FFFFFF"/>
              </w:rPr>
              <w:t>issued upon exercise</w:t>
            </w:r>
          </w:p>
        </w:tc>
        <w:tc>
          <w:tcPr>
            <w:tcW w:w="2200" w:type="dxa"/>
            <w:vAlign w:val="bottom"/>
            <w:vMerge w:val="restart"/>
            <w:shd w:val="clear" w:color="auto" w:fill="00249C"/>
          </w:tcPr>
          <w:p>
            <w:pPr>
              <w:jc w:val="center"/>
              <w:spacing w:after="0"/>
              <w:rPr>
                <w:sz w:val="20"/>
                <w:szCs w:val="20"/>
                <w:color w:val="auto"/>
              </w:rPr>
            </w:pPr>
            <w:r>
              <w:rPr>
                <w:rFonts w:ascii="Arial" w:cs="Arial" w:eastAsia="Arial" w:hAnsi="Arial"/>
                <w:sz w:val="16"/>
                <w:szCs w:val="16"/>
                <w:b w:val="1"/>
                <w:bCs w:val="1"/>
                <w:color w:val="FFFFFF"/>
              </w:rPr>
              <w:t>Weighted-average</w:t>
            </w:r>
          </w:p>
        </w:tc>
        <w:tc>
          <w:tcPr>
            <w:tcW w:w="2700" w:type="dxa"/>
            <w:vAlign w:val="bottom"/>
            <w:shd w:val="clear" w:color="auto" w:fill="00249C"/>
          </w:tcPr>
          <w:p>
            <w:pPr>
              <w:jc w:val="center"/>
              <w:spacing w:after="0" w:line="162" w:lineRule="exact"/>
              <w:rPr>
                <w:sz w:val="20"/>
                <w:szCs w:val="20"/>
                <w:color w:val="auto"/>
              </w:rPr>
            </w:pPr>
            <w:r>
              <w:rPr>
                <w:rFonts w:ascii="Arial" w:cs="Arial" w:eastAsia="Arial" w:hAnsi="Arial"/>
                <w:sz w:val="16"/>
                <w:szCs w:val="16"/>
                <w:b w:val="1"/>
                <w:bCs w:val="1"/>
                <w:color w:val="FFFFFF"/>
              </w:rPr>
              <w:t>issuance under equity</w:t>
            </w:r>
          </w:p>
        </w:tc>
        <w:tc>
          <w:tcPr>
            <w:tcW w:w="420" w:type="dxa"/>
            <w:vAlign w:val="bottom"/>
            <w:shd w:val="clear" w:color="auto" w:fill="00249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shd w:val="clear" w:color="auto" w:fill="00249C"/>
          </w:tcPr>
          <w:p>
            <w:pPr>
              <w:spacing w:after="0"/>
              <w:rPr>
                <w:sz w:val="14"/>
                <w:szCs w:val="14"/>
                <w:color w:val="auto"/>
              </w:rPr>
            </w:pPr>
          </w:p>
        </w:tc>
        <w:tc>
          <w:tcPr>
            <w:tcW w:w="2520" w:type="dxa"/>
            <w:vAlign w:val="bottom"/>
            <w:shd w:val="clear" w:color="auto" w:fill="00249C"/>
          </w:tcPr>
          <w:p>
            <w:pPr>
              <w:jc w:val="center"/>
              <w:spacing w:after="0" w:line="162" w:lineRule="exact"/>
              <w:rPr>
                <w:sz w:val="20"/>
                <w:szCs w:val="20"/>
                <w:color w:val="auto"/>
              </w:rPr>
            </w:pPr>
            <w:r>
              <w:rPr>
                <w:rFonts w:ascii="Arial" w:cs="Arial" w:eastAsia="Arial" w:hAnsi="Arial"/>
                <w:sz w:val="16"/>
                <w:szCs w:val="16"/>
                <w:b w:val="1"/>
                <w:bCs w:val="1"/>
                <w:color w:val="FFFFFF"/>
              </w:rPr>
              <w:t>of outstanding options and</w:t>
            </w:r>
          </w:p>
        </w:tc>
        <w:tc>
          <w:tcPr>
            <w:tcW w:w="2200" w:type="dxa"/>
            <w:vAlign w:val="bottom"/>
            <w:vMerge w:val="continue"/>
            <w:shd w:val="clear" w:color="auto" w:fill="00249C"/>
          </w:tcPr>
          <w:p>
            <w:pPr>
              <w:spacing w:after="0"/>
              <w:rPr>
                <w:sz w:val="14"/>
                <w:szCs w:val="14"/>
                <w:color w:val="auto"/>
              </w:rPr>
            </w:pPr>
          </w:p>
        </w:tc>
        <w:tc>
          <w:tcPr>
            <w:tcW w:w="2700" w:type="dxa"/>
            <w:vAlign w:val="bottom"/>
            <w:shd w:val="clear" w:color="auto" w:fill="00249C"/>
          </w:tcPr>
          <w:p>
            <w:pPr>
              <w:jc w:val="center"/>
              <w:spacing w:after="0" w:line="162" w:lineRule="exact"/>
              <w:rPr>
                <w:sz w:val="20"/>
                <w:szCs w:val="20"/>
                <w:color w:val="auto"/>
              </w:rPr>
            </w:pPr>
            <w:r>
              <w:rPr>
                <w:rFonts w:ascii="Arial" w:cs="Arial" w:eastAsia="Arial" w:hAnsi="Arial"/>
                <w:sz w:val="16"/>
                <w:szCs w:val="16"/>
                <w:b w:val="1"/>
                <w:bCs w:val="1"/>
                <w:color w:val="FFFFFF"/>
              </w:rPr>
              <w:t>compensation plans (excluding</w:t>
            </w:r>
          </w:p>
        </w:tc>
        <w:tc>
          <w:tcPr>
            <w:tcW w:w="420" w:type="dxa"/>
            <w:vAlign w:val="bottom"/>
            <w:shd w:val="clear" w:color="auto" w:fill="00249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shd w:val="clear" w:color="auto" w:fill="00249C"/>
          </w:tcPr>
          <w:p>
            <w:pPr>
              <w:spacing w:after="0"/>
              <w:rPr>
                <w:sz w:val="14"/>
                <w:szCs w:val="14"/>
                <w:color w:val="auto"/>
              </w:rPr>
            </w:pPr>
          </w:p>
        </w:tc>
        <w:tc>
          <w:tcPr>
            <w:tcW w:w="2520" w:type="dxa"/>
            <w:vAlign w:val="bottom"/>
            <w:shd w:val="clear" w:color="auto" w:fill="00249C"/>
          </w:tcPr>
          <w:p>
            <w:pPr>
              <w:jc w:val="center"/>
              <w:spacing w:after="0" w:line="162" w:lineRule="exact"/>
              <w:rPr>
                <w:sz w:val="20"/>
                <w:szCs w:val="20"/>
                <w:color w:val="auto"/>
              </w:rPr>
            </w:pPr>
            <w:r>
              <w:rPr>
                <w:rFonts w:ascii="Arial" w:cs="Arial" w:eastAsia="Arial" w:hAnsi="Arial"/>
                <w:sz w:val="16"/>
                <w:szCs w:val="16"/>
                <w:b w:val="1"/>
                <w:bCs w:val="1"/>
                <w:color w:val="FFFFFF"/>
              </w:rPr>
              <w:t>payout of outstanding</w:t>
            </w:r>
          </w:p>
        </w:tc>
        <w:tc>
          <w:tcPr>
            <w:tcW w:w="2200" w:type="dxa"/>
            <w:vAlign w:val="bottom"/>
            <w:shd w:val="clear" w:color="auto" w:fill="00249C"/>
          </w:tcPr>
          <w:p>
            <w:pPr>
              <w:jc w:val="center"/>
              <w:spacing w:after="0" w:line="162" w:lineRule="exact"/>
              <w:rPr>
                <w:sz w:val="20"/>
                <w:szCs w:val="20"/>
                <w:color w:val="auto"/>
              </w:rPr>
            </w:pPr>
            <w:r>
              <w:rPr>
                <w:rFonts w:ascii="Arial" w:cs="Arial" w:eastAsia="Arial" w:hAnsi="Arial"/>
                <w:sz w:val="16"/>
                <w:szCs w:val="16"/>
                <w:b w:val="1"/>
                <w:bCs w:val="1"/>
                <w:color w:val="FFFFFF"/>
              </w:rPr>
              <w:t>exercise price of</w:t>
            </w:r>
          </w:p>
        </w:tc>
        <w:tc>
          <w:tcPr>
            <w:tcW w:w="2700" w:type="dxa"/>
            <w:vAlign w:val="bottom"/>
            <w:shd w:val="clear" w:color="auto" w:fill="00249C"/>
          </w:tcPr>
          <w:p>
            <w:pPr>
              <w:jc w:val="center"/>
              <w:ind w:left="19"/>
              <w:spacing w:after="0" w:line="162" w:lineRule="exact"/>
              <w:rPr>
                <w:sz w:val="20"/>
                <w:szCs w:val="20"/>
                <w:color w:val="auto"/>
              </w:rPr>
            </w:pPr>
            <w:r>
              <w:rPr>
                <w:rFonts w:ascii="Arial" w:cs="Arial" w:eastAsia="Arial" w:hAnsi="Arial"/>
                <w:sz w:val="16"/>
                <w:szCs w:val="16"/>
                <w:b w:val="1"/>
                <w:bCs w:val="1"/>
                <w:color w:val="FFFFFF"/>
              </w:rPr>
              <w:t>shares reflected in the</w:t>
            </w:r>
          </w:p>
        </w:tc>
        <w:tc>
          <w:tcPr>
            <w:tcW w:w="420" w:type="dxa"/>
            <w:vAlign w:val="bottom"/>
            <w:shd w:val="clear" w:color="auto" w:fill="00249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vMerge w:val="restart"/>
            <w:shd w:val="clear" w:color="auto" w:fill="00249C"/>
          </w:tcPr>
          <w:p>
            <w:pPr>
              <w:ind w:left="20"/>
              <w:spacing w:after="0"/>
              <w:rPr>
                <w:sz w:val="20"/>
                <w:szCs w:val="20"/>
                <w:color w:val="auto"/>
              </w:rPr>
            </w:pPr>
            <w:r>
              <w:rPr>
                <w:rFonts w:ascii="Arial" w:cs="Arial" w:eastAsia="Arial" w:hAnsi="Arial"/>
                <w:sz w:val="16"/>
                <w:szCs w:val="16"/>
                <w:b w:val="1"/>
                <w:bCs w:val="1"/>
                <w:color w:val="FFFFFF"/>
              </w:rPr>
              <w:t>Plan category</w:t>
            </w:r>
          </w:p>
        </w:tc>
        <w:tc>
          <w:tcPr>
            <w:tcW w:w="2520" w:type="dxa"/>
            <w:vAlign w:val="bottom"/>
            <w:shd w:val="clear" w:color="auto" w:fill="00249C"/>
          </w:tcPr>
          <w:p>
            <w:pPr>
              <w:jc w:val="center"/>
              <w:spacing w:after="0" w:line="162" w:lineRule="exact"/>
              <w:rPr>
                <w:sz w:val="20"/>
                <w:szCs w:val="20"/>
                <w:color w:val="auto"/>
              </w:rPr>
            </w:pPr>
            <w:r>
              <w:rPr>
                <w:rFonts w:ascii="Arial" w:cs="Arial" w:eastAsia="Arial" w:hAnsi="Arial"/>
                <w:sz w:val="16"/>
                <w:szCs w:val="16"/>
                <w:b w:val="1"/>
                <w:bCs w:val="1"/>
                <w:color w:val="FFFFFF"/>
              </w:rPr>
              <w:t>awards (1)</w:t>
            </w:r>
          </w:p>
        </w:tc>
        <w:tc>
          <w:tcPr>
            <w:tcW w:w="2200" w:type="dxa"/>
            <w:vAlign w:val="bottom"/>
            <w:shd w:val="clear" w:color="auto" w:fill="00249C"/>
          </w:tcPr>
          <w:p>
            <w:pPr>
              <w:jc w:val="center"/>
              <w:spacing w:after="0" w:line="162" w:lineRule="exact"/>
              <w:rPr>
                <w:sz w:val="20"/>
                <w:szCs w:val="20"/>
                <w:color w:val="auto"/>
              </w:rPr>
            </w:pPr>
            <w:r>
              <w:rPr>
                <w:rFonts w:ascii="Arial" w:cs="Arial" w:eastAsia="Arial" w:hAnsi="Arial"/>
                <w:sz w:val="16"/>
                <w:szCs w:val="16"/>
                <w:b w:val="1"/>
                <w:bCs w:val="1"/>
                <w:color w:val="FFFFFF"/>
              </w:rPr>
              <w:t>outstanding options (2)</w:t>
            </w:r>
          </w:p>
        </w:tc>
        <w:tc>
          <w:tcPr>
            <w:tcW w:w="2700" w:type="dxa"/>
            <w:vAlign w:val="bottom"/>
            <w:shd w:val="clear" w:color="auto" w:fill="00249C"/>
          </w:tcPr>
          <w:p>
            <w:pPr>
              <w:jc w:val="center"/>
              <w:spacing w:after="0" w:line="162" w:lineRule="exact"/>
              <w:rPr>
                <w:sz w:val="20"/>
                <w:szCs w:val="20"/>
                <w:color w:val="auto"/>
              </w:rPr>
            </w:pPr>
            <w:r>
              <w:rPr>
                <w:rFonts w:ascii="Arial" w:cs="Arial" w:eastAsia="Arial" w:hAnsi="Arial"/>
                <w:sz w:val="16"/>
                <w:szCs w:val="16"/>
                <w:b w:val="1"/>
                <w:bCs w:val="1"/>
                <w:color w:val="FFFFFF"/>
              </w:rPr>
              <w:t>first column) (3)</w:t>
            </w:r>
          </w:p>
        </w:tc>
        <w:tc>
          <w:tcPr>
            <w:tcW w:w="420" w:type="dxa"/>
            <w:vAlign w:val="bottom"/>
            <w:shd w:val="clear" w:color="auto" w:fill="00249C"/>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400" w:type="dxa"/>
            <w:vAlign w:val="bottom"/>
            <w:vMerge w:val="continue"/>
            <w:shd w:val="clear" w:color="auto" w:fill="00249C"/>
          </w:tcPr>
          <w:p>
            <w:pPr>
              <w:spacing w:after="0"/>
              <w:rPr>
                <w:sz w:val="19"/>
                <w:szCs w:val="19"/>
                <w:color w:val="auto"/>
              </w:rPr>
            </w:pPr>
          </w:p>
        </w:tc>
        <w:tc>
          <w:tcPr>
            <w:tcW w:w="2520" w:type="dxa"/>
            <w:vAlign w:val="bottom"/>
            <w:shd w:val="clear" w:color="auto" w:fill="00249C"/>
          </w:tcPr>
          <w:p>
            <w:pPr>
              <w:jc w:val="right"/>
              <w:ind w:right="1059"/>
              <w:spacing w:after="0"/>
              <w:rPr>
                <w:sz w:val="20"/>
                <w:szCs w:val="20"/>
                <w:color w:val="auto"/>
              </w:rPr>
            </w:pPr>
            <w:r>
              <w:rPr>
                <w:rFonts w:ascii="Arial" w:cs="Arial" w:eastAsia="Arial" w:hAnsi="Arial"/>
                <w:sz w:val="16"/>
                <w:szCs w:val="16"/>
                <w:b w:val="1"/>
                <w:bCs w:val="1"/>
                <w:color w:val="FFFFFF"/>
              </w:rPr>
              <w:t>(#)</w:t>
            </w:r>
          </w:p>
        </w:tc>
        <w:tc>
          <w:tcPr>
            <w:tcW w:w="220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rPr>
              <w:t>($)</w:t>
            </w:r>
          </w:p>
        </w:tc>
        <w:tc>
          <w:tcPr>
            <w:tcW w:w="2700" w:type="dxa"/>
            <w:vAlign w:val="bottom"/>
            <w:shd w:val="clear" w:color="auto" w:fill="00249C"/>
          </w:tcPr>
          <w:p>
            <w:pPr>
              <w:jc w:val="right"/>
              <w:ind w:right="1119"/>
              <w:spacing w:after="0"/>
              <w:rPr>
                <w:sz w:val="20"/>
                <w:szCs w:val="20"/>
                <w:color w:val="auto"/>
              </w:rPr>
            </w:pPr>
            <w:r>
              <w:rPr>
                <w:rFonts w:ascii="Arial" w:cs="Arial" w:eastAsia="Arial" w:hAnsi="Arial"/>
                <w:sz w:val="16"/>
                <w:szCs w:val="16"/>
                <w:b w:val="1"/>
                <w:bCs w:val="1"/>
                <w:color w:val="FFFFFF"/>
              </w:rPr>
              <w:t>(#)</w:t>
            </w:r>
          </w:p>
        </w:tc>
        <w:tc>
          <w:tcPr>
            <w:tcW w:w="420" w:type="dxa"/>
            <w:vAlign w:val="bottom"/>
            <w:shd w:val="clear" w:color="auto" w:fill="00249C"/>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400" w:type="dxa"/>
            <w:vAlign w:val="bottom"/>
            <w:shd w:val="clear" w:color="auto" w:fill="D1DDE6"/>
          </w:tcPr>
          <w:p>
            <w:pPr>
              <w:ind w:left="20"/>
              <w:spacing w:after="0" w:line="178" w:lineRule="exact"/>
              <w:rPr>
                <w:sz w:val="20"/>
                <w:szCs w:val="20"/>
                <w:color w:val="auto"/>
              </w:rPr>
            </w:pPr>
            <w:r>
              <w:rPr>
                <w:rFonts w:ascii="Arial" w:cs="Arial" w:eastAsia="Arial" w:hAnsi="Arial"/>
                <w:sz w:val="16"/>
                <w:szCs w:val="16"/>
                <w:color w:val="auto"/>
              </w:rPr>
              <w:t>Equity compensation plans approved by</w:t>
            </w:r>
          </w:p>
        </w:tc>
        <w:tc>
          <w:tcPr>
            <w:tcW w:w="2520" w:type="dxa"/>
            <w:vAlign w:val="bottom"/>
            <w:shd w:val="clear" w:color="auto" w:fill="D1DDE6"/>
          </w:tcPr>
          <w:p>
            <w:pPr>
              <w:spacing w:after="0"/>
              <w:rPr>
                <w:sz w:val="15"/>
                <w:szCs w:val="15"/>
                <w:color w:val="auto"/>
              </w:rPr>
            </w:pPr>
          </w:p>
        </w:tc>
        <w:tc>
          <w:tcPr>
            <w:tcW w:w="2200" w:type="dxa"/>
            <w:vAlign w:val="bottom"/>
            <w:shd w:val="clear" w:color="auto" w:fill="D1DDE6"/>
          </w:tcPr>
          <w:p>
            <w:pPr>
              <w:spacing w:after="0"/>
              <w:rPr>
                <w:sz w:val="15"/>
                <w:szCs w:val="15"/>
                <w:color w:val="auto"/>
              </w:rPr>
            </w:pPr>
          </w:p>
        </w:tc>
        <w:tc>
          <w:tcPr>
            <w:tcW w:w="2700" w:type="dxa"/>
            <w:vAlign w:val="bottom"/>
            <w:shd w:val="clear" w:color="auto" w:fill="D1DDE6"/>
          </w:tcPr>
          <w:p>
            <w:pPr>
              <w:spacing w:after="0"/>
              <w:rPr>
                <w:sz w:val="15"/>
                <w:szCs w:val="15"/>
                <w:color w:val="auto"/>
              </w:rPr>
            </w:pPr>
          </w:p>
        </w:tc>
        <w:tc>
          <w:tcPr>
            <w:tcW w:w="420" w:type="dxa"/>
            <w:vAlign w:val="bottom"/>
            <w:shd w:val="clear" w:color="auto" w:fill="D1DDE6"/>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400" w:type="dxa"/>
            <w:vAlign w:val="bottom"/>
            <w:shd w:val="clear" w:color="auto" w:fill="D1DDE6"/>
          </w:tcPr>
          <w:p>
            <w:pPr>
              <w:ind w:left="20"/>
              <w:spacing w:after="0"/>
              <w:rPr>
                <w:sz w:val="20"/>
                <w:szCs w:val="20"/>
                <w:color w:val="auto"/>
              </w:rPr>
            </w:pPr>
            <w:r>
              <w:rPr>
                <w:rFonts w:ascii="Arial" w:cs="Arial" w:eastAsia="Arial" w:hAnsi="Arial"/>
                <w:sz w:val="16"/>
                <w:szCs w:val="16"/>
                <w:color w:val="auto"/>
              </w:rPr>
              <w:t>shareholders</w:t>
            </w:r>
          </w:p>
        </w:tc>
        <w:tc>
          <w:tcPr>
            <w:tcW w:w="2520" w:type="dxa"/>
            <w:vAlign w:val="bottom"/>
            <w:shd w:val="clear" w:color="auto" w:fill="D1DDE6"/>
          </w:tcPr>
          <w:p>
            <w:pPr>
              <w:jc w:val="right"/>
              <w:ind w:right="799"/>
              <w:spacing w:after="0"/>
              <w:rPr>
                <w:sz w:val="20"/>
                <w:szCs w:val="20"/>
                <w:color w:val="auto"/>
              </w:rPr>
            </w:pPr>
            <w:r>
              <w:rPr>
                <w:rFonts w:ascii="Arial" w:cs="Arial" w:eastAsia="Arial" w:hAnsi="Arial"/>
                <w:sz w:val="16"/>
                <w:szCs w:val="16"/>
                <w:color w:val="auto"/>
              </w:rPr>
              <w:t>1,255,949</w:t>
            </w:r>
          </w:p>
        </w:tc>
        <w:tc>
          <w:tcPr>
            <w:tcW w:w="2200" w:type="dxa"/>
            <w:vAlign w:val="bottom"/>
            <w:shd w:val="clear" w:color="auto" w:fill="D1DDE6"/>
          </w:tcPr>
          <w:p>
            <w:pPr>
              <w:jc w:val="center"/>
              <w:spacing w:after="0"/>
              <w:rPr>
                <w:sz w:val="20"/>
                <w:szCs w:val="20"/>
                <w:color w:val="auto"/>
              </w:rPr>
            </w:pPr>
            <w:r>
              <w:rPr>
                <w:rFonts w:ascii="Arial" w:cs="Arial" w:eastAsia="Arial" w:hAnsi="Arial"/>
                <w:sz w:val="16"/>
                <w:szCs w:val="16"/>
                <w:color w:val="auto"/>
              </w:rPr>
              <w:t>N/A</w:t>
            </w:r>
          </w:p>
        </w:tc>
        <w:tc>
          <w:tcPr>
            <w:tcW w:w="2700" w:type="dxa"/>
            <w:vAlign w:val="bottom"/>
            <w:shd w:val="clear" w:color="auto" w:fill="D1DDE6"/>
          </w:tcPr>
          <w:p>
            <w:pPr>
              <w:jc w:val="right"/>
              <w:ind w:right="859"/>
              <w:spacing w:after="0"/>
              <w:rPr>
                <w:sz w:val="20"/>
                <w:szCs w:val="20"/>
                <w:color w:val="auto"/>
              </w:rPr>
            </w:pPr>
            <w:r>
              <w:rPr>
                <w:rFonts w:ascii="Arial" w:cs="Arial" w:eastAsia="Arial" w:hAnsi="Arial"/>
                <w:sz w:val="16"/>
                <w:szCs w:val="16"/>
                <w:color w:val="auto"/>
              </w:rPr>
              <w:t>5,246,915</w:t>
            </w:r>
          </w:p>
        </w:tc>
        <w:tc>
          <w:tcPr>
            <w:tcW w:w="420" w:type="dxa"/>
            <w:vAlign w:val="bottom"/>
            <w:shd w:val="clear" w:color="auto" w:fill="D1DDE6"/>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400" w:type="dxa"/>
            <w:vAlign w:val="bottom"/>
          </w:tcPr>
          <w:p>
            <w:pPr>
              <w:ind w:left="20"/>
              <w:spacing w:after="0" w:line="178" w:lineRule="exact"/>
              <w:rPr>
                <w:sz w:val="20"/>
                <w:szCs w:val="20"/>
                <w:color w:val="auto"/>
              </w:rPr>
            </w:pPr>
            <w:r>
              <w:rPr>
                <w:rFonts w:ascii="Arial" w:cs="Arial" w:eastAsia="Arial" w:hAnsi="Arial"/>
                <w:sz w:val="16"/>
                <w:szCs w:val="16"/>
                <w:color w:val="auto"/>
              </w:rPr>
              <w:t>Equity compensation plans not approved by</w:t>
            </w:r>
          </w:p>
        </w:tc>
        <w:tc>
          <w:tcPr>
            <w:tcW w:w="25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400" w:type="dxa"/>
            <w:vAlign w:val="bottom"/>
            <w:tcBorders>
              <w:bottom w:val="single" w:sz="8" w:color="00249C"/>
            </w:tcBorders>
          </w:tcPr>
          <w:p>
            <w:pPr>
              <w:ind w:left="20"/>
              <w:spacing w:after="0"/>
              <w:rPr>
                <w:sz w:val="20"/>
                <w:szCs w:val="20"/>
                <w:color w:val="auto"/>
              </w:rPr>
            </w:pPr>
            <w:r>
              <w:rPr>
                <w:rFonts w:ascii="Arial" w:cs="Arial" w:eastAsia="Arial" w:hAnsi="Arial"/>
                <w:sz w:val="16"/>
                <w:szCs w:val="16"/>
                <w:color w:val="auto"/>
              </w:rPr>
              <w:t>shareholders</w:t>
            </w:r>
          </w:p>
        </w:tc>
        <w:tc>
          <w:tcPr>
            <w:tcW w:w="2520" w:type="dxa"/>
            <w:vAlign w:val="bottom"/>
            <w:tcBorders>
              <w:bottom w:val="single" w:sz="8" w:color="00249C"/>
            </w:tcBorders>
          </w:tcPr>
          <w:p>
            <w:pPr>
              <w:jc w:val="center"/>
              <w:spacing w:after="0"/>
              <w:rPr>
                <w:sz w:val="20"/>
                <w:szCs w:val="20"/>
                <w:color w:val="auto"/>
              </w:rPr>
            </w:pPr>
            <w:r>
              <w:rPr>
                <w:rFonts w:ascii="Arial" w:cs="Arial" w:eastAsia="Arial" w:hAnsi="Arial"/>
                <w:sz w:val="16"/>
                <w:szCs w:val="16"/>
                <w:color w:val="auto"/>
                <w:w w:val="97"/>
              </w:rPr>
              <w:t>N/A</w:t>
            </w:r>
          </w:p>
        </w:tc>
        <w:tc>
          <w:tcPr>
            <w:tcW w:w="2200" w:type="dxa"/>
            <w:vAlign w:val="bottom"/>
            <w:tcBorders>
              <w:bottom w:val="single" w:sz="8" w:color="00249C"/>
            </w:tcBorders>
          </w:tcPr>
          <w:p>
            <w:pPr>
              <w:jc w:val="center"/>
              <w:spacing w:after="0"/>
              <w:rPr>
                <w:sz w:val="20"/>
                <w:szCs w:val="20"/>
                <w:color w:val="auto"/>
              </w:rPr>
            </w:pPr>
            <w:r>
              <w:rPr>
                <w:rFonts w:ascii="Arial" w:cs="Arial" w:eastAsia="Arial" w:hAnsi="Arial"/>
                <w:sz w:val="16"/>
                <w:szCs w:val="16"/>
                <w:color w:val="auto"/>
                <w:w w:val="97"/>
              </w:rPr>
              <w:t>N/A</w:t>
            </w:r>
          </w:p>
        </w:tc>
        <w:tc>
          <w:tcPr>
            <w:tcW w:w="2700" w:type="dxa"/>
            <w:vAlign w:val="bottom"/>
            <w:tcBorders>
              <w:bottom w:val="single" w:sz="8" w:color="00249C"/>
            </w:tcBorders>
          </w:tcPr>
          <w:p>
            <w:pPr>
              <w:jc w:val="center"/>
              <w:spacing w:after="0"/>
              <w:rPr>
                <w:sz w:val="20"/>
                <w:szCs w:val="20"/>
                <w:color w:val="auto"/>
              </w:rPr>
            </w:pPr>
            <w:r>
              <w:rPr>
                <w:rFonts w:ascii="Arial" w:cs="Arial" w:eastAsia="Arial" w:hAnsi="Arial"/>
                <w:sz w:val="16"/>
                <w:szCs w:val="16"/>
                <w:color w:val="auto"/>
                <w:w w:val="97"/>
              </w:rPr>
              <w:t>N/A</w:t>
            </w:r>
          </w:p>
        </w:tc>
        <w:tc>
          <w:tcPr>
            <w:tcW w:w="420" w:type="dxa"/>
            <w:vAlign w:val="bottom"/>
            <w:tcBorders>
              <w:bottom w:val="single" w:sz="8" w:color="00249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00" w:type="dxa"/>
            <w:vAlign w:val="bottom"/>
            <w:tcBorders>
              <w:bottom w:val="single" w:sz="8" w:color="00249C"/>
            </w:tcBorders>
            <w:shd w:val="clear" w:color="auto" w:fill="D1DDE6"/>
          </w:tcPr>
          <w:p>
            <w:pPr>
              <w:ind w:left="20"/>
              <w:spacing w:after="0"/>
              <w:rPr>
                <w:sz w:val="20"/>
                <w:szCs w:val="20"/>
                <w:color w:val="auto"/>
              </w:rPr>
            </w:pPr>
            <w:r>
              <w:rPr>
                <w:rFonts w:ascii="Arial" w:cs="Arial" w:eastAsia="Arial" w:hAnsi="Arial"/>
                <w:sz w:val="16"/>
                <w:szCs w:val="16"/>
                <w:b w:val="1"/>
                <w:bCs w:val="1"/>
                <w:color w:val="auto"/>
              </w:rPr>
              <w:t>Total</w:t>
            </w:r>
          </w:p>
        </w:tc>
        <w:tc>
          <w:tcPr>
            <w:tcW w:w="2520" w:type="dxa"/>
            <w:vAlign w:val="bottom"/>
            <w:tcBorders>
              <w:bottom w:val="single" w:sz="8" w:color="00249C"/>
            </w:tcBorders>
            <w:shd w:val="clear" w:color="auto" w:fill="D1DDE6"/>
          </w:tcPr>
          <w:p>
            <w:pPr>
              <w:jc w:val="right"/>
              <w:ind w:right="799"/>
              <w:spacing w:after="0"/>
              <w:rPr>
                <w:sz w:val="20"/>
                <w:szCs w:val="20"/>
                <w:color w:val="auto"/>
              </w:rPr>
            </w:pPr>
            <w:r>
              <w:rPr>
                <w:rFonts w:ascii="Arial" w:cs="Arial" w:eastAsia="Arial" w:hAnsi="Arial"/>
                <w:sz w:val="16"/>
                <w:szCs w:val="16"/>
                <w:color w:val="auto"/>
              </w:rPr>
              <w:t>1,255,949</w:t>
            </w:r>
          </w:p>
        </w:tc>
        <w:tc>
          <w:tcPr>
            <w:tcW w:w="2200" w:type="dxa"/>
            <w:vAlign w:val="bottom"/>
            <w:tcBorders>
              <w:bottom w:val="single" w:sz="8" w:color="00249C"/>
            </w:tcBorders>
            <w:shd w:val="clear" w:color="auto" w:fill="D1DDE6"/>
          </w:tcPr>
          <w:p>
            <w:pPr>
              <w:jc w:val="center"/>
              <w:spacing w:after="0"/>
              <w:rPr>
                <w:sz w:val="20"/>
                <w:szCs w:val="20"/>
                <w:color w:val="auto"/>
              </w:rPr>
            </w:pPr>
            <w:r>
              <w:rPr>
                <w:rFonts w:ascii="Arial" w:cs="Arial" w:eastAsia="Arial" w:hAnsi="Arial"/>
                <w:sz w:val="16"/>
                <w:szCs w:val="16"/>
                <w:color w:val="auto"/>
                <w:w w:val="97"/>
              </w:rPr>
              <w:t>N/A</w:t>
            </w:r>
          </w:p>
        </w:tc>
        <w:tc>
          <w:tcPr>
            <w:tcW w:w="2700" w:type="dxa"/>
            <w:vAlign w:val="bottom"/>
            <w:tcBorders>
              <w:bottom w:val="single" w:sz="8" w:color="00249C"/>
            </w:tcBorders>
            <w:shd w:val="clear" w:color="auto" w:fill="D1DDE6"/>
          </w:tcPr>
          <w:p>
            <w:pPr>
              <w:jc w:val="right"/>
              <w:ind w:right="879"/>
              <w:spacing w:after="0"/>
              <w:rPr>
                <w:sz w:val="20"/>
                <w:szCs w:val="20"/>
                <w:color w:val="auto"/>
              </w:rPr>
            </w:pPr>
            <w:r>
              <w:rPr>
                <w:rFonts w:ascii="Arial" w:cs="Arial" w:eastAsia="Arial" w:hAnsi="Arial"/>
                <w:sz w:val="16"/>
                <w:szCs w:val="16"/>
                <w:color w:val="auto"/>
              </w:rPr>
              <w:t>5,246,915</w:t>
            </w:r>
          </w:p>
        </w:tc>
        <w:tc>
          <w:tcPr>
            <w:tcW w:w="420" w:type="dxa"/>
            <w:vAlign w:val="bottom"/>
            <w:tcBorders>
              <w:bottom w:val="single" w:sz="8" w:color="00249C"/>
            </w:tcBorders>
            <w:shd w:val="clear" w:color="auto" w:fill="D1DDE6"/>
          </w:tcPr>
          <w:p>
            <w:pPr>
              <w:jc w:val="right"/>
              <w:ind w:right="3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420" w:right="80" w:hanging="412"/>
        <w:spacing w:after="0" w:line="253" w:lineRule="auto"/>
        <w:tabs>
          <w:tab w:leader="none" w:pos="43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number includes 603,275 shares that were subject to outstanding stock awards granted under the 2011 Plan, 224,275 awards earned at year end but pending distribution subject to final performance adjustments, 137,897 shares subject to outstanding stock units credited under the 2011 Plan and 1993 Directors Plan, and additional performance shares of 290,502, which reflect the number of shares deliverable under payment of outstanding restricted performance stock rights, assuming maximum performance criteria have been achieved.</w:t>
      </w:r>
    </w:p>
    <w:p>
      <w:pPr>
        <w:spacing w:after="0" w:line="70" w:lineRule="exact"/>
        <w:rPr>
          <w:rFonts w:ascii="Arial" w:cs="Arial" w:eastAsia="Arial" w:hAnsi="Arial"/>
          <w:sz w:val="18"/>
          <w:szCs w:val="18"/>
          <w:color w:val="auto"/>
        </w:rPr>
      </w:pPr>
    </w:p>
    <w:p>
      <w:pPr>
        <w:ind w:left="440" w:hanging="432"/>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There were no options outstanding as of December 31, 2020.</w:t>
      </w:r>
    </w:p>
    <w:p>
      <w:pPr>
        <w:spacing w:after="0" w:line="103" w:lineRule="exact"/>
        <w:rPr>
          <w:rFonts w:ascii="Arial" w:cs="Arial" w:eastAsia="Arial" w:hAnsi="Arial"/>
          <w:sz w:val="18"/>
          <w:szCs w:val="18"/>
          <w:color w:val="auto"/>
        </w:rPr>
      </w:pPr>
    </w:p>
    <w:p>
      <w:pPr>
        <w:ind w:left="420" w:right="360" w:hanging="412"/>
        <w:spacing w:after="0" w:line="261" w:lineRule="auto"/>
        <w:tabs>
          <w:tab w:leader="none" w:pos="437" w:val="left"/>
        </w:tabs>
        <w:numPr>
          <w:ilvl w:val="0"/>
          <w:numId w:val="43"/>
        </w:numPr>
        <w:rPr>
          <w:rFonts w:ascii="Arial" w:cs="Arial" w:eastAsia="Arial" w:hAnsi="Arial"/>
          <w:sz w:val="18"/>
          <w:szCs w:val="18"/>
          <w:color w:val="auto"/>
        </w:rPr>
      </w:pPr>
      <w:r>
        <w:rPr>
          <w:rFonts w:ascii="Arial" w:cs="Arial" w:eastAsia="Arial" w:hAnsi="Arial"/>
          <w:sz w:val="18"/>
          <w:szCs w:val="18"/>
          <w:color w:val="auto"/>
        </w:rPr>
        <w:t>Of the aggregate number of shares that remained available for future issuance, 5,246,915 were available under the 2011 Plan as of December 31, 2020. No new awards may be granted under the 1993 Directors Plan.</w:t>
      </w:r>
    </w:p>
    <w:p>
      <w:pPr>
        <w:spacing w:after="0" w:line="76" w:lineRule="exact"/>
        <w:rPr>
          <w:rFonts w:ascii="Arial" w:cs="Arial" w:eastAsia="Arial" w:hAnsi="Arial"/>
          <w:sz w:val="18"/>
          <w:szCs w:val="18"/>
          <w:color w:val="auto"/>
        </w:rPr>
      </w:pPr>
    </w:p>
    <w:p>
      <w:pPr>
        <w:ind w:left="420" w:right="200" w:hanging="412"/>
        <w:spacing w:after="0" w:line="261" w:lineRule="auto"/>
        <w:tabs>
          <w:tab w:leader="none" w:pos="437" w:val="left"/>
        </w:tabs>
        <w:numPr>
          <w:ilvl w:val="0"/>
          <w:numId w:val="43"/>
        </w:numPr>
        <w:rPr>
          <w:rFonts w:ascii="Arial" w:cs="Arial" w:eastAsia="Arial" w:hAnsi="Arial"/>
          <w:sz w:val="18"/>
          <w:szCs w:val="18"/>
          <w:color w:val="auto"/>
        </w:rPr>
      </w:pPr>
      <w:r>
        <w:rPr>
          <w:rFonts w:ascii="Arial" w:cs="Arial" w:eastAsia="Arial" w:hAnsi="Arial"/>
          <w:sz w:val="18"/>
          <w:szCs w:val="18"/>
          <w:color w:val="auto"/>
        </w:rPr>
        <w:t>After giving effect to our February 2021 awards, the number of shares of common stock remaining available for future issuance would be 4,746,454 (assuming maximum payout of such awards).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220"/>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37</w:t>
      </w:r>
    </w:p>
    <w:p>
      <w:pPr>
        <w:sectPr>
          <w:pgSz w:w="11900" w:h="16838" w:orient="portrait"/>
          <w:cols w:equalWidth="0" w:num="1">
            <w:col w:w="11240"/>
          </w:cols>
          <w:pgMar w:left="320" w:top="607" w:right="339" w:bottom="1440" w:gutter="0" w:footer="0" w:header="0"/>
        </w:sectPr>
      </w:pPr>
    </w:p>
    <w:bookmarkStart w:id="43" w:name="page44"/>
    <w:bookmarkEnd w:id="43"/>
    <w:p>
      <w:pPr>
        <w:ind w:left="20"/>
        <w:spacing w:after="0"/>
        <w:rPr>
          <w:sz w:val="20"/>
          <w:szCs w:val="20"/>
          <w:color w:val="auto"/>
        </w:rPr>
      </w:pPr>
      <w:r>
        <w:rPr>
          <w:rFonts w:ascii="Arial" w:cs="Arial" w:eastAsia="Arial" w:hAnsi="Arial"/>
          <w:sz w:val="22"/>
          <w:szCs w:val="22"/>
          <w:b w:val="1"/>
          <w:bCs w:val="1"/>
          <w:color w:val="FFFFFF"/>
        </w:rPr>
        <w:t>PROPOSAL TWO: ADVISORY VOTE ON 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Consistent with Section 14A of the Exchange Act, we are providing our shareholders with the opportunity to cast a non-binding, advisory vote on the compensation of our NEOs. This advisory vote, commonly known as "say-on-pay," gives our shareholders the opportunity to express their view on our 2020 executive compensation programs and policies for our NEOs. The vote does not address any specific item of compensation and is not binding on the Board; however, as an expression of our shareholders' views, the Compensation Committee seriously considers the vote when making future executive compensation decisions. The Board has adopted a policy of providing for annual advisory votes on the compensation of our NEOs.</w:t>
      </w:r>
    </w:p>
    <w:p>
      <w:pPr>
        <w:spacing w:after="0" w:line="86"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We believe our compensation programs reflect responsible, measured practices that effectively incentivize our executives to dedicate themselves fully to value creation for our shareholders, customers and employees. Our pay practices are aligned with our shareholders' interests and with leading industry practice and are governed by a set of strong policies. Examples include:</w:t>
      </w:r>
    </w:p>
    <w:p>
      <w:pPr>
        <w:spacing w:after="0" w:line="107" w:lineRule="exact"/>
        <w:rPr>
          <w:sz w:val="20"/>
          <w:szCs w:val="20"/>
          <w:color w:val="auto"/>
        </w:rPr>
      </w:pPr>
    </w:p>
    <w:p>
      <w:pPr>
        <w:ind w:left="340" w:right="220" w:hanging="332"/>
        <w:spacing w:after="0" w:line="225" w:lineRule="auto"/>
        <w:tabs>
          <w:tab w:leader="none" w:pos="308" w:val="left"/>
        </w:tabs>
        <w:numPr>
          <w:ilvl w:val="0"/>
          <w:numId w:val="44"/>
        </w:numPr>
        <w:rPr>
          <w:rFonts w:ascii="Arial" w:cs="Arial" w:eastAsia="Arial" w:hAnsi="Arial"/>
          <w:sz w:val="22"/>
          <w:szCs w:val="22"/>
          <w:color w:val="00249C"/>
        </w:rPr>
      </w:pPr>
      <w:r>
        <w:rPr>
          <w:rFonts w:ascii="Arial" w:cs="Arial" w:eastAsia="Arial" w:hAnsi="Arial"/>
          <w:sz w:val="18"/>
          <w:szCs w:val="18"/>
          <w:color w:val="auto"/>
        </w:rPr>
        <w:t>Double-trigger provisions for change in control situations, and no excise tax gross-ups for payments upon termination after a change in control;</w:t>
      </w:r>
    </w:p>
    <w:p>
      <w:pPr>
        <w:spacing w:after="0" w:line="99" w:lineRule="exact"/>
        <w:rPr>
          <w:rFonts w:ascii="Arial" w:cs="Arial" w:eastAsia="Arial" w:hAnsi="Arial"/>
          <w:sz w:val="22"/>
          <w:szCs w:val="22"/>
          <w:color w:val="00249C"/>
        </w:rPr>
      </w:pPr>
    </w:p>
    <w:p>
      <w:pPr>
        <w:ind w:left="300" w:hanging="292"/>
        <w:spacing w:after="0"/>
        <w:tabs>
          <w:tab w:leader="none" w:pos="300" w:val="left"/>
        </w:tabs>
        <w:numPr>
          <w:ilvl w:val="0"/>
          <w:numId w:val="44"/>
        </w:numPr>
        <w:rPr>
          <w:rFonts w:ascii="Arial" w:cs="Arial" w:eastAsia="Arial" w:hAnsi="Arial"/>
          <w:sz w:val="22"/>
          <w:szCs w:val="22"/>
          <w:color w:val="00249C"/>
        </w:rPr>
      </w:pPr>
      <w:r>
        <w:rPr>
          <w:rFonts w:ascii="Arial" w:cs="Arial" w:eastAsia="Arial" w:hAnsi="Arial"/>
          <w:sz w:val="18"/>
          <w:szCs w:val="18"/>
          <w:color w:val="auto"/>
        </w:rPr>
        <w:t>A recoupment policy applicable to cash and equity incentive compensation payments;</w:t>
      </w:r>
    </w:p>
    <w:p>
      <w:pPr>
        <w:spacing w:after="0" w:line="134" w:lineRule="exact"/>
        <w:rPr>
          <w:rFonts w:ascii="Arial" w:cs="Arial" w:eastAsia="Arial" w:hAnsi="Arial"/>
          <w:sz w:val="22"/>
          <w:szCs w:val="22"/>
          <w:color w:val="00249C"/>
        </w:rPr>
      </w:pPr>
    </w:p>
    <w:p>
      <w:pPr>
        <w:ind w:left="340" w:right="260" w:hanging="332"/>
        <w:spacing w:after="0" w:line="225" w:lineRule="auto"/>
        <w:tabs>
          <w:tab w:leader="none" w:pos="308" w:val="left"/>
        </w:tabs>
        <w:numPr>
          <w:ilvl w:val="0"/>
          <w:numId w:val="44"/>
        </w:numPr>
        <w:rPr>
          <w:rFonts w:ascii="Arial" w:cs="Arial" w:eastAsia="Arial" w:hAnsi="Arial"/>
          <w:sz w:val="22"/>
          <w:szCs w:val="22"/>
          <w:color w:val="00249C"/>
        </w:rPr>
      </w:pPr>
      <w:r>
        <w:rPr>
          <w:rFonts w:ascii="Arial" w:cs="Arial" w:eastAsia="Arial" w:hAnsi="Arial"/>
          <w:sz w:val="18"/>
          <w:szCs w:val="18"/>
          <w:color w:val="auto"/>
        </w:rPr>
        <w:t>Stock ownership guidelines of 7x base salary for the CEO and 3x base salary for other NEOs, and stock holding requirements of three years from the vesting date for equity awards; and</w:t>
      </w:r>
    </w:p>
    <w:p>
      <w:pPr>
        <w:spacing w:after="0" w:line="86" w:lineRule="exact"/>
        <w:rPr>
          <w:rFonts w:ascii="Arial" w:cs="Arial" w:eastAsia="Arial" w:hAnsi="Arial"/>
          <w:sz w:val="22"/>
          <w:szCs w:val="22"/>
          <w:color w:val="00249C"/>
        </w:rPr>
      </w:pPr>
    </w:p>
    <w:p>
      <w:pPr>
        <w:ind w:left="300" w:hanging="292"/>
        <w:spacing w:after="0"/>
        <w:tabs>
          <w:tab w:leader="none" w:pos="300" w:val="left"/>
        </w:tabs>
        <w:numPr>
          <w:ilvl w:val="0"/>
          <w:numId w:val="44"/>
        </w:numPr>
        <w:rPr>
          <w:rFonts w:ascii="Arial" w:cs="Arial" w:eastAsia="Arial" w:hAnsi="Arial"/>
          <w:sz w:val="22"/>
          <w:szCs w:val="22"/>
          <w:color w:val="00249C"/>
        </w:rPr>
      </w:pPr>
      <w:r>
        <w:rPr>
          <w:rFonts w:ascii="Arial" w:cs="Arial" w:eastAsia="Arial" w:hAnsi="Arial"/>
          <w:sz w:val="18"/>
          <w:szCs w:val="18"/>
          <w:color w:val="auto"/>
        </w:rPr>
        <w:t>Prohibitions on hedging or pledging of Company stock.</w:t>
      </w:r>
    </w:p>
    <w:p>
      <w:pPr>
        <w:spacing w:after="0" w:line="9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For a more extensive list of our best practices, refer to page 40 of this Proxy Statement. In addition, our Compensation Discussion and Analysis (CD&amp;A) provides a detailed discussion of our performance-based approach to executive compensation. We encourage you to read the CD&amp;A, the rest of this Proxy Statement and our 2020 Form 10-K, which describes our business and 2020 results in more detail.</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Recommendation</w:t>
      </w:r>
    </w:p>
    <w:p>
      <w:pPr>
        <w:spacing w:after="0" w:line="10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compensation of our executives is aligned to performance, is sensitive to shareholder returns, appropriately motivates and retains our executives, and is a competitive advantage in attracting and retaining the high caliber talent necessary to drive our business forward and build sustainable value for our shareholders. Accordingly, the Board recommends that shareholders approve the following resolution:</w:t>
      </w:r>
    </w:p>
    <w:p>
      <w:pPr>
        <w:spacing w:after="0" w:line="80" w:lineRule="exact"/>
        <w:rPr>
          <w:sz w:val="20"/>
          <w:szCs w:val="20"/>
          <w:color w:val="auto"/>
        </w:rPr>
      </w:pPr>
    </w:p>
    <w:p>
      <w:pPr>
        <w:ind w:right="680"/>
        <w:spacing w:after="0" w:line="256" w:lineRule="auto"/>
        <w:rPr>
          <w:sz w:val="20"/>
          <w:szCs w:val="20"/>
          <w:color w:val="auto"/>
        </w:rPr>
      </w:pPr>
      <w:r>
        <w:rPr>
          <w:rFonts w:ascii="Arial" w:cs="Arial" w:eastAsia="Arial" w:hAnsi="Arial"/>
          <w:sz w:val="18"/>
          <w:szCs w:val="18"/>
          <w:color w:val="auto"/>
        </w:rPr>
        <w:t>"RESOLVED, that, as an advisory matter, the shareholders of Northrop Grumman Corporation approve the compensation paid to the Company's named executive officers as disclosed in this Proxy Statement pursuant to Item 402 of Regulation S-K, including the Compensation Discussion and Analysis, compensation tables and narrative discussion."</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Vote Required</w:t>
      </w:r>
    </w:p>
    <w:p>
      <w:pPr>
        <w:spacing w:after="0" w:line="10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Approval of this proposal requires that the votes cast "for" the proposal exceed the votes cast "against" the proposal. Abstentions and broker non-votes will have no effect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49465" cy="2057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05740"/>
                    </a:xfrm>
                    <a:prstGeom prst="rect">
                      <a:avLst/>
                    </a:prstGeom>
                    <a:noFill/>
                  </pic:spPr>
                </pic:pic>
              </a:graphicData>
            </a:graphic>
          </wp:anchor>
        </w:drawing>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00249C"/>
        </w:rPr>
        <w:t>THE BOARD OF DIRECTORS UNANIMOUSLY RECOMMENDS THAT YOU VOTE "FOR" PROPOSAL TWO.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1220"/>
          </w:cols>
          <w:pgMar w:left="320" w:top="499" w:right="359" w:bottom="1440" w:gutter="0" w:footer="0" w:header="0"/>
        </w:sectPr>
      </w:pPr>
    </w:p>
    <w:bookmarkStart w:id="44" w:name="page45"/>
    <w:bookmarkEnd w:id="44"/>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5314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CD&amp;A, we provide an overview of our executive compensation programs and the underlying philosophy used to develop the programs. We describe the material components of our executive compensation programs for our 2020 NEOs and explain how and why our Board's Compensation Committee determined certain specific compensation policies and decisions. We refer to certain non-GAAP financial measures, which are identified with asterisks. For more information, including definitions, reconciliations to the most directly comparable GAAP measure and why we believe these measures may be useful to investors, see "Appendix A - Use of Non-GAAP Financial Measures." The 2020 NEO compensation is in the Summary Compensation Table on page 58 and other compensation tables contained in this Proxy Statement.</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2020 NEOs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KATHY J. WARDEN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DAVID F. KEFFER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 A. CAYLOR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BLAKE E. LARSON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JANIS G. PAMILJANS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KENNETH L. BEDINGFIELD</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39</w:t>
      </w:r>
    </w:p>
    <w:p>
      <w:pPr>
        <w:sectPr>
          <w:pgSz w:w="11900" w:h="16838" w:orient="portrait"/>
          <w:cols w:equalWidth="0" w:num="1">
            <w:col w:w="11240"/>
          </w:cols>
          <w:pgMar w:left="320" w:top="607" w:right="339" w:bottom="1440" w:gutter="0" w:footer="0" w:header="0"/>
        </w:sectPr>
      </w:pPr>
    </w:p>
    <w:bookmarkStart w:id="45" w:name="page46"/>
    <w:bookmarkEnd w:id="45"/>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5314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 xml:space="preserve">COMPENSATION DISCUSSION AND ANALYSIS | </w:t>
      </w:r>
      <w:r>
        <w:rPr>
          <w:rFonts w:ascii="Arial" w:cs="Arial" w:eastAsia="Arial" w:hAnsi="Arial"/>
          <w:sz w:val="17"/>
          <w:szCs w:val="17"/>
          <w:b w:val="1"/>
          <w:bCs w:val="1"/>
          <w:color w:val="FFFFFF"/>
        </w:rPr>
        <w:t>EXECUTIVE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Summary of Our Executive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executive compensation philosophy is to provide our NEOs with attractive, flexible and market-based total compensation tied to annual and long-term performance and aligned with the interests of our shareholders. The key elements of our compensation programs for our NEOs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089140" cy="2228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089140" cy="222885"/>
                    </a:xfrm>
                    <a:prstGeom prst="rect">
                      <a:avLst/>
                    </a:prstGeom>
                    <a:noFill/>
                  </pic:spPr>
                </pic:pic>
              </a:graphicData>
            </a:graphic>
          </wp:anchor>
        </w:drawing>
      </w:r>
    </w:p>
    <w:p>
      <w:pPr>
        <w:spacing w:after="0" w:line="79"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2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Compensation Element</w:t>
            </w:r>
          </w:p>
        </w:tc>
        <w:tc>
          <w:tcPr>
            <w:tcW w:w="3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Purpose</w:t>
            </w:r>
          </w:p>
        </w:tc>
        <w:tc>
          <w:tcPr>
            <w:tcW w:w="53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9"/>
              </w:rPr>
              <w:t>Key Characteristics</w:t>
            </w:r>
          </w:p>
        </w:tc>
        <w:tc>
          <w:tcPr>
            <w:tcW w:w="0" w:type="dxa"/>
            <w:vAlign w:val="bottom"/>
          </w:tcPr>
          <w:p>
            <w:pPr>
              <w:spacing w:after="0"/>
              <w:rPr>
                <w:sz w:val="1"/>
                <w:szCs w:val="1"/>
                <w:color w:val="auto"/>
              </w:rPr>
            </w:pPr>
          </w:p>
        </w:tc>
      </w:tr>
      <w:tr>
        <w:trPr>
          <w:trHeight w:val="74"/>
        </w:trPr>
        <w:tc>
          <w:tcPr>
            <w:tcW w:w="2560" w:type="dxa"/>
            <w:vAlign w:val="bottom"/>
            <w:tcBorders>
              <w:top w:val="single" w:sz="8" w:color="auto"/>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040" w:type="dxa"/>
            <w:vAlign w:val="bottom"/>
            <w:tcBorders>
              <w:top w:val="single" w:sz="8" w:color="auto"/>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040" w:type="dxa"/>
            <w:vAlign w:val="bottom"/>
            <w:tcBorders>
              <w:top w:val="single" w:sz="8" w:color="auto"/>
              <w:bottom w:val="single" w:sz="8" w:color="auto"/>
            </w:tcBorders>
          </w:tcPr>
          <w:p>
            <w:pPr>
              <w:spacing w:after="0"/>
              <w:rPr>
                <w:sz w:val="6"/>
                <w:szCs w:val="6"/>
                <w:color w:val="auto"/>
              </w:rPr>
            </w:pPr>
          </w:p>
        </w:tc>
        <w:tc>
          <w:tcPr>
            <w:tcW w:w="1220" w:type="dxa"/>
            <w:vAlign w:val="bottom"/>
            <w:tcBorders>
              <w:top w:val="single" w:sz="8" w:color="auto"/>
              <w:bottom w:val="single" w:sz="8" w:color="auto"/>
            </w:tcBorders>
          </w:tcPr>
          <w:p>
            <w:pPr>
              <w:spacing w:after="0"/>
              <w:rPr>
                <w:sz w:val="6"/>
                <w:szCs w:val="6"/>
                <w:color w:val="auto"/>
              </w:rPr>
            </w:pPr>
          </w:p>
        </w:tc>
        <w:tc>
          <w:tcPr>
            <w:tcW w:w="206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rPr>
              <w:t>Base Salary</w:t>
            </w:r>
          </w:p>
        </w:tc>
        <w:tc>
          <w:tcPr>
            <w:tcW w:w="120" w:type="dxa"/>
            <w:vAlign w:val="bottom"/>
            <w:tcBorders>
              <w:right w:val="single" w:sz="8" w:color="auto"/>
            </w:tcBorders>
          </w:tcPr>
          <w:p>
            <w:pPr>
              <w:spacing w:after="0"/>
              <w:rPr>
                <w:sz w:val="14"/>
                <w:szCs w:val="14"/>
                <w:color w:val="auto"/>
              </w:rPr>
            </w:pPr>
          </w:p>
        </w:tc>
        <w:tc>
          <w:tcPr>
            <w:tcW w:w="3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Compensate fairly and competitively</w:t>
            </w:r>
          </w:p>
        </w:tc>
        <w:tc>
          <w:tcPr>
            <w:tcW w:w="140" w:type="dxa"/>
            <w:vAlign w:val="bottom"/>
            <w:tcBorders>
              <w:right w:val="single" w:sz="8" w:color="auto"/>
            </w:tcBorders>
          </w:tcPr>
          <w:p>
            <w:pPr>
              <w:spacing w:after="0"/>
              <w:rPr>
                <w:sz w:val="14"/>
                <w:szCs w:val="14"/>
                <w:color w:val="auto"/>
              </w:rPr>
            </w:pPr>
          </w:p>
        </w:tc>
        <w:tc>
          <w:tcPr>
            <w:tcW w:w="5320" w:type="dxa"/>
            <w:vAlign w:val="bottom"/>
            <w:tcBorders>
              <w:right w:val="single" w:sz="8" w:color="auto"/>
            </w:tcBorders>
            <w:gridSpan w:val="3"/>
          </w:tcPr>
          <w:p>
            <w:pPr>
              <w:jc w:val="center"/>
              <w:ind w:right="40"/>
              <w:spacing w:after="0" w:line="171" w:lineRule="exact"/>
              <w:rPr>
                <w:sz w:val="20"/>
                <w:szCs w:val="20"/>
                <w:color w:val="auto"/>
              </w:rPr>
            </w:pPr>
            <w:r>
              <w:rPr>
                <w:rFonts w:ascii="Arial" w:cs="Arial" w:eastAsia="Arial" w:hAnsi="Arial"/>
                <w:sz w:val="16"/>
                <w:szCs w:val="16"/>
                <w:color w:val="auto"/>
              </w:rPr>
              <w:t>Determined by level of responsibility, competitive market pay assessment</w:t>
            </w:r>
          </w:p>
        </w:tc>
        <w:tc>
          <w:tcPr>
            <w:tcW w:w="0" w:type="dxa"/>
            <w:vAlign w:val="bottom"/>
          </w:tcPr>
          <w:p>
            <w:pPr>
              <w:spacing w:after="0"/>
              <w:rPr>
                <w:sz w:val="1"/>
                <w:szCs w:val="1"/>
                <w:color w:val="auto"/>
              </w:rPr>
            </w:pPr>
          </w:p>
        </w:tc>
      </w:tr>
      <w:tr>
        <w:trPr>
          <w:trHeight w:val="114"/>
        </w:trPr>
        <w:tc>
          <w:tcPr>
            <w:tcW w:w="2560" w:type="dxa"/>
            <w:vAlign w:val="bottom"/>
            <w:tcBorders>
              <w:left w:val="single" w:sz="8" w:color="auto"/>
              <w:right w:val="single" w:sz="8" w:color="auto"/>
            </w:tcBorders>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3040" w:type="dxa"/>
            <w:vAlign w:val="bottom"/>
            <w:tcBorders>
              <w:right w:val="single" w:sz="8" w:color="auto"/>
            </w:tcBorders>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532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16"/>
                <w:szCs w:val="16"/>
                <w:color w:val="auto"/>
              </w:rPr>
              <w:t>and individual performance</w:t>
            </w:r>
          </w:p>
        </w:tc>
        <w:tc>
          <w:tcPr>
            <w:tcW w:w="0" w:type="dxa"/>
            <w:vAlign w:val="bottom"/>
          </w:tcPr>
          <w:p>
            <w:pPr>
              <w:spacing w:after="0"/>
              <w:rPr>
                <w:sz w:val="1"/>
                <w:szCs w:val="1"/>
                <w:color w:val="auto"/>
              </w:rPr>
            </w:pPr>
          </w:p>
        </w:tc>
      </w:tr>
      <w:tr>
        <w:trPr>
          <w:trHeight w:val="84"/>
        </w:trPr>
        <w:tc>
          <w:tcPr>
            <w:tcW w:w="2560" w:type="dxa"/>
            <w:vAlign w:val="bottom"/>
            <w:tcBorders>
              <w:left w:val="single" w:sz="8" w:color="auto"/>
              <w:bottom w:val="single" w:sz="8" w:color="auto"/>
              <w:right w:val="single" w:sz="8" w:color="auto"/>
            </w:tcBorders>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3040" w:type="dxa"/>
            <w:vAlign w:val="bottom"/>
            <w:tcBorders>
              <w:bottom w:val="single" w:sz="8" w:color="auto"/>
              <w:right w:val="single" w:sz="8" w:color="auto"/>
            </w:tcBorders>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5320" w:type="dxa"/>
            <w:vAlign w:val="bottom"/>
            <w:tcBorders>
              <w:bottom w:val="single" w:sz="8" w:color="auto"/>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560" w:type="dxa"/>
            <w:vAlign w:val="bottom"/>
            <w:tcBorders>
              <w:bottom w:val="single" w:sz="8" w:color="00249C"/>
            </w:tcBorders>
          </w:tcPr>
          <w:p>
            <w:pPr>
              <w:spacing w:after="0"/>
              <w:rPr>
                <w:sz w:val="6"/>
                <w:szCs w:val="6"/>
                <w:color w:val="auto"/>
              </w:rPr>
            </w:pPr>
          </w:p>
        </w:tc>
        <w:tc>
          <w:tcPr>
            <w:tcW w:w="120" w:type="dxa"/>
            <w:vAlign w:val="bottom"/>
          </w:tcPr>
          <w:p>
            <w:pPr>
              <w:spacing w:after="0"/>
              <w:rPr>
                <w:sz w:val="6"/>
                <w:szCs w:val="6"/>
                <w:color w:val="auto"/>
              </w:rPr>
            </w:pPr>
          </w:p>
        </w:tc>
        <w:tc>
          <w:tcPr>
            <w:tcW w:w="3040" w:type="dxa"/>
            <w:vAlign w:val="bottom"/>
            <w:tcBorders>
              <w:bottom w:val="single" w:sz="8" w:color="00249C"/>
            </w:tcBorders>
          </w:tcPr>
          <w:p>
            <w:pPr>
              <w:spacing w:after="0"/>
              <w:rPr>
                <w:sz w:val="6"/>
                <w:szCs w:val="6"/>
                <w:color w:val="auto"/>
              </w:rPr>
            </w:pPr>
          </w:p>
        </w:tc>
        <w:tc>
          <w:tcPr>
            <w:tcW w:w="140" w:type="dxa"/>
            <w:vAlign w:val="bottom"/>
          </w:tcPr>
          <w:p>
            <w:pPr>
              <w:spacing w:after="0"/>
              <w:rPr>
                <w:sz w:val="6"/>
                <w:szCs w:val="6"/>
                <w:color w:val="auto"/>
              </w:rPr>
            </w:pPr>
          </w:p>
        </w:tc>
        <w:tc>
          <w:tcPr>
            <w:tcW w:w="2040" w:type="dxa"/>
            <w:vAlign w:val="bottom"/>
            <w:tcBorders>
              <w:bottom w:val="single" w:sz="8" w:color="00249C"/>
            </w:tcBorders>
          </w:tcPr>
          <w:p>
            <w:pPr>
              <w:spacing w:after="0"/>
              <w:rPr>
                <w:sz w:val="6"/>
                <w:szCs w:val="6"/>
                <w:color w:val="auto"/>
              </w:rPr>
            </w:pPr>
          </w:p>
        </w:tc>
        <w:tc>
          <w:tcPr>
            <w:tcW w:w="1220" w:type="dxa"/>
            <w:vAlign w:val="bottom"/>
            <w:tcBorders>
              <w:bottom w:val="single" w:sz="8" w:color="00249C"/>
            </w:tcBorders>
          </w:tcPr>
          <w:p>
            <w:pPr>
              <w:spacing w:after="0"/>
              <w:rPr>
                <w:sz w:val="6"/>
                <w:szCs w:val="6"/>
                <w:color w:val="auto"/>
              </w:rPr>
            </w:pPr>
          </w:p>
        </w:tc>
        <w:tc>
          <w:tcPr>
            <w:tcW w:w="2060" w:type="dxa"/>
            <w:vAlign w:val="bottom"/>
            <w:tcBorders>
              <w:bottom w:val="single" w:sz="8" w:color="00249C"/>
            </w:tcBorders>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2560" w:type="dxa"/>
            <w:vAlign w:val="bottom"/>
            <w:tcBorders>
              <w:left w:val="single" w:sz="8" w:color="00249C"/>
              <w:right w:val="single" w:sz="8" w:color="00249C"/>
            </w:tcBorders>
          </w:tcPr>
          <w:p>
            <w:pPr>
              <w:spacing w:after="0"/>
              <w:rPr>
                <w:sz w:val="14"/>
                <w:szCs w:val="14"/>
                <w:color w:val="auto"/>
              </w:rPr>
            </w:pPr>
          </w:p>
        </w:tc>
        <w:tc>
          <w:tcPr>
            <w:tcW w:w="120" w:type="dxa"/>
            <w:vAlign w:val="bottom"/>
            <w:tcBorders>
              <w:right w:val="single" w:sz="8" w:color="00249C"/>
            </w:tcBorders>
          </w:tcPr>
          <w:p>
            <w:pPr>
              <w:spacing w:after="0"/>
              <w:rPr>
                <w:sz w:val="14"/>
                <w:szCs w:val="14"/>
                <w:color w:val="auto"/>
              </w:rPr>
            </w:pPr>
          </w:p>
        </w:tc>
        <w:tc>
          <w:tcPr>
            <w:tcW w:w="3040" w:type="dxa"/>
            <w:vAlign w:val="bottom"/>
            <w:tcBorders>
              <w:right w:val="single" w:sz="8" w:color="00249C"/>
            </w:tcBorders>
          </w:tcPr>
          <w:p>
            <w:pPr>
              <w:spacing w:after="0"/>
              <w:rPr>
                <w:sz w:val="14"/>
                <w:szCs w:val="14"/>
                <w:color w:val="auto"/>
              </w:rPr>
            </w:pPr>
          </w:p>
        </w:tc>
        <w:tc>
          <w:tcPr>
            <w:tcW w:w="140" w:type="dxa"/>
            <w:vAlign w:val="bottom"/>
            <w:tcBorders>
              <w:right w:val="single" w:sz="8" w:color="00249C"/>
            </w:tcBorders>
          </w:tcPr>
          <w:p>
            <w:pPr>
              <w:spacing w:after="0"/>
              <w:rPr>
                <w:sz w:val="14"/>
                <w:szCs w:val="14"/>
                <w:color w:val="auto"/>
              </w:rPr>
            </w:pPr>
          </w:p>
        </w:tc>
        <w:tc>
          <w:tcPr>
            <w:tcW w:w="2040" w:type="dxa"/>
            <w:vAlign w:val="bottom"/>
          </w:tcPr>
          <w:p>
            <w:pPr>
              <w:spacing w:after="0"/>
              <w:rPr>
                <w:sz w:val="14"/>
                <w:szCs w:val="14"/>
                <w:color w:val="auto"/>
              </w:rPr>
            </w:pPr>
          </w:p>
        </w:tc>
        <w:tc>
          <w:tcPr>
            <w:tcW w:w="122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6"/>
                <w:szCs w:val="16"/>
                <w:color w:val="auto"/>
              </w:rPr>
              <w:t>Financial Metrics</w:t>
            </w:r>
          </w:p>
        </w:tc>
        <w:tc>
          <w:tcPr>
            <w:tcW w:w="2060" w:type="dxa"/>
            <w:vAlign w:val="bottom"/>
            <w:tcBorders>
              <w:right w:val="single" w:sz="8" w:color="00249C"/>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560" w:type="dxa"/>
            <w:vAlign w:val="bottom"/>
            <w:tcBorders>
              <w:left w:val="single" w:sz="8" w:color="00249C"/>
              <w:right w:val="single" w:sz="8" w:color="00249C"/>
            </w:tcBorders>
          </w:tcPr>
          <w:p>
            <w:pPr>
              <w:spacing w:after="0"/>
              <w:rPr>
                <w:sz w:val="12"/>
                <w:szCs w:val="12"/>
                <w:color w:val="auto"/>
              </w:rPr>
            </w:pPr>
          </w:p>
        </w:tc>
        <w:tc>
          <w:tcPr>
            <w:tcW w:w="120" w:type="dxa"/>
            <w:vAlign w:val="bottom"/>
            <w:tcBorders>
              <w:right w:val="single" w:sz="8" w:color="00249C"/>
            </w:tcBorders>
          </w:tcPr>
          <w:p>
            <w:pPr>
              <w:spacing w:after="0"/>
              <w:rPr>
                <w:sz w:val="12"/>
                <w:szCs w:val="12"/>
                <w:color w:val="auto"/>
              </w:rPr>
            </w:pPr>
          </w:p>
        </w:tc>
        <w:tc>
          <w:tcPr>
            <w:tcW w:w="3040" w:type="dxa"/>
            <w:vAlign w:val="bottom"/>
            <w:tcBorders>
              <w:right w:val="single" w:sz="8" w:color="00249C"/>
            </w:tcBorders>
          </w:tcPr>
          <w:p>
            <w:pPr>
              <w:spacing w:after="0"/>
              <w:rPr>
                <w:sz w:val="12"/>
                <w:szCs w:val="12"/>
                <w:color w:val="auto"/>
              </w:rPr>
            </w:pPr>
          </w:p>
        </w:tc>
        <w:tc>
          <w:tcPr>
            <w:tcW w:w="140" w:type="dxa"/>
            <w:vAlign w:val="bottom"/>
            <w:tcBorders>
              <w:right w:val="single" w:sz="8" w:color="00249C"/>
            </w:tcBorders>
          </w:tcPr>
          <w:p>
            <w:pPr>
              <w:spacing w:after="0"/>
              <w:rPr>
                <w:sz w:val="12"/>
                <w:szCs w:val="12"/>
                <w:color w:val="auto"/>
              </w:rPr>
            </w:pPr>
          </w:p>
        </w:tc>
        <w:tc>
          <w:tcPr>
            <w:tcW w:w="2040" w:type="dxa"/>
            <w:vAlign w:val="bottom"/>
          </w:tcPr>
          <w:p>
            <w:pPr>
              <w:ind w:left="680"/>
              <w:spacing w:after="0" w:line="144" w:lineRule="exact"/>
              <w:rPr>
                <w:sz w:val="20"/>
                <w:szCs w:val="20"/>
                <w:color w:val="auto"/>
              </w:rPr>
            </w:pPr>
            <w:r>
              <w:rPr>
                <w:rFonts w:ascii="Arial" w:cs="Arial" w:eastAsia="Arial" w:hAnsi="Arial"/>
                <w:sz w:val="16"/>
                <w:szCs w:val="16"/>
                <w:color w:val="auto"/>
                <w:w w:val="95"/>
              </w:rPr>
              <w:t>35% Adjusted Cash</w:t>
            </w:r>
          </w:p>
        </w:tc>
        <w:tc>
          <w:tcPr>
            <w:tcW w:w="3280" w:type="dxa"/>
            <w:vAlign w:val="bottom"/>
            <w:tcBorders>
              <w:right w:val="single" w:sz="8" w:color="00249C"/>
            </w:tcBorders>
            <w:gridSpan w:val="2"/>
          </w:tcPr>
          <w:p>
            <w:pPr>
              <w:ind w:left="100"/>
              <w:spacing w:after="0" w:line="144" w:lineRule="exact"/>
              <w:rPr>
                <w:sz w:val="20"/>
                <w:szCs w:val="20"/>
                <w:color w:val="auto"/>
              </w:rPr>
            </w:pPr>
            <w:r>
              <w:rPr>
                <w:rFonts w:ascii="Arial" w:cs="Arial" w:eastAsia="Arial" w:hAnsi="Arial"/>
                <w:sz w:val="16"/>
                <w:szCs w:val="16"/>
                <w:color w:val="auto"/>
              </w:rPr>
              <w:t>Flow from Operations Conversion*</w:t>
            </w:r>
          </w:p>
        </w:tc>
        <w:tc>
          <w:tcPr>
            <w:tcW w:w="0" w:type="dxa"/>
            <w:vAlign w:val="bottom"/>
          </w:tcPr>
          <w:p>
            <w:pPr>
              <w:spacing w:after="0"/>
              <w:rPr>
                <w:sz w:val="1"/>
                <w:szCs w:val="1"/>
                <w:color w:val="auto"/>
              </w:rPr>
            </w:pPr>
          </w:p>
        </w:tc>
      </w:tr>
      <w:tr>
        <w:trPr>
          <w:trHeight w:val="162"/>
        </w:trPr>
        <w:tc>
          <w:tcPr>
            <w:tcW w:w="2560" w:type="dxa"/>
            <w:vAlign w:val="bottom"/>
            <w:tcBorders>
              <w:left w:val="single" w:sz="8" w:color="00249C"/>
              <w:right w:val="single" w:sz="8" w:color="00249C"/>
            </w:tcBorders>
          </w:tcPr>
          <w:p>
            <w:pPr>
              <w:spacing w:after="0"/>
              <w:rPr>
                <w:sz w:val="14"/>
                <w:szCs w:val="14"/>
                <w:color w:val="auto"/>
              </w:rPr>
            </w:pPr>
          </w:p>
        </w:tc>
        <w:tc>
          <w:tcPr>
            <w:tcW w:w="120" w:type="dxa"/>
            <w:vAlign w:val="bottom"/>
            <w:tcBorders>
              <w:right w:val="single" w:sz="8" w:color="00249C"/>
            </w:tcBorders>
          </w:tcPr>
          <w:p>
            <w:pPr>
              <w:spacing w:after="0"/>
              <w:rPr>
                <w:sz w:val="14"/>
                <w:szCs w:val="14"/>
                <w:color w:val="auto"/>
              </w:rPr>
            </w:pPr>
          </w:p>
        </w:tc>
        <w:tc>
          <w:tcPr>
            <w:tcW w:w="3040" w:type="dxa"/>
            <w:vAlign w:val="bottom"/>
            <w:tcBorders>
              <w:right w:val="single" w:sz="8" w:color="00249C"/>
            </w:tcBorders>
            <w:vMerge w:val="restart"/>
          </w:tcPr>
          <w:p>
            <w:pPr>
              <w:jc w:val="center"/>
              <w:spacing w:after="0"/>
              <w:rPr>
                <w:sz w:val="20"/>
                <w:szCs w:val="20"/>
                <w:color w:val="auto"/>
              </w:rPr>
            </w:pPr>
            <w:r>
              <w:rPr>
                <w:rFonts w:ascii="Arial" w:cs="Arial" w:eastAsia="Arial" w:hAnsi="Arial"/>
                <w:sz w:val="16"/>
                <w:szCs w:val="16"/>
                <w:color w:val="auto"/>
              </w:rPr>
              <w:t>Motivate and reward achievement of</w:t>
            </w:r>
          </w:p>
        </w:tc>
        <w:tc>
          <w:tcPr>
            <w:tcW w:w="140" w:type="dxa"/>
            <w:vAlign w:val="bottom"/>
            <w:tcBorders>
              <w:right w:val="single" w:sz="8" w:color="00249C"/>
            </w:tcBorders>
          </w:tcPr>
          <w:p>
            <w:pPr>
              <w:spacing w:after="0"/>
              <w:rPr>
                <w:sz w:val="14"/>
                <w:szCs w:val="14"/>
                <w:color w:val="auto"/>
              </w:rPr>
            </w:pPr>
          </w:p>
        </w:tc>
        <w:tc>
          <w:tcPr>
            <w:tcW w:w="5320" w:type="dxa"/>
            <w:vAlign w:val="bottom"/>
            <w:tcBorders>
              <w:right w:val="single" w:sz="8" w:color="00249C"/>
            </w:tcBorders>
            <w:gridSpan w:val="3"/>
          </w:tcPr>
          <w:p>
            <w:pPr>
              <w:jc w:val="center"/>
              <w:ind w:right="20"/>
              <w:spacing w:after="0" w:line="162" w:lineRule="exact"/>
              <w:rPr>
                <w:sz w:val="20"/>
                <w:szCs w:val="20"/>
                <w:color w:val="auto"/>
              </w:rPr>
            </w:pPr>
            <w:r>
              <w:rPr>
                <w:rFonts w:ascii="Arial" w:cs="Arial" w:eastAsia="Arial" w:hAnsi="Arial"/>
                <w:sz w:val="16"/>
                <w:szCs w:val="16"/>
                <w:color w:val="auto"/>
              </w:rPr>
              <w:t>35% Segment Operating Income* Growth</w:t>
            </w:r>
          </w:p>
        </w:tc>
        <w:tc>
          <w:tcPr>
            <w:tcW w:w="0" w:type="dxa"/>
            <w:vAlign w:val="bottom"/>
          </w:tcPr>
          <w:p>
            <w:pPr>
              <w:spacing w:after="0"/>
              <w:rPr>
                <w:sz w:val="1"/>
                <w:szCs w:val="1"/>
                <w:color w:val="auto"/>
              </w:rPr>
            </w:pPr>
          </w:p>
        </w:tc>
      </w:tr>
      <w:tr>
        <w:trPr>
          <w:trHeight w:val="187"/>
        </w:trPr>
        <w:tc>
          <w:tcPr>
            <w:tcW w:w="2560" w:type="dxa"/>
            <w:vAlign w:val="bottom"/>
            <w:tcBorders>
              <w:left w:val="single" w:sz="8" w:color="00249C"/>
              <w:right w:val="single" w:sz="8" w:color="00249C"/>
            </w:tcBorders>
          </w:tcPr>
          <w:p>
            <w:pPr>
              <w:jc w:val="center"/>
              <w:spacing w:after="0"/>
              <w:rPr>
                <w:sz w:val="20"/>
                <w:szCs w:val="20"/>
                <w:color w:val="auto"/>
              </w:rPr>
            </w:pPr>
            <w:r>
              <w:rPr>
                <w:rFonts w:ascii="Arial" w:cs="Arial" w:eastAsia="Arial" w:hAnsi="Arial"/>
                <w:sz w:val="16"/>
                <w:szCs w:val="16"/>
                <w:color w:val="auto"/>
              </w:rPr>
              <w:t>Annual Incentive Plan (AIP)</w:t>
            </w:r>
          </w:p>
        </w:tc>
        <w:tc>
          <w:tcPr>
            <w:tcW w:w="120" w:type="dxa"/>
            <w:vAlign w:val="bottom"/>
            <w:tcBorders>
              <w:right w:val="single" w:sz="8" w:color="00249C"/>
            </w:tcBorders>
          </w:tcPr>
          <w:p>
            <w:pPr>
              <w:spacing w:after="0"/>
              <w:rPr>
                <w:sz w:val="16"/>
                <w:szCs w:val="16"/>
                <w:color w:val="auto"/>
              </w:rPr>
            </w:pPr>
          </w:p>
        </w:tc>
        <w:tc>
          <w:tcPr>
            <w:tcW w:w="3040" w:type="dxa"/>
            <w:vAlign w:val="bottom"/>
            <w:tcBorders>
              <w:right w:val="single" w:sz="8" w:color="00249C"/>
            </w:tcBorders>
            <w:vMerge w:val="continue"/>
          </w:tcPr>
          <w:p>
            <w:pPr>
              <w:spacing w:after="0"/>
              <w:rPr>
                <w:sz w:val="16"/>
                <w:szCs w:val="16"/>
                <w:color w:val="auto"/>
              </w:rPr>
            </w:pPr>
          </w:p>
        </w:tc>
        <w:tc>
          <w:tcPr>
            <w:tcW w:w="140" w:type="dxa"/>
            <w:vAlign w:val="bottom"/>
            <w:tcBorders>
              <w:right w:val="single" w:sz="8" w:color="00249C"/>
            </w:tcBorders>
          </w:tcPr>
          <w:p>
            <w:pPr>
              <w:spacing w:after="0"/>
              <w:rPr>
                <w:sz w:val="16"/>
                <w:szCs w:val="16"/>
                <w:color w:val="auto"/>
              </w:rPr>
            </w:pPr>
          </w:p>
        </w:tc>
        <w:tc>
          <w:tcPr>
            <w:tcW w:w="5320" w:type="dxa"/>
            <w:vAlign w:val="bottom"/>
            <w:tcBorders>
              <w:right w:val="single" w:sz="8" w:color="00249C"/>
            </w:tcBorders>
            <w:gridSpan w:val="3"/>
          </w:tcPr>
          <w:p>
            <w:pPr>
              <w:jc w:val="center"/>
              <w:ind w:right="40"/>
              <w:spacing w:after="0"/>
              <w:rPr>
                <w:sz w:val="20"/>
                <w:szCs w:val="20"/>
                <w:color w:val="auto"/>
              </w:rPr>
            </w:pPr>
            <w:r>
              <w:rPr>
                <w:rFonts w:ascii="Arial" w:cs="Arial" w:eastAsia="Arial" w:hAnsi="Arial"/>
                <w:sz w:val="16"/>
                <w:szCs w:val="16"/>
                <w:color w:val="auto"/>
              </w:rPr>
              <w:t>15% Pension-adjusted Net Income* Growth</w:t>
            </w:r>
          </w:p>
        </w:tc>
        <w:tc>
          <w:tcPr>
            <w:tcW w:w="0" w:type="dxa"/>
            <w:vAlign w:val="bottom"/>
          </w:tcPr>
          <w:p>
            <w:pPr>
              <w:spacing w:after="0"/>
              <w:rPr>
                <w:sz w:val="1"/>
                <w:szCs w:val="1"/>
                <w:color w:val="auto"/>
              </w:rPr>
            </w:pPr>
          </w:p>
        </w:tc>
      </w:tr>
      <w:tr>
        <w:trPr>
          <w:trHeight w:val="195"/>
        </w:trPr>
        <w:tc>
          <w:tcPr>
            <w:tcW w:w="2560" w:type="dxa"/>
            <w:vAlign w:val="bottom"/>
            <w:tcBorders>
              <w:left w:val="single" w:sz="8" w:color="00249C"/>
              <w:right w:val="single" w:sz="8" w:color="00249C"/>
            </w:tcBorders>
          </w:tcPr>
          <w:p>
            <w:pPr>
              <w:spacing w:after="0"/>
              <w:rPr>
                <w:sz w:val="16"/>
                <w:szCs w:val="16"/>
                <w:color w:val="auto"/>
              </w:rPr>
            </w:pPr>
          </w:p>
        </w:tc>
        <w:tc>
          <w:tcPr>
            <w:tcW w:w="120" w:type="dxa"/>
            <w:vAlign w:val="bottom"/>
            <w:tcBorders>
              <w:right w:val="single" w:sz="8" w:color="00249C"/>
            </w:tcBorders>
          </w:tcPr>
          <w:p>
            <w:pPr>
              <w:spacing w:after="0"/>
              <w:rPr>
                <w:sz w:val="16"/>
                <w:szCs w:val="16"/>
                <w:color w:val="auto"/>
              </w:rPr>
            </w:pPr>
          </w:p>
        </w:tc>
        <w:tc>
          <w:tcPr>
            <w:tcW w:w="3040" w:type="dxa"/>
            <w:vAlign w:val="bottom"/>
            <w:tcBorders>
              <w:right w:val="single" w:sz="8" w:color="00249C"/>
            </w:tcBorders>
          </w:tcPr>
          <w:p>
            <w:pPr>
              <w:jc w:val="center"/>
              <w:spacing w:after="0"/>
              <w:rPr>
                <w:sz w:val="20"/>
                <w:szCs w:val="20"/>
                <w:color w:val="auto"/>
              </w:rPr>
            </w:pPr>
            <w:r>
              <w:rPr>
                <w:rFonts w:ascii="Arial" w:cs="Arial" w:eastAsia="Arial" w:hAnsi="Arial"/>
                <w:sz w:val="16"/>
                <w:szCs w:val="16"/>
                <w:color w:val="auto"/>
              </w:rPr>
              <w:t>annual business objectives</w:t>
            </w:r>
          </w:p>
        </w:tc>
        <w:tc>
          <w:tcPr>
            <w:tcW w:w="140" w:type="dxa"/>
            <w:vAlign w:val="bottom"/>
            <w:tcBorders>
              <w:right w:val="single" w:sz="8" w:color="00249C"/>
            </w:tcBorders>
          </w:tcPr>
          <w:p>
            <w:pPr>
              <w:spacing w:after="0"/>
              <w:rPr>
                <w:sz w:val="16"/>
                <w:szCs w:val="16"/>
                <w:color w:val="auto"/>
              </w:rPr>
            </w:pPr>
          </w:p>
        </w:tc>
        <w:tc>
          <w:tcPr>
            <w:tcW w:w="5320" w:type="dxa"/>
            <w:vAlign w:val="bottom"/>
            <w:tcBorders>
              <w:right w:val="single" w:sz="8" w:color="00249C"/>
            </w:tcBorders>
            <w:gridSpan w:val="3"/>
          </w:tcPr>
          <w:p>
            <w:pPr>
              <w:jc w:val="center"/>
              <w:ind w:right="20"/>
              <w:spacing w:after="0"/>
              <w:rPr>
                <w:sz w:val="20"/>
                <w:szCs w:val="20"/>
                <w:color w:val="auto"/>
              </w:rPr>
            </w:pPr>
            <w:r>
              <w:rPr>
                <w:rFonts w:ascii="Arial" w:cs="Arial" w:eastAsia="Arial" w:hAnsi="Arial"/>
                <w:sz w:val="16"/>
                <w:szCs w:val="16"/>
                <w:color w:val="auto"/>
              </w:rPr>
              <w:t>15% Pension-adjusted Operating Margin (OM) Rate*</w:t>
            </w:r>
          </w:p>
        </w:tc>
        <w:tc>
          <w:tcPr>
            <w:tcW w:w="0" w:type="dxa"/>
            <w:vAlign w:val="bottom"/>
          </w:tcPr>
          <w:p>
            <w:pPr>
              <w:spacing w:after="0"/>
              <w:rPr>
                <w:sz w:val="1"/>
                <w:szCs w:val="1"/>
                <w:color w:val="auto"/>
              </w:rPr>
            </w:pPr>
          </w:p>
        </w:tc>
      </w:tr>
      <w:tr>
        <w:trPr>
          <w:trHeight w:val="199"/>
        </w:trPr>
        <w:tc>
          <w:tcPr>
            <w:tcW w:w="2560" w:type="dxa"/>
            <w:vAlign w:val="bottom"/>
            <w:tcBorders>
              <w:left w:val="single" w:sz="8" w:color="00249C"/>
              <w:right w:val="single" w:sz="8" w:color="00249C"/>
            </w:tcBorders>
          </w:tcPr>
          <w:p>
            <w:pPr>
              <w:spacing w:after="0"/>
              <w:rPr>
                <w:sz w:val="17"/>
                <w:szCs w:val="17"/>
                <w:color w:val="auto"/>
              </w:rPr>
            </w:pPr>
          </w:p>
        </w:tc>
        <w:tc>
          <w:tcPr>
            <w:tcW w:w="120" w:type="dxa"/>
            <w:vAlign w:val="bottom"/>
            <w:tcBorders>
              <w:right w:val="single" w:sz="8" w:color="00249C"/>
            </w:tcBorders>
          </w:tcPr>
          <w:p>
            <w:pPr>
              <w:spacing w:after="0"/>
              <w:rPr>
                <w:sz w:val="17"/>
                <w:szCs w:val="17"/>
                <w:color w:val="auto"/>
              </w:rPr>
            </w:pPr>
          </w:p>
        </w:tc>
        <w:tc>
          <w:tcPr>
            <w:tcW w:w="3040" w:type="dxa"/>
            <w:vAlign w:val="bottom"/>
            <w:tcBorders>
              <w:right w:val="single" w:sz="8" w:color="00249C"/>
            </w:tcBorders>
          </w:tcPr>
          <w:p>
            <w:pPr>
              <w:spacing w:after="0"/>
              <w:rPr>
                <w:sz w:val="17"/>
                <w:szCs w:val="17"/>
                <w:color w:val="auto"/>
              </w:rPr>
            </w:pPr>
          </w:p>
        </w:tc>
        <w:tc>
          <w:tcPr>
            <w:tcW w:w="140" w:type="dxa"/>
            <w:vAlign w:val="bottom"/>
            <w:tcBorders>
              <w:right w:val="single" w:sz="8" w:color="00249C"/>
            </w:tcBorders>
          </w:tcPr>
          <w:p>
            <w:pPr>
              <w:spacing w:after="0"/>
              <w:rPr>
                <w:sz w:val="17"/>
                <w:szCs w:val="17"/>
                <w:color w:val="auto"/>
              </w:rPr>
            </w:pPr>
          </w:p>
        </w:tc>
        <w:tc>
          <w:tcPr>
            <w:tcW w:w="5320" w:type="dxa"/>
            <w:vAlign w:val="bottom"/>
            <w:tcBorders>
              <w:right w:val="single" w:sz="8" w:color="00249C"/>
            </w:tcBorders>
            <w:gridSpan w:val="3"/>
          </w:tcPr>
          <w:p>
            <w:pPr>
              <w:jc w:val="center"/>
              <w:ind w:right="20"/>
              <w:spacing w:after="0"/>
              <w:rPr>
                <w:sz w:val="20"/>
                <w:szCs w:val="20"/>
                <w:color w:val="auto"/>
              </w:rPr>
            </w:pPr>
            <w:r>
              <w:rPr>
                <w:rFonts w:ascii="Arial" w:cs="Arial" w:eastAsia="Arial" w:hAnsi="Arial"/>
                <w:sz w:val="16"/>
                <w:szCs w:val="16"/>
                <w:color w:val="auto"/>
              </w:rPr>
              <w:t>Subject to downward adjustment for failure to achieve non-financial</w:t>
            </w:r>
          </w:p>
        </w:tc>
        <w:tc>
          <w:tcPr>
            <w:tcW w:w="0" w:type="dxa"/>
            <w:vAlign w:val="bottom"/>
          </w:tcPr>
          <w:p>
            <w:pPr>
              <w:spacing w:after="0"/>
              <w:rPr>
                <w:sz w:val="1"/>
                <w:szCs w:val="1"/>
                <w:color w:val="auto"/>
              </w:rPr>
            </w:pPr>
          </w:p>
        </w:tc>
      </w:tr>
      <w:tr>
        <w:trPr>
          <w:trHeight w:val="198"/>
        </w:trPr>
        <w:tc>
          <w:tcPr>
            <w:tcW w:w="2560" w:type="dxa"/>
            <w:vAlign w:val="bottom"/>
            <w:tcBorders>
              <w:left w:val="single" w:sz="8" w:color="00249C"/>
              <w:bottom w:val="single" w:sz="8" w:color="00249C"/>
              <w:right w:val="single" w:sz="8" w:color="00249C"/>
            </w:tcBorders>
          </w:tcPr>
          <w:p>
            <w:pPr>
              <w:spacing w:after="0"/>
              <w:rPr>
                <w:sz w:val="17"/>
                <w:szCs w:val="17"/>
                <w:color w:val="auto"/>
              </w:rPr>
            </w:pPr>
          </w:p>
        </w:tc>
        <w:tc>
          <w:tcPr>
            <w:tcW w:w="120" w:type="dxa"/>
            <w:vAlign w:val="bottom"/>
            <w:tcBorders>
              <w:right w:val="single" w:sz="8" w:color="00249C"/>
            </w:tcBorders>
          </w:tcPr>
          <w:p>
            <w:pPr>
              <w:spacing w:after="0"/>
              <w:rPr>
                <w:sz w:val="17"/>
                <w:szCs w:val="17"/>
                <w:color w:val="auto"/>
              </w:rPr>
            </w:pPr>
          </w:p>
        </w:tc>
        <w:tc>
          <w:tcPr>
            <w:tcW w:w="3040" w:type="dxa"/>
            <w:vAlign w:val="bottom"/>
            <w:tcBorders>
              <w:bottom w:val="single" w:sz="8" w:color="00249C"/>
              <w:right w:val="single" w:sz="8" w:color="00249C"/>
            </w:tcBorders>
          </w:tcPr>
          <w:p>
            <w:pPr>
              <w:spacing w:after="0"/>
              <w:rPr>
                <w:sz w:val="17"/>
                <w:szCs w:val="17"/>
                <w:color w:val="auto"/>
              </w:rPr>
            </w:pPr>
          </w:p>
        </w:tc>
        <w:tc>
          <w:tcPr>
            <w:tcW w:w="140" w:type="dxa"/>
            <w:vAlign w:val="bottom"/>
            <w:tcBorders>
              <w:right w:val="single" w:sz="8" w:color="00249C"/>
            </w:tcBorders>
          </w:tcPr>
          <w:p>
            <w:pPr>
              <w:spacing w:after="0"/>
              <w:rPr>
                <w:sz w:val="17"/>
                <w:szCs w:val="17"/>
                <w:color w:val="auto"/>
              </w:rPr>
            </w:pPr>
          </w:p>
        </w:tc>
        <w:tc>
          <w:tcPr>
            <w:tcW w:w="2040" w:type="dxa"/>
            <w:vAlign w:val="bottom"/>
            <w:tcBorders>
              <w:bottom w:val="single" w:sz="8" w:color="00249C"/>
            </w:tcBorders>
          </w:tcPr>
          <w:p>
            <w:pPr>
              <w:spacing w:after="0"/>
              <w:rPr>
                <w:sz w:val="17"/>
                <w:szCs w:val="17"/>
                <w:color w:val="auto"/>
              </w:rPr>
            </w:pPr>
          </w:p>
        </w:tc>
        <w:tc>
          <w:tcPr>
            <w:tcW w:w="3280" w:type="dxa"/>
            <w:vAlign w:val="bottom"/>
            <w:tcBorders>
              <w:bottom w:val="single" w:sz="8" w:color="00249C"/>
              <w:right w:val="single" w:sz="8" w:color="00249C"/>
            </w:tcBorders>
            <w:gridSpan w:val="2"/>
          </w:tcPr>
          <w:p>
            <w:pPr>
              <w:jc w:val="center"/>
              <w:ind w:right="2080"/>
              <w:spacing w:after="0"/>
              <w:rPr>
                <w:sz w:val="20"/>
                <w:szCs w:val="20"/>
                <w:color w:val="auto"/>
              </w:rPr>
            </w:pPr>
            <w:r>
              <w:rPr>
                <w:rFonts w:ascii="Arial" w:cs="Arial" w:eastAsia="Arial" w:hAnsi="Arial"/>
                <w:sz w:val="16"/>
                <w:szCs w:val="16"/>
                <w:color w:val="auto"/>
              </w:rPr>
              <w:t>objectives</w:t>
            </w:r>
          </w:p>
        </w:tc>
        <w:tc>
          <w:tcPr>
            <w:tcW w:w="0" w:type="dxa"/>
            <w:vAlign w:val="bottom"/>
          </w:tcPr>
          <w:p>
            <w:pPr>
              <w:spacing w:after="0"/>
              <w:rPr>
                <w:sz w:val="1"/>
                <w:szCs w:val="1"/>
                <w:color w:val="auto"/>
              </w:rPr>
            </w:pPr>
          </w:p>
        </w:tc>
      </w:tr>
      <w:tr>
        <w:trPr>
          <w:trHeight w:val="78"/>
        </w:trPr>
        <w:tc>
          <w:tcPr>
            <w:tcW w:w="2560" w:type="dxa"/>
            <w:vAlign w:val="bottom"/>
            <w:tcBorders>
              <w:bottom w:val="single" w:sz="8" w:color="00249C"/>
            </w:tcBorders>
          </w:tcPr>
          <w:p>
            <w:pPr>
              <w:spacing w:after="0"/>
              <w:rPr>
                <w:sz w:val="6"/>
                <w:szCs w:val="6"/>
                <w:color w:val="auto"/>
              </w:rPr>
            </w:pPr>
          </w:p>
        </w:tc>
        <w:tc>
          <w:tcPr>
            <w:tcW w:w="120" w:type="dxa"/>
            <w:vAlign w:val="bottom"/>
          </w:tcPr>
          <w:p>
            <w:pPr>
              <w:spacing w:after="0"/>
              <w:rPr>
                <w:sz w:val="6"/>
                <w:szCs w:val="6"/>
                <w:color w:val="auto"/>
              </w:rPr>
            </w:pPr>
          </w:p>
        </w:tc>
        <w:tc>
          <w:tcPr>
            <w:tcW w:w="3040" w:type="dxa"/>
            <w:vAlign w:val="bottom"/>
            <w:tcBorders>
              <w:bottom w:val="single" w:sz="8" w:color="00249C"/>
            </w:tcBorders>
          </w:tcPr>
          <w:p>
            <w:pPr>
              <w:spacing w:after="0"/>
              <w:rPr>
                <w:sz w:val="6"/>
                <w:szCs w:val="6"/>
                <w:color w:val="auto"/>
              </w:rPr>
            </w:pPr>
          </w:p>
        </w:tc>
        <w:tc>
          <w:tcPr>
            <w:tcW w:w="140" w:type="dxa"/>
            <w:vAlign w:val="bottom"/>
          </w:tcPr>
          <w:p>
            <w:pPr>
              <w:spacing w:after="0"/>
              <w:rPr>
                <w:sz w:val="6"/>
                <w:szCs w:val="6"/>
                <w:color w:val="auto"/>
              </w:rPr>
            </w:pPr>
          </w:p>
        </w:tc>
        <w:tc>
          <w:tcPr>
            <w:tcW w:w="2040" w:type="dxa"/>
            <w:vAlign w:val="bottom"/>
            <w:tcBorders>
              <w:bottom w:val="single" w:sz="8" w:color="00249C"/>
            </w:tcBorders>
          </w:tcPr>
          <w:p>
            <w:pPr>
              <w:spacing w:after="0"/>
              <w:rPr>
                <w:sz w:val="6"/>
                <w:szCs w:val="6"/>
                <w:color w:val="auto"/>
              </w:rPr>
            </w:pPr>
          </w:p>
        </w:tc>
        <w:tc>
          <w:tcPr>
            <w:tcW w:w="1220" w:type="dxa"/>
            <w:vAlign w:val="bottom"/>
            <w:tcBorders>
              <w:bottom w:val="single" w:sz="8" w:color="00249C"/>
            </w:tcBorders>
          </w:tcPr>
          <w:p>
            <w:pPr>
              <w:spacing w:after="0"/>
              <w:rPr>
                <w:sz w:val="6"/>
                <w:szCs w:val="6"/>
                <w:color w:val="auto"/>
              </w:rPr>
            </w:pPr>
          </w:p>
        </w:tc>
        <w:tc>
          <w:tcPr>
            <w:tcW w:w="2060" w:type="dxa"/>
            <w:vAlign w:val="bottom"/>
            <w:tcBorders>
              <w:bottom w:val="single" w:sz="8" w:color="00249C"/>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560" w:type="dxa"/>
            <w:vAlign w:val="bottom"/>
            <w:tcBorders>
              <w:left w:val="single" w:sz="8" w:color="00249C"/>
              <w:right w:val="single" w:sz="8" w:color="00249C"/>
            </w:tcBorders>
            <w:vMerge w:val="restart"/>
          </w:tcPr>
          <w:p>
            <w:pPr>
              <w:jc w:val="center"/>
              <w:spacing w:after="0"/>
              <w:rPr>
                <w:sz w:val="20"/>
                <w:szCs w:val="20"/>
                <w:color w:val="auto"/>
              </w:rPr>
            </w:pPr>
            <w:r>
              <w:rPr>
                <w:rFonts w:ascii="Arial" w:cs="Arial" w:eastAsia="Arial" w:hAnsi="Arial"/>
                <w:sz w:val="16"/>
                <w:szCs w:val="16"/>
                <w:color w:val="auto"/>
                <w:w w:val="99"/>
              </w:rPr>
              <w:t>Long-Term Incentive Plan (LTIP)</w:t>
            </w:r>
          </w:p>
        </w:tc>
        <w:tc>
          <w:tcPr>
            <w:tcW w:w="120" w:type="dxa"/>
            <w:vAlign w:val="bottom"/>
            <w:tcBorders>
              <w:right w:val="single" w:sz="8" w:color="00249C"/>
            </w:tcBorders>
          </w:tcPr>
          <w:p>
            <w:pPr>
              <w:spacing w:after="0"/>
              <w:rPr>
                <w:sz w:val="14"/>
                <w:szCs w:val="14"/>
                <w:color w:val="auto"/>
              </w:rPr>
            </w:pPr>
          </w:p>
        </w:tc>
        <w:tc>
          <w:tcPr>
            <w:tcW w:w="3040" w:type="dxa"/>
            <w:vAlign w:val="bottom"/>
            <w:tcBorders>
              <w:right w:val="single" w:sz="8" w:color="00249C"/>
            </w:tcBorders>
          </w:tcPr>
          <w:p>
            <w:pPr>
              <w:jc w:val="center"/>
              <w:spacing w:after="0" w:line="171" w:lineRule="exact"/>
              <w:rPr>
                <w:sz w:val="20"/>
                <w:szCs w:val="20"/>
                <w:color w:val="auto"/>
              </w:rPr>
            </w:pPr>
            <w:r>
              <w:rPr>
                <w:rFonts w:ascii="Arial" w:cs="Arial" w:eastAsia="Arial" w:hAnsi="Arial"/>
                <w:sz w:val="16"/>
                <w:szCs w:val="16"/>
                <w:color w:val="auto"/>
              </w:rPr>
              <w:t>Link the interests of our executive officers</w:t>
            </w:r>
          </w:p>
        </w:tc>
        <w:tc>
          <w:tcPr>
            <w:tcW w:w="140" w:type="dxa"/>
            <w:vAlign w:val="bottom"/>
            <w:tcBorders>
              <w:right w:val="single" w:sz="8" w:color="00249C"/>
            </w:tcBorders>
          </w:tcPr>
          <w:p>
            <w:pPr>
              <w:spacing w:after="0"/>
              <w:rPr>
                <w:sz w:val="14"/>
                <w:szCs w:val="14"/>
                <w:color w:val="auto"/>
              </w:rPr>
            </w:pPr>
          </w:p>
        </w:tc>
        <w:tc>
          <w:tcPr>
            <w:tcW w:w="5320" w:type="dxa"/>
            <w:vAlign w:val="bottom"/>
            <w:tcBorders>
              <w:right w:val="single" w:sz="8" w:color="00249C"/>
            </w:tcBorders>
            <w:gridSpan w:val="3"/>
            <w:vMerge w:val="restart"/>
          </w:tcPr>
          <w:p>
            <w:pPr>
              <w:jc w:val="center"/>
              <w:ind w:right="20"/>
              <w:spacing w:after="0"/>
              <w:rPr>
                <w:sz w:val="20"/>
                <w:szCs w:val="20"/>
                <w:color w:val="auto"/>
              </w:rPr>
            </w:pPr>
            <w:r>
              <w:rPr>
                <w:rFonts w:ascii="Arial" w:cs="Arial" w:eastAsia="Arial" w:hAnsi="Arial"/>
                <w:sz w:val="16"/>
                <w:szCs w:val="16"/>
                <w:color w:val="auto"/>
              </w:rPr>
              <w:t>30% of annual LTIP grant</w:t>
            </w:r>
          </w:p>
        </w:tc>
        <w:tc>
          <w:tcPr>
            <w:tcW w:w="0" w:type="dxa"/>
            <w:vAlign w:val="bottom"/>
          </w:tcPr>
          <w:p>
            <w:pPr>
              <w:spacing w:after="0"/>
              <w:rPr>
                <w:sz w:val="1"/>
                <w:szCs w:val="1"/>
                <w:color w:val="auto"/>
              </w:rPr>
            </w:pPr>
          </w:p>
        </w:tc>
      </w:tr>
      <w:tr>
        <w:trPr>
          <w:trHeight w:val="100"/>
        </w:trPr>
        <w:tc>
          <w:tcPr>
            <w:tcW w:w="2560" w:type="dxa"/>
            <w:vAlign w:val="bottom"/>
            <w:tcBorders>
              <w:left w:val="single" w:sz="8" w:color="00249C"/>
              <w:right w:val="single" w:sz="8" w:color="00249C"/>
            </w:tcBorders>
            <w:vMerge w:val="continue"/>
          </w:tcPr>
          <w:p>
            <w:pPr>
              <w:spacing w:after="0"/>
              <w:rPr>
                <w:sz w:val="8"/>
                <w:szCs w:val="8"/>
                <w:color w:val="auto"/>
              </w:rPr>
            </w:pPr>
          </w:p>
        </w:tc>
        <w:tc>
          <w:tcPr>
            <w:tcW w:w="120" w:type="dxa"/>
            <w:vAlign w:val="bottom"/>
            <w:tcBorders>
              <w:right w:val="single" w:sz="8" w:color="00249C"/>
            </w:tcBorders>
          </w:tcPr>
          <w:p>
            <w:pPr>
              <w:spacing w:after="0"/>
              <w:rPr>
                <w:sz w:val="8"/>
                <w:szCs w:val="8"/>
                <w:color w:val="auto"/>
              </w:rPr>
            </w:pPr>
          </w:p>
        </w:tc>
        <w:tc>
          <w:tcPr>
            <w:tcW w:w="3040" w:type="dxa"/>
            <w:vAlign w:val="bottom"/>
            <w:tcBorders>
              <w:right w:val="single" w:sz="8" w:color="00249C"/>
            </w:tcBorders>
            <w:vMerge w:val="restart"/>
          </w:tcPr>
          <w:p>
            <w:pPr>
              <w:jc w:val="center"/>
              <w:spacing w:after="0" w:line="147" w:lineRule="exact"/>
              <w:rPr>
                <w:sz w:val="20"/>
                <w:szCs w:val="20"/>
                <w:color w:val="auto"/>
              </w:rPr>
            </w:pPr>
            <w:r>
              <w:rPr>
                <w:rFonts w:ascii="Arial" w:cs="Arial" w:eastAsia="Arial" w:hAnsi="Arial"/>
                <w:sz w:val="16"/>
                <w:szCs w:val="16"/>
                <w:color w:val="auto"/>
              </w:rPr>
              <w:t>to shareholders and retain executive</w:t>
            </w:r>
          </w:p>
        </w:tc>
        <w:tc>
          <w:tcPr>
            <w:tcW w:w="140" w:type="dxa"/>
            <w:vAlign w:val="bottom"/>
            <w:tcBorders>
              <w:right w:val="single" w:sz="8" w:color="00249C"/>
            </w:tcBorders>
          </w:tcPr>
          <w:p>
            <w:pPr>
              <w:spacing w:after="0"/>
              <w:rPr>
                <w:sz w:val="8"/>
                <w:szCs w:val="8"/>
                <w:color w:val="auto"/>
              </w:rPr>
            </w:pPr>
          </w:p>
        </w:tc>
        <w:tc>
          <w:tcPr>
            <w:tcW w:w="5320" w:type="dxa"/>
            <w:vAlign w:val="bottom"/>
            <w:tcBorders>
              <w:right w:val="single" w:sz="8" w:color="00249C"/>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2560" w:type="dxa"/>
            <w:vAlign w:val="bottom"/>
            <w:tcBorders>
              <w:left w:val="single" w:sz="8" w:color="00249C"/>
              <w:right w:val="single" w:sz="8" w:color="00249C"/>
            </w:tcBorders>
            <w:vMerge w:val="continue"/>
          </w:tcPr>
          <w:p>
            <w:pPr>
              <w:spacing w:after="0"/>
              <w:rPr>
                <w:sz w:val="4"/>
                <w:szCs w:val="4"/>
                <w:color w:val="auto"/>
              </w:rPr>
            </w:pPr>
          </w:p>
        </w:tc>
        <w:tc>
          <w:tcPr>
            <w:tcW w:w="120" w:type="dxa"/>
            <w:vAlign w:val="bottom"/>
            <w:tcBorders>
              <w:right w:val="single" w:sz="8" w:color="00249C"/>
            </w:tcBorders>
          </w:tcPr>
          <w:p>
            <w:pPr>
              <w:spacing w:after="0"/>
              <w:rPr>
                <w:sz w:val="4"/>
                <w:szCs w:val="4"/>
                <w:color w:val="auto"/>
              </w:rPr>
            </w:pPr>
          </w:p>
        </w:tc>
        <w:tc>
          <w:tcPr>
            <w:tcW w:w="3040" w:type="dxa"/>
            <w:vAlign w:val="bottom"/>
            <w:tcBorders>
              <w:right w:val="single" w:sz="8" w:color="00249C"/>
            </w:tcBorders>
            <w:vMerge w:val="continue"/>
          </w:tcPr>
          <w:p>
            <w:pPr>
              <w:spacing w:after="0"/>
              <w:rPr>
                <w:sz w:val="4"/>
                <w:szCs w:val="4"/>
                <w:color w:val="auto"/>
              </w:rPr>
            </w:pPr>
          </w:p>
        </w:tc>
        <w:tc>
          <w:tcPr>
            <w:tcW w:w="140" w:type="dxa"/>
            <w:vAlign w:val="bottom"/>
            <w:tcBorders>
              <w:right w:val="single" w:sz="8" w:color="00249C"/>
            </w:tcBorders>
          </w:tcPr>
          <w:p>
            <w:pPr>
              <w:spacing w:after="0"/>
              <w:rPr>
                <w:sz w:val="4"/>
                <w:szCs w:val="4"/>
                <w:color w:val="auto"/>
              </w:rPr>
            </w:pPr>
          </w:p>
        </w:tc>
        <w:tc>
          <w:tcPr>
            <w:tcW w:w="20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60" w:type="dxa"/>
            <w:vAlign w:val="bottom"/>
            <w:tcBorders>
              <w:right w:val="single" w:sz="8" w:color="00249C"/>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560" w:type="dxa"/>
            <w:vAlign w:val="bottom"/>
            <w:tcBorders>
              <w:left w:val="single" w:sz="8" w:color="00249C"/>
              <w:right w:val="single" w:sz="8" w:color="00249C"/>
            </w:tcBorders>
          </w:tcPr>
          <w:p>
            <w:pPr>
              <w:jc w:val="center"/>
              <w:spacing w:after="0"/>
              <w:rPr>
                <w:sz w:val="20"/>
                <w:szCs w:val="20"/>
                <w:color w:val="auto"/>
              </w:rPr>
            </w:pPr>
            <w:r>
              <w:rPr>
                <w:rFonts w:ascii="Arial" w:cs="Arial" w:eastAsia="Arial" w:hAnsi="Arial"/>
                <w:sz w:val="16"/>
                <w:szCs w:val="16"/>
                <w:color w:val="auto"/>
              </w:rPr>
              <w:t>Restricted Stock Rights (RSRs)</w:t>
            </w:r>
          </w:p>
        </w:tc>
        <w:tc>
          <w:tcPr>
            <w:tcW w:w="120" w:type="dxa"/>
            <w:vAlign w:val="bottom"/>
            <w:tcBorders>
              <w:right w:val="single" w:sz="8" w:color="00249C"/>
            </w:tcBorders>
          </w:tcPr>
          <w:p>
            <w:pPr>
              <w:spacing w:after="0"/>
              <w:rPr>
                <w:sz w:val="20"/>
                <w:szCs w:val="20"/>
                <w:color w:val="auto"/>
              </w:rPr>
            </w:pPr>
          </w:p>
        </w:tc>
        <w:tc>
          <w:tcPr>
            <w:tcW w:w="3040" w:type="dxa"/>
            <w:vAlign w:val="bottom"/>
            <w:tcBorders>
              <w:right w:val="single" w:sz="8" w:color="00249C"/>
            </w:tcBorders>
          </w:tcPr>
          <w:p>
            <w:pPr>
              <w:jc w:val="center"/>
              <w:spacing w:after="0"/>
              <w:rPr>
                <w:sz w:val="20"/>
                <w:szCs w:val="20"/>
                <w:color w:val="auto"/>
              </w:rPr>
            </w:pPr>
            <w:r>
              <w:rPr>
                <w:rFonts w:ascii="Arial" w:cs="Arial" w:eastAsia="Arial" w:hAnsi="Arial"/>
                <w:sz w:val="16"/>
                <w:szCs w:val="16"/>
                <w:color w:val="auto"/>
              </w:rPr>
              <w:t>talent</w:t>
            </w:r>
          </w:p>
        </w:tc>
        <w:tc>
          <w:tcPr>
            <w:tcW w:w="140" w:type="dxa"/>
            <w:vAlign w:val="bottom"/>
            <w:tcBorders>
              <w:right w:val="single" w:sz="8" w:color="00249C"/>
            </w:tcBorders>
          </w:tcPr>
          <w:p>
            <w:pPr>
              <w:spacing w:after="0"/>
              <w:rPr>
                <w:sz w:val="20"/>
                <w:szCs w:val="20"/>
                <w:color w:val="auto"/>
              </w:rPr>
            </w:pPr>
          </w:p>
        </w:tc>
        <w:tc>
          <w:tcPr>
            <w:tcW w:w="5320" w:type="dxa"/>
            <w:vAlign w:val="bottom"/>
            <w:tcBorders>
              <w:right w:val="single" w:sz="8" w:color="00249C"/>
            </w:tcBorders>
            <w:gridSpan w:val="3"/>
          </w:tcPr>
          <w:p>
            <w:pPr>
              <w:jc w:val="center"/>
              <w:ind w:right="40"/>
              <w:spacing w:after="0"/>
              <w:rPr>
                <w:sz w:val="20"/>
                <w:szCs w:val="20"/>
                <w:color w:val="auto"/>
              </w:rPr>
            </w:pPr>
            <w:r>
              <w:rPr>
                <w:rFonts w:ascii="Arial" w:cs="Arial" w:eastAsia="Arial" w:hAnsi="Arial"/>
                <w:sz w:val="16"/>
                <w:szCs w:val="16"/>
                <w:color w:val="auto"/>
              </w:rPr>
              <w:t>Three-year cliff vesting</w:t>
            </w:r>
          </w:p>
        </w:tc>
        <w:tc>
          <w:tcPr>
            <w:tcW w:w="0" w:type="dxa"/>
            <w:vAlign w:val="bottom"/>
          </w:tcPr>
          <w:p>
            <w:pPr>
              <w:spacing w:after="0"/>
              <w:rPr>
                <w:sz w:val="1"/>
                <w:szCs w:val="1"/>
                <w:color w:val="auto"/>
              </w:rPr>
            </w:pPr>
          </w:p>
        </w:tc>
      </w:tr>
      <w:tr>
        <w:trPr>
          <w:trHeight w:val="73"/>
        </w:trPr>
        <w:tc>
          <w:tcPr>
            <w:tcW w:w="2560" w:type="dxa"/>
            <w:vAlign w:val="bottom"/>
            <w:tcBorders>
              <w:left w:val="single" w:sz="8" w:color="00249C"/>
              <w:bottom w:val="single" w:sz="8" w:color="00249C"/>
              <w:right w:val="single" w:sz="8" w:color="00249C"/>
            </w:tcBorders>
          </w:tcPr>
          <w:p>
            <w:pPr>
              <w:spacing w:after="0"/>
              <w:rPr>
                <w:sz w:val="6"/>
                <w:szCs w:val="6"/>
                <w:color w:val="auto"/>
              </w:rPr>
            </w:pPr>
          </w:p>
        </w:tc>
        <w:tc>
          <w:tcPr>
            <w:tcW w:w="120" w:type="dxa"/>
            <w:vAlign w:val="bottom"/>
            <w:tcBorders>
              <w:right w:val="single" w:sz="8" w:color="00249C"/>
            </w:tcBorders>
          </w:tcPr>
          <w:p>
            <w:pPr>
              <w:spacing w:after="0"/>
              <w:rPr>
                <w:sz w:val="6"/>
                <w:szCs w:val="6"/>
                <w:color w:val="auto"/>
              </w:rPr>
            </w:pPr>
          </w:p>
        </w:tc>
        <w:tc>
          <w:tcPr>
            <w:tcW w:w="3040" w:type="dxa"/>
            <w:vAlign w:val="bottom"/>
            <w:tcBorders>
              <w:bottom w:val="single" w:sz="8" w:color="00249C"/>
              <w:right w:val="single" w:sz="8" w:color="00249C"/>
            </w:tcBorders>
          </w:tcPr>
          <w:p>
            <w:pPr>
              <w:spacing w:after="0"/>
              <w:rPr>
                <w:sz w:val="6"/>
                <w:szCs w:val="6"/>
                <w:color w:val="auto"/>
              </w:rPr>
            </w:pPr>
          </w:p>
        </w:tc>
        <w:tc>
          <w:tcPr>
            <w:tcW w:w="140" w:type="dxa"/>
            <w:vAlign w:val="bottom"/>
            <w:tcBorders>
              <w:right w:val="single" w:sz="8" w:color="00249C"/>
            </w:tcBorders>
          </w:tcPr>
          <w:p>
            <w:pPr>
              <w:spacing w:after="0"/>
              <w:rPr>
                <w:sz w:val="6"/>
                <w:szCs w:val="6"/>
                <w:color w:val="auto"/>
              </w:rPr>
            </w:pPr>
          </w:p>
        </w:tc>
        <w:tc>
          <w:tcPr>
            <w:tcW w:w="2040" w:type="dxa"/>
            <w:vAlign w:val="bottom"/>
            <w:tcBorders>
              <w:bottom w:val="single" w:sz="8" w:color="00249C"/>
            </w:tcBorders>
          </w:tcPr>
          <w:p>
            <w:pPr>
              <w:spacing w:after="0"/>
              <w:rPr>
                <w:sz w:val="6"/>
                <w:szCs w:val="6"/>
                <w:color w:val="auto"/>
              </w:rPr>
            </w:pPr>
          </w:p>
        </w:tc>
        <w:tc>
          <w:tcPr>
            <w:tcW w:w="1220" w:type="dxa"/>
            <w:vAlign w:val="bottom"/>
            <w:tcBorders>
              <w:bottom w:val="single" w:sz="8" w:color="00249C"/>
            </w:tcBorders>
          </w:tcPr>
          <w:p>
            <w:pPr>
              <w:spacing w:after="0"/>
              <w:rPr>
                <w:sz w:val="6"/>
                <w:szCs w:val="6"/>
                <w:color w:val="auto"/>
              </w:rPr>
            </w:pPr>
          </w:p>
        </w:tc>
        <w:tc>
          <w:tcPr>
            <w:tcW w:w="2060" w:type="dxa"/>
            <w:vAlign w:val="bottom"/>
            <w:tcBorders>
              <w:bottom w:val="single" w:sz="8" w:color="00249C"/>
              <w:right w:val="single" w:sz="8" w:color="00249C"/>
            </w:tcBorders>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560" w:type="dxa"/>
            <w:vAlign w:val="bottom"/>
            <w:tcBorders>
              <w:bottom w:val="single" w:sz="8" w:color="00249C"/>
            </w:tcBorders>
          </w:tcPr>
          <w:p>
            <w:pPr>
              <w:spacing w:after="0"/>
              <w:rPr>
                <w:sz w:val="6"/>
                <w:szCs w:val="6"/>
                <w:color w:val="auto"/>
              </w:rPr>
            </w:pPr>
          </w:p>
        </w:tc>
        <w:tc>
          <w:tcPr>
            <w:tcW w:w="120" w:type="dxa"/>
            <w:vAlign w:val="bottom"/>
          </w:tcPr>
          <w:p>
            <w:pPr>
              <w:spacing w:after="0"/>
              <w:rPr>
                <w:sz w:val="6"/>
                <w:szCs w:val="6"/>
                <w:color w:val="auto"/>
              </w:rPr>
            </w:pPr>
          </w:p>
        </w:tc>
        <w:tc>
          <w:tcPr>
            <w:tcW w:w="3040" w:type="dxa"/>
            <w:vAlign w:val="bottom"/>
            <w:tcBorders>
              <w:bottom w:val="single" w:sz="8" w:color="00249C"/>
            </w:tcBorders>
          </w:tcPr>
          <w:p>
            <w:pPr>
              <w:spacing w:after="0"/>
              <w:rPr>
                <w:sz w:val="6"/>
                <w:szCs w:val="6"/>
                <w:color w:val="auto"/>
              </w:rPr>
            </w:pPr>
          </w:p>
        </w:tc>
        <w:tc>
          <w:tcPr>
            <w:tcW w:w="140" w:type="dxa"/>
            <w:vAlign w:val="bottom"/>
          </w:tcPr>
          <w:p>
            <w:pPr>
              <w:spacing w:after="0"/>
              <w:rPr>
                <w:sz w:val="6"/>
                <w:szCs w:val="6"/>
                <w:color w:val="auto"/>
              </w:rPr>
            </w:pPr>
          </w:p>
        </w:tc>
        <w:tc>
          <w:tcPr>
            <w:tcW w:w="2040" w:type="dxa"/>
            <w:vAlign w:val="bottom"/>
            <w:tcBorders>
              <w:bottom w:val="single" w:sz="8" w:color="00249C"/>
            </w:tcBorders>
          </w:tcPr>
          <w:p>
            <w:pPr>
              <w:spacing w:after="0"/>
              <w:rPr>
                <w:sz w:val="6"/>
                <w:szCs w:val="6"/>
                <w:color w:val="auto"/>
              </w:rPr>
            </w:pPr>
          </w:p>
        </w:tc>
        <w:tc>
          <w:tcPr>
            <w:tcW w:w="1220" w:type="dxa"/>
            <w:vAlign w:val="bottom"/>
            <w:tcBorders>
              <w:bottom w:val="single" w:sz="8" w:color="00249C"/>
            </w:tcBorders>
          </w:tcPr>
          <w:p>
            <w:pPr>
              <w:spacing w:after="0"/>
              <w:rPr>
                <w:sz w:val="6"/>
                <w:szCs w:val="6"/>
                <w:color w:val="auto"/>
              </w:rPr>
            </w:pPr>
          </w:p>
        </w:tc>
        <w:tc>
          <w:tcPr>
            <w:tcW w:w="2060" w:type="dxa"/>
            <w:vAlign w:val="bottom"/>
            <w:tcBorders>
              <w:bottom w:val="single" w:sz="8" w:color="00249C"/>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560" w:type="dxa"/>
            <w:vAlign w:val="bottom"/>
            <w:tcBorders>
              <w:left w:val="single" w:sz="8" w:color="00249C"/>
              <w:right w:val="single" w:sz="8" w:color="00249C"/>
            </w:tcBorders>
          </w:tcPr>
          <w:p>
            <w:pPr>
              <w:spacing w:after="0"/>
              <w:rPr>
                <w:sz w:val="18"/>
                <w:szCs w:val="18"/>
                <w:color w:val="auto"/>
              </w:rPr>
            </w:pPr>
          </w:p>
        </w:tc>
        <w:tc>
          <w:tcPr>
            <w:tcW w:w="120" w:type="dxa"/>
            <w:vAlign w:val="bottom"/>
            <w:tcBorders>
              <w:right w:val="single" w:sz="8" w:color="00249C"/>
            </w:tcBorders>
          </w:tcPr>
          <w:p>
            <w:pPr>
              <w:spacing w:after="0"/>
              <w:rPr>
                <w:sz w:val="18"/>
                <w:szCs w:val="18"/>
                <w:color w:val="auto"/>
              </w:rPr>
            </w:pPr>
          </w:p>
        </w:tc>
        <w:tc>
          <w:tcPr>
            <w:tcW w:w="3040" w:type="dxa"/>
            <w:vAlign w:val="bottom"/>
            <w:tcBorders>
              <w:right w:val="single" w:sz="8" w:color="00249C"/>
            </w:tcBorders>
            <w:vMerge w:val="restart"/>
          </w:tcPr>
          <w:p>
            <w:pPr>
              <w:jc w:val="center"/>
              <w:spacing w:after="0"/>
              <w:rPr>
                <w:sz w:val="20"/>
                <w:szCs w:val="20"/>
                <w:color w:val="auto"/>
              </w:rPr>
            </w:pPr>
            <w:r>
              <w:rPr>
                <w:rFonts w:ascii="Arial" w:cs="Arial" w:eastAsia="Arial" w:hAnsi="Arial"/>
                <w:sz w:val="16"/>
                <w:szCs w:val="16"/>
                <w:color w:val="auto"/>
              </w:rPr>
              <w:t>Link the interests of our executive officers</w:t>
            </w:r>
          </w:p>
        </w:tc>
        <w:tc>
          <w:tcPr>
            <w:tcW w:w="140" w:type="dxa"/>
            <w:vAlign w:val="bottom"/>
            <w:tcBorders>
              <w:right w:val="single" w:sz="8" w:color="00249C"/>
            </w:tcBorders>
          </w:tcPr>
          <w:p>
            <w:pPr>
              <w:spacing w:after="0"/>
              <w:rPr>
                <w:sz w:val="18"/>
                <w:szCs w:val="18"/>
                <w:color w:val="auto"/>
              </w:rPr>
            </w:pPr>
          </w:p>
        </w:tc>
        <w:tc>
          <w:tcPr>
            <w:tcW w:w="5320" w:type="dxa"/>
            <w:vAlign w:val="bottom"/>
            <w:tcBorders>
              <w:right w:val="single" w:sz="8" w:color="00249C"/>
            </w:tcBorders>
            <w:gridSpan w:val="3"/>
          </w:tcPr>
          <w:p>
            <w:pPr>
              <w:jc w:val="center"/>
              <w:ind w:right="20"/>
              <w:spacing w:after="0"/>
              <w:rPr>
                <w:sz w:val="20"/>
                <w:szCs w:val="20"/>
                <w:color w:val="auto"/>
              </w:rPr>
            </w:pPr>
            <w:r>
              <w:rPr>
                <w:rFonts w:ascii="Arial" w:cs="Arial" w:eastAsia="Arial" w:hAnsi="Arial"/>
                <w:sz w:val="16"/>
                <w:szCs w:val="16"/>
                <w:color w:val="auto"/>
              </w:rPr>
              <w:t>70% of annual LTIP grant</w:t>
            </w:r>
          </w:p>
        </w:tc>
        <w:tc>
          <w:tcPr>
            <w:tcW w:w="0" w:type="dxa"/>
            <w:vAlign w:val="bottom"/>
          </w:tcPr>
          <w:p>
            <w:pPr>
              <w:spacing w:after="0"/>
              <w:rPr>
                <w:sz w:val="1"/>
                <w:szCs w:val="1"/>
                <w:color w:val="auto"/>
              </w:rPr>
            </w:pPr>
          </w:p>
        </w:tc>
      </w:tr>
      <w:tr>
        <w:trPr>
          <w:trHeight w:val="143"/>
        </w:trPr>
        <w:tc>
          <w:tcPr>
            <w:tcW w:w="2560" w:type="dxa"/>
            <w:vAlign w:val="bottom"/>
            <w:tcBorders>
              <w:left w:val="single" w:sz="8" w:color="00249C"/>
              <w:right w:val="single" w:sz="8" w:color="00249C"/>
            </w:tcBorders>
            <w:vMerge w:val="restart"/>
          </w:tcPr>
          <w:p>
            <w:pPr>
              <w:jc w:val="center"/>
              <w:spacing w:after="0"/>
              <w:rPr>
                <w:sz w:val="20"/>
                <w:szCs w:val="20"/>
                <w:color w:val="auto"/>
              </w:rPr>
            </w:pPr>
            <w:r>
              <w:rPr>
                <w:rFonts w:ascii="Arial" w:cs="Arial" w:eastAsia="Arial" w:hAnsi="Arial"/>
                <w:sz w:val="16"/>
                <w:szCs w:val="16"/>
                <w:color w:val="auto"/>
              </w:rPr>
              <w:t>LTIP</w:t>
            </w:r>
          </w:p>
        </w:tc>
        <w:tc>
          <w:tcPr>
            <w:tcW w:w="120" w:type="dxa"/>
            <w:vAlign w:val="bottom"/>
            <w:tcBorders>
              <w:right w:val="single" w:sz="8" w:color="00249C"/>
            </w:tcBorders>
          </w:tcPr>
          <w:p>
            <w:pPr>
              <w:spacing w:after="0"/>
              <w:rPr>
                <w:sz w:val="12"/>
                <w:szCs w:val="12"/>
                <w:color w:val="auto"/>
              </w:rPr>
            </w:pPr>
          </w:p>
        </w:tc>
        <w:tc>
          <w:tcPr>
            <w:tcW w:w="3040" w:type="dxa"/>
            <w:vAlign w:val="bottom"/>
            <w:tcBorders>
              <w:right w:val="single" w:sz="8" w:color="00249C"/>
            </w:tcBorders>
            <w:vMerge w:val="continue"/>
          </w:tcPr>
          <w:p>
            <w:pPr>
              <w:spacing w:after="0"/>
              <w:rPr>
                <w:sz w:val="12"/>
                <w:szCs w:val="12"/>
                <w:color w:val="auto"/>
              </w:rPr>
            </w:pPr>
          </w:p>
        </w:tc>
        <w:tc>
          <w:tcPr>
            <w:tcW w:w="140" w:type="dxa"/>
            <w:vAlign w:val="bottom"/>
            <w:tcBorders>
              <w:right w:val="single" w:sz="8" w:color="00249C"/>
            </w:tcBorders>
          </w:tcPr>
          <w:p>
            <w:pPr>
              <w:spacing w:after="0"/>
              <w:rPr>
                <w:sz w:val="12"/>
                <w:szCs w:val="12"/>
                <w:color w:val="auto"/>
              </w:rPr>
            </w:pPr>
          </w:p>
        </w:tc>
        <w:tc>
          <w:tcPr>
            <w:tcW w:w="5320" w:type="dxa"/>
            <w:vAlign w:val="bottom"/>
            <w:tcBorders>
              <w:right w:val="single" w:sz="8" w:color="00249C"/>
            </w:tcBorders>
            <w:gridSpan w:val="3"/>
            <w:vMerge w:val="restart"/>
          </w:tcPr>
          <w:p>
            <w:pPr>
              <w:jc w:val="center"/>
              <w:ind w:right="40"/>
              <w:spacing w:after="0"/>
              <w:rPr>
                <w:sz w:val="20"/>
                <w:szCs w:val="20"/>
                <w:color w:val="auto"/>
              </w:rPr>
            </w:pPr>
            <w:r>
              <w:rPr>
                <w:rFonts w:ascii="Arial" w:cs="Arial" w:eastAsia="Arial" w:hAnsi="Arial"/>
                <w:sz w:val="16"/>
                <w:szCs w:val="16"/>
                <w:color w:val="auto"/>
              </w:rPr>
              <w:t>Three-year performance period</w:t>
            </w:r>
          </w:p>
        </w:tc>
        <w:tc>
          <w:tcPr>
            <w:tcW w:w="0" w:type="dxa"/>
            <w:vAlign w:val="bottom"/>
          </w:tcPr>
          <w:p>
            <w:pPr>
              <w:spacing w:after="0"/>
              <w:rPr>
                <w:sz w:val="1"/>
                <w:szCs w:val="1"/>
                <w:color w:val="auto"/>
              </w:rPr>
            </w:pPr>
          </w:p>
        </w:tc>
      </w:tr>
      <w:tr>
        <w:trPr>
          <w:trHeight w:val="147"/>
        </w:trPr>
        <w:tc>
          <w:tcPr>
            <w:tcW w:w="2560" w:type="dxa"/>
            <w:vAlign w:val="bottom"/>
            <w:tcBorders>
              <w:left w:val="single" w:sz="8" w:color="00249C"/>
              <w:right w:val="single" w:sz="8" w:color="00249C"/>
            </w:tcBorders>
            <w:vMerge w:val="continue"/>
          </w:tcPr>
          <w:p>
            <w:pPr>
              <w:spacing w:after="0"/>
              <w:rPr>
                <w:sz w:val="12"/>
                <w:szCs w:val="12"/>
                <w:color w:val="auto"/>
              </w:rPr>
            </w:pPr>
          </w:p>
        </w:tc>
        <w:tc>
          <w:tcPr>
            <w:tcW w:w="120" w:type="dxa"/>
            <w:vAlign w:val="bottom"/>
            <w:tcBorders>
              <w:right w:val="single" w:sz="8" w:color="00249C"/>
            </w:tcBorders>
          </w:tcPr>
          <w:p>
            <w:pPr>
              <w:spacing w:after="0"/>
              <w:rPr>
                <w:sz w:val="12"/>
                <w:szCs w:val="12"/>
                <w:color w:val="auto"/>
              </w:rPr>
            </w:pPr>
          </w:p>
        </w:tc>
        <w:tc>
          <w:tcPr>
            <w:tcW w:w="3040" w:type="dxa"/>
            <w:vAlign w:val="bottom"/>
            <w:tcBorders>
              <w:right w:val="single" w:sz="8" w:color="00249C"/>
            </w:tcBorders>
          </w:tcPr>
          <w:p>
            <w:pPr>
              <w:jc w:val="center"/>
              <w:spacing w:after="0" w:line="147" w:lineRule="exact"/>
              <w:rPr>
                <w:sz w:val="20"/>
                <w:szCs w:val="20"/>
                <w:color w:val="auto"/>
              </w:rPr>
            </w:pPr>
            <w:r>
              <w:rPr>
                <w:rFonts w:ascii="Arial" w:cs="Arial" w:eastAsia="Arial" w:hAnsi="Arial"/>
                <w:sz w:val="16"/>
                <w:szCs w:val="16"/>
                <w:color w:val="auto"/>
              </w:rPr>
              <w:t>to shareholders, motivate and reward</w:t>
            </w:r>
          </w:p>
        </w:tc>
        <w:tc>
          <w:tcPr>
            <w:tcW w:w="140" w:type="dxa"/>
            <w:vAlign w:val="bottom"/>
            <w:tcBorders>
              <w:right w:val="single" w:sz="8" w:color="00249C"/>
            </w:tcBorders>
          </w:tcPr>
          <w:p>
            <w:pPr>
              <w:spacing w:after="0"/>
              <w:rPr>
                <w:sz w:val="12"/>
                <w:szCs w:val="12"/>
                <w:color w:val="auto"/>
              </w:rPr>
            </w:pPr>
          </w:p>
        </w:tc>
        <w:tc>
          <w:tcPr>
            <w:tcW w:w="5320" w:type="dxa"/>
            <w:vAlign w:val="bottom"/>
            <w:tcBorders>
              <w:right w:val="single" w:sz="8" w:color="00249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60" w:type="dxa"/>
            <w:vAlign w:val="bottom"/>
            <w:tcBorders>
              <w:left w:val="single" w:sz="8" w:color="00249C"/>
              <w:right w:val="single" w:sz="8" w:color="00249C"/>
            </w:tcBorders>
          </w:tcPr>
          <w:p>
            <w:pPr>
              <w:jc w:val="center"/>
              <w:spacing w:after="0" w:line="162" w:lineRule="exact"/>
              <w:rPr>
                <w:sz w:val="20"/>
                <w:szCs w:val="20"/>
                <w:color w:val="auto"/>
              </w:rPr>
            </w:pPr>
            <w:r>
              <w:rPr>
                <w:rFonts w:ascii="Arial" w:cs="Arial" w:eastAsia="Arial" w:hAnsi="Arial"/>
                <w:sz w:val="16"/>
                <w:szCs w:val="16"/>
                <w:color w:val="auto"/>
              </w:rPr>
              <w:t>Restricted Performance Stock</w:t>
            </w:r>
          </w:p>
        </w:tc>
        <w:tc>
          <w:tcPr>
            <w:tcW w:w="120" w:type="dxa"/>
            <w:vAlign w:val="bottom"/>
            <w:tcBorders>
              <w:right w:val="single" w:sz="8" w:color="00249C"/>
            </w:tcBorders>
          </w:tcPr>
          <w:p>
            <w:pPr>
              <w:spacing w:after="0"/>
              <w:rPr>
                <w:sz w:val="14"/>
                <w:szCs w:val="14"/>
                <w:color w:val="auto"/>
              </w:rPr>
            </w:pPr>
          </w:p>
        </w:tc>
        <w:tc>
          <w:tcPr>
            <w:tcW w:w="3040" w:type="dxa"/>
            <w:vAlign w:val="bottom"/>
            <w:tcBorders>
              <w:right w:val="single" w:sz="8" w:color="00249C"/>
            </w:tcBorders>
          </w:tcPr>
          <w:p>
            <w:pPr>
              <w:jc w:val="center"/>
              <w:spacing w:after="0" w:line="162" w:lineRule="exact"/>
              <w:rPr>
                <w:sz w:val="20"/>
                <w:szCs w:val="20"/>
                <w:color w:val="auto"/>
              </w:rPr>
            </w:pPr>
            <w:r>
              <w:rPr>
                <w:rFonts w:ascii="Arial" w:cs="Arial" w:eastAsia="Arial" w:hAnsi="Arial"/>
                <w:sz w:val="16"/>
                <w:szCs w:val="16"/>
                <w:color w:val="auto"/>
              </w:rPr>
              <w:t>achievement of long-term strategic goals</w:t>
            </w:r>
          </w:p>
        </w:tc>
        <w:tc>
          <w:tcPr>
            <w:tcW w:w="140" w:type="dxa"/>
            <w:vAlign w:val="bottom"/>
            <w:tcBorders>
              <w:right w:val="single" w:sz="8" w:color="00249C"/>
            </w:tcBorders>
          </w:tcPr>
          <w:p>
            <w:pPr>
              <w:spacing w:after="0"/>
              <w:rPr>
                <w:sz w:val="14"/>
                <w:szCs w:val="14"/>
                <w:color w:val="auto"/>
              </w:rPr>
            </w:pPr>
          </w:p>
        </w:tc>
        <w:tc>
          <w:tcPr>
            <w:tcW w:w="5320" w:type="dxa"/>
            <w:vAlign w:val="bottom"/>
            <w:tcBorders>
              <w:right w:val="single" w:sz="8" w:color="00249C"/>
            </w:tcBorders>
            <w:gridSpan w:val="3"/>
            <w:vMerge w:val="restart"/>
          </w:tcPr>
          <w:p>
            <w:pPr>
              <w:jc w:val="center"/>
              <w:ind w:right="20"/>
              <w:spacing w:after="0"/>
              <w:rPr>
                <w:sz w:val="20"/>
                <w:szCs w:val="20"/>
                <w:color w:val="auto"/>
              </w:rPr>
            </w:pPr>
            <w:r>
              <w:rPr>
                <w:rFonts w:ascii="Arial" w:cs="Arial" w:eastAsia="Arial" w:hAnsi="Arial"/>
                <w:sz w:val="16"/>
                <w:szCs w:val="16"/>
                <w:color w:val="auto"/>
              </w:rPr>
              <w:t>Equally weighted metrics of relative Total Shareholder Return (TSR),</w:t>
            </w:r>
          </w:p>
        </w:tc>
        <w:tc>
          <w:tcPr>
            <w:tcW w:w="0" w:type="dxa"/>
            <w:vAlign w:val="bottom"/>
          </w:tcPr>
          <w:p>
            <w:pPr>
              <w:spacing w:after="0"/>
              <w:rPr>
                <w:sz w:val="1"/>
                <w:szCs w:val="1"/>
                <w:color w:val="auto"/>
              </w:rPr>
            </w:pPr>
          </w:p>
        </w:tc>
      </w:tr>
      <w:tr>
        <w:trPr>
          <w:trHeight w:val="110"/>
        </w:trPr>
        <w:tc>
          <w:tcPr>
            <w:tcW w:w="2560" w:type="dxa"/>
            <w:vAlign w:val="bottom"/>
            <w:tcBorders>
              <w:left w:val="single" w:sz="8" w:color="00249C"/>
              <w:right w:val="single" w:sz="8" w:color="00249C"/>
            </w:tcBorders>
            <w:vMerge w:val="restart"/>
          </w:tcPr>
          <w:p>
            <w:pPr>
              <w:jc w:val="center"/>
              <w:spacing w:after="0"/>
              <w:rPr>
                <w:sz w:val="20"/>
                <w:szCs w:val="20"/>
                <w:color w:val="auto"/>
              </w:rPr>
            </w:pPr>
            <w:r>
              <w:rPr>
                <w:rFonts w:ascii="Arial" w:cs="Arial" w:eastAsia="Arial" w:hAnsi="Arial"/>
                <w:sz w:val="16"/>
                <w:szCs w:val="16"/>
                <w:color w:val="auto"/>
              </w:rPr>
              <w:t>Rights (RPSRs)</w:t>
            </w:r>
          </w:p>
        </w:tc>
        <w:tc>
          <w:tcPr>
            <w:tcW w:w="120" w:type="dxa"/>
            <w:vAlign w:val="bottom"/>
            <w:tcBorders>
              <w:right w:val="single" w:sz="8" w:color="00249C"/>
            </w:tcBorders>
          </w:tcPr>
          <w:p>
            <w:pPr>
              <w:spacing w:after="0"/>
              <w:rPr>
                <w:sz w:val="9"/>
                <w:szCs w:val="9"/>
                <w:color w:val="auto"/>
              </w:rPr>
            </w:pPr>
          </w:p>
        </w:tc>
        <w:tc>
          <w:tcPr>
            <w:tcW w:w="3040" w:type="dxa"/>
            <w:vAlign w:val="bottom"/>
            <w:tcBorders>
              <w:right w:val="single" w:sz="8" w:color="00249C"/>
            </w:tcBorders>
            <w:vMerge w:val="restart"/>
          </w:tcPr>
          <w:p>
            <w:pPr>
              <w:jc w:val="center"/>
              <w:spacing w:after="0"/>
              <w:rPr>
                <w:sz w:val="20"/>
                <w:szCs w:val="20"/>
                <w:color w:val="auto"/>
              </w:rPr>
            </w:pPr>
            <w:r>
              <w:rPr>
                <w:rFonts w:ascii="Arial" w:cs="Arial" w:eastAsia="Arial" w:hAnsi="Arial"/>
                <w:sz w:val="16"/>
                <w:szCs w:val="16"/>
                <w:color w:val="auto"/>
              </w:rPr>
              <w:t>and retain executive talent</w:t>
            </w:r>
          </w:p>
        </w:tc>
        <w:tc>
          <w:tcPr>
            <w:tcW w:w="140" w:type="dxa"/>
            <w:vAlign w:val="bottom"/>
            <w:tcBorders>
              <w:right w:val="single" w:sz="8" w:color="00249C"/>
            </w:tcBorders>
          </w:tcPr>
          <w:p>
            <w:pPr>
              <w:spacing w:after="0"/>
              <w:rPr>
                <w:sz w:val="9"/>
                <w:szCs w:val="9"/>
                <w:color w:val="auto"/>
              </w:rPr>
            </w:pPr>
          </w:p>
        </w:tc>
        <w:tc>
          <w:tcPr>
            <w:tcW w:w="5320" w:type="dxa"/>
            <w:vAlign w:val="bottom"/>
            <w:tcBorders>
              <w:right w:val="single" w:sz="8" w:color="00249C"/>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560" w:type="dxa"/>
            <w:vAlign w:val="bottom"/>
            <w:tcBorders>
              <w:left w:val="single" w:sz="8" w:color="00249C"/>
              <w:right w:val="single" w:sz="8" w:color="00249C"/>
            </w:tcBorders>
            <w:vMerge w:val="continue"/>
          </w:tcPr>
          <w:p>
            <w:pPr>
              <w:spacing w:after="0"/>
              <w:rPr>
                <w:sz w:val="8"/>
                <w:szCs w:val="8"/>
                <w:color w:val="auto"/>
              </w:rPr>
            </w:pPr>
          </w:p>
        </w:tc>
        <w:tc>
          <w:tcPr>
            <w:tcW w:w="120" w:type="dxa"/>
            <w:vAlign w:val="bottom"/>
            <w:tcBorders>
              <w:right w:val="single" w:sz="8" w:color="00249C"/>
            </w:tcBorders>
          </w:tcPr>
          <w:p>
            <w:pPr>
              <w:spacing w:after="0"/>
              <w:rPr>
                <w:sz w:val="8"/>
                <w:szCs w:val="8"/>
                <w:color w:val="auto"/>
              </w:rPr>
            </w:pPr>
          </w:p>
        </w:tc>
        <w:tc>
          <w:tcPr>
            <w:tcW w:w="3040" w:type="dxa"/>
            <w:vAlign w:val="bottom"/>
            <w:tcBorders>
              <w:right w:val="single" w:sz="8" w:color="00249C"/>
            </w:tcBorders>
            <w:vMerge w:val="continue"/>
          </w:tcPr>
          <w:p>
            <w:pPr>
              <w:spacing w:after="0"/>
              <w:rPr>
                <w:sz w:val="8"/>
                <w:szCs w:val="8"/>
                <w:color w:val="auto"/>
              </w:rPr>
            </w:pPr>
          </w:p>
        </w:tc>
        <w:tc>
          <w:tcPr>
            <w:tcW w:w="140" w:type="dxa"/>
            <w:vAlign w:val="bottom"/>
            <w:tcBorders>
              <w:right w:val="single" w:sz="8" w:color="00249C"/>
            </w:tcBorders>
          </w:tcPr>
          <w:p>
            <w:pPr>
              <w:spacing w:after="0"/>
              <w:rPr>
                <w:sz w:val="8"/>
                <w:szCs w:val="8"/>
                <w:color w:val="auto"/>
              </w:rPr>
            </w:pPr>
          </w:p>
        </w:tc>
        <w:tc>
          <w:tcPr>
            <w:tcW w:w="5320" w:type="dxa"/>
            <w:vAlign w:val="bottom"/>
            <w:tcBorders>
              <w:right w:val="single" w:sz="8" w:color="00249C"/>
            </w:tcBorders>
            <w:gridSpan w:val="3"/>
            <w:vMerge w:val="restart"/>
          </w:tcPr>
          <w:p>
            <w:pPr>
              <w:jc w:val="center"/>
              <w:ind w:right="40"/>
              <w:spacing w:after="0"/>
              <w:rPr>
                <w:sz w:val="20"/>
                <w:szCs w:val="20"/>
                <w:color w:val="auto"/>
              </w:rPr>
            </w:pPr>
            <w:r>
              <w:rPr>
                <w:rFonts w:ascii="Arial" w:cs="Arial" w:eastAsia="Arial" w:hAnsi="Arial"/>
                <w:sz w:val="16"/>
                <w:szCs w:val="16"/>
                <w:color w:val="auto"/>
              </w:rPr>
              <w:t>Adjusted Cumulative Free Cash Flow* (Adjusted Cumulative FCF*) and</w:t>
            </w:r>
          </w:p>
        </w:tc>
        <w:tc>
          <w:tcPr>
            <w:tcW w:w="0" w:type="dxa"/>
            <w:vAlign w:val="bottom"/>
          </w:tcPr>
          <w:p>
            <w:pPr>
              <w:spacing w:after="0"/>
              <w:rPr>
                <w:sz w:val="1"/>
                <w:szCs w:val="1"/>
                <w:color w:val="auto"/>
              </w:rPr>
            </w:pPr>
          </w:p>
        </w:tc>
      </w:tr>
      <w:tr>
        <w:trPr>
          <w:trHeight w:val="89"/>
        </w:trPr>
        <w:tc>
          <w:tcPr>
            <w:tcW w:w="2560" w:type="dxa"/>
            <w:vAlign w:val="bottom"/>
            <w:tcBorders>
              <w:left w:val="single" w:sz="8" w:color="00249C"/>
              <w:right w:val="single" w:sz="8" w:color="00249C"/>
            </w:tcBorders>
          </w:tcPr>
          <w:p>
            <w:pPr>
              <w:spacing w:after="0"/>
              <w:rPr>
                <w:sz w:val="7"/>
                <w:szCs w:val="7"/>
                <w:color w:val="auto"/>
              </w:rPr>
            </w:pPr>
          </w:p>
        </w:tc>
        <w:tc>
          <w:tcPr>
            <w:tcW w:w="120" w:type="dxa"/>
            <w:vAlign w:val="bottom"/>
            <w:tcBorders>
              <w:right w:val="single" w:sz="8" w:color="00249C"/>
            </w:tcBorders>
          </w:tcPr>
          <w:p>
            <w:pPr>
              <w:spacing w:after="0"/>
              <w:rPr>
                <w:sz w:val="7"/>
                <w:szCs w:val="7"/>
                <w:color w:val="auto"/>
              </w:rPr>
            </w:pPr>
          </w:p>
        </w:tc>
        <w:tc>
          <w:tcPr>
            <w:tcW w:w="3040" w:type="dxa"/>
            <w:vAlign w:val="bottom"/>
            <w:tcBorders>
              <w:right w:val="single" w:sz="8" w:color="00249C"/>
            </w:tcBorders>
          </w:tcPr>
          <w:p>
            <w:pPr>
              <w:spacing w:after="0"/>
              <w:rPr>
                <w:sz w:val="7"/>
                <w:szCs w:val="7"/>
                <w:color w:val="auto"/>
              </w:rPr>
            </w:pPr>
          </w:p>
        </w:tc>
        <w:tc>
          <w:tcPr>
            <w:tcW w:w="140" w:type="dxa"/>
            <w:vAlign w:val="bottom"/>
            <w:tcBorders>
              <w:right w:val="single" w:sz="8" w:color="00249C"/>
            </w:tcBorders>
          </w:tcPr>
          <w:p>
            <w:pPr>
              <w:spacing w:after="0"/>
              <w:rPr>
                <w:sz w:val="7"/>
                <w:szCs w:val="7"/>
                <w:color w:val="auto"/>
              </w:rPr>
            </w:pPr>
          </w:p>
        </w:tc>
        <w:tc>
          <w:tcPr>
            <w:tcW w:w="5320" w:type="dxa"/>
            <w:vAlign w:val="bottom"/>
            <w:tcBorders>
              <w:right w:val="single" w:sz="8" w:color="00249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560" w:type="dxa"/>
            <w:vAlign w:val="bottom"/>
            <w:tcBorders>
              <w:left w:val="single" w:sz="8" w:color="00249C"/>
              <w:bottom w:val="single" w:sz="8" w:color="00249C"/>
              <w:right w:val="single" w:sz="8" w:color="00249C"/>
            </w:tcBorders>
          </w:tcPr>
          <w:p>
            <w:pPr>
              <w:spacing w:after="0"/>
              <w:rPr>
                <w:sz w:val="17"/>
                <w:szCs w:val="17"/>
                <w:color w:val="auto"/>
              </w:rPr>
            </w:pPr>
          </w:p>
        </w:tc>
        <w:tc>
          <w:tcPr>
            <w:tcW w:w="120" w:type="dxa"/>
            <w:vAlign w:val="bottom"/>
            <w:tcBorders>
              <w:right w:val="single" w:sz="8" w:color="00249C"/>
            </w:tcBorders>
          </w:tcPr>
          <w:p>
            <w:pPr>
              <w:spacing w:after="0"/>
              <w:rPr>
                <w:sz w:val="17"/>
                <w:szCs w:val="17"/>
                <w:color w:val="auto"/>
              </w:rPr>
            </w:pPr>
          </w:p>
        </w:tc>
        <w:tc>
          <w:tcPr>
            <w:tcW w:w="3040" w:type="dxa"/>
            <w:vAlign w:val="bottom"/>
            <w:tcBorders>
              <w:bottom w:val="single" w:sz="8" w:color="00249C"/>
              <w:right w:val="single" w:sz="8" w:color="00249C"/>
            </w:tcBorders>
          </w:tcPr>
          <w:p>
            <w:pPr>
              <w:spacing w:after="0"/>
              <w:rPr>
                <w:sz w:val="17"/>
                <w:szCs w:val="17"/>
                <w:color w:val="auto"/>
              </w:rPr>
            </w:pPr>
          </w:p>
        </w:tc>
        <w:tc>
          <w:tcPr>
            <w:tcW w:w="140" w:type="dxa"/>
            <w:vAlign w:val="bottom"/>
            <w:tcBorders>
              <w:right w:val="single" w:sz="8" w:color="00249C"/>
            </w:tcBorders>
          </w:tcPr>
          <w:p>
            <w:pPr>
              <w:spacing w:after="0"/>
              <w:rPr>
                <w:sz w:val="17"/>
                <w:szCs w:val="17"/>
                <w:color w:val="auto"/>
              </w:rPr>
            </w:pPr>
          </w:p>
        </w:tc>
        <w:tc>
          <w:tcPr>
            <w:tcW w:w="5320" w:type="dxa"/>
            <w:vAlign w:val="bottom"/>
            <w:tcBorders>
              <w:bottom w:val="single" w:sz="8" w:color="00249C"/>
              <w:right w:val="single" w:sz="8" w:color="00249C"/>
            </w:tcBorders>
            <w:gridSpan w:val="3"/>
          </w:tcPr>
          <w:p>
            <w:pPr>
              <w:jc w:val="center"/>
              <w:ind w:right="40"/>
              <w:spacing w:after="0"/>
              <w:rPr>
                <w:sz w:val="20"/>
                <w:szCs w:val="20"/>
                <w:color w:val="auto"/>
              </w:rPr>
            </w:pPr>
            <w:r>
              <w:rPr>
                <w:rFonts w:ascii="Arial" w:cs="Arial" w:eastAsia="Arial" w:hAnsi="Arial"/>
                <w:sz w:val="16"/>
                <w:szCs w:val="16"/>
                <w:color w:val="auto"/>
              </w:rPr>
              <w:t>Operating Return on Net Assets* (Operating RONA*)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-822325</wp:posOffset>
            </wp:positionV>
            <wp:extent cx="8255" cy="685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6858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-822325</wp:posOffset>
            </wp:positionV>
            <wp:extent cx="93980" cy="685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-822325</wp:posOffset>
            </wp:positionV>
            <wp:extent cx="94615" cy="685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4615" cy="6858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-1233805</wp:posOffset>
            </wp:positionV>
            <wp:extent cx="939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-1233805</wp:posOffset>
            </wp:positionV>
            <wp:extent cx="9461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-1294130</wp:posOffset>
            </wp:positionV>
            <wp:extent cx="939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-1294130</wp:posOffset>
            </wp:positionV>
            <wp:extent cx="9461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-2176780</wp:posOffset>
            </wp:positionV>
            <wp:extent cx="8255" cy="685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6858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-2176780</wp:posOffset>
            </wp:positionV>
            <wp:extent cx="93980" cy="685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3980" cy="68580"/>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-2176780</wp:posOffset>
            </wp:positionV>
            <wp:extent cx="94615" cy="685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4615" cy="68580"/>
                    </a:xfrm>
                    <a:prstGeom prst="rect">
                      <a:avLst/>
                    </a:prstGeom>
                    <a:noFill/>
                  </pic:spPr>
                </pic:pic>
              </a:graphicData>
            </a:graphic>
          </wp:anchor>
        </w:drawing>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 This metric is a non-GAAP financial measure. For more information, see "Appendix A - Use of Non-GAAP Financial Measures."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Our Compensation Pay Practices (pages 40 - 56)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programs incorporate best practices, including the following:</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00249C"/>
        </w:rPr>
        <w:t>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1517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180"/>
          </w:cols>
          <w:pgMar w:left="320" w:top="674" w:right="399" w:bottom="1440" w:gutter="0" w:footer="0" w:header="0"/>
        </w:sectPr>
      </w:pP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259"/>
        </w:trPr>
        <w:tc>
          <w:tcPr>
            <w:tcW w:w="3640" w:type="dxa"/>
            <w:vAlign w:val="bottom"/>
          </w:tcPr>
          <w:p>
            <w:pPr>
              <w:spacing w:after="0"/>
              <w:rPr>
                <w:sz w:val="20"/>
                <w:szCs w:val="20"/>
                <w:color w:val="auto"/>
              </w:rPr>
            </w:pPr>
            <w:r>
              <w:rPr>
                <w:rFonts w:ascii="Arial" w:cs="Arial" w:eastAsia="Arial" w:hAnsi="Arial"/>
                <w:sz w:val="22"/>
                <w:szCs w:val="22"/>
                <w:color w:val="00249C"/>
              </w:rPr>
              <w:t xml:space="preserve">• </w:t>
            </w:r>
            <w:r>
              <w:rPr>
                <w:rFonts w:ascii="Arial" w:cs="Arial" w:eastAsia="Arial" w:hAnsi="Arial"/>
                <w:sz w:val="16"/>
                <w:szCs w:val="16"/>
                <w:color w:val="000000"/>
              </w:rPr>
              <w:t>Pay for Performance</w:t>
            </w:r>
          </w:p>
        </w:tc>
        <w:tc>
          <w:tcPr>
            <w:tcW w:w="3640" w:type="dxa"/>
            <w:vAlign w:val="bottom"/>
          </w:tcPr>
          <w:p>
            <w:pPr>
              <w:ind w:left="100"/>
              <w:spacing w:after="0"/>
              <w:rPr>
                <w:sz w:val="20"/>
                <w:szCs w:val="20"/>
                <w:color w:val="auto"/>
              </w:rPr>
            </w:pPr>
            <w:r>
              <w:rPr>
                <w:rFonts w:ascii="Arial" w:cs="Arial" w:eastAsia="Arial" w:hAnsi="Arial"/>
                <w:sz w:val="22"/>
                <w:szCs w:val="22"/>
                <w:color w:val="00249C"/>
              </w:rPr>
              <w:t xml:space="preserve">• </w:t>
            </w:r>
            <w:r>
              <w:rPr>
                <w:rFonts w:ascii="Arial" w:cs="Arial" w:eastAsia="Arial" w:hAnsi="Arial"/>
                <w:sz w:val="16"/>
                <w:szCs w:val="16"/>
                <w:color w:val="000000"/>
              </w:rPr>
              <w:t>Annual Peer Group Review</w:t>
            </w:r>
          </w:p>
        </w:tc>
      </w:tr>
      <w:tr>
        <w:trPr>
          <w:trHeight w:val="235"/>
        </w:trPr>
        <w:tc>
          <w:tcPr>
            <w:tcW w:w="3640" w:type="dxa"/>
            <w:vAlign w:val="bottom"/>
          </w:tcPr>
          <w:p>
            <w:pPr>
              <w:spacing w:after="0" w:line="234" w:lineRule="exact"/>
              <w:rPr>
                <w:sz w:val="20"/>
                <w:szCs w:val="20"/>
                <w:color w:val="auto"/>
              </w:rPr>
            </w:pPr>
            <w:r>
              <w:rPr>
                <w:rFonts w:ascii="Arial" w:cs="Arial" w:eastAsia="Arial" w:hAnsi="Arial"/>
                <w:sz w:val="22"/>
                <w:szCs w:val="22"/>
                <w:color w:val="00249C"/>
              </w:rPr>
              <w:t xml:space="preserve">• </w:t>
            </w:r>
            <w:r>
              <w:rPr>
                <w:rFonts w:ascii="Arial" w:cs="Arial" w:eastAsia="Arial" w:hAnsi="Arial"/>
                <w:sz w:val="16"/>
                <w:szCs w:val="16"/>
                <w:color w:val="000000"/>
              </w:rPr>
              <w:t>Above-Target Annual Incentive Payouts Only</w:t>
            </w:r>
          </w:p>
        </w:tc>
        <w:tc>
          <w:tcPr>
            <w:tcW w:w="3640" w:type="dxa"/>
            <w:vAlign w:val="bottom"/>
          </w:tcPr>
          <w:p>
            <w:pPr>
              <w:ind w:left="100"/>
              <w:spacing w:after="0" w:line="234" w:lineRule="exact"/>
              <w:rPr>
                <w:sz w:val="20"/>
                <w:szCs w:val="20"/>
                <w:color w:val="auto"/>
              </w:rPr>
            </w:pPr>
            <w:r>
              <w:rPr>
                <w:rFonts w:ascii="Arial" w:cs="Arial" w:eastAsia="Arial" w:hAnsi="Arial"/>
                <w:sz w:val="22"/>
                <w:szCs w:val="22"/>
                <w:color w:val="00249C"/>
              </w:rPr>
              <w:t xml:space="preserve">• </w:t>
            </w:r>
            <w:r>
              <w:rPr>
                <w:rFonts w:ascii="Arial" w:cs="Arial" w:eastAsia="Arial" w:hAnsi="Arial"/>
                <w:sz w:val="16"/>
                <w:szCs w:val="16"/>
                <w:color w:val="000000"/>
              </w:rPr>
              <w:t>Independent Consultant Reports Directly to</w:t>
            </w:r>
          </w:p>
        </w:tc>
      </w:tr>
      <w:tr>
        <w:trPr>
          <w:trHeight w:val="195"/>
        </w:trPr>
        <w:tc>
          <w:tcPr>
            <w:tcW w:w="3640" w:type="dxa"/>
            <w:vAlign w:val="bottom"/>
          </w:tcPr>
          <w:p>
            <w:pPr>
              <w:ind w:left="240"/>
              <w:spacing w:after="0"/>
              <w:rPr>
                <w:sz w:val="20"/>
                <w:szCs w:val="20"/>
                <w:color w:val="auto"/>
              </w:rPr>
            </w:pPr>
            <w:r>
              <w:rPr>
                <w:rFonts w:ascii="Arial" w:cs="Arial" w:eastAsia="Arial" w:hAnsi="Arial"/>
                <w:sz w:val="16"/>
                <w:szCs w:val="16"/>
                <w:color w:val="auto"/>
              </w:rPr>
              <w:t>When We Outperform Our Peer Benchmarks</w:t>
            </w:r>
          </w:p>
        </w:tc>
        <w:tc>
          <w:tcPr>
            <w:tcW w:w="3640" w:type="dxa"/>
            <w:vAlign w:val="bottom"/>
          </w:tcPr>
          <w:p>
            <w:pPr>
              <w:ind w:left="340"/>
              <w:spacing w:after="0"/>
              <w:rPr>
                <w:sz w:val="20"/>
                <w:szCs w:val="20"/>
                <w:color w:val="auto"/>
              </w:rPr>
            </w:pPr>
            <w:r>
              <w:rPr>
                <w:rFonts w:ascii="Arial" w:cs="Arial" w:eastAsia="Arial" w:hAnsi="Arial"/>
                <w:sz w:val="16"/>
                <w:szCs w:val="16"/>
                <w:color w:val="auto"/>
              </w:rPr>
              <w:t>Compensation Committee</w:t>
            </w:r>
          </w:p>
        </w:tc>
      </w:tr>
      <w:tr>
        <w:trPr>
          <w:trHeight w:val="273"/>
        </w:trPr>
        <w:tc>
          <w:tcPr>
            <w:tcW w:w="3640" w:type="dxa"/>
            <w:vAlign w:val="bottom"/>
          </w:tcPr>
          <w:p>
            <w:pPr>
              <w:spacing w:after="0"/>
              <w:rPr>
                <w:sz w:val="20"/>
                <w:szCs w:val="20"/>
                <w:color w:val="auto"/>
              </w:rPr>
            </w:pPr>
            <w:r>
              <w:rPr>
                <w:rFonts w:ascii="Arial" w:cs="Arial" w:eastAsia="Arial" w:hAnsi="Arial"/>
                <w:sz w:val="22"/>
                <w:szCs w:val="22"/>
                <w:color w:val="00249C"/>
              </w:rPr>
              <w:t xml:space="preserve">• </w:t>
            </w:r>
            <w:r>
              <w:rPr>
                <w:rFonts w:ascii="Arial" w:cs="Arial" w:eastAsia="Arial" w:hAnsi="Arial"/>
                <w:sz w:val="16"/>
                <w:szCs w:val="16"/>
                <w:color w:val="000000"/>
              </w:rPr>
              <w:t>Long-Term Incentives Focused on Performance</w:t>
            </w:r>
          </w:p>
        </w:tc>
        <w:tc>
          <w:tcPr>
            <w:tcW w:w="3640" w:type="dxa"/>
            <w:vAlign w:val="bottom"/>
          </w:tcPr>
          <w:p>
            <w:pPr>
              <w:ind w:left="100"/>
              <w:spacing w:after="0"/>
              <w:rPr>
                <w:sz w:val="20"/>
                <w:szCs w:val="20"/>
                <w:color w:val="auto"/>
              </w:rPr>
            </w:pPr>
            <w:r>
              <w:rPr>
                <w:rFonts w:ascii="Arial" w:cs="Arial" w:eastAsia="Arial" w:hAnsi="Arial"/>
                <w:sz w:val="22"/>
                <w:szCs w:val="22"/>
                <w:color w:val="00249C"/>
              </w:rPr>
              <w:t xml:space="preserve">• </w:t>
            </w:r>
            <w:r>
              <w:rPr>
                <w:rFonts w:ascii="Arial" w:cs="Arial" w:eastAsia="Arial" w:hAnsi="Arial"/>
                <w:sz w:val="16"/>
                <w:szCs w:val="16"/>
                <w:color w:val="000000"/>
              </w:rPr>
              <w:t>No Individual Change in Control Agreements</w:t>
            </w:r>
          </w:p>
        </w:tc>
      </w:tr>
      <w:tr>
        <w:trPr>
          <w:trHeight w:val="235"/>
        </w:trPr>
        <w:tc>
          <w:tcPr>
            <w:tcW w:w="3640" w:type="dxa"/>
            <w:vAlign w:val="bottom"/>
          </w:tcPr>
          <w:p>
            <w:pPr>
              <w:spacing w:after="0" w:line="234" w:lineRule="exact"/>
              <w:rPr>
                <w:sz w:val="20"/>
                <w:szCs w:val="20"/>
                <w:color w:val="auto"/>
              </w:rPr>
            </w:pPr>
            <w:r>
              <w:rPr>
                <w:rFonts w:ascii="Arial" w:cs="Arial" w:eastAsia="Arial" w:hAnsi="Arial"/>
                <w:sz w:val="22"/>
                <w:szCs w:val="22"/>
                <w:color w:val="00249C"/>
              </w:rPr>
              <w:t xml:space="preserve">• </w:t>
            </w:r>
            <w:r>
              <w:rPr>
                <w:rFonts w:ascii="Arial" w:cs="Arial" w:eastAsia="Arial" w:hAnsi="Arial"/>
                <w:sz w:val="16"/>
                <w:szCs w:val="16"/>
                <w:color w:val="000000"/>
              </w:rPr>
              <w:t>Cap on Annual Bonuses and RPSR Payouts</w:t>
            </w:r>
          </w:p>
        </w:tc>
        <w:tc>
          <w:tcPr>
            <w:tcW w:w="3640" w:type="dxa"/>
            <w:vAlign w:val="bottom"/>
          </w:tcPr>
          <w:p>
            <w:pPr>
              <w:ind w:left="100"/>
              <w:spacing w:after="0" w:line="234" w:lineRule="exact"/>
              <w:rPr>
                <w:sz w:val="20"/>
                <w:szCs w:val="20"/>
                <w:color w:val="auto"/>
              </w:rPr>
            </w:pPr>
            <w:r>
              <w:rPr>
                <w:rFonts w:ascii="Arial" w:cs="Arial" w:eastAsia="Arial" w:hAnsi="Arial"/>
                <w:sz w:val="22"/>
                <w:szCs w:val="22"/>
                <w:color w:val="00249C"/>
              </w:rPr>
              <w:t xml:space="preserve">• </w:t>
            </w:r>
            <w:r>
              <w:rPr>
                <w:rFonts w:ascii="Arial" w:cs="Arial" w:eastAsia="Arial" w:hAnsi="Arial"/>
                <w:sz w:val="16"/>
                <w:szCs w:val="16"/>
                <w:color w:val="000000"/>
              </w:rPr>
              <w:t>LTIP Double Trigger Provisions for Change in</w:t>
            </w:r>
          </w:p>
        </w:tc>
      </w:tr>
      <w:tr>
        <w:trPr>
          <w:trHeight w:val="241"/>
        </w:trPr>
        <w:tc>
          <w:tcPr>
            <w:tcW w:w="3640" w:type="dxa"/>
            <w:vAlign w:val="bottom"/>
          </w:tcPr>
          <w:p>
            <w:pPr>
              <w:spacing w:after="0" w:line="241" w:lineRule="exact"/>
              <w:rPr>
                <w:sz w:val="20"/>
                <w:szCs w:val="20"/>
                <w:color w:val="auto"/>
              </w:rPr>
            </w:pPr>
            <w:r>
              <w:rPr>
                <w:rFonts w:ascii="Arial" w:cs="Arial" w:eastAsia="Arial" w:hAnsi="Arial"/>
                <w:sz w:val="22"/>
                <w:szCs w:val="22"/>
                <w:color w:val="00249C"/>
              </w:rPr>
              <w:t xml:space="preserve">• </w:t>
            </w:r>
            <w:r>
              <w:rPr>
                <w:rFonts w:ascii="Arial" w:cs="Arial" w:eastAsia="Arial" w:hAnsi="Arial"/>
                <w:sz w:val="16"/>
                <w:szCs w:val="16"/>
                <w:color w:val="000000"/>
              </w:rPr>
              <w:t>Compensation Elements Benchmarked at</w:t>
            </w:r>
          </w:p>
        </w:tc>
        <w:tc>
          <w:tcPr>
            <w:tcW w:w="3640" w:type="dxa"/>
            <w:vAlign w:val="bottom"/>
          </w:tcPr>
          <w:p>
            <w:pPr>
              <w:ind w:left="340"/>
              <w:spacing w:after="0"/>
              <w:rPr>
                <w:sz w:val="20"/>
                <w:szCs w:val="20"/>
                <w:color w:val="auto"/>
              </w:rPr>
            </w:pPr>
            <w:r>
              <w:rPr>
                <w:rFonts w:ascii="Arial" w:cs="Arial" w:eastAsia="Arial" w:hAnsi="Arial"/>
                <w:sz w:val="16"/>
                <w:szCs w:val="16"/>
                <w:color w:val="auto"/>
              </w:rPr>
              <w:t>Control</w:t>
            </w:r>
          </w:p>
        </w:tc>
      </w:tr>
      <w:tr>
        <w:trPr>
          <w:trHeight w:val="191"/>
        </w:trPr>
        <w:tc>
          <w:tcPr>
            <w:tcW w:w="3640" w:type="dxa"/>
            <w:vAlign w:val="bottom"/>
          </w:tcPr>
          <w:p>
            <w:pPr>
              <w:ind w:left="240"/>
              <w:spacing w:after="0"/>
              <w:rPr>
                <w:sz w:val="20"/>
                <w:szCs w:val="20"/>
                <w:color w:val="auto"/>
              </w:rPr>
            </w:pPr>
            <w:r>
              <w:rPr>
                <w:rFonts w:ascii="Arial" w:cs="Arial" w:eastAsia="Arial" w:hAnsi="Arial"/>
                <w:sz w:val="16"/>
                <w:szCs w:val="16"/>
                <w:color w:val="auto"/>
              </w:rPr>
              <w:t>Market Median</w:t>
            </w:r>
          </w:p>
        </w:tc>
        <w:tc>
          <w:tcPr>
            <w:tcW w:w="3640" w:type="dxa"/>
            <w:vAlign w:val="bottom"/>
          </w:tcPr>
          <w:p>
            <w:pPr>
              <w:ind w:left="100"/>
              <w:spacing w:after="0" w:line="191" w:lineRule="exact"/>
              <w:rPr>
                <w:sz w:val="20"/>
                <w:szCs w:val="20"/>
                <w:color w:val="auto"/>
              </w:rPr>
            </w:pPr>
            <w:r>
              <w:rPr>
                <w:rFonts w:ascii="Arial" w:cs="Arial" w:eastAsia="Arial" w:hAnsi="Arial"/>
                <w:sz w:val="22"/>
                <w:szCs w:val="22"/>
                <w:color w:val="00249C"/>
              </w:rPr>
              <w:t xml:space="preserve">• </w:t>
            </w:r>
            <w:r>
              <w:rPr>
                <w:rFonts w:ascii="Arial" w:cs="Arial" w:eastAsia="Arial" w:hAnsi="Arial"/>
                <w:sz w:val="16"/>
                <w:szCs w:val="16"/>
                <w:color w:val="000000"/>
              </w:rPr>
              <w:t>No Excise Tax Gross-ups for Payments</w:t>
            </w:r>
          </w:p>
        </w:tc>
      </w:tr>
      <w:tr>
        <w:trPr>
          <w:trHeight w:val="162"/>
        </w:trPr>
        <w:tc>
          <w:tcPr>
            <w:tcW w:w="3640" w:type="dxa"/>
            <w:vAlign w:val="bottom"/>
          </w:tcPr>
          <w:p>
            <w:pPr>
              <w:spacing w:after="0"/>
              <w:rPr>
                <w:sz w:val="14"/>
                <w:szCs w:val="14"/>
                <w:color w:val="auto"/>
              </w:rPr>
            </w:pPr>
          </w:p>
        </w:tc>
        <w:tc>
          <w:tcPr>
            <w:tcW w:w="3640" w:type="dxa"/>
            <w:vAlign w:val="bottom"/>
          </w:tcPr>
          <w:p>
            <w:pPr>
              <w:ind w:left="340"/>
              <w:spacing w:after="0" w:line="162" w:lineRule="exact"/>
              <w:rPr>
                <w:sz w:val="20"/>
                <w:szCs w:val="20"/>
                <w:color w:val="auto"/>
              </w:rPr>
            </w:pPr>
            <w:r>
              <w:rPr>
                <w:rFonts w:ascii="Arial" w:cs="Arial" w:eastAsia="Arial" w:hAnsi="Arial"/>
                <w:sz w:val="16"/>
                <w:szCs w:val="16"/>
                <w:color w:val="auto"/>
              </w:rPr>
              <w:t>Received Upon Termination After a Change in</w:t>
            </w:r>
          </w:p>
        </w:tc>
      </w:tr>
      <w:tr>
        <w:trPr>
          <w:trHeight w:val="195"/>
        </w:trPr>
        <w:tc>
          <w:tcPr>
            <w:tcW w:w="3640" w:type="dxa"/>
            <w:vAlign w:val="bottom"/>
          </w:tcPr>
          <w:p>
            <w:pPr>
              <w:spacing w:after="0"/>
              <w:rPr>
                <w:sz w:val="16"/>
                <w:szCs w:val="16"/>
                <w:color w:val="auto"/>
              </w:rPr>
            </w:pPr>
          </w:p>
        </w:tc>
        <w:tc>
          <w:tcPr>
            <w:tcW w:w="3640" w:type="dxa"/>
            <w:vAlign w:val="bottom"/>
          </w:tcPr>
          <w:p>
            <w:pPr>
              <w:ind w:left="340"/>
              <w:spacing w:after="0"/>
              <w:rPr>
                <w:sz w:val="20"/>
                <w:szCs w:val="20"/>
                <w:color w:val="auto"/>
              </w:rPr>
            </w:pPr>
            <w:r>
              <w:rPr>
                <w:rFonts w:ascii="Arial" w:cs="Arial" w:eastAsia="Arial" w:hAnsi="Arial"/>
                <w:sz w:val="16"/>
                <w:szCs w:val="16"/>
                <w:color w:val="auto"/>
              </w:rPr>
              <w:t>Control</w:t>
            </w:r>
          </w:p>
        </w:tc>
      </w:tr>
    </w:tbl>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135" w:hanging="135"/>
        <w:spacing w:after="0"/>
        <w:tabs>
          <w:tab w:leader="none" w:pos="135" w:val="left"/>
        </w:tabs>
        <w:numPr>
          <w:ilvl w:val="0"/>
          <w:numId w:val="45"/>
        </w:numPr>
        <w:rPr>
          <w:rFonts w:ascii="Arial" w:cs="Arial" w:eastAsia="Arial" w:hAnsi="Arial"/>
          <w:sz w:val="22"/>
          <w:szCs w:val="22"/>
          <w:color w:val="00249C"/>
        </w:rPr>
      </w:pPr>
      <w:r>
        <w:rPr>
          <w:rFonts w:ascii="Arial" w:cs="Arial" w:eastAsia="Arial" w:hAnsi="Arial"/>
          <w:sz w:val="16"/>
          <w:szCs w:val="16"/>
          <w:color w:val="auto"/>
        </w:rPr>
        <w:t>No Hedging or Pledging of Company Stock</w:t>
      </w:r>
    </w:p>
    <w:p>
      <w:pPr>
        <w:spacing w:after="0" w:line="17" w:lineRule="exact"/>
        <w:rPr>
          <w:rFonts w:ascii="Arial" w:cs="Arial" w:eastAsia="Arial" w:hAnsi="Arial"/>
          <w:sz w:val="22"/>
          <w:szCs w:val="22"/>
          <w:color w:val="00249C"/>
        </w:rPr>
      </w:pPr>
    </w:p>
    <w:p>
      <w:pPr>
        <w:ind w:left="135" w:hanging="135"/>
        <w:spacing w:after="0"/>
        <w:tabs>
          <w:tab w:leader="none" w:pos="135" w:val="left"/>
        </w:tabs>
        <w:numPr>
          <w:ilvl w:val="0"/>
          <w:numId w:val="45"/>
        </w:numPr>
        <w:rPr>
          <w:rFonts w:ascii="Arial" w:cs="Arial" w:eastAsia="Arial" w:hAnsi="Arial"/>
          <w:sz w:val="22"/>
          <w:szCs w:val="22"/>
          <w:color w:val="00249C"/>
        </w:rPr>
      </w:pPr>
      <w:r>
        <w:rPr>
          <w:rFonts w:ascii="Arial" w:cs="Arial" w:eastAsia="Arial" w:hAnsi="Arial"/>
          <w:sz w:val="16"/>
          <w:szCs w:val="16"/>
          <w:color w:val="auto"/>
        </w:rPr>
        <w:t>Dividends Paid Upon Vesting of Equity Awards</w:t>
      </w:r>
    </w:p>
    <w:p>
      <w:pPr>
        <w:spacing w:after="0" w:line="75" w:lineRule="exact"/>
        <w:rPr>
          <w:rFonts w:ascii="Arial" w:cs="Arial" w:eastAsia="Arial" w:hAnsi="Arial"/>
          <w:sz w:val="22"/>
          <w:szCs w:val="22"/>
          <w:color w:val="00249C"/>
        </w:rPr>
      </w:pPr>
    </w:p>
    <w:p>
      <w:pPr>
        <w:ind w:left="235" w:right="640" w:hanging="235"/>
        <w:spacing w:after="0" w:line="203" w:lineRule="auto"/>
        <w:tabs>
          <w:tab w:leader="none" w:pos="127" w:val="left"/>
        </w:tabs>
        <w:numPr>
          <w:ilvl w:val="0"/>
          <w:numId w:val="45"/>
        </w:numPr>
        <w:rPr>
          <w:rFonts w:ascii="Arial" w:cs="Arial" w:eastAsia="Arial" w:hAnsi="Arial"/>
          <w:sz w:val="22"/>
          <w:szCs w:val="22"/>
          <w:color w:val="00249C"/>
        </w:rPr>
      </w:pPr>
      <w:r>
        <w:rPr>
          <w:rFonts w:ascii="Arial" w:cs="Arial" w:eastAsia="Arial" w:hAnsi="Arial"/>
          <w:sz w:val="16"/>
          <w:szCs w:val="16"/>
          <w:color w:val="auto"/>
        </w:rPr>
        <w:t>Recoupment Policy on Cash and Equity Incentive Compensation Payments</w:t>
      </w:r>
    </w:p>
    <w:p>
      <w:pPr>
        <w:spacing w:after="0" w:line="62" w:lineRule="exact"/>
        <w:rPr>
          <w:rFonts w:ascii="Arial" w:cs="Arial" w:eastAsia="Arial" w:hAnsi="Arial"/>
          <w:sz w:val="22"/>
          <w:szCs w:val="22"/>
          <w:color w:val="00249C"/>
        </w:rPr>
      </w:pPr>
    </w:p>
    <w:p>
      <w:pPr>
        <w:ind w:left="235" w:right="100" w:hanging="235"/>
        <w:spacing w:after="0" w:line="203" w:lineRule="auto"/>
        <w:tabs>
          <w:tab w:leader="none" w:pos="127" w:val="left"/>
        </w:tabs>
        <w:numPr>
          <w:ilvl w:val="0"/>
          <w:numId w:val="45"/>
        </w:numPr>
        <w:rPr>
          <w:rFonts w:ascii="Arial" w:cs="Arial" w:eastAsia="Arial" w:hAnsi="Arial"/>
          <w:sz w:val="22"/>
          <w:szCs w:val="22"/>
          <w:color w:val="00249C"/>
        </w:rPr>
      </w:pPr>
      <w:r>
        <w:rPr>
          <w:rFonts w:ascii="Arial" w:cs="Arial" w:eastAsia="Arial" w:hAnsi="Arial"/>
          <w:sz w:val="16"/>
          <w:szCs w:val="16"/>
          <w:color w:val="auto"/>
        </w:rPr>
        <w:t>Stock Ownership Guidelines and Stock Holding Requirements</w:t>
      </w:r>
    </w:p>
    <w:p>
      <w:pPr>
        <w:spacing w:after="0" w:line="4" w:lineRule="exact"/>
        <w:rPr>
          <w:rFonts w:ascii="Arial" w:cs="Arial" w:eastAsia="Arial" w:hAnsi="Arial"/>
          <w:sz w:val="22"/>
          <w:szCs w:val="22"/>
          <w:color w:val="00249C"/>
        </w:rPr>
      </w:pPr>
    </w:p>
    <w:p>
      <w:pPr>
        <w:ind w:left="135" w:hanging="135"/>
        <w:spacing w:after="0"/>
        <w:tabs>
          <w:tab w:leader="none" w:pos="135" w:val="left"/>
        </w:tabs>
        <w:numPr>
          <w:ilvl w:val="0"/>
          <w:numId w:val="45"/>
        </w:numPr>
        <w:rPr>
          <w:rFonts w:ascii="Arial" w:cs="Arial" w:eastAsia="Arial" w:hAnsi="Arial"/>
          <w:sz w:val="22"/>
          <w:szCs w:val="22"/>
          <w:color w:val="00249C"/>
        </w:rPr>
      </w:pPr>
      <w:r>
        <w:rPr>
          <w:rFonts w:ascii="Arial" w:cs="Arial" w:eastAsia="Arial" w:hAnsi="Arial"/>
          <w:sz w:val="16"/>
          <w:szCs w:val="16"/>
          <w:color w:val="auto"/>
        </w:rPr>
        <w:t>Regular Risk Assessments Performed</w:t>
      </w:r>
    </w:p>
    <w:p>
      <w:pPr>
        <w:spacing w:after="0" w:line="75" w:lineRule="exact"/>
        <w:rPr>
          <w:rFonts w:ascii="Arial" w:cs="Arial" w:eastAsia="Arial" w:hAnsi="Arial"/>
          <w:sz w:val="22"/>
          <w:szCs w:val="22"/>
          <w:color w:val="00249C"/>
        </w:rPr>
      </w:pPr>
    </w:p>
    <w:p>
      <w:pPr>
        <w:ind w:left="235" w:right="340" w:hanging="235"/>
        <w:spacing w:after="0" w:line="203" w:lineRule="auto"/>
        <w:tabs>
          <w:tab w:leader="none" w:pos="127" w:val="left"/>
        </w:tabs>
        <w:numPr>
          <w:ilvl w:val="0"/>
          <w:numId w:val="45"/>
        </w:numPr>
        <w:rPr>
          <w:rFonts w:ascii="Arial" w:cs="Arial" w:eastAsia="Arial" w:hAnsi="Arial"/>
          <w:sz w:val="22"/>
          <w:szCs w:val="22"/>
          <w:color w:val="00249C"/>
        </w:rPr>
      </w:pPr>
      <w:r>
        <w:rPr>
          <w:rFonts w:ascii="Arial" w:cs="Arial" w:eastAsia="Arial" w:hAnsi="Arial"/>
          <w:sz w:val="16"/>
          <w:szCs w:val="16"/>
          <w:color w:val="auto"/>
        </w:rPr>
        <w:t>No Employment Contracts for CEO or Other NEOs</w:t>
      </w:r>
    </w:p>
    <w:p>
      <w:pPr>
        <w:spacing w:after="0" w:line="200" w:lineRule="exact"/>
        <w:rPr>
          <w:sz w:val="20"/>
          <w:szCs w:val="20"/>
          <w:color w:val="auto"/>
        </w:rPr>
      </w:pPr>
    </w:p>
    <w:p>
      <w:pPr>
        <w:sectPr>
          <w:pgSz w:w="11900" w:h="16838" w:orient="portrait"/>
          <w:cols w:equalWidth="0" w:num="2">
            <w:col w:w="7300" w:space="245"/>
            <w:col w:w="3635"/>
          </w:cols>
          <w:pgMar w:left="320" w:top="674" w:right="399" w:bottom="1440" w:gutter="0" w:footer="0" w:header="0"/>
          <w:type w:val="continuous"/>
        </w:sect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40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1180"/>
          </w:cols>
          <w:pgMar w:left="320" w:top="674" w:right="399" w:bottom="1440" w:gutter="0" w:footer="0" w:header="0"/>
          <w:type w:val="continuous"/>
        </w:sectPr>
      </w:pPr>
    </w:p>
    <w:bookmarkStart w:id="46" w:name="page47"/>
    <w:bookmarkEnd w:id="46"/>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5314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 xml:space="preserve">COMPENSATION DISCUSSION AND ANALYSIS | </w:t>
      </w:r>
      <w:r>
        <w:rPr>
          <w:rFonts w:ascii="Arial" w:cs="Arial" w:eastAsia="Arial" w:hAnsi="Arial"/>
          <w:sz w:val="17"/>
          <w:szCs w:val="17"/>
          <w:b w:val="1"/>
          <w:bCs w:val="1"/>
          <w:color w:val="FFFFFF"/>
        </w:rPr>
        <w:t>EXECUTIVE SUMMARY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2020 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continued to generate strong financial results in 2020, including higher sales, operating income, segment operating income*, cash provided by operating activities and adjusted free cash flow*. 2020 diluted earnings per share were $19.03 and 2020 mark-to-market (MTM) adjusted diluted earnings per share* were $23.65. Our strong cash generation allowed us to invest $1.4B in our business and return approximately $1.4B to our shareholders through share repurchases and dividends. Throughout 2020, management and the Committee closely monitored the COVID-19-related impacts on our financial results. Our financial results were not significantly impacted and the performance results reflect the comparison to our peers.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85090</wp:posOffset>
            </wp:positionV>
            <wp:extent cx="5366385" cy="27514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366385"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This metric is a non-GAAP financial measure. For more information, see "Appendix A - Use of Non-GAAP Financial Measures."</w:t>
      </w:r>
    </w:p>
    <w:p>
      <w:pPr>
        <w:spacing w:after="0" w:line="94" w:lineRule="exact"/>
        <w:rPr>
          <w:sz w:val="20"/>
          <w:szCs w:val="20"/>
          <w:color w:val="auto"/>
        </w:rPr>
      </w:pPr>
    </w:p>
    <w:p>
      <w:pPr>
        <w:ind w:left="4040"/>
        <w:spacing w:after="0"/>
        <w:rPr>
          <w:sz w:val="20"/>
          <w:szCs w:val="20"/>
          <w:color w:val="auto"/>
        </w:rPr>
      </w:pPr>
      <w:r>
        <w:rPr>
          <w:rFonts w:ascii="Arial" w:cs="Arial" w:eastAsia="Arial" w:hAnsi="Arial"/>
          <w:sz w:val="25"/>
          <w:szCs w:val="25"/>
          <w:b w:val="1"/>
          <w:bCs w:val="1"/>
          <w:color w:val="auto"/>
        </w:rPr>
        <w:t>3-Year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85090</wp:posOffset>
            </wp:positionV>
            <wp:extent cx="5366385" cy="27514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366385" cy="2751455"/>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20"/>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41</w:t>
      </w:r>
    </w:p>
    <w:p>
      <w:pPr>
        <w:sectPr>
          <w:pgSz w:w="11900" w:h="16838" w:orient="portrait"/>
          <w:cols w:equalWidth="0" w:num="1">
            <w:col w:w="11240"/>
          </w:cols>
          <w:pgMar w:left="320" w:top="674" w:right="339" w:bottom="1440" w:gutter="0" w:footer="0" w:header="0"/>
          <w:type w:val="continuous"/>
        </w:sectPr>
      </w:pPr>
    </w:p>
    <w:bookmarkStart w:id="47" w:name="page48"/>
    <w:bookmarkEnd w:id="47"/>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5314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 xml:space="preserve">COMPENSATION DISCUSSION AND ANALYSIS | </w:t>
      </w:r>
      <w:r>
        <w:rPr>
          <w:rFonts w:ascii="Arial" w:cs="Arial" w:eastAsia="Arial" w:hAnsi="Arial"/>
          <w:sz w:val="17"/>
          <w:szCs w:val="17"/>
          <w:b w:val="1"/>
          <w:bCs w:val="1"/>
          <w:color w:val="FFFFFF"/>
        </w:rPr>
        <w:t>EXECUTIVE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Management and the Compensation Committee believe our executive compensation programs are competitive and support achieving strong financial performance while investing for profitable growth and value creation over the long-term. A 96% shareholder majority approved last year's say-on-pay proposal, and our ongoing shareholder engagement indicates continued support for the structure and elements of our executive incentive compensation programs.</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Compensation Mix and Incentive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2"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We have a balanced pay for performance compensation structure that places an appropriate level of compensation at risk, based on our financial and non-financial performance measures and relative TSR. The following charts show variable-based compensation elements at target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6172200" cy="35401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172200" cy="3540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right="180"/>
        <w:spacing w:after="0" w:line="232" w:lineRule="auto"/>
        <w:rPr>
          <w:sz w:val="20"/>
          <w:szCs w:val="20"/>
          <w:color w:val="auto"/>
        </w:rPr>
      </w:pPr>
      <w:r>
        <w:rPr>
          <w:rFonts w:ascii="Arial" w:cs="Arial" w:eastAsia="Arial" w:hAnsi="Arial"/>
          <w:sz w:val="16"/>
          <w:szCs w:val="16"/>
          <w:color w:val="auto"/>
        </w:rPr>
        <w:t>*Restricted Stock Rights (RSRs) have been reclassified as variable compensation. RSRs are subject to future vesting and are at risk due to fluctuations in the price of our common stock. The change aligns with peers and industry practice.</w:t>
      </w:r>
    </w:p>
    <w:p>
      <w:pPr>
        <w:spacing w:after="0" w:line="11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AIP, following are the results for 2020 performance, which have been adjusted, as applicable, to include proceeds from sale of equipment to a customer, and to exclude transaction-related expenses (Orbital ATK purchase and IT Services divestiture expenses), Orbital ATK intangible asset amortization and property, plant and equipment (PP&amp;E) step-up depreciation expense (impacts related to Innovation Systems) and certain impacts related to the MTM method of accounting for the Company's pension and other postretirement benefit (OPB) plans as detailed in "Appendix A - Use of Non-GAAP Financial Measures":</w:t>
      </w:r>
    </w:p>
    <w:p>
      <w:pPr>
        <w:spacing w:after="0" w:line="84" w:lineRule="exact"/>
        <w:rPr>
          <w:sz w:val="20"/>
          <w:szCs w:val="20"/>
          <w:color w:val="auto"/>
        </w:rPr>
      </w:pPr>
    </w:p>
    <w:p>
      <w:pPr>
        <w:ind w:left="300" w:hanging="292"/>
        <w:spacing w:after="0"/>
        <w:tabs>
          <w:tab w:leader="none" w:pos="300" w:val="left"/>
        </w:tabs>
        <w:numPr>
          <w:ilvl w:val="0"/>
          <w:numId w:val="46"/>
        </w:numPr>
        <w:rPr>
          <w:rFonts w:ascii="Arial" w:cs="Arial" w:eastAsia="Arial" w:hAnsi="Arial"/>
          <w:sz w:val="18"/>
          <w:szCs w:val="18"/>
          <w:color w:val="00249C"/>
        </w:rPr>
      </w:pPr>
      <w:r>
        <w:rPr>
          <w:rFonts w:ascii="Arial" w:cs="Arial" w:eastAsia="Arial" w:hAnsi="Arial"/>
          <w:sz w:val="18"/>
          <w:szCs w:val="18"/>
          <w:color w:val="auto"/>
        </w:rPr>
        <w:t>Adjusted Cash Flow from Operations Conversion*: 81.3%</w:t>
      </w:r>
    </w:p>
    <w:p>
      <w:pPr>
        <w:spacing w:after="0" w:line="90" w:lineRule="exact"/>
        <w:rPr>
          <w:rFonts w:ascii="Arial" w:cs="Arial" w:eastAsia="Arial" w:hAnsi="Arial"/>
          <w:sz w:val="18"/>
          <w:szCs w:val="18"/>
          <w:color w:val="00249C"/>
        </w:rPr>
      </w:pPr>
    </w:p>
    <w:p>
      <w:pPr>
        <w:ind w:left="300" w:hanging="292"/>
        <w:spacing w:after="0"/>
        <w:tabs>
          <w:tab w:leader="none" w:pos="300" w:val="left"/>
        </w:tabs>
        <w:numPr>
          <w:ilvl w:val="0"/>
          <w:numId w:val="46"/>
        </w:numPr>
        <w:rPr>
          <w:rFonts w:ascii="Arial" w:cs="Arial" w:eastAsia="Arial" w:hAnsi="Arial"/>
          <w:sz w:val="18"/>
          <w:szCs w:val="18"/>
          <w:color w:val="00249C"/>
        </w:rPr>
      </w:pPr>
      <w:r>
        <w:rPr>
          <w:rFonts w:ascii="Arial" w:cs="Arial" w:eastAsia="Arial" w:hAnsi="Arial"/>
          <w:sz w:val="18"/>
          <w:szCs w:val="18"/>
          <w:color w:val="auto"/>
        </w:rPr>
        <w:t>Segment Operating Income* Growth: $4.2B</w:t>
      </w:r>
    </w:p>
    <w:p>
      <w:pPr>
        <w:spacing w:after="0" w:line="103" w:lineRule="exact"/>
        <w:rPr>
          <w:rFonts w:ascii="Arial" w:cs="Arial" w:eastAsia="Arial" w:hAnsi="Arial"/>
          <w:sz w:val="18"/>
          <w:szCs w:val="18"/>
          <w:color w:val="00249C"/>
        </w:rPr>
      </w:pPr>
    </w:p>
    <w:p>
      <w:pPr>
        <w:ind w:left="300" w:hanging="292"/>
        <w:spacing w:after="0"/>
        <w:tabs>
          <w:tab w:leader="none" w:pos="300" w:val="left"/>
        </w:tabs>
        <w:numPr>
          <w:ilvl w:val="0"/>
          <w:numId w:val="46"/>
        </w:numPr>
        <w:rPr>
          <w:rFonts w:ascii="Arial" w:cs="Arial" w:eastAsia="Arial" w:hAnsi="Arial"/>
          <w:sz w:val="18"/>
          <w:szCs w:val="18"/>
          <w:color w:val="00249C"/>
        </w:rPr>
      </w:pPr>
      <w:r>
        <w:rPr>
          <w:rFonts w:ascii="Arial" w:cs="Arial" w:eastAsia="Arial" w:hAnsi="Arial"/>
          <w:sz w:val="18"/>
          <w:szCs w:val="18"/>
          <w:color w:val="auto"/>
        </w:rPr>
        <w:t>Pension-adjusted Net Income* Growth: $3.0B</w:t>
      </w:r>
    </w:p>
    <w:p>
      <w:pPr>
        <w:spacing w:after="0" w:line="103" w:lineRule="exact"/>
        <w:rPr>
          <w:rFonts w:ascii="Arial" w:cs="Arial" w:eastAsia="Arial" w:hAnsi="Arial"/>
          <w:sz w:val="18"/>
          <w:szCs w:val="18"/>
          <w:color w:val="00249C"/>
        </w:rPr>
      </w:pPr>
    </w:p>
    <w:p>
      <w:pPr>
        <w:ind w:left="300" w:hanging="292"/>
        <w:spacing w:after="0"/>
        <w:tabs>
          <w:tab w:leader="none" w:pos="300" w:val="left"/>
        </w:tabs>
        <w:numPr>
          <w:ilvl w:val="0"/>
          <w:numId w:val="46"/>
        </w:numPr>
        <w:rPr>
          <w:rFonts w:ascii="Arial" w:cs="Arial" w:eastAsia="Arial" w:hAnsi="Arial"/>
          <w:sz w:val="18"/>
          <w:szCs w:val="18"/>
          <w:color w:val="00249C"/>
        </w:rPr>
      </w:pPr>
      <w:r>
        <w:rPr>
          <w:rFonts w:ascii="Arial" w:cs="Arial" w:eastAsia="Arial" w:hAnsi="Arial"/>
          <w:sz w:val="18"/>
          <w:szCs w:val="18"/>
          <w:color w:val="auto"/>
        </w:rPr>
        <w:t>Pension-adjusted OM Rate*: 10.7%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1220"/>
          </w:cols>
          <w:pgMar w:left="320" w:top="674" w:right="359" w:bottom="1440" w:gutter="0" w:footer="0" w:header="0"/>
        </w:sectPr>
      </w:pPr>
    </w:p>
    <w:bookmarkStart w:id="48" w:name="page49"/>
    <w:bookmarkEnd w:id="48"/>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5314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 xml:space="preserve">COMPENSATION DISCUSSION AND ANALYSIS | </w:t>
      </w:r>
      <w:r>
        <w:rPr>
          <w:rFonts w:ascii="Arial" w:cs="Arial" w:eastAsia="Arial" w:hAnsi="Arial"/>
          <w:sz w:val="17"/>
          <w:szCs w:val="17"/>
          <w:b w:val="1"/>
          <w:bCs w:val="1"/>
          <w:color w:val="FFFFFF"/>
        </w:rPr>
        <w:t>EXECUTIVE SUMMARY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For the RPSR, our score covering the three-year 2018-2020 performance period was weighted 50% to relative TSR and 50% to Adjusted Cumulative FCF*, maintaining strong alignment to shareholder interest and increased emphasis on operational performance. The results, where applicable, include the after-tax impact of total pension funding and proceeds from sale of equipment to a customer, and to exclude impacts related to Innovation Systems and transaction-related expenses. Transaction-related expenses are primarily comprised of advisory, legal and other costs related to the completion of any acquisition or disposition. The combined weighted score for the metrics generated an overall performance score of 105%. The full details of the LTIP program can be found on page 52.</w:t>
      </w: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43</w:t>
      </w:r>
    </w:p>
    <w:p>
      <w:pPr>
        <w:sectPr>
          <w:pgSz w:w="11900" w:h="16838" w:orient="portrait"/>
          <w:cols w:equalWidth="0" w:num="1">
            <w:col w:w="11240"/>
          </w:cols>
          <w:pgMar w:left="320" w:top="674" w:right="339" w:bottom="1440" w:gutter="0" w:footer="0" w:header="0"/>
        </w:sectPr>
      </w:pPr>
    </w:p>
    <w:bookmarkStart w:id="49" w:name="page50"/>
    <w:bookmarkEnd w:id="49"/>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5314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 xml:space="preserve">COMPENSATION DISCUSSION AND ANALYSIS | </w:t>
      </w:r>
      <w:r>
        <w:rPr>
          <w:rFonts w:ascii="Arial" w:cs="Arial" w:eastAsia="Arial" w:hAnsi="Arial"/>
          <w:sz w:val="17"/>
          <w:szCs w:val="17"/>
          <w:b w:val="1"/>
          <w:bCs w:val="1"/>
          <w:color w:val="FFFFFF"/>
        </w:rPr>
        <w:t>KEY PRINCIPLES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Compensation Philosophy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provide an attractive, flexible and market-based total compensation program tied to performance and aligned with the interests of our shareholders. Our objective is to recruit and retain the caliber of executives and other key employees capable of achieving top performance and generating value for our shareholders, customers and employees.</w:t>
      </w:r>
    </w:p>
    <w:p>
      <w:pPr>
        <w:spacing w:after="0" w:line="6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goal is to lead our industry in sustainable performance and build on our strong, enduring values. The targets, thresholds and payout levels of our AIP are benchmarked against peers and the market. Our 2020 RPSR metrics are based on (1) TSR relative to our Performance Peer Group and the S&amp;P Industrials, (2) Adjusted Cumulative FCF* and (3) Operating RONA*. For each plan, we selected metrics that drive shareholder value and benchmark our performance against our peers and the market. Our executive compensation and benefit programs are guided by the following principles: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00249C"/>
        </w:rPr>
        <w:t>Pay for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40575" cy="5403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0575" cy="540385"/>
                    </a:xfrm>
                    <a:prstGeom prst="rect">
                      <a:avLst/>
                    </a:prstGeom>
                    <a:noFill/>
                  </pic:spPr>
                </pic:pic>
              </a:graphicData>
            </a:graphic>
          </wp:anchor>
        </w:drawing>
      </w:r>
    </w:p>
    <w:p>
      <w:pPr>
        <w:spacing w:after="0" w:line="26" w:lineRule="exact"/>
        <w:rPr>
          <w:sz w:val="20"/>
          <w:szCs w:val="20"/>
          <w:color w:val="auto"/>
        </w:rPr>
      </w:pPr>
    </w:p>
    <w:p>
      <w:pPr>
        <w:ind w:left="160" w:hanging="121"/>
        <w:spacing w:after="0"/>
        <w:tabs>
          <w:tab w:leader="none" w:pos="160" w:val="left"/>
        </w:tabs>
        <w:numPr>
          <w:ilvl w:val="0"/>
          <w:numId w:val="47"/>
        </w:numPr>
        <w:rPr>
          <w:rFonts w:ascii="Arial" w:cs="Arial" w:eastAsia="Arial" w:hAnsi="Arial"/>
          <w:sz w:val="22"/>
          <w:szCs w:val="22"/>
          <w:color w:val="00249C"/>
        </w:rPr>
      </w:pPr>
      <w:r>
        <w:rPr>
          <w:rFonts w:ascii="Arial" w:cs="Arial" w:eastAsia="Arial" w:hAnsi="Arial"/>
          <w:sz w:val="18"/>
          <w:szCs w:val="18"/>
          <w:color w:val="auto"/>
        </w:rPr>
        <w:t>Our incentive plans are based on peer and market benchmarked performance metrics.</w:t>
      </w:r>
    </w:p>
    <w:p>
      <w:pPr>
        <w:spacing w:after="0" w:line="17" w:lineRule="exact"/>
        <w:rPr>
          <w:rFonts w:ascii="Arial" w:cs="Arial" w:eastAsia="Arial" w:hAnsi="Arial"/>
          <w:sz w:val="22"/>
          <w:szCs w:val="22"/>
          <w:color w:val="00249C"/>
        </w:rPr>
      </w:pPr>
    </w:p>
    <w:p>
      <w:pPr>
        <w:ind w:left="160" w:hanging="121"/>
        <w:spacing w:after="0"/>
        <w:tabs>
          <w:tab w:leader="none" w:pos="160" w:val="left"/>
        </w:tabs>
        <w:numPr>
          <w:ilvl w:val="0"/>
          <w:numId w:val="47"/>
        </w:numPr>
        <w:rPr>
          <w:rFonts w:ascii="Arial" w:cs="Arial" w:eastAsia="Arial" w:hAnsi="Arial"/>
          <w:sz w:val="22"/>
          <w:szCs w:val="22"/>
          <w:color w:val="00249C"/>
        </w:rPr>
      </w:pPr>
      <w:r>
        <w:rPr>
          <w:rFonts w:ascii="Arial" w:cs="Arial" w:eastAsia="Arial" w:hAnsi="Arial"/>
          <w:sz w:val="18"/>
          <w:szCs w:val="18"/>
          <w:color w:val="auto"/>
        </w:rPr>
        <w:t>Above-target incentive payouts are only awarded when we outperform our peer and market benchmarks.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00249C"/>
        </w:rPr>
        <w:t>Leadership Recruitment, Retention and Succession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40575" cy="5403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0575" cy="540385"/>
                    </a:xfrm>
                    <a:prstGeom prst="rect">
                      <a:avLst/>
                    </a:prstGeom>
                    <a:noFill/>
                  </pic:spPr>
                </pic:pic>
              </a:graphicData>
            </a:graphic>
          </wp:anchor>
        </w:drawing>
      </w:r>
    </w:p>
    <w:p>
      <w:pPr>
        <w:spacing w:after="0" w:line="26" w:lineRule="exact"/>
        <w:rPr>
          <w:sz w:val="20"/>
          <w:szCs w:val="20"/>
          <w:color w:val="auto"/>
        </w:rPr>
      </w:pPr>
    </w:p>
    <w:p>
      <w:pPr>
        <w:ind w:left="160" w:hanging="121"/>
        <w:spacing w:after="0"/>
        <w:tabs>
          <w:tab w:leader="none" w:pos="160" w:val="left"/>
        </w:tabs>
        <w:numPr>
          <w:ilvl w:val="0"/>
          <w:numId w:val="48"/>
        </w:numPr>
        <w:rPr>
          <w:rFonts w:ascii="Arial" w:cs="Arial" w:eastAsia="Arial" w:hAnsi="Arial"/>
          <w:sz w:val="22"/>
          <w:szCs w:val="22"/>
          <w:color w:val="00249C"/>
        </w:rPr>
      </w:pPr>
      <w:r>
        <w:rPr>
          <w:rFonts w:ascii="Arial" w:cs="Arial" w:eastAsia="Arial" w:hAnsi="Arial"/>
          <w:sz w:val="18"/>
          <w:szCs w:val="18"/>
          <w:color w:val="auto"/>
        </w:rPr>
        <w:t>Compensation is designed to be competitive within our industry and retain top talent.</w:t>
      </w:r>
    </w:p>
    <w:p>
      <w:pPr>
        <w:spacing w:after="0" w:line="17" w:lineRule="exact"/>
        <w:rPr>
          <w:rFonts w:ascii="Arial" w:cs="Arial" w:eastAsia="Arial" w:hAnsi="Arial"/>
          <w:sz w:val="22"/>
          <w:szCs w:val="22"/>
          <w:color w:val="00249C"/>
        </w:rPr>
      </w:pPr>
    </w:p>
    <w:p>
      <w:pPr>
        <w:ind w:left="160" w:hanging="121"/>
        <w:spacing w:after="0"/>
        <w:tabs>
          <w:tab w:leader="none" w:pos="160" w:val="left"/>
        </w:tabs>
        <w:numPr>
          <w:ilvl w:val="0"/>
          <w:numId w:val="48"/>
        </w:numPr>
        <w:rPr>
          <w:rFonts w:ascii="Arial" w:cs="Arial" w:eastAsia="Arial" w:hAnsi="Arial"/>
          <w:sz w:val="22"/>
          <w:szCs w:val="22"/>
          <w:color w:val="00249C"/>
        </w:rPr>
      </w:pPr>
      <w:r>
        <w:rPr>
          <w:rFonts w:ascii="Arial" w:cs="Arial" w:eastAsia="Arial" w:hAnsi="Arial"/>
          <w:sz w:val="18"/>
          <w:szCs w:val="18"/>
          <w:color w:val="auto"/>
        </w:rPr>
        <w:t>Programs are designed to recruit, motivate and reward NEOs for delivering operational and strategic performance over time.</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00249C"/>
        </w:rPr>
        <w:t>Sustainable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40575" cy="4800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0575" cy="480060"/>
                    </a:xfrm>
                    <a:prstGeom prst="rect">
                      <a:avLst/>
                    </a:prstGeom>
                    <a:noFill/>
                  </pic:spPr>
                </pic:pic>
              </a:graphicData>
            </a:graphic>
          </wp:anchor>
        </w:drawing>
      </w:r>
    </w:p>
    <w:p>
      <w:pPr>
        <w:spacing w:after="0" w:line="62" w:lineRule="exact"/>
        <w:rPr>
          <w:sz w:val="20"/>
          <w:szCs w:val="20"/>
          <w:color w:val="auto"/>
        </w:rPr>
      </w:pPr>
    </w:p>
    <w:p>
      <w:pPr>
        <w:ind w:left="360" w:right="880" w:hanging="321"/>
        <w:spacing w:after="0" w:line="211" w:lineRule="auto"/>
        <w:tabs>
          <w:tab w:leader="none" w:pos="156" w:val="left"/>
        </w:tabs>
        <w:numPr>
          <w:ilvl w:val="0"/>
          <w:numId w:val="49"/>
        </w:numPr>
        <w:rPr>
          <w:rFonts w:ascii="Arial" w:cs="Arial" w:eastAsia="Arial" w:hAnsi="Arial"/>
          <w:sz w:val="22"/>
          <w:szCs w:val="22"/>
          <w:color w:val="00249C"/>
        </w:rPr>
      </w:pPr>
      <w:r>
        <w:rPr>
          <w:rFonts w:ascii="Arial" w:cs="Arial" w:eastAsia="Arial" w:hAnsi="Arial"/>
          <w:sz w:val="18"/>
          <w:szCs w:val="18"/>
          <w:color w:val="auto"/>
        </w:rPr>
        <w:t>Our AIP includes both financial and non-financial metrics to ensure we are building a strong foundation for long-term sustainable performance and shareholder value creation.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00249C"/>
        </w:rPr>
        <w:t>Alignment with Shareholder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40575" cy="9944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0575" cy="994410"/>
                    </a:xfrm>
                    <a:prstGeom prst="rect">
                      <a:avLst/>
                    </a:prstGeom>
                    <a:noFill/>
                  </pic:spPr>
                </pic:pic>
              </a:graphicData>
            </a:graphic>
          </wp:anchor>
        </w:drawing>
      </w:r>
    </w:p>
    <w:p>
      <w:pPr>
        <w:spacing w:after="0" w:line="26" w:lineRule="exact"/>
        <w:rPr>
          <w:sz w:val="20"/>
          <w:szCs w:val="20"/>
          <w:color w:val="auto"/>
        </w:rPr>
      </w:pPr>
    </w:p>
    <w:p>
      <w:pPr>
        <w:ind w:left="160" w:hanging="121"/>
        <w:spacing w:after="0"/>
        <w:tabs>
          <w:tab w:leader="none" w:pos="160" w:val="left"/>
        </w:tabs>
        <w:numPr>
          <w:ilvl w:val="0"/>
          <w:numId w:val="50"/>
        </w:numPr>
        <w:rPr>
          <w:rFonts w:ascii="Arial" w:cs="Arial" w:eastAsia="Arial" w:hAnsi="Arial"/>
          <w:sz w:val="22"/>
          <w:szCs w:val="22"/>
          <w:color w:val="00249C"/>
        </w:rPr>
      </w:pPr>
      <w:r>
        <w:rPr>
          <w:rFonts w:ascii="Arial" w:cs="Arial" w:eastAsia="Arial" w:hAnsi="Arial"/>
          <w:sz w:val="18"/>
          <w:szCs w:val="18"/>
          <w:color w:val="auto"/>
        </w:rPr>
        <w:t>Our compensation structure places an appropriate amount of compensation at risk based on annual and long-term results.</w:t>
      </w:r>
    </w:p>
    <w:p>
      <w:pPr>
        <w:spacing w:after="0" w:line="17" w:lineRule="exact"/>
        <w:rPr>
          <w:rFonts w:ascii="Arial" w:cs="Arial" w:eastAsia="Arial" w:hAnsi="Arial"/>
          <w:sz w:val="22"/>
          <w:szCs w:val="22"/>
          <w:color w:val="00249C"/>
        </w:rPr>
      </w:pPr>
    </w:p>
    <w:p>
      <w:pPr>
        <w:ind w:left="160" w:hanging="121"/>
        <w:spacing w:after="0"/>
        <w:tabs>
          <w:tab w:leader="none" w:pos="160" w:val="left"/>
        </w:tabs>
        <w:numPr>
          <w:ilvl w:val="0"/>
          <w:numId w:val="50"/>
        </w:numPr>
        <w:rPr>
          <w:rFonts w:ascii="Arial" w:cs="Arial" w:eastAsia="Arial" w:hAnsi="Arial"/>
          <w:sz w:val="22"/>
          <w:szCs w:val="22"/>
          <w:color w:val="00249C"/>
        </w:rPr>
      </w:pPr>
      <w:r>
        <w:rPr>
          <w:rFonts w:ascii="Arial" w:cs="Arial" w:eastAsia="Arial" w:hAnsi="Arial"/>
          <w:sz w:val="18"/>
          <w:szCs w:val="18"/>
          <w:color w:val="auto"/>
        </w:rPr>
        <w:t>At-risk compensation is based on financial and non-financial performance measures and relative TSR.</w:t>
      </w:r>
    </w:p>
    <w:p>
      <w:pPr>
        <w:spacing w:after="0" w:line="17" w:lineRule="exact"/>
        <w:rPr>
          <w:rFonts w:ascii="Arial" w:cs="Arial" w:eastAsia="Arial" w:hAnsi="Arial"/>
          <w:sz w:val="22"/>
          <w:szCs w:val="22"/>
          <w:color w:val="00249C"/>
        </w:rPr>
      </w:pPr>
    </w:p>
    <w:p>
      <w:pPr>
        <w:ind w:left="160" w:hanging="121"/>
        <w:spacing w:after="0"/>
        <w:tabs>
          <w:tab w:leader="none" w:pos="160" w:val="left"/>
        </w:tabs>
        <w:numPr>
          <w:ilvl w:val="0"/>
          <w:numId w:val="50"/>
        </w:numPr>
        <w:rPr>
          <w:rFonts w:ascii="Arial" w:cs="Arial" w:eastAsia="Arial" w:hAnsi="Arial"/>
          <w:sz w:val="22"/>
          <w:szCs w:val="22"/>
          <w:color w:val="00249C"/>
        </w:rPr>
      </w:pPr>
      <w:r>
        <w:rPr>
          <w:rFonts w:ascii="Arial" w:cs="Arial" w:eastAsia="Arial" w:hAnsi="Arial"/>
          <w:sz w:val="18"/>
          <w:szCs w:val="18"/>
          <w:color w:val="auto"/>
        </w:rPr>
        <w:t>A significant portion of compensation is delivered in equity, the vesting and value of which provides alignment with shareholder returns.</w:t>
      </w:r>
    </w:p>
    <w:p>
      <w:pPr>
        <w:spacing w:after="0" w:line="53" w:lineRule="exact"/>
        <w:rPr>
          <w:rFonts w:ascii="Arial" w:cs="Arial" w:eastAsia="Arial" w:hAnsi="Arial"/>
          <w:sz w:val="22"/>
          <w:szCs w:val="22"/>
          <w:color w:val="00249C"/>
        </w:rPr>
      </w:pPr>
    </w:p>
    <w:p>
      <w:pPr>
        <w:ind w:left="360" w:right="360" w:hanging="321"/>
        <w:spacing w:after="0" w:line="211" w:lineRule="auto"/>
        <w:tabs>
          <w:tab w:leader="none" w:pos="156" w:val="left"/>
        </w:tabs>
        <w:numPr>
          <w:ilvl w:val="0"/>
          <w:numId w:val="50"/>
        </w:numPr>
        <w:rPr>
          <w:rFonts w:ascii="Arial" w:cs="Arial" w:eastAsia="Arial" w:hAnsi="Arial"/>
          <w:sz w:val="22"/>
          <w:szCs w:val="22"/>
          <w:color w:val="00249C"/>
        </w:rPr>
      </w:pPr>
      <w:r>
        <w:rPr>
          <w:rFonts w:ascii="Arial" w:cs="Arial" w:eastAsia="Arial" w:hAnsi="Arial"/>
          <w:sz w:val="18"/>
          <w:szCs w:val="18"/>
          <w:color w:val="auto"/>
        </w:rPr>
        <w:t>Stock ownership guidelines, holding requirements for equity awards and our recoupment policy further align executive and shareholder interests.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00249C"/>
        </w:rPr>
        <w:t>Benchmarking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40575" cy="9340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0575" cy="934085"/>
                    </a:xfrm>
                    <a:prstGeom prst="rect">
                      <a:avLst/>
                    </a:prstGeom>
                    <a:noFill/>
                  </pic:spPr>
                </pic:pic>
              </a:graphicData>
            </a:graphic>
          </wp:anchor>
        </w:drawing>
      </w:r>
    </w:p>
    <w:p>
      <w:pPr>
        <w:spacing w:after="0" w:line="62" w:lineRule="exact"/>
        <w:rPr>
          <w:sz w:val="20"/>
          <w:szCs w:val="20"/>
          <w:color w:val="auto"/>
        </w:rPr>
      </w:pPr>
    </w:p>
    <w:p>
      <w:pPr>
        <w:ind w:left="360" w:right="80" w:hanging="321"/>
        <w:spacing w:after="0" w:line="211" w:lineRule="auto"/>
        <w:tabs>
          <w:tab w:leader="none" w:pos="156" w:val="left"/>
        </w:tabs>
        <w:numPr>
          <w:ilvl w:val="0"/>
          <w:numId w:val="51"/>
        </w:numPr>
        <w:rPr>
          <w:rFonts w:ascii="Arial" w:cs="Arial" w:eastAsia="Arial" w:hAnsi="Arial"/>
          <w:sz w:val="22"/>
          <w:szCs w:val="22"/>
          <w:color w:val="00249C"/>
        </w:rPr>
      </w:pPr>
      <w:r>
        <w:rPr>
          <w:rFonts w:ascii="Arial" w:cs="Arial" w:eastAsia="Arial" w:hAnsi="Arial"/>
          <w:sz w:val="18"/>
          <w:szCs w:val="18"/>
          <w:color w:val="auto"/>
        </w:rPr>
        <w:t>Compensation program provisions and financial objectives are evaluated on an annual basis and modified in accordance with industry and business conditions.</w:t>
      </w:r>
    </w:p>
    <w:p>
      <w:pPr>
        <w:spacing w:after="0" w:line="5" w:lineRule="exact"/>
        <w:rPr>
          <w:rFonts w:ascii="Arial" w:cs="Arial" w:eastAsia="Arial" w:hAnsi="Arial"/>
          <w:sz w:val="22"/>
          <w:szCs w:val="22"/>
          <w:color w:val="00249C"/>
        </w:rPr>
      </w:pPr>
    </w:p>
    <w:p>
      <w:pPr>
        <w:ind w:left="160" w:hanging="121"/>
        <w:spacing w:after="0"/>
        <w:tabs>
          <w:tab w:leader="none" w:pos="160" w:val="left"/>
        </w:tabs>
        <w:numPr>
          <w:ilvl w:val="0"/>
          <w:numId w:val="51"/>
        </w:numPr>
        <w:rPr>
          <w:rFonts w:ascii="Arial" w:cs="Arial" w:eastAsia="Arial" w:hAnsi="Arial"/>
          <w:sz w:val="22"/>
          <w:szCs w:val="22"/>
          <w:color w:val="00249C"/>
        </w:rPr>
      </w:pPr>
      <w:r>
        <w:rPr>
          <w:rFonts w:ascii="Arial" w:cs="Arial" w:eastAsia="Arial" w:hAnsi="Arial"/>
          <w:sz w:val="18"/>
          <w:szCs w:val="18"/>
          <w:color w:val="auto"/>
        </w:rPr>
        <w:t>We seek to outperform our peers (a group of top global defense companies identified as the Performance Peer Group on page 46).</w:t>
      </w:r>
    </w:p>
    <w:p>
      <w:pPr>
        <w:spacing w:after="0" w:line="53" w:lineRule="exact"/>
        <w:rPr>
          <w:rFonts w:ascii="Arial" w:cs="Arial" w:eastAsia="Arial" w:hAnsi="Arial"/>
          <w:sz w:val="22"/>
          <w:szCs w:val="22"/>
          <w:color w:val="00249C"/>
        </w:rPr>
      </w:pPr>
    </w:p>
    <w:p>
      <w:pPr>
        <w:ind w:left="360" w:right="940" w:hanging="321"/>
        <w:spacing w:after="0" w:line="211" w:lineRule="auto"/>
        <w:tabs>
          <w:tab w:leader="none" w:pos="156" w:val="left"/>
        </w:tabs>
        <w:numPr>
          <w:ilvl w:val="0"/>
          <w:numId w:val="51"/>
        </w:numPr>
        <w:rPr>
          <w:rFonts w:ascii="Arial" w:cs="Arial" w:eastAsia="Arial" w:hAnsi="Arial"/>
          <w:sz w:val="22"/>
          <w:szCs w:val="22"/>
          <w:color w:val="00249C"/>
        </w:rPr>
      </w:pPr>
      <w:r>
        <w:rPr>
          <w:rFonts w:ascii="Arial" w:cs="Arial" w:eastAsia="Arial" w:hAnsi="Arial"/>
          <w:sz w:val="18"/>
          <w:szCs w:val="18"/>
          <w:color w:val="auto"/>
        </w:rPr>
        <w:t>We use a Target Industry Peer Group (identified on page 46) for broader market executive compensation analyses that includes companies based on a peer-of-peers analysis.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00249C"/>
        </w:rPr>
        <w:t>Compensation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40575" cy="9347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0575" cy="934720"/>
                    </a:xfrm>
                    <a:prstGeom prst="rect">
                      <a:avLst/>
                    </a:prstGeom>
                    <a:noFill/>
                  </pic:spPr>
                </pic:pic>
              </a:graphicData>
            </a:graphic>
          </wp:anchor>
        </w:drawing>
      </w:r>
    </w:p>
    <w:p>
      <w:pPr>
        <w:spacing w:after="0" w:line="62" w:lineRule="exact"/>
        <w:rPr>
          <w:sz w:val="20"/>
          <w:szCs w:val="20"/>
          <w:color w:val="auto"/>
        </w:rPr>
      </w:pPr>
    </w:p>
    <w:p>
      <w:pPr>
        <w:ind w:left="360" w:right="1020" w:hanging="321"/>
        <w:spacing w:after="0" w:line="211" w:lineRule="auto"/>
        <w:tabs>
          <w:tab w:leader="none" w:pos="156" w:val="left"/>
        </w:tabs>
        <w:numPr>
          <w:ilvl w:val="0"/>
          <w:numId w:val="52"/>
        </w:numPr>
        <w:rPr>
          <w:rFonts w:ascii="Arial" w:cs="Arial" w:eastAsia="Arial" w:hAnsi="Arial"/>
          <w:sz w:val="22"/>
          <w:szCs w:val="22"/>
          <w:color w:val="00249C"/>
        </w:rPr>
      </w:pPr>
      <w:r>
        <w:rPr>
          <w:rFonts w:ascii="Arial" w:cs="Arial" w:eastAsia="Arial" w:hAnsi="Arial"/>
          <w:sz w:val="18"/>
          <w:szCs w:val="18"/>
          <w:color w:val="auto"/>
        </w:rPr>
        <w:t>The Compensation Committee, together with its independent compensation consultant, conducts an annual assessment of the compensation programs to determine if there are potential material risks to the Company.</w:t>
      </w:r>
    </w:p>
    <w:p>
      <w:pPr>
        <w:spacing w:after="0" w:line="41" w:lineRule="exact"/>
        <w:rPr>
          <w:rFonts w:ascii="Arial" w:cs="Arial" w:eastAsia="Arial" w:hAnsi="Arial"/>
          <w:sz w:val="22"/>
          <w:szCs w:val="22"/>
          <w:color w:val="00249C"/>
        </w:rPr>
      </w:pPr>
    </w:p>
    <w:p>
      <w:pPr>
        <w:ind w:left="360" w:right="480" w:hanging="321"/>
        <w:spacing w:after="0" w:line="211" w:lineRule="auto"/>
        <w:tabs>
          <w:tab w:leader="none" w:pos="156" w:val="left"/>
        </w:tabs>
        <w:numPr>
          <w:ilvl w:val="0"/>
          <w:numId w:val="52"/>
        </w:numPr>
        <w:rPr>
          <w:rFonts w:ascii="Arial" w:cs="Arial" w:eastAsia="Arial" w:hAnsi="Arial"/>
          <w:sz w:val="22"/>
          <w:szCs w:val="22"/>
          <w:color w:val="00249C"/>
        </w:rPr>
      </w:pPr>
      <w:r>
        <w:rPr>
          <w:rFonts w:ascii="Arial" w:cs="Arial" w:eastAsia="Arial" w:hAnsi="Arial"/>
          <w:sz w:val="18"/>
          <w:szCs w:val="18"/>
          <w:color w:val="auto"/>
        </w:rPr>
        <w:t>Both the Compensation Committee and its independent compensation consultant evaluate the mix of variable compensation linked to financial and non-financial performance, as well as shareholder returns.</w:t>
      </w:r>
    </w:p>
    <w:p>
      <w:pPr>
        <w:spacing w:after="0" w:line="5" w:lineRule="exact"/>
        <w:rPr>
          <w:rFonts w:ascii="Arial" w:cs="Arial" w:eastAsia="Arial" w:hAnsi="Arial"/>
          <w:sz w:val="22"/>
          <w:szCs w:val="22"/>
          <w:color w:val="00249C"/>
        </w:rPr>
      </w:pPr>
    </w:p>
    <w:p>
      <w:pPr>
        <w:ind w:left="160" w:hanging="121"/>
        <w:spacing w:after="0"/>
        <w:tabs>
          <w:tab w:leader="none" w:pos="160" w:val="left"/>
        </w:tabs>
        <w:numPr>
          <w:ilvl w:val="0"/>
          <w:numId w:val="52"/>
        </w:numPr>
        <w:rPr>
          <w:rFonts w:ascii="Arial" w:cs="Arial" w:eastAsia="Arial" w:hAnsi="Arial"/>
          <w:sz w:val="22"/>
          <w:szCs w:val="22"/>
          <w:color w:val="00249C"/>
        </w:rPr>
      </w:pPr>
      <w:r>
        <w:rPr>
          <w:rFonts w:ascii="Arial" w:cs="Arial" w:eastAsia="Arial" w:hAnsi="Arial"/>
          <w:sz w:val="18"/>
          <w:szCs w:val="18"/>
          <w:color w:val="auto"/>
        </w:rPr>
        <w:t>The assessment is to confirm there is an appropriate balance in the executive compensation programs, practices and policies.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1240"/>
          </w:cols>
          <w:pgMar w:left="320" w:top="607" w:right="339" w:bottom="1440" w:gutter="0" w:footer="0" w:header="0"/>
        </w:sectPr>
      </w:pPr>
    </w:p>
    <w:bookmarkStart w:id="50" w:name="page51"/>
    <w:bookmarkEnd w:id="50"/>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5314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 xml:space="preserve">COMPENSATION DISCUSSION AND ANALYSIS | </w:t>
      </w:r>
      <w:r>
        <w:rPr>
          <w:rFonts w:ascii="Arial" w:cs="Arial" w:eastAsia="Arial" w:hAnsi="Arial"/>
          <w:sz w:val="17"/>
          <w:szCs w:val="17"/>
          <w:b w:val="1"/>
          <w:bCs w:val="1"/>
          <w:color w:val="FFFFFF"/>
        </w:rPr>
        <w:t>KEY PRINCIPLES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How We Make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Role of the Compensation Committee</w:t>
      </w:r>
    </w:p>
    <w:p>
      <w:pPr>
        <w:spacing w:after="0" w:line="10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Compensation Committee is responsible for overseeing our compensation policies, incentive and equity compensation plans and approving payments or grants under these plans for elected officers (other than the CEO). The Compensation Committee recommends the compensation for our CEO to the independent directors of the Board for approval and approves the compensation for the other NEOs. In performing its duties, the Compensation Committee:</w:t>
      </w:r>
    </w:p>
    <w:p>
      <w:pPr>
        <w:spacing w:after="0" w:line="123" w:lineRule="exact"/>
        <w:rPr>
          <w:sz w:val="20"/>
          <w:szCs w:val="20"/>
          <w:color w:val="auto"/>
        </w:rPr>
      </w:pPr>
    </w:p>
    <w:p>
      <w:pPr>
        <w:ind w:left="340" w:right="340" w:hanging="332"/>
        <w:spacing w:after="0" w:line="225" w:lineRule="auto"/>
        <w:tabs>
          <w:tab w:leader="none" w:pos="308" w:val="left"/>
        </w:tabs>
        <w:numPr>
          <w:ilvl w:val="0"/>
          <w:numId w:val="53"/>
        </w:numPr>
        <w:rPr>
          <w:rFonts w:ascii="Arial" w:cs="Arial" w:eastAsia="Arial" w:hAnsi="Arial"/>
          <w:sz w:val="22"/>
          <w:szCs w:val="22"/>
          <w:color w:val="00249C"/>
        </w:rPr>
      </w:pPr>
      <w:r>
        <w:rPr>
          <w:rFonts w:ascii="Arial" w:cs="Arial" w:eastAsia="Arial" w:hAnsi="Arial"/>
          <w:sz w:val="18"/>
          <w:szCs w:val="18"/>
          <w:color w:val="auto"/>
        </w:rPr>
        <w:t>receives advice from an independent compensation consultant who reports directly to the Compensation Committee and is discussed further below;</w:t>
      </w:r>
    </w:p>
    <w:p>
      <w:pPr>
        <w:spacing w:after="0" w:line="99" w:lineRule="exact"/>
        <w:rPr>
          <w:rFonts w:ascii="Arial" w:cs="Arial" w:eastAsia="Arial" w:hAnsi="Arial"/>
          <w:sz w:val="22"/>
          <w:szCs w:val="22"/>
          <w:color w:val="00249C"/>
        </w:rPr>
      </w:pPr>
    </w:p>
    <w:p>
      <w:pPr>
        <w:ind w:left="300" w:hanging="292"/>
        <w:spacing w:after="0"/>
        <w:tabs>
          <w:tab w:leader="none" w:pos="300" w:val="left"/>
        </w:tabs>
        <w:numPr>
          <w:ilvl w:val="0"/>
          <w:numId w:val="53"/>
        </w:numPr>
        <w:rPr>
          <w:rFonts w:ascii="Arial" w:cs="Arial" w:eastAsia="Arial" w:hAnsi="Arial"/>
          <w:sz w:val="22"/>
          <w:szCs w:val="22"/>
          <w:color w:val="00249C"/>
        </w:rPr>
      </w:pPr>
      <w:r>
        <w:rPr>
          <w:rFonts w:ascii="Arial" w:cs="Arial" w:eastAsia="Arial" w:hAnsi="Arial"/>
          <w:sz w:val="18"/>
          <w:szCs w:val="18"/>
          <w:color w:val="auto"/>
        </w:rPr>
        <w:t>reviews market data and other input from its independent compensation consultant;</w:t>
      </w:r>
    </w:p>
    <w:p>
      <w:pPr>
        <w:spacing w:after="0" w:line="120" w:lineRule="exact"/>
        <w:rPr>
          <w:rFonts w:ascii="Arial" w:cs="Arial" w:eastAsia="Arial" w:hAnsi="Arial"/>
          <w:sz w:val="22"/>
          <w:szCs w:val="22"/>
          <w:color w:val="00249C"/>
        </w:rPr>
      </w:pPr>
    </w:p>
    <w:p>
      <w:pPr>
        <w:ind w:left="340" w:right="760" w:hanging="332"/>
        <w:spacing w:after="0" w:line="225" w:lineRule="auto"/>
        <w:tabs>
          <w:tab w:leader="none" w:pos="308" w:val="left"/>
        </w:tabs>
        <w:numPr>
          <w:ilvl w:val="0"/>
          <w:numId w:val="53"/>
        </w:numPr>
        <w:rPr>
          <w:rFonts w:ascii="Arial" w:cs="Arial" w:eastAsia="Arial" w:hAnsi="Arial"/>
          <w:sz w:val="22"/>
          <w:szCs w:val="22"/>
          <w:color w:val="00249C"/>
        </w:rPr>
      </w:pPr>
      <w:r>
        <w:rPr>
          <w:rFonts w:ascii="Arial" w:cs="Arial" w:eastAsia="Arial" w:hAnsi="Arial"/>
          <w:sz w:val="18"/>
          <w:szCs w:val="18"/>
          <w:color w:val="auto"/>
        </w:rPr>
        <w:t>reviews and approves incentive goals and objectives (CEO goals and objectives are reviewed and approved by the independent directors);</w:t>
      </w:r>
    </w:p>
    <w:p>
      <w:pPr>
        <w:spacing w:after="0" w:line="99" w:lineRule="exact"/>
        <w:rPr>
          <w:rFonts w:ascii="Arial" w:cs="Arial" w:eastAsia="Arial" w:hAnsi="Arial"/>
          <w:sz w:val="22"/>
          <w:szCs w:val="22"/>
          <w:color w:val="00249C"/>
        </w:rPr>
      </w:pPr>
    </w:p>
    <w:p>
      <w:pPr>
        <w:ind w:left="300" w:hanging="292"/>
        <w:spacing w:after="0"/>
        <w:tabs>
          <w:tab w:leader="none" w:pos="300" w:val="left"/>
        </w:tabs>
        <w:numPr>
          <w:ilvl w:val="0"/>
          <w:numId w:val="53"/>
        </w:numPr>
        <w:rPr>
          <w:rFonts w:ascii="Arial" w:cs="Arial" w:eastAsia="Arial" w:hAnsi="Arial"/>
          <w:sz w:val="22"/>
          <w:szCs w:val="22"/>
          <w:color w:val="00249C"/>
        </w:rPr>
      </w:pPr>
      <w:r>
        <w:rPr>
          <w:rFonts w:ascii="Arial" w:cs="Arial" w:eastAsia="Arial" w:hAnsi="Arial"/>
          <w:sz w:val="18"/>
          <w:szCs w:val="18"/>
          <w:color w:val="auto"/>
        </w:rPr>
        <w:t>evaluates and approves executive benefit and perquisite programs;</w:t>
      </w:r>
    </w:p>
    <w:p>
      <w:pPr>
        <w:spacing w:after="0" w:line="98" w:lineRule="exact"/>
        <w:rPr>
          <w:rFonts w:ascii="Arial" w:cs="Arial" w:eastAsia="Arial" w:hAnsi="Arial"/>
          <w:sz w:val="22"/>
          <w:szCs w:val="22"/>
          <w:color w:val="00249C"/>
        </w:rPr>
      </w:pPr>
    </w:p>
    <w:p>
      <w:pPr>
        <w:ind w:left="300" w:hanging="292"/>
        <w:spacing w:after="0"/>
        <w:tabs>
          <w:tab w:leader="none" w:pos="300" w:val="left"/>
        </w:tabs>
        <w:numPr>
          <w:ilvl w:val="0"/>
          <w:numId w:val="53"/>
        </w:numPr>
        <w:rPr>
          <w:rFonts w:ascii="Arial" w:cs="Arial" w:eastAsia="Arial" w:hAnsi="Arial"/>
          <w:sz w:val="22"/>
          <w:szCs w:val="22"/>
          <w:color w:val="00249C"/>
        </w:rPr>
      </w:pPr>
      <w:r>
        <w:rPr>
          <w:rFonts w:ascii="Arial" w:cs="Arial" w:eastAsia="Arial" w:hAnsi="Arial"/>
          <w:sz w:val="18"/>
          <w:szCs w:val="18"/>
          <w:color w:val="auto"/>
        </w:rPr>
        <w:t>evaluates the competitiveness of each elected officer's total compensation package; and</w:t>
      </w:r>
    </w:p>
    <w:p>
      <w:pPr>
        <w:spacing w:after="0" w:line="84" w:lineRule="exact"/>
        <w:rPr>
          <w:rFonts w:ascii="Arial" w:cs="Arial" w:eastAsia="Arial" w:hAnsi="Arial"/>
          <w:sz w:val="22"/>
          <w:szCs w:val="22"/>
          <w:color w:val="00249C"/>
        </w:rPr>
      </w:pPr>
    </w:p>
    <w:p>
      <w:pPr>
        <w:ind w:left="300" w:hanging="292"/>
        <w:spacing w:after="0"/>
        <w:tabs>
          <w:tab w:leader="none" w:pos="300" w:val="left"/>
        </w:tabs>
        <w:numPr>
          <w:ilvl w:val="0"/>
          <w:numId w:val="53"/>
        </w:numPr>
        <w:rPr>
          <w:rFonts w:ascii="Arial" w:cs="Arial" w:eastAsia="Arial" w:hAnsi="Arial"/>
          <w:sz w:val="22"/>
          <w:szCs w:val="22"/>
          <w:color w:val="00249C"/>
        </w:rPr>
      </w:pPr>
      <w:r>
        <w:rPr>
          <w:rFonts w:ascii="Arial" w:cs="Arial" w:eastAsia="Arial" w:hAnsi="Arial"/>
          <w:sz w:val="18"/>
          <w:szCs w:val="18"/>
          <w:color w:val="auto"/>
        </w:rPr>
        <w:t>conducts an annual evaluation of the independent compensation consultant.</w:t>
      </w:r>
    </w:p>
    <w:p>
      <w:pPr>
        <w:spacing w:after="0" w:line="94"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In addition, the Compensation Committee annually reviews and discusses with management the CD&amp;A and provides a Compensation Committee Report for inclusion in the proxy statement.</w:t>
      </w:r>
    </w:p>
    <w:p>
      <w:pPr>
        <w:spacing w:after="0" w:line="76" w:lineRule="exact"/>
        <w:rPr>
          <w:sz w:val="20"/>
          <w:szCs w:val="20"/>
          <w:color w:val="auto"/>
        </w:rPr>
      </w:pPr>
    </w:p>
    <w:p>
      <w:pPr>
        <w:ind w:right="820"/>
        <w:spacing w:after="0" w:line="261" w:lineRule="auto"/>
        <w:rPr>
          <w:sz w:val="20"/>
          <w:szCs w:val="20"/>
          <w:color w:val="auto"/>
        </w:rPr>
      </w:pPr>
      <w:r>
        <w:rPr>
          <w:rFonts w:ascii="Arial" w:cs="Arial" w:eastAsia="Arial" w:hAnsi="Arial"/>
          <w:sz w:val="18"/>
          <w:szCs w:val="18"/>
          <w:color w:val="auto"/>
        </w:rPr>
        <w:t>For more information regarding the composition of the Compensation Committee and its duties and responsibilities, see "Corporate Governance – Committees of the Board of Directors – Compensation Committee" on page 18.</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Role of the Independent Compensation Consultant</w:t>
      </w:r>
    </w:p>
    <w:p>
      <w:pPr>
        <w:spacing w:after="0" w:line="12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Compensation Committee retains an independent compensation consultant, Frederic W. Cook &amp; Co. (the Compensation Consultant). The Compensation Consultant reports directly to the Compensation Committee, and the Compensation Committee may replace the Compensation Consultant or hire additional consultants at any time. A representative of the Compensation Consultant regularly participates in meetings of the Compensation Committee and communicates with the Compensation Committee Chairperson between meetings as needed; however, the Compensation Committee and the independent directors of the Board make final decisions on the compensation actions for the NEOs. The Compensation Consultant also participates in executive session with the Compensation Committee. Other than the fees paid to the Compensation Consultant pursuant to its engagement by the Compensation Committee for its advice on executive and director compensation, the Compensation Consultant does not receive any fees or income from the Company.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responsibilities of the Compensation Consultant include:</w:t>
      </w:r>
    </w:p>
    <w:p>
      <w:pPr>
        <w:spacing w:after="0" w:line="131" w:lineRule="exact"/>
        <w:rPr>
          <w:sz w:val="20"/>
          <w:szCs w:val="20"/>
          <w:color w:val="auto"/>
        </w:rPr>
      </w:pPr>
    </w:p>
    <w:p>
      <w:pPr>
        <w:ind w:left="340" w:right="140" w:hanging="332"/>
        <w:spacing w:after="0" w:line="225" w:lineRule="auto"/>
        <w:tabs>
          <w:tab w:leader="none" w:pos="308" w:val="left"/>
        </w:tabs>
        <w:numPr>
          <w:ilvl w:val="0"/>
          <w:numId w:val="54"/>
        </w:numPr>
        <w:rPr>
          <w:rFonts w:ascii="Arial" w:cs="Arial" w:eastAsia="Arial" w:hAnsi="Arial"/>
          <w:sz w:val="22"/>
          <w:szCs w:val="22"/>
          <w:color w:val="00249C"/>
        </w:rPr>
      </w:pPr>
      <w:r>
        <w:rPr>
          <w:rFonts w:ascii="Arial" w:cs="Arial" w:eastAsia="Arial" w:hAnsi="Arial"/>
          <w:sz w:val="18"/>
          <w:szCs w:val="18"/>
          <w:color w:val="auto"/>
        </w:rPr>
        <w:t>providing a review of market data and advising the Compensation Committee on the levels and structure of our executive compensation policies and procedures, including compensation matters for NEOs;</w:t>
      </w:r>
    </w:p>
    <w:p>
      <w:pPr>
        <w:spacing w:after="0" w:line="135" w:lineRule="exact"/>
        <w:rPr>
          <w:rFonts w:ascii="Arial" w:cs="Arial" w:eastAsia="Arial" w:hAnsi="Arial"/>
          <w:sz w:val="22"/>
          <w:szCs w:val="22"/>
          <w:color w:val="00249C"/>
        </w:rPr>
      </w:pPr>
    </w:p>
    <w:p>
      <w:pPr>
        <w:ind w:left="340" w:right="800" w:hanging="332"/>
        <w:spacing w:after="0" w:line="225" w:lineRule="auto"/>
        <w:tabs>
          <w:tab w:leader="none" w:pos="308" w:val="left"/>
        </w:tabs>
        <w:numPr>
          <w:ilvl w:val="0"/>
          <w:numId w:val="54"/>
        </w:numPr>
        <w:rPr>
          <w:rFonts w:ascii="Arial" w:cs="Arial" w:eastAsia="Arial" w:hAnsi="Arial"/>
          <w:sz w:val="22"/>
          <w:szCs w:val="22"/>
          <w:color w:val="00249C"/>
        </w:rPr>
      </w:pPr>
      <w:r>
        <w:rPr>
          <w:rFonts w:ascii="Arial" w:cs="Arial" w:eastAsia="Arial" w:hAnsi="Arial"/>
          <w:sz w:val="18"/>
          <w:szCs w:val="18"/>
          <w:color w:val="auto"/>
        </w:rPr>
        <w:t>reviewing and advising the Compensation Committee on our total compensation philosophy, peer groups and target competitive positioning;</w:t>
      </w:r>
    </w:p>
    <w:p>
      <w:pPr>
        <w:spacing w:after="0" w:line="86" w:lineRule="exact"/>
        <w:rPr>
          <w:rFonts w:ascii="Arial" w:cs="Arial" w:eastAsia="Arial" w:hAnsi="Arial"/>
          <w:sz w:val="22"/>
          <w:szCs w:val="22"/>
          <w:color w:val="00249C"/>
        </w:rPr>
      </w:pPr>
    </w:p>
    <w:p>
      <w:pPr>
        <w:ind w:left="300" w:hanging="292"/>
        <w:spacing w:after="0"/>
        <w:tabs>
          <w:tab w:leader="none" w:pos="300" w:val="left"/>
        </w:tabs>
        <w:numPr>
          <w:ilvl w:val="0"/>
          <w:numId w:val="54"/>
        </w:numPr>
        <w:rPr>
          <w:rFonts w:ascii="Arial" w:cs="Arial" w:eastAsia="Arial" w:hAnsi="Arial"/>
          <w:sz w:val="22"/>
          <w:szCs w:val="22"/>
          <w:color w:val="00249C"/>
        </w:rPr>
      </w:pPr>
      <w:r>
        <w:rPr>
          <w:rFonts w:ascii="Arial" w:cs="Arial" w:eastAsia="Arial" w:hAnsi="Arial"/>
          <w:sz w:val="18"/>
          <w:szCs w:val="18"/>
          <w:color w:val="auto"/>
        </w:rPr>
        <w:t>identifying market trends and practices and advising the Compensation Committee on program design implications;</w:t>
      </w:r>
    </w:p>
    <w:p>
      <w:pPr>
        <w:spacing w:after="0" w:line="134" w:lineRule="exact"/>
        <w:rPr>
          <w:rFonts w:ascii="Arial" w:cs="Arial" w:eastAsia="Arial" w:hAnsi="Arial"/>
          <w:sz w:val="22"/>
          <w:szCs w:val="22"/>
          <w:color w:val="00249C"/>
        </w:rPr>
      </w:pPr>
    </w:p>
    <w:p>
      <w:pPr>
        <w:ind w:left="340" w:right="560" w:hanging="332"/>
        <w:spacing w:after="0" w:line="233" w:lineRule="auto"/>
        <w:tabs>
          <w:tab w:leader="none" w:pos="308" w:val="left"/>
        </w:tabs>
        <w:numPr>
          <w:ilvl w:val="0"/>
          <w:numId w:val="54"/>
        </w:numPr>
        <w:rPr>
          <w:rFonts w:ascii="Arial" w:cs="Arial" w:eastAsia="Arial" w:hAnsi="Arial"/>
          <w:sz w:val="22"/>
          <w:szCs w:val="22"/>
          <w:color w:val="00249C"/>
        </w:rPr>
      </w:pPr>
      <w:r>
        <w:rPr>
          <w:rFonts w:ascii="Arial" w:cs="Arial" w:eastAsia="Arial" w:hAnsi="Arial"/>
          <w:sz w:val="18"/>
          <w:szCs w:val="18"/>
          <w:color w:val="auto"/>
        </w:rPr>
        <w:t>providing proactive advice to the Compensation Committee on best practices for Board governance of executive compensation, compensation-related risk management, and any areas for program design to most appropriately support the Company's business strategy and organizational values; and</w:t>
      </w:r>
    </w:p>
    <w:p>
      <w:pPr>
        <w:spacing w:after="0" w:line="135" w:lineRule="exact"/>
        <w:rPr>
          <w:rFonts w:ascii="Arial" w:cs="Arial" w:eastAsia="Arial" w:hAnsi="Arial"/>
          <w:sz w:val="22"/>
          <w:szCs w:val="22"/>
          <w:color w:val="00249C"/>
        </w:rPr>
      </w:pPr>
    </w:p>
    <w:p>
      <w:pPr>
        <w:ind w:left="340" w:right="80" w:hanging="332"/>
        <w:spacing w:after="0" w:line="225" w:lineRule="auto"/>
        <w:tabs>
          <w:tab w:leader="none" w:pos="308" w:val="left"/>
        </w:tabs>
        <w:numPr>
          <w:ilvl w:val="0"/>
          <w:numId w:val="54"/>
        </w:numPr>
        <w:rPr>
          <w:rFonts w:ascii="Arial" w:cs="Arial" w:eastAsia="Arial" w:hAnsi="Arial"/>
          <w:sz w:val="22"/>
          <w:szCs w:val="22"/>
          <w:color w:val="00249C"/>
        </w:rPr>
      </w:pPr>
      <w:r>
        <w:rPr>
          <w:rFonts w:ascii="Arial" w:cs="Arial" w:eastAsia="Arial" w:hAnsi="Arial"/>
          <w:sz w:val="18"/>
          <w:szCs w:val="18"/>
          <w:color w:val="auto"/>
        </w:rPr>
        <w:t>serving as a resource to the Compensation Committee Chairperson on setting agenda items for Compensation Committee meetings and undertaking special projects.</w:t>
      </w:r>
    </w:p>
    <w:p>
      <w:pPr>
        <w:spacing w:after="0" w:line="8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 February 2021, the Compensation Committee determined that there were no relationships between the Compensation Consultant and the Company or any of the Company's directors or executive officers that raised a conflict of interest.</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45</w:t>
      </w:r>
    </w:p>
    <w:p>
      <w:pPr>
        <w:sectPr>
          <w:pgSz w:w="11900" w:h="16838" w:orient="portrait"/>
          <w:cols w:equalWidth="0" w:num="1">
            <w:col w:w="11240"/>
          </w:cols>
          <w:pgMar w:left="320" w:top="607" w:right="339" w:bottom="1440" w:gutter="0" w:footer="0" w:header="0"/>
        </w:sectPr>
      </w:pPr>
    </w:p>
    <w:bookmarkStart w:id="51" w:name="page52"/>
    <w:bookmarkEnd w:id="51"/>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5314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 xml:space="preserve">COMPENSATION DISCUSSION AND ANALYSIS | </w:t>
      </w:r>
      <w:r>
        <w:rPr>
          <w:rFonts w:ascii="Arial" w:cs="Arial" w:eastAsia="Arial" w:hAnsi="Arial"/>
          <w:sz w:val="17"/>
          <w:szCs w:val="17"/>
          <w:b w:val="1"/>
          <w:bCs w:val="1"/>
          <w:color w:val="FFFFFF"/>
        </w:rPr>
        <w:t>KEY PRINCIPLES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Role of Management</w:t>
      </w:r>
    </w:p>
    <w:p>
      <w:pPr>
        <w:spacing w:after="0" w:line="1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CEO makes compensation-related recommendations for elected officers, other than the CEO, to the Compensation Committee for its review and approval. The CEO's evaluation is based on each officer's compensation relative to market and the overall framework, philosophy and objectives for our executive compensation programs approved by the Compensation Committee.</w:t>
      </w:r>
    </w:p>
    <w:p>
      <w:pPr>
        <w:spacing w:after="0" w:line="8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recommendations for elected officers are based on an assessment of each executive's performance, skills and industry knowledge, market compensation benchmarks, and succession and retention considerations. The Corporate Vice President and Chief Human Resources Officer provides a summary of historical compensation and benefits-related data when compensation decisions are considered by the Compensation Committee to ensure compensation decisions are made within our total compensation framework.</w:t>
      </w:r>
    </w:p>
    <w:p>
      <w:pPr>
        <w:spacing w:after="0" w:line="82"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Management also provides recommendations to the Compensation Committee regarding executive incentive and benefit plan designs and strategies. These recommendations include financial and non-financial operational goals and criteria for our annual and long-term incentive plans.</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Use of Competitive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Peer Group: Set Performance Targets and Evaluate Performance</w:t>
      </w:r>
    </w:p>
    <w:p>
      <w:pPr>
        <w:spacing w:after="0" w:line="10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Compensation Committee uses the Performance Peer Group for purposes of setting performance targets and evaluating performance for our AIP and LTIP. The Performance Peer Group encompasses the largest global defense companies by government revenues within the domestic aerospace and defense market space. The same Performance Peer Group was used to establish the goals for the 2020 AIP and 2018 RPSR grants that vested at the end of 2020, and the 2020 RPSR grants that will vest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69850</wp:posOffset>
            </wp:positionV>
            <wp:extent cx="6189345" cy="1543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189345" cy="154305"/>
                    </a:xfrm>
                    <a:prstGeom prst="rect">
                      <a:avLst/>
                    </a:prstGeom>
                    <a:noFill/>
                  </pic:spPr>
                </pic:pic>
              </a:graphicData>
            </a:graphic>
          </wp:anchor>
        </w:drawing>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FFFFFF"/>
        </w:rPr>
        <w:t>PERFORMANCE PEER GROUP</w:t>
      </w:r>
    </w:p>
    <w:p>
      <w:pPr>
        <w:spacing w:after="0" w:line="25" w:lineRule="exact"/>
        <w:rPr>
          <w:sz w:val="20"/>
          <w:szCs w:val="20"/>
          <w:color w:val="auto"/>
        </w:rPr>
      </w:pPr>
    </w:p>
    <w:tbl>
      <w:tblPr>
        <w:tblLayout w:type="fixed"/>
        <w:tblInd w:w="760" w:type="dxa"/>
        <w:tblCellMar>
          <w:top w:w="0" w:type="dxa"/>
          <w:left w:w="0" w:type="dxa"/>
          <w:bottom w:w="0" w:type="dxa"/>
          <w:right w:w="0" w:type="dxa"/>
        </w:tblCellMar>
      </w:tblPr>
      <w:tr>
        <w:trPr>
          <w:trHeight w:val="241"/>
        </w:trPr>
        <w:tc>
          <w:tcPr>
            <w:tcW w:w="3100" w:type="dxa"/>
            <w:vAlign w:val="bottom"/>
            <w:shd w:val="clear" w:color="auto" w:fill="CCD4DB"/>
          </w:tcPr>
          <w:p>
            <w:pPr>
              <w:ind w:left="20"/>
              <w:spacing w:after="0"/>
              <w:rPr>
                <w:sz w:val="20"/>
                <w:szCs w:val="20"/>
                <w:color w:val="auto"/>
              </w:rPr>
            </w:pPr>
            <w:r>
              <w:rPr>
                <w:rFonts w:ascii="Arial" w:cs="Arial" w:eastAsia="Arial" w:hAnsi="Arial"/>
                <w:sz w:val="16"/>
                <w:szCs w:val="16"/>
                <w:color w:val="auto"/>
              </w:rPr>
              <w:t>BAE Systems</w:t>
            </w:r>
          </w:p>
        </w:tc>
        <w:tc>
          <w:tcPr>
            <w:tcW w:w="2820" w:type="dxa"/>
            <w:vAlign w:val="bottom"/>
            <w:shd w:val="clear" w:color="auto" w:fill="CCD4DB"/>
          </w:tcPr>
          <w:p>
            <w:pPr>
              <w:ind w:left="160"/>
              <w:spacing w:after="0"/>
              <w:rPr>
                <w:sz w:val="20"/>
                <w:szCs w:val="20"/>
                <w:color w:val="auto"/>
              </w:rPr>
            </w:pPr>
            <w:r>
              <w:rPr>
                <w:rFonts w:ascii="Arial" w:cs="Arial" w:eastAsia="Arial" w:hAnsi="Arial"/>
                <w:sz w:val="16"/>
                <w:szCs w:val="16"/>
                <w:color w:val="auto"/>
              </w:rPr>
              <w:t>L3Harris Technologies, Inc.</w:t>
            </w:r>
          </w:p>
        </w:tc>
        <w:tc>
          <w:tcPr>
            <w:tcW w:w="3820" w:type="dxa"/>
            <w:vAlign w:val="bottom"/>
            <w:shd w:val="clear" w:color="auto" w:fill="CCD4DB"/>
          </w:tcPr>
          <w:p>
            <w:pPr>
              <w:ind w:left="580"/>
              <w:spacing w:after="0"/>
              <w:rPr>
                <w:sz w:val="20"/>
                <w:szCs w:val="20"/>
                <w:color w:val="auto"/>
              </w:rPr>
            </w:pPr>
            <w:r>
              <w:rPr>
                <w:rFonts w:ascii="Arial" w:cs="Arial" w:eastAsia="Arial" w:hAnsi="Arial"/>
                <w:sz w:val="16"/>
                <w:szCs w:val="16"/>
                <w:color w:val="auto"/>
              </w:rPr>
              <w:t>Raytheon Technologies Corporation</w:t>
            </w:r>
            <w:r>
              <w:rPr>
                <w:rFonts w:ascii="Arial" w:cs="Arial" w:eastAsia="Arial" w:hAnsi="Arial"/>
                <w:sz w:val="21"/>
                <w:szCs w:val="21"/>
                <w:color w:val="auto"/>
                <w:vertAlign w:val="superscript"/>
              </w:rPr>
              <w:t>(1)</w:t>
            </w:r>
          </w:p>
        </w:tc>
      </w:tr>
      <w:tr>
        <w:trPr>
          <w:trHeight w:val="213"/>
        </w:trPr>
        <w:tc>
          <w:tcPr>
            <w:tcW w:w="3100" w:type="dxa"/>
            <w:vAlign w:val="bottom"/>
          </w:tcPr>
          <w:p>
            <w:pPr>
              <w:ind w:left="20"/>
              <w:spacing w:after="0"/>
              <w:rPr>
                <w:sz w:val="20"/>
                <w:szCs w:val="20"/>
                <w:color w:val="auto"/>
              </w:rPr>
            </w:pPr>
            <w:r>
              <w:rPr>
                <w:rFonts w:ascii="Arial" w:cs="Arial" w:eastAsia="Arial" w:hAnsi="Arial"/>
                <w:sz w:val="16"/>
                <w:szCs w:val="16"/>
                <w:color w:val="auto"/>
              </w:rPr>
              <w:t>The Boeing Company</w:t>
            </w:r>
          </w:p>
        </w:tc>
        <w:tc>
          <w:tcPr>
            <w:tcW w:w="2820" w:type="dxa"/>
            <w:vAlign w:val="bottom"/>
          </w:tcPr>
          <w:p>
            <w:pPr>
              <w:ind w:left="160"/>
              <w:spacing w:after="0"/>
              <w:rPr>
                <w:sz w:val="20"/>
                <w:szCs w:val="20"/>
                <w:color w:val="auto"/>
              </w:rPr>
            </w:pPr>
            <w:r>
              <w:rPr>
                <w:rFonts w:ascii="Arial" w:cs="Arial" w:eastAsia="Arial" w:hAnsi="Arial"/>
                <w:sz w:val="16"/>
                <w:szCs w:val="16"/>
                <w:color w:val="auto"/>
              </w:rPr>
              <w:t>Leidos Holdings, Inc.</w:t>
            </w:r>
          </w:p>
        </w:tc>
        <w:tc>
          <w:tcPr>
            <w:tcW w:w="3820" w:type="dxa"/>
            <w:vAlign w:val="bottom"/>
          </w:tcPr>
          <w:p>
            <w:pPr>
              <w:ind w:left="580"/>
              <w:spacing w:after="0"/>
              <w:rPr>
                <w:sz w:val="20"/>
                <w:szCs w:val="20"/>
                <w:color w:val="auto"/>
              </w:rPr>
            </w:pPr>
            <w:r>
              <w:rPr>
                <w:rFonts w:ascii="Arial" w:cs="Arial" w:eastAsia="Arial" w:hAnsi="Arial"/>
                <w:sz w:val="16"/>
                <w:szCs w:val="16"/>
                <w:color w:val="auto"/>
              </w:rPr>
              <w:t>Thales Group</w:t>
            </w:r>
          </w:p>
        </w:tc>
      </w:tr>
      <w:tr>
        <w:trPr>
          <w:trHeight w:val="219"/>
        </w:trPr>
        <w:tc>
          <w:tcPr>
            <w:tcW w:w="3100" w:type="dxa"/>
            <w:vAlign w:val="bottom"/>
            <w:shd w:val="clear" w:color="auto" w:fill="CCD4DB"/>
          </w:tcPr>
          <w:p>
            <w:pPr>
              <w:ind w:left="20"/>
              <w:spacing w:after="0"/>
              <w:rPr>
                <w:sz w:val="20"/>
                <w:szCs w:val="20"/>
                <w:color w:val="auto"/>
              </w:rPr>
            </w:pPr>
            <w:r>
              <w:rPr>
                <w:rFonts w:ascii="Arial" w:cs="Arial" w:eastAsia="Arial" w:hAnsi="Arial"/>
                <w:sz w:val="16"/>
                <w:szCs w:val="16"/>
                <w:color w:val="auto"/>
              </w:rPr>
              <w:t>Booz Allen Hamilton Holding Corporation</w:t>
            </w:r>
          </w:p>
        </w:tc>
        <w:tc>
          <w:tcPr>
            <w:tcW w:w="2820" w:type="dxa"/>
            <w:vAlign w:val="bottom"/>
            <w:shd w:val="clear" w:color="auto" w:fill="CCD4DB"/>
          </w:tcPr>
          <w:p>
            <w:pPr>
              <w:ind w:left="160"/>
              <w:spacing w:after="0"/>
              <w:rPr>
                <w:sz w:val="20"/>
                <w:szCs w:val="20"/>
                <w:color w:val="auto"/>
              </w:rPr>
            </w:pPr>
            <w:r>
              <w:rPr>
                <w:rFonts w:ascii="Arial" w:cs="Arial" w:eastAsia="Arial" w:hAnsi="Arial"/>
                <w:sz w:val="16"/>
                <w:szCs w:val="16"/>
                <w:color w:val="auto"/>
              </w:rPr>
              <w:t>Leonardo</w:t>
            </w:r>
          </w:p>
        </w:tc>
        <w:tc>
          <w:tcPr>
            <w:tcW w:w="3820" w:type="dxa"/>
            <w:vAlign w:val="bottom"/>
            <w:shd w:val="clear" w:color="auto" w:fill="CCD4DB"/>
          </w:tcPr>
          <w:p>
            <w:pPr>
              <w:spacing w:after="0"/>
              <w:rPr>
                <w:sz w:val="19"/>
                <w:szCs w:val="19"/>
                <w:color w:val="auto"/>
              </w:rPr>
            </w:pPr>
          </w:p>
        </w:tc>
      </w:tr>
      <w:tr>
        <w:trPr>
          <w:trHeight w:val="210"/>
        </w:trPr>
        <w:tc>
          <w:tcPr>
            <w:tcW w:w="3100" w:type="dxa"/>
            <w:vAlign w:val="bottom"/>
          </w:tcPr>
          <w:p>
            <w:pPr>
              <w:ind w:left="20"/>
              <w:spacing w:after="0"/>
              <w:rPr>
                <w:sz w:val="20"/>
                <w:szCs w:val="20"/>
                <w:color w:val="auto"/>
              </w:rPr>
            </w:pPr>
            <w:r>
              <w:rPr>
                <w:rFonts w:ascii="Arial" w:cs="Arial" w:eastAsia="Arial" w:hAnsi="Arial"/>
                <w:sz w:val="16"/>
                <w:szCs w:val="16"/>
                <w:color w:val="auto"/>
              </w:rPr>
              <w:t>General Dynamics Corporation</w:t>
            </w:r>
          </w:p>
        </w:tc>
        <w:tc>
          <w:tcPr>
            <w:tcW w:w="2820" w:type="dxa"/>
            <w:vAlign w:val="bottom"/>
          </w:tcPr>
          <w:p>
            <w:pPr>
              <w:ind w:left="160"/>
              <w:spacing w:after="0"/>
              <w:rPr>
                <w:sz w:val="20"/>
                <w:szCs w:val="20"/>
                <w:color w:val="auto"/>
              </w:rPr>
            </w:pPr>
            <w:r>
              <w:rPr>
                <w:rFonts w:ascii="Arial" w:cs="Arial" w:eastAsia="Arial" w:hAnsi="Arial"/>
                <w:sz w:val="16"/>
                <w:szCs w:val="16"/>
                <w:color w:val="auto"/>
              </w:rPr>
              <w:t>Lockheed Martin Corporation</w:t>
            </w:r>
          </w:p>
        </w:tc>
        <w:tc>
          <w:tcPr>
            <w:tcW w:w="38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3810</wp:posOffset>
            </wp:positionV>
            <wp:extent cx="61804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ind w:left="940" w:hanging="165"/>
        <w:spacing w:after="0"/>
        <w:tabs>
          <w:tab w:leader="none" w:pos="940" w:val="left"/>
        </w:tabs>
        <w:numPr>
          <w:ilvl w:val="0"/>
          <w:numId w:val="55"/>
        </w:numPr>
        <w:rPr>
          <w:rFonts w:ascii="Arial" w:cs="Arial" w:eastAsia="Arial" w:hAnsi="Arial"/>
          <w:sz w:val="20"/>
          <w:szCs w:val="20"/>
          <w:color w:val="auto"/>
          <w:vertAlign w:val="superscript"/>
        </w:rPr>
      </w:pPr>
      <w:r>
        <w:rPr>
          <w:rFonts w:ascii="Arial" w:cs="Arial" w:eastAsia="Arial" w:hAnsi="Arial"/>
          <w:sz w:val="15"/>
          <w:szCs w:val="15"/>
          <w:color w:val="auto"/>
        </w:rPr>
        <w:t>Raytheon Company merged with United Technologies in 2020, forming Raytheon Technologies Corporation</w:t>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Target Industry Peer Group: Benchmark Executive Compensation Practices</w:t>
      </w:r>
    </w:p>
    <w:p>
      <w:pPr>
        <w:spacing w:after="0" w:line="121"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The Compensation Committee benchmarks our executive compensation levels and practices against a Target Industry Peer Group of 13 companies, including a subset containing six direct peers. Prior to the beginning of the year, the Compensation Committee sets the Target Industry Peer Group used to benchmark compensation for the following year. To identify peer companies for compensation benchmarking purposes, the Compensation Consultant employed an objective criteria-based methodology where:</w:t>
      </w:r>
    </w:p>
    <w:p>
      <w:pPr>
        <w:spacing w:after="0" w:line="60" w:lineRule="exact"/>
        <w:rPr>
          <w:sz w:val="20"/>
          <w:szCs w:val="20"/>
          <w:color w:val="auto"/>
        </w:rPr>
      </w:pPr>
    </w:p>
    <w:p>
      <w:pPr>
        <w:ind w:left="300" w:hanging="292"/>
        <w:spacing w:after="0"/>
        <w:tabs>
          <w:tab w:leader="none" w:pos="300" w:val="left"/>
        </w:tabs>
        <w:numPr>
          <w:ilvl w:val="0"/>
          <w:numId w:val="56"/>
        </w:numPr>
        <w:rPr>
          <w:rFonts w:ascii="Arial" w:cs="Arial" w:eastAsia="Arial" w:hAnsi="Arial"/>
          <w:sz w:val="22"/>
          <w:szCs w:val="22"/>
          <w:color w:val="00249C"/>
        </w:rPr>
      </w:pPr>
      <w:r>
        <w:rPr>
          <w:rFonts w:ascii="Arial" w:cs="Arial" w:eastAsia="Arial" w:hAnsi="Arial"/>
          <w:sz w:val="18"/>
          <w:szCs w:val="18"/>
          <w:color w:val="auto"/>
        </w:rPr>
        <w:t>the company was identified as a peer by at least two aerospace and defense peers or proxy advisory services;</w:t>
      </w:r>
    </w:p>
    <w:p>
      <w:pPr>
        <w:spacing w:after="0" w:line="44" w:lineRule="exact"/>
        <w:rPr>
          <w:rFonts w:ascii="Arial" w:cs="Arial" w:eastAsia="Arial" w:hAnsi="Arial"/>
          <w:sz w:val="22"/>
          <w:szCs w:val="22"/>
          <w:color w:val="00249C"/>
        </w:rPr>
      </w:pPr>
    </w:p>
    <w:p>
      <w:pPr>
        <w:ind w:left="300" w:hanging="292"/>
        <w:spacing w:after="0"/>
        <w:tabs>
          <w:tab w:leader="none" w:pos="300" w:val="left"/>
        </w:tabs>
        <w:numPr>
          <w:ilvl w:val="0"/>
          <w:numId w:val="56"/>
        </w:numPr>
        <w:rPr>
          <w:rFonts w:ascii="Arial" w:cs="Arial" w:eastAsia="Arial" w:hAnsi="Arial"/>
          <w:sz w:val="22"/>
          <w:szCs w:val="22"/>
          <w:color w:val="00249C"/>
        </w:rPr>
      </w:pPr>
      <w:r>
        <w:rPr>
          <w:rFonts w:ascii="Arial" w:cs="Arial" w:eastAsia="Arial" w:hAnsi="Arial"/>
          <w:sz w:val="18"/>
          <w:szCs w:val="18"/>
          <w:color w:val="auto"/>
        </w:rPr>
        <w:t>the company participated in the annual Aon executive compensation study; and</w:t>
      </w:r>
    </w:p>
    <w:p>
      <w:pPr>
        <w:spacing w:after="0" w:line="57" w:lineRule="exact"/>
        <w:rPr>
          <w:rFonts w:ascii="Arial" w:cs="Arial" w:eastAsia="Arial" w:hAnsi="Arial"/>
          <w:sz w:val="22"/>
          <w:szCs w:val="22"/>
          <w:color w:val="00249C"/>
        </w:rPr>
      </w:pPr>
    </w:p>
    <w:p>
      <w:pPr>
        <w:ind w:left="300" w:hanging="292"/>
        <w:spacing w:after="0"/>
        <w:tabs>
          <w:tab w:leader="none" w:pos="300" w:val="left"/>
        </w:tabs>
        <w:numPr>
          <w:ilvl w:val="0"/>
          <w:numId w:val="56"/>
        </w:numPr>
        <w:rPr>
          <w:rFonts w:ascii="Arial" w:cs="Arial" w:eastAsia="Arial" w:hAnsi="Arial"/>
          <w:sz w:val="22"/>
          <w:szCs w:val="22"/>
          <w:color w:val="00249C"/>
        </w:rPr>
      </w:pPr>
      <w:r>
        <w:rPr>
          <w:rFonts w:ascii="Arial" w:cs="Arial" w:eastAsia="Arial" w:hAnsi="Arial"/>
          <w:sz w:val="18"/>
          <w:szCs w:val="18"/>
          <w:color w:val="auto"/>
        </w:rPr>
        <w:t>revenues, total employees and market capitalization of the peer company were broadly similar to those of the Company.</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1240"/>
          </w:cols>
          <w:pgMar w:left="320" w:top="607" w:right="339" w:bottom="1440" w:gutter="0" w:footer="0" w:header="0"/>
        </w:sectPr>
      </w:pPr>
    </w:p>
    <w:bookmarkStart w:id="52" w:name="page53"/>
    <w:bookmarkEnd w:id="52"/>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5314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 xml:space="preserve">COMPENSATION DISCUSSION AND ANALYSIS | </w:t>
      </w:r>
      <w:r>
        <w:rPr>
          <w:rFonts w:ascii="Arial" w:cs="Arial" w:eastAsia="Arial" w:hAnsi="Arial"/>
          <w:sz w:val="17"/>
          <w:szCs w:val="17"/>
          <w:b w:val="1"/>
          <w:bCs w:val="1"/>
          <w:color w:val="FFFFFF"/>
        </w:rPr>
        <w:t>KEY PRINCIPLES</w:t>
      </w:r>
    </w:p>
    <w:p>
      <w:pPr>
        <w:spacing w:after="0" w:line="200" w:lineRule="exact"/>
        <w:rPr>
          <w:sz w:val="20"/>
          <w:szCs w:val="20"/>
          <w:color w:val="auto"/>
        </w:rPr>
      </w:pPr>
    </w:p>
    <w:p>
      <w:pPr>
        <w:spacing w:after="0" w:line="38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While the Target Industry Peer Group is reviewed annually by the Compensation Committee with the Compensation Consultant, our goal is to keep it as consistent as reasonably possible on a year-over-year basis. The companies that comprise the 2020 Target Industry Peer Group are listed in the following table:</w:t>
      </w:r>
    </w:p>
    <w:p>
      <w:pPr>
        <w:spacing w:after="0" w:line="95" w:lineRule="exact"/>
        <w:rPr>
          <w:sz w:val="20"/>
          <w:szCs w:val="20"/>
          <w:color w:val="auto"/>
        </w:rPr>
      </w:pPr>
    </w:p>
    <w:tbl>
      <w:tblPr>
        <w:tblLayout w:type="fixed"/>
        <w:tblInd w:w="760" w:type="dxa"/>
        <w:tblCellMar>
          <w:top w:w="0" w:type="dxa"/>
          <w:left w:w="0" w:type="dxa"/>
          <w:bottom w:w="0" w:type="dxa"/>
          <w:right w:w="0" w:type="dxa"/>
        </w:tblCellMar>
      </w:tblPr>
      <w:tr>
        <w:trPr>
          <w:trHeight w:val="243"/>
        </w:trPr>
        <w:tc>
          <w:tcPr>
            <w:tcW w:w="2920" w:type="dxa"/>
            <w:vAlign w:val="bottom"/>
            <w:shd w:val="clear" w:color="auto" w:fill="00249C"/>
          </w:tcPr>
          <w:p>
            <w:pPr>
              <w:spacing w:after="0"/>
              <w:rPr>
                <w:sz w:val="21"/>
                <w:szCs w:val="21"/>
                <w:color w:val="auto"/>
              </w:rPr>
            </w:pPr>
          </w:p>
        </w:tc>
        <w:tc>
          <w:tcPr>
            <w:tcW w:w="6820" w:type="dxa"/>
            <w:vAlign w:val="bottom"/>
            <w:shd w:val="clear" w:color="auto" w:fill="00249C"/>
          </w:tcPr>
          <w:p>
            <w:pPr>
              <w:ind w:left="420"/>
              <w:spacing w:after="0"/>
              <w:rPr>
                <w:sz w:val="20"/>
                <w:szCs w:val="20"/>
                <w:color w:val="auto"/>
              </w:rPr>
            </w:pPr>
            <w:r>
              <w:rPr>
                <w:rFonts w:ascii="Arial" w:cs="Arial" w:eastAsia="Arial" w:hAnsi="Arial"/>
                <w:sz w:val="16"/>
                <w:szCs w:val="16"/>
                <w:b w:val="1"/>
                <w:bCs w:val="1"/>
                <w:color w:val="FFFFFF"/>
              </w:rPr>
              <w:t>2020 TARGET INDUSTRY PEER GROUP</w:t>
            </w:r>
          </w:p>
        </w:tc>
        <w:tc>
          <w:tcPr>
            <w:tcW w:w="20" w:type="dxa"/>
            <w:vAlign w:val="bottom"/>
            <w:shd w:val="clear" w:color="auto" w:fill="00249C"/>
          </w:tcPr>
          <w:p>
            <w:pPr>
              <w:spacing w:after="0"/>
              <w:rPr>
                <w:sz w:val="21"/>
                <w:szCs w:val="21"/>
                <w:color w:val="auto"/>
              </w:rPr>
            </w:pPr>
          </w:p>
        </w:tc>
      </w:tr>
      <w:tr>
        <w:trPr>
          <w:trHeight w:val="216"/>
        </w:trPr>
        <w:tc>
          <w:tcPr>
            <w:tcW w:w="2920" w:type="dxa"/>
            <w:vAlign w:val="bottom"/>
            <w:shd w:val="clear" w:color="auto" w:fill="CCD4DB"/>
          </w:tcPr>
          <w:p>
            <w:pPr>
              <w:ind w:left="120"/>
              <w:spacing w:after="0"/>
              <w:rPr>
                <w:sz w:val="20"/>
                <w:szCs w:val="20"/>
                <w:color w:val="auto"/>
              </w:rPr>
            </w:pPr>
            <w:r>
              <w:rPr>
                <w:rFonts w:ascii="Arial" w:cs="Arial" w:eastAsia="Arial" w:hAnsi="Arial"/>
                <w:sz w:val="16"/>
                <w:szCs w:val="16"/>
                <w:color w:val="auto"/>
              </w:rPr>
              <w:t>3M Company</w:t>
            </w:r>
          </w:p>
        </w:tc>
        <w:tc>
          <w:tcPr>
            <w:tcW w:w="6820" w:type="dxa"/>
            <w:vAlign w:val="bottom"/>
            <w:shd w:val="clear" w:color="auto" w:fill="CCD4DB"/>
          </w:tcPr>
          <w:p>
            <w:pPr>
              <w:ind w:left="2060"/>
              <w:spacing w:after="0"/>
              <w:rPr>
                <w:sz w:val="20"/>
                <w:szCs w:val="20"/>
                <w:color w:val="auto"/>
              </w:rPr>
            </w:pPr>
            <w:r>
              <w:rPr>
                <w:rFonts w:ascii="Arial" w:cs="Arial" w:eastAsia="Arial" w:hAnsi="Arial"/>
                <w:sz w:val="16"/>
                <w:szCs w:val="16"/>
                <w:color w:val="auto"/>
              </w:rPr>
              <w:t>Johnson Controls International</w:t>
            </w:r>
          </w:p>
        </w:tc>
        <w:tc>
          <w:tcPr>
            <w:tcW w:w="20" w:type="dxa"/>
            <w:vAlign w:val="bottom"/>
          </w:tcPr>
          <w:p>
            <w:pPr>
              <w:spacing w:after="0"/>
              <w:rPr>
                <w:sz w:val="18"/>
                <w:szCs w:val="18"/>
                <w:color w:val="auto"/>
              </w:rPr>
            </w:pPr>
          </w:p>
        </w:tc>
      </w:tr>
      <w:tr>
        <w:trPr>
          <w:trHeight w:val="216"/>
        </w:trPr>
        <w:tc>
          <w:tcPr>
            <w:tcW w:w="2920" w:type="dxa"/>
            <w:vAlign w:val="bottom"/>
          </w:tcPr>
          <w:p>
            <w:pPr>
              <w:ind w:left="100"/>
              <w:spacing w:after="0" w:line="216" w:lineRule="exact"/>
              <w:rPr>
                <w:sz w:val="20"/>
                <w:szCs w:val="20"/>
                <w:color w:val="auto"/>
              </w:rPr>
            </w:pPr>
            <w:r>
              <w:rPr>
                <w:rFonts w:ascii="Arial" w:cs="Arial" w:eastAsia="Arial" w:hAnsi="Arial"/>
                <w:sz w:val="16"/>
                <w:szCs w:val="16"/>
                <w:color w:val="auto"/>
              </w:rPr>
              <w:t xml:space="preserve">The Boeing Company </w:t>
            </w:r>
            <w:r>
              <w:rPr>
                <w:rFonts w:ascii="Arial" w:cs="Arial" w:eastAsia="Arial" w:hAnsi="Arial"/>
                <w:sz w:val="21"/>
                <w:szCs w:val="21"/>
                <w:color w:val="auto"/>
                <w:vertAlign w:val="superscript"/>
              </w:rPr>
              <w:t>(1)</w:t>
            </w:r>
          </w:p>
        </w:tc>
        <w:tc>
          <w:tcPr>
            <w:tcW w:w="6820" w:type="dxa"/>
            <w:vAlign w:val="bottom"/>
          </w:tcPr>
          <w:p>
            <w:pPr>
              <w:ind w:left="2040"/>
              <w:spacing w:after="0" w:line="216" w:lineRule="exact"/>
              <w:rPr>
                <w:sz w:val="20"/>
                <w:szCs w:val="20"/>
                <w:color w:val="auto"/>
              </w:rPr>
            </w:pPr>
            <w:r>
              <w:rPr>
                <w:rFonts w:ascii="Arial" w:cs="Arial" w:eastAsia="Arial" w:hAnsi="Arial"/>
                <w:sz w:val="16"/>
                <w:szCs w:val="16"/>
                <w:color w:val="auto"/>
              </w:rPr>
              <w:t xml:space="preserve">L3Harris Technologies, Inc. </w:t>
            </w:r>
            <w:r>
              <w:rPr>
                <w:rFonts w:ascii="Arial" w:cs="Arial" w:eastAsia="Arial" w:hAnsi="Arial"/>
                <w:sz w:val="21"/>
                <w:szCs w:val="21"/>
                <w:color w:val="auto"/>
                <w:vertAlign w:val="superscript"/>
              </w:rPr>
              <w:t>(1)</w:t>
            </w:r>
          </w:p>
        </w:tc>
        <w:tc>
          <w:tcPr>
            <w:tcW w:w="20" w:type="dxa"/>
            <w:vAlign w:val="bottom"/>
          </w:tcPr>
          <w:p>
            <w:pPr>
              <w:spacing w:after="0"/>
              <w:rPr>
                <w:sz w:val="18"/>
                <w:szCs w:val="18"/>
                <w:color w:val="auto"/>
              </w:rPr>
            </w:pPr>
          </w:p>
        </w:tc>
      </w:tr>
      <w:tr>
        <w:trPr>
          <w:trHeight w:val="216"/>
        </w:trPr>
        <w:tc>
          <w:tcPr>
            <w:tcW w:w="2920" w:type="dxa"/>
            <w:vAlign w:val="bottom"/>
            <w:shd w:val="clear" w:color="auto" w:fill="CCD4DB"/>
          </w:tcPr>
          <w:p>
            <w:pPr>
              <w:ind w:left="120"/>
              <w:spacing w:after="0"/>
              <w:rPr>
                <w:sz w:val="20"/>
                <w:szCs w:val="20"/>
                <w:color w:val="auto"/>
              </w:rPr>
            </w:pPr>
            <w:r>
              <w:rPr>
                <w:rFonts w:ascii="Arial" w:cs="Arial" w:eastAsia="Arial" w:hAnsi="Arial"/>
                <w:sz w:val="16"/>
                <w:szCs w:val="16"/>
                <w:color w:val="auto"/>
              </w:rPr>
              <w:t>Caterpillar, Inc.</w:t>
            </w:r>
          </w:p>
        </w:tc>
        <w:tc>
          <w:tcPr>
            <w:tcW w:w="6820" w:type="dxa"/>
            <w:vAlign w:val="bottom"/>
            <w:shd w:val="clear" w:color="auto" w:fill="CCD4DB"/>
          </w:tcPr>
          <w:p>
            <w:pPr>
              <w:ind w:left="2040"/>
              <w:spacing w:after="0" w:line="216" w:lineRule="exact"/>
              <w:rPr>
                <w:sz w:val="20"/>
                <w:szCs w:val="20"/>
                <w:color w:val="auto"/>
              </w:rPr>
            </w:pPr>
            <w:r>
              <w:rPr>
                <w:rFonts w:ascii="Arial" w:cs="Arial" w:eastAsia="Arial" w:hAnsi="Arial"/>
                <w:sz w:val="16"/>
                <w:szCs w:val="16"/>
                <w:color w:val="auto"/>
              </w:rPr>
              <w:t xml:space="preserve">Lockheed Martin Corporation </w:t>
            </w:r>
            <w:r>
              <w:rPr>
                <w:rFonts w:ascii="Arial" w:cs="Arial" w:eastAsia="Arial" w:hAnsi="Arial"/>
                <w:sz w:val="21"/>
                <w:szCs w:val="21"/>
                <w:color w:val="auto"/>
                <w:vertAlign w:val="superscript"/>
              </w:rPr>
              <w:t>(1)</w:t>
            </w:r>
          </w:p>
        </w:tc>
        <w:tc>
          <w:tcPr>
            <w:tcW w:w="20" w:type="dxa"/>
            <w:vAlign w:val="bottom"/>
          </w:tcPr>
          <w:p>
            <w:pPr>
              <w:spacing w:after="0"/>
              <w:rPr>
                <w:sz w:val="18"/>
                <w:szCs w:val="18"/>
                <w:color w:val="auto"/>
              </w:rPr>
            </w:pPr>
          </w:p>
        </w:tc>
      </w:tr>
      <w:tr>
        <w:trPr>
          <w:trHeight w:val="213"/>
        </w:trPr>
        <w:tc>
          <w:tcPr>
            <w:tcW w:w="2920" w:type="dxa"/>
            <w:vAlign w:val="bottom"/>
          </w:tcPr>
          <w:p>
            <w:pPr>
              <w:ind w:left="100"/>
              <w:spacing w:after="0"/>
              <w:rPr>
                <w:sz w:val="20"/>
                <w:szCs w:val="20"/>
                <w:color w:val="auto"/>
              </w:rPr>
            </w:pPr>
            <w:r>
              <w:rPr>
                <w:rFonts w:ascii="Arial" w:cs="Arial" w:eastAsia="Arial" w:hAnsi="Arial"/>
                <w:sz w:val="16"/>
                <w:szCs w:val="16"/>
                <w:color w:val="auto"/>
              </w:rPr>
              <w:t>Eaton Corporation</w:t>
            </w:r>
          </w:p>
        </w:tc>
        <w:tc>
          <w:tcPr>
            <w:tcW w:w="6820" w:type="dxa"/>
            <w:vAlign w:val="bottom"/>
          </w:tcPr>
          <w:p>
            <w:pPr>
              <w:ind w:left="2040"/>
              <w:spacing w:after="0"/>
              <w:rPr>
                <w:sz w:val="20"/>
                <w:szCs w:val="20"/>
                <w:color w:val="auto"/>
              </w:rPr>
            </w:pPr>
            <w:r>
              <w:rPr>
                <w:rFonts w:ascii="Arial" w:cs="Arial" w:eastAsia="Arial" w:hAnsi="Arial"/>
                <w:sz w:val="16"/>
                <w:szCs w:val="16"/>
                <w:color w:val="auto"/>
              </w:rPr>
              <w:t>Parker-Hannifin Corporation</w:t>
            </w:r>
          </w:p>
        </w:tc>
        <w:tc>
          <w:tcPr>
            <w:tcW w:w="20" w:type="dxa"/>
            <w:vAlign w:val="bottom"/>
          </w:tcPr>
          <w:p>
            <w:pPr>
              <w:spacing w:after="0"/>
              <w:rPr>
                <w:sz w:val="18"/>
                <w:szCs w:val="18"/>
                <w:color w:val="auto"/>
              </w:rPr>
            </w:pPr>
          </w:p>
        </w:tc>
      </w:tr>
      <w:tr>
        <w:trPr>
          <w:trHeight w:val="219"/>
        </w:trPr>
        <w:tc>
          <w:tcPr>
            <w:tcW w:w="2920" w:type="dxa"/>
            <w:vAlign w:val="bottom"/>
            <w:shd w:val="clear" w:color="auto" w:fill="CCD4DB"/>
          </w:tcPr>
          <w:p>
            <w:pPr>
              <w:ind w:left="120"/>
              <w:spacing w:after="0"/>
              <w:rPr>
                <w:sz w:val="20"/>
                <w:szCs w:val="20"/>
                <w:color w:val="auto"/>
              </w:rPr>
            </w:pPr>
            <w:r>
              <w:rPr>
                <w:rFonts w:ascii="Arial" w:cs="Arial" w:eastAsia="Arial" w:hAnsi="Arial"/>
                <w:sz w:val="16"/>
                <w:szCs w:val="16"/>
                <w:color w:val="auto"/>
              </w:rPr>
              <w:t>Emerson Electric Company</w:t>
            </w:r>
          </w:p>
        </w:tc>
        <w:tc>
          <w:tcPr>
            <w:tcW w:w="6820" w:type="dxa"/>
            <w:vAlign w:val="bottom"/>
            <w:shd w:val="clear" w:color="auto" w:fill="CCD4DB"/>
          </w:tcPr>
          <w:p>
            <w:pPr>
              <w:ind w:left="2040"/>
              <w:spacing w:after="0" w:line="219" w:lineRule="exact"/>
              <w:rPr>
                <w:sz w:val="20"/>
                <w:szCs w:val="20"/>
                <w:color w:val="auto"/>
              </w:rPr>
            </w:pPr>
            <w:r>
              <w:rPr>
                <w:rFonts w:ascii="Arial" w:cs="Arial" w:eastAsia="Arial" w:hAnsi="Arial"/>
                <w:sz w:val="16"/>
                <w:szCs w:val="16"/>
                <w:color w:val="auto"/>
              </w:rPr>
              <w:t xml:space="preserve">Raytheon Technologies Corporation </w:t>
            </w:r>
            <w:r>
              <w:rPr>
                <w:rFonts w:ascii="Arial" w:cs="Arial" w:eastAsia="Arial" w:hAnsi="Arial"/>
                <w:sz w:val="21"/>
                <w:szCs w:val="21"/>
                <w:color w:val="auto"/>
                <w:vertAlign w:val="superscript"/>
              </w:rPr>
              <w:t>(1)(2)</w:t>
            </w:r>
          </w:p>
        </w:tc>
        <w:tc>
          <w:tcPr>
            <w:tcW w:w="20" w:type="dxa"/>
            <w:vAlign w:val="bottom"/>
          </w:tcPr>
          <w:p>
            <w:pPr>
              <w:spacing w:after="0"/>
              <w:rPr>
                <w:sz w:val="19"/>
                <w:szCs w:val="19"/>
                <w:color w:val="auto"/>
              </w:rPr>
            </w:pPr>
          </w:p>
        </w:tc>
      </w:tr>
      <w:tr>
        <w:trPr>
          <w:trHeight w:val="216"/>
        </w:trPr>
        <w:tc>
          <w:tcPr>
            <w:tcW w:w="2920" w:type="dxa"/>
            <w:vAlign w:val="bottom"/>
          </w:tcPr>
          <w:p>
            <w:pPr>
              <w:ind w:left="100"/>
              <w:spacing w:after="0" w:line="216" w:lineRule="exact"/>
              <w:rPr>
                <w:sz w:val="20"/>
                <w:szCs w:val="20"/>
                <w:color w:val="auto"/>
              </w:rPr>
            </w:pPr>
            <w:r>
              <w:rPr>
                <w:rFonts w:ascii="Arial" w:cs="Arial" w:eastAsia="Arial" w:hAnsi="Arial"/>
                <w:sz w:val="16"/>
                <w:szCs w:val="16"/>
                <w:color w:val="auto"/>
              </w:rPr>
              <w:t xml:space="preserve">General Dynamics Corporation </w:t>
            </w:r>
            <w:r>
              <w:rPr>
                <w:rFonts w:ascii="Arial" w:cs="Arial" w:eastAsia="Arial" w:hAnsi="Arial"/>
                <w:sz w:val="21"/>
                <w:szCs w:val="21"/>
                <w:color w:val="auto"/>
                <w:vertAlign w:val="superscript"/>
              </w:rPr>
              <w:t>(1)</w:t>
            </w:r>
          </w:p>
        </w:tc>
        <w:tc>
          <w:tcPr>
            <w:tcW w:w="6820" w:type="dxa"/>
            <w:vAlign w:val="bottom"/>
          </w:tcPr>
          <w:p>
            <w:pPr>
              <w:ind w:left="2040"/>
              <w:spacing w:after="0"/>
              <w:rPr>
                <w:sz w:val="20"/>
                <w:szCs w:val="20"/>
                <w:color w:val="auto"/>
              </w:rPr>
            </w:pPr>
            <w:r>
              <w:rPr>
                <w:rFonts w:ascii="Arial" w:cs="Arial" w:eastAsia="Arial" w:hAnsi="Arial"/>
                <w:sz w:val="16"/>
                <w:szCs w:val="16"/>
                <w:color w:val="auto"/>
              </w:rPr>
              <w:t>Textron, Inc.</w:t>
            </w:r>
          </w:p>
        </w:tc>
        <w:tc>
          <w:tcPr>
            <w:tcW w:w="20" w:type="dxa"/>
            <w:vAlign w:val="bottom"/>
          </w:tcPr>
          <w:p>
            <w:pPr>
              <w:spacing w:after="0"/>
              <w:rPr>
                <w:sz w:val="18"/>
                <w:szCs w:val="18"/>
                <w:color w:val="auto"/>
              </w:rPr>
            </w:pPr>
          </w:p>
        </w:tc>
      </w:tr>
      <w:tr>
        <w:trPr>
          <w:trHeight w:val="216"/>
        </w:trPr>
        <w:tc>
          <w:tcPr>
            <w:tcW w:w="2920" w:type="dxa"/>
            <w:vAlign w:val="bottom"/>
            <w:tcBorders>
              <w:bottom w:val="single" w:sz="8" w:color="00249C"/>
            </w:tcBorders>
            <w:shd w:val="clear" w:color="auto" w:fill="CCD4DB"/>
          </w:tcPr>
          <w:p>
            <w:pPr>
              <w:ind w:left="100"/>
              <w:spacing w:after="0" w:line="216" w:lineRule="exact"/>
              <w:rPr>
                <w:sz w:val="20"/>
                <w:szCs w:val="20"/>
                <w:color w:val="auto"/>
              </w:rPr>
            </w:pPr>
            <w:r>
              <w:rPr>
                <w:rFonts w:ascii="Arial" w:cs="Arial" w:eastAsia="Arial" w:hAnsi="Arial"/>
                <w:sz w:val="16"/>
                <w:szCs w:val="16"/>
                <w:color w:val="auto"/>
              </w:rPr>
              <w:t xml:space="preserve">Honeywell International, Inc. </w:t>
            </w:r>
            <w:r>
              <w:rPr>
                <w:rFonts w:ascii="Arial" w:cs="Arial" w:eastAsia="Arial" w:hAnsi="Arial"/>
                <w:sz w:val="21"/>
                <w:szCs w:val="21"/>
                <w:color w:val="auto"/>
                <w:vertAlign w:val="superscript"/>
              </w:rPr>
              <w:t>(1)</w:t>
            </w:r>
          </w:p>
        </w:tc>
        <w:tc>
          <w:tcPr>
            <w:tcW w:w="6820" w:type="dxa"/>
            <w:vAlign w:val="bottom"/>
            <w:tcBorders>
              <w:bottom w:val="single" w:sz="8" w:color="00249C"/>
            </w:tcBorders>
            <w:shd w:val="clear" w:color="auto" w:fill="CCD4DB"/>
          </w:tcPr>
          <w:p>
            <w:pPr>
              <w:spacing w:after="0"/>
              <w:rPr>
                <w:sz w:val="18"/>
                <w:szCs w:val="18"/>
                <w:color w:val="auto"/>
              </w:rPr>
            </w:pPr>
          </w:p>
        </w:tc>
        <w:tc>
          <w:tcPr>
            <w:tcW w:w="20" w:type="dxa"/>
            <w:vAlign w:val="bottom"/>
          </w:tcPr>
          <w:p>
            <w:pPr>
              <w:spacing w:after="0"/>
              <w:rPr>
                <w:sz w:val="18"/>
                <w:szCs w:val="18"/>
                <w:color w:val="auto"/>
              </w:rPr>
            </w:pPr>
          </w:p>
        </w:tc>
      </w:tr>
    </w:tbl>
    <w:p>
      <w:pPr>
        <w:ind w:left="940" w:hanging="165"/>
        <w:spacing w:after="0" w:line="219" w:lineRule="auto"/>
        <w:tabs>
          <w:tab w:leader="none" w:pos="940" w:val="left"/>
        </w:tabs>
        <w:numPr>
          <w:ilvl w:val="0"/>
          <w:numId w:val="57"/>
        </w:numPr>
        <w:rPr>
          <w:rFonts w:ascii="Arial" w:cs="Arial" w:eastAsia="Arial" w:hAnsi="Arial"/>
          <w:sz w:val="20"/>
          <w:szCs w:val="20"/>
          <w:color w:val="auto"/>
          <w:vertAlign w:val="superscript"/>
        </w:rPr>
      </w:pPr>
      <w:r>
        <w:rPr>
          <w:rFonts w:ascii="Arial" w:cs="Arial" w:eastAsia="Arial" w:hAnsi="Arial"/>
          <w:sz w:val="15"/>
          <w:szCs w:val="15"/>
          <w:color w:val="auto"/>
        </w:rPr>
        <w:t>Included in the subset of six direct peers also used for compensation benchmarking</w:t>
      </w:r>
    </w:p>
    <w:p>
      <w:pPr>
        <w:spacing w:after="0" w:line="21" w:lineRule="exact"/>
        <w:rPr>
          <w:rFonts w:ascii="Arial" w:cs="Arial" w:eastAsia="Arial" w:hAnsi="Arial"/>
          <w:sz w:val="20"/>
          <w:szCs w:val="20"/>
          <w:color w:val="auto"/>
          <w:vertAlign w:val="superscript"/>
        </w:rPr>
      </w:pPr>
    </w:p>
    <w:p>
      <w:pPr>
        <w:ind w:left="940" w:hanging="165"/>
        <w:spacing w:after="0" w:line="203" w:lineRule="auto"/>
        <w:tabs>
          <w:tab w:leader="none" w:pos="940" w:val="left"/>
        </w:tabs>
        <w:numPr>
          <w:ilvl w:val="0"/>
          <w:numId w:val="57"/>
        </w:numPr>
        <w:rPr>
          <w:rFonts w:ascii="Arial" w:cs="Arial" w:eastAsia="Arial" w:hAnsi="Arial"/>
          <w:sz w:val="20"/>
          <w:szCs w:val="20"/>
          <w:color w:val="auto"/>
          <w:vertAlign w:val="superscript"/>
        </w:rPr>
      </w:pPr>
      <w:r>
        <w:rPr>
          <w:rFonts w:ascii="Arial" w:cs="Arial" w:eastAsia="Arial" w:hAnsi="Arial"/>
          <w:sz w:val="15"/>
          <w:szCs w:val="15"/>
          <w:color w:val="auto"/>
        </w:rPr>
        <w:t>Raytheon Company merged with United Technologies in 2020, forming Raytheon Technologies Corporation</w:t>
      </w:r>
    </w:p>
    <w:p>
      <w:pPr>
        <w:spacing w:after="0" w:line="10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It is the Company's pay philosophy to provide the CEO a compensation package that comprises competitive elements of base salary and target variable pay relative to the Target Industry Peer Group and the direct six peers noted in the table above. In 2020, the CEO's target total direct compensation approximated the median of the Target Industry Peer Group and direct six peers.</w:t>
      </w:r>
    </w:p>
    <w:p>
      <w:pPr>
        <w:spacing w:after="0" w:line="80"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Another element of the Company's pay philosophy is to tie a significant portion of the CEO's pay to performance. As a result, the CEO's actual compensation may differ from this market median based on the Company's actual performance.</w:t>
      </w:r>
    </w:p>
    <w:p>
      <w:pPr>
        <w:spacing w:after="0" w:line="6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determining the base salary and target variable pay elements for the other NEOs, the Compensation Committee does not set any specific benchmark relative to the Target Industry Peer Group; rather, the Compensation Committee considers several factors in determining their compensation, including executive compensation levels and practices of the Target Industry Peer Group, NEO individual experience, growth in job as demonstrated through sustained performance, leadership impact, retention and pay relative to the CEO. Actual annual incentive awards and long-term incentive award opportunities reflect these factors, as well as Company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47</w:t>
      </w:r>
    </w:p>
    <w:p>
      <w:pPr>
        <w:sectPr>
          <w:pgSz w:w="11900" w:h="16838" w:orient="portrait"/>
          <w:cols w:equalWidth="0" w:num="1">
            <w:col w:w="11240"/>
          </w:cols>
          <w:pgMar w:left="320" w:top="607" w:right="339" w:bottom="1440" w:gutter="0" w:footer="0" w:header="0"/>
        </w:sectPr>
      </w:pPr>
    </w:p>
    <w:bookmarkStart w:id="53" w:name="page54"/>
    <w:bookmarkEnd w:id="53"/>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5314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 xml:space="preserve">COMPENSATION DISCUSSION AND ANALYSIS | </w:t>
      </w:r>
      <w:r>
        <w:rPr>
          <w:rFonts w:ascii="Arial" w:cs="Arial" w:eastAsia="Arial" w:hAnsi="Arial"/>
          <w:sz w:val="17"/>
          <w:szCs w:val="17"/>
          <w:b w:val="1"/>
          <w:bCs w:val="1"/>
          <w:color w:val="FFFFFF"/>
        </w:rPr>
        <w:t>KEY COMPONENTS OF OUR PROGRAMS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Annual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Under our shareholder-approved 2002 Incentive Compensation Plan (AIP), the Compensation Committee approves the annual incentive compensation target payout percentage for each NEO other than the CEO. For the CEO, such percentage is approved by the independent directors of the Board.</w:t>
      </w:r>
    </w:p>
    <w:p>
      <w:pPr>
        <w:spacing w:after="0" w:line="6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target incentive award (target bonus) represents a percentage of each NEO's base salary. Following the completion of the fiscal year, the target bonus is used by the Compensation Committee, together with its assessment of Company performance against established performance criteria, to determine the final bonus award amount.</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2020 Annual Incentive</w:t>
      </w:r>
    </w:p>
    <w:p>
      <w:pPr>
        <w:spacing w:after="0" w:line="12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2020 target bonus for the CEO was 180% of base salary, which was unchanged from 2019. For each of the other NEOs, the 2020 target bonus was 100% of base salary, which was also unchanged from 2019.</w:t>
      </w:r>
    </w:p>
    <w:p>
      <w:pPr>
        <w:spacing w:after="0" w:line="6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Final bonus awards for each NEO were determined by multiplying the Northrop Grumman Company Performance Factor (CPF) by the target bonus. The CPF can range from 0% to 200%.</w:t>
      </w:r>
    </w:p>
    <w:p>
      <w:pPr>
        <w:spacing w:after="0" w:line="5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Annual Incentive Formula for 2020:</w:t>
      </w:r>
    </w:p>
    <w:p>
      <w:pPr>
        <w:spacing w:after="0" w:line="153" w:lineRule="exact"/>
        <w:rPr>
          <w:sz w:val="20"/>
          <w:szCs w:val="20"/>
          <w:color w:val="auto"/>
        </w:rPr>
      </w:pPr>
    </w:p>
    <w:tbl>
      <w:tblPr>
        <w:tblLayout w:type="fixed"/>
        <w:tblInd w:w="3200" w:type="dxa"/>
        <w:tblCellMar>
          <w:top w:w="0" w:type="dxa"/>
          <w:left w:w="0" w:type="dxa"/>
          <w:bottom w:w="0" w:type="dxa"/>
          <w:right w:w="0" w:type="dxa"/>
        </w:tblCellMar>
      </w:tblPr>
      <w:tr>
        <w:trPr>
          <w:trHeight w:val="365"/>
        </w:trPr>
        <w:tc>
          <w:tcPr>
            <w:tcW w:w="1280" w:type="dxa"/>
            <w:vAlign w:val="bottom"/>
            <w:vMerge w:val="restart"/>
            <w:shd w:val="clear" w:color="auto" w:fill="00249C"/>
          </w:tcPr>
          <w:p>
            <w:pPr>
              <w:jc w:val="center"/>
              <w:spacing w:after="0"/>
              <w:rPr>
                <w:sz w:val="20"/>
                <w:szCs w:val="20"/>
                <w:color w:val="auto"/>
              </w:rPr>
            </w:pPr>
            <w:r>
              <w:rPr>
                <w:rFonts w:ascii="Arial" w:cs="Arial" w:eastAsia="Arial" w:hAnsi="Arial"/>
                <w:sz w:val="18"/>
                <w:szCs w:val="18"/>
                <w:b w:val="1"/>
                <w:bCs w:val="1"/>
                <w:color w:val="FFFFFF"/>
                <w:w w:val="99"/>
              </w:rPr>
              <w:t>Base Salary</w:t>
            </w:r>
          </w:p>
        </w:tc>
        <w:tc>
          <w:tcPr>
            <w:tcW w:w="500" w:type="dxa"/>
            <w:vAlign w:val="bottom"/>
          </w:tcPr>
          <w:p>
            <w:pPr>
              <w:ind w:left="180"/>
              <w:spacing w:after="0"/>
              <w:rPr>
                <w:sz w:val="20"/>
                <w:szCs w:val="20"/>
                <w:color w:val="auto"/>
              </w:rPr>
            </w:pPr>
            <w:r>
              <w:rPr>
                <w:rFonts w:ascii="Arial" w:cs="Arial" w:eastAsia="Arial" w:hAnsi="Arial"/>
                <w:sz w:val="20"/>
                <w:szCs w:val="20"/>
                <w:b w:val="1"/>
                <w:bCs w:val="1"/>
                <w:color w:val="auto"/>
              </w:rPr>
              <w:t>X</w:t>
            </w:r>
          </w:p>
        </w:tc>
        <w:tc>
          <w:tcPr>
            <w:tcW w:w="1300" w:type="dxa"/>
            <w:vAlign w:val="bottom"/>
            <w:shd w:val="clear" w:color="auto" w:fill="00249C"/>
          </w:tcPr>
          <w:p>
            <w:pPr>
              <w:jc w:val="center"/>
              <w:spacing w:after="0"/>
              <w:rPr>
                <w:sz w:val="20"/>
                <w:szCs w:val="20"/>
                <w:color w:val="auto"/>
              </w:rPr>
            </w:pPr>
            <w:r>
              <w:rPr>
                <w:rFonts w:ascii="Arial" w:cs="Arial" w:eastAsia="Arial" w:hAnsi="Arial"/>
                <w:sz w:val="18"/>
                <w:szCs w:val="18"/>
                <w:b w:val="1"/>
                <w:bCs w:val="1"/>
                <w:color w:val="FFFFFF"/>
                <w:w w:val="98"/>
              </w:rPr>
              <w:t>Target Payout</w:t>
            </w:r>
          </w:p>
        </w:tc>
        <w:tc>
          <w:tcPr>
            <w:tcW w:w="500" w:type="dxa"/>
            <w:vAlign w:val="bottom"/>
          </w:tcPr>
          <w:p>
            <w:pPr>
              <w:jc w:val="right"/>
              <w:ind w:right="101"/>
              <w:spacing w:after="0"/>
              <w:rPr>
                <w:sz w:val="20"/>
                <w:szCs w:val="20"/>
                <w:color w:val="auto"/>
              </w:rPr>
            </w:pPr>
            <w:r>
              <w:rPr>
                <w:rFonts w:ascii="Arial" w:cs="Arial" w:eastAsia="Arial" w:hAnsi="Arial"/>
                <w:sz w:val="20"/>
                <w:szCs w:val="20"/>
                <w:b w:val="1"/>
                <w:bCs w:val="1"/>
                <w:color w:val="auto"/>
              </w:rPr>
              <w:t>=</w:t>
            </w:r>
          </w:p>
        </w:tc>
        <w:tc>
          <w:tcPr>
            <w:tcW w:w="1300" w:type="dxa"/>
            <w:vAlign w:val="bottom"/>
            <w:vMerge w:val="restart"/>
            <w:shd w:val="clear" w:color="auto" w:fill="00249C"/>
          </w:tcPr>
          <w:p>
            <w:pPr>
              <w:jc w:val="center"/>
              <w:spacing w:after="0"/>
              <w:rPr>
                <w:sz w:val="20"/>
                <w:szCs w:val="20"/>
                <w:color w:val="auto"/>
              </w:rPr>
            </w:pPr>
            <w:r>
              <w:rPr>
                <w:rFonts w:ascii="Arial" w:cs="Arial" w:eastAsia="Arial" w:hAnsi="Arial"/>
                <w:sz w:val="18"/>
                <w:szCs w:val="18"/>
                <w:b w:val="1"/>
                <w:bCs w:val="1"/>
                <w:color w:val="FFFFFF"/>
                <w:w w:val="99"/>
              </w:rPr>
              <w:t>Target Bonus</w:t>
            </w:r>
          </w:p>
        </w:tc>
        <w:tc>
          <w:tcPr>
            <w:tcW w:w="0" w:type="dxa"/>
            <w:vAlign w:val="bottom"/>
          </w:tcPr>
          <w:p>
            <w:pPr>
              <w:spacing w:after="0"/>
              <w:rPr>
                <w:sz w:val="1"/>
                <w:szCs w:val="1"/>
                <w:color w:val="auto"/>
              </w:rPr>
            </w:pPr>
          </w:p>
        </w:tc>
      </w:tr>
      <w:tr>
        <w:trPr>
          <w:trHeight w:val="135"/>
        </w:trPr>
        <w:tc>
          <w:tcPr>
            <w:tcW w:w="1280" w:type="dxa"/>
            <w:vAlign w:val="bottom"/>
            <w:vMerge w:val="continue"/>
            <w:shd w:val="clear" w:color="auto" w:fill="00249C"/>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vMerge w:val="restart"/>
            <w:shd w:val="clear" w:color="auto" w:fill="00249C"/>
          </w:tcPr>
          <w:p>
            <w:pPr>
              <w:jc w:val="center"/>
              <w:spacing w:after="0"/>
              <w:rPr>
                <w:sz w:val="20"/>
                <w:szCs w:val="20"/>
                <w:color w:val="auto"/>
              </w:rPr>
            </w:pPr>
            <w:r>
              <w:rPr>
                <w:rFonts w:ascii="Arial" w:cs="Arial" w:eastAsia="Arial" w:hAnsi="Arial"/>
                <w:sz w:val="18"/>
                <w:szCs w:val="18"/>
                <w:b w:val="1"/>
                <w:bCs w:val="1"/>
                <w:color w:val="FFFFFF"/>
                <w:w w:val="99"/>
              </w:rPr>
              <w:t>%</w:t>
            </w:r>
          </w:p>
        </w:tc>
        <w:tc>
          <w:tcPr>
            <w:tcW w:w="500" w:type="dxa"/>
            <w:vAlign w:val="bottom"/>
          </w:tcPr>
          <w:p>
            <w:pPr>
              <w:spacing w:after="0"/>
              <w:rPr>
                <w:sz w:val="11"/>
                <w:szCs w:val="11"/>
                <w:color w:val="auto"/>
              </w:rPr>
            </w:pPr>
          </w:p>
        </w:tc>
        <w:tc>
          <w:tcPr>
            <w:tcW w:w="1300" w:type="dxa"/>
            <w:vAlign w:val="bottom"/>
            <w:vMerge w:val="continue"/>
            <w:shd w:val="clear" w:color="auto" w:fill="00249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280" w:type="dxa"/>
            <w:vAlign w:val="bottom"/>
            <w:shd w:val="clear" w:color="auto" w:fill="00249C"/>
          </w:tcPr>
          <w:p>
            <w:pPr>
              <w:spacing w:after="0"/>
              <w:rPr>
                <w:sz w:val="9"/>
                <w:szCs w:val="9"/>
                <w:color w:val="auto"/>
              </w:rPr>
            </w:pPr>
          </w:p>
        </w:tc>
        <w:tc>
          <w:tcPr>
            <w:tcW w:w="500" w:type="dxa"/>
            <w:vAlign w:val="bottom"/>
          </w:tcPr>
          <w:p>
            <w:pPr>
              <w:spacing w:after="0"/>
              <w:rPr>
                <w:sz w:val="9"/>
                <w:szCs w:val="9"/>
                <w:color w:val="auto"/>
              </w:rPr>
            </w:pPr>
          </w:p>
        </w:tc>
        <w:tc>
          <w:tcPr>
            <w:tcW w:w="1300" w:type="dxa"/>
            <w:vAlign w:val="bottom"/>
            <w:vMerge w:val="continue"/>
            <w:shd w:val="clear" w:color="auto" w:fill="00249C"/>
          </w:tcPr>
          <w:p>
            <w:pPr>
              <w:spacing w:after="0"/>
              <w:rPr>
                <w:sz w:val="9"/>
                <w:szCs w:val="9"/>
                <w:color w:val="auto"/>
              </w:rPr>
            </w:pPr>
          </w:p>
        </w:tc>
        <w:tc>
          <w:tcPr>
            <w:tcW w:w="500" w:type="dxa"/>
            <w:vAlign w:val="bottom"/>
          </w:tcPr>
          <w:p>
            <w:pPr>
              <w:spacing w:after="0"/>
              <w:rPr>
                <w:sz w:val="9"/>
                <w:szCs w:val="9"/>
                <w:color w:val="auto"/>
              </w:rPr>
            </w:pPr>
          </w:p>
        </w:tc>
        <w:tc>
          <w:tcPr>
            <w:tcW w:w="1300" w:type="dxa"/>
            <w:vAlign w:val="bottom"/>
            <w:shd w:val="clear" w:color="auto" w:fill="00249C"/>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1280" w:type="dxa"/>
            <w:vAlign w:val="bottom"/>
          </w:tcPr>
          <w:p>
            <w:pPr>
              <w:spacing w:after="0"/>
              <w:rPr>
                <w:sz w:val="22"/>
                <w:szCs w:val="22"/>
                <w:color w:val="auto"/>
              </w:rPr>
            </w:pPr>
          </w:p>
        </w:tc>
        <w:tc>
          <w:tcPr>
            <w:tcW w:w="500" w:type="dxa"/>
            <w:vAlign w:val="bottom"/>
            <w:vMerge w:val="restart"/>
          </w:tcPr>
          <w:p>
            <w:pPr>
              <w:ind w:left="180"/>
              <w:spacing w:after="0"/>
              <w:rPr>
                <w:sz w:val="20"/>
                <w:szCs w:val="20"/>
                <w:color w:val="auto"/>
              </w:rPr>
            </w:pPr>
            <w:r>
              <w:rPr>
                <w:rFonts w:ascii="Arial" w:cs="Arial" w:eastAsia="Arial" w:hAnsi="Arial"/>
                <w:sz w:val="20"/>
                <w:szCs w:val="20"/>
                <w:b w:val="1"/>
                <w:bCs w:val="1"/>
                <w:color w:val="auto"/>
              </w:rPr>
              <w:t>X</w:t>
            </w:r>
          </w:p>
        </w:tc>
        <w:tc>
          <w:tcPr>
            <w:tcW w:w="1300" w:type="dxa"/>
            <w:vAlign w:val="bottom"/>
          </w:tcPr>
          <w:p>
            <w:pPr>
              <w:spacing w:after="0"/>
              <w:rPr>
                <w:sz w:val="22"/>
                <w:szCs w:val="22"/>
                <w:color w:val="auto"/>
              </w:rPr>
            </w:pPr>
          </w:p>
        </w:tc>
        <w:tc>
          <w:tcPr>
            <w:tcW w:w="500" w:type="dxa"/>
            <w:vAlign w:val="bottom"/>
            <w:vMerge w:val="restart"/>
          </w:tcPr>
          <w:p>
            <w:pPr>
              <w:jc w:val="right"/>
              <w:ind w:right="101"/>
              <w:spacing w:after="0"/>
              <w:rPr>
                <w:sz w:val="20"/>
                <w:szCs w:val="20"/>
                <w:color w:val="auto"/>
              </w:rPr>
            </w:pPr>
            <w:r>
              <w:rPr>
                <w:rFonts w:ascii="Arial" w:cs="Arial" w:eastAsia="Arial" w:hAnsi="Arial"/>
                <w:sz w:val="20"/>
                <w:szCs w:val="20"/>
                <w:b w:val="1"/>
                <w:bCs w:val="1"/>
                <w:color w:val="auto"/>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4"/>
        </w:trPr>
        <w:tc>
          <w:tcPr>
            <w:tcW w:w="1280" w:type="dxa"/>
            <w:vAlign w:val="bottom"/>
            <w:vMerge w:val="restart"/>
            <w:shd w:val="clear" w:color="auto" w:fill="00249C"/>
          </w:tcPr>
          <w:p>
            <w:pPr>
              <w:jc w:val="center"/>
              <w:spacing w:after="0"/>
              <w:rPr>
                <w:sz w:val="20"/>
                <w:szCs w:val="20"/>
                <w:color w:val="auto"/>
              </w:rPr>
            </w:pPr>
            <w:r>
              <w:rPr>
                <w:rFonts w:ascii="Arial" w:cs="Arial" w:eastAsia="Arial" w:hAnsi="Arial"/>
                <w:sz w:val="18"/>
                <w:szCs w:val="18"/>
                <w:b w:val="1"/>
                <w:bCs w:val="1"/>
                <w:color w:val="FFFFFF"/>
                <w:w w:val="98"/>
              </w:rPr>
              <w:t>Target Bonus</w:t>
            </w:r>
          </w:p>
        </w:tc>
        <w:tc>
          <w:tcPr>
            <w:tcW w:w="500" w:type="dxa"/>
            <w:vAlign w:val="bottom"/>
            <w:vMerge w:val="continue"/>
          </w:tcPr>
          <w:p>
            <w:pPr>
              <w:spacing w:after="0"/>
              <w:rPr>
                <w:sz w:val="24"/>
                <w:szCs w:val="24"/>
                <w:color w:val="auto"/>
              </w:rPr>
            </w:pPr>
          </w:p>
        </w:tc>
        <w:tc>
          <w:tcPr>
            <w:tcW w:w="1300" w:type="dxa"/>
            <w:vAlign w:val="bottom"/>
            <w:vMerge w:val="restart"/>
            <w:shd w:val="clear" w:color="auto" w:fill="00249C"/>
          </w:tcPr>
          <w:p>
            <w:pPr>
              <w:jc w:val="center"/>
              <w:spacing w:after="0"/>
              <w:rPr>
                <w:sz w:val="20"/>
                <w:szCs w:val="20"/>
                <w:color w:val="auto"/>
              </w:rPr>
            </w:pPr>
            <w:r>
              <w:rPr>
                <w:rFonts w:ascii="Arial" w:cs="Arial" w:eastAsia="Arial" w:hAnsi="Arial"/>
                <w:sz w:val="18"/>
                <w:szCs w:val="18"/>
                <w:b w:val="1"/>
                <w:bCs w:val="1"/>
                <w:color w:val="FFFFFF"/>
                <w:w w:val="99"/>
              </w:rPr>
              <w:t>CPF</w:t>
            </w:r>
          </w:p>
        </w:tc>
        <w:tc>
          <w:tcPr>
            <w:tcW w:w="500" w:type="dxa"/>
            <w:vAlign w:val="bottom"/>
            <w:vMerge w:val="continue"/>
          </w:tcPr>
          <w:p>
            <w:pPr>
              <w:spacing w:after="0"/>
              <w:rPr>
                <w:sz w:val="24"/>
                <w:szCs w:val="24"/>
                <w:color w:val="auto"/>
              </w:rPr>
            </w:pPr>
          </w:p>
        </w:tc>
        <w:tc>
          <w:tcPr>
            <w:tcW w:w="1300" w:type="dxa"/>
            <w:vAlign w:val="bottom"/>
            <w:shd w:val="clear" w:color="auto" w:fill="00249C"/>
          </w:tcPr>
          <w:p>
            <w:pPr>
              <w:jc w:val="center"/>
              <w:spacing w:after="0"/>
              <w:rPr>
                <w:sz w:val="20"/>
                <w:szCs w:val="20"/>
                <w:color w:val="auto"/>
              </w:rPr>
            </w:pPr>
            <w:r>
              <w:rPr>
                <w:rFonts w:ascii="Arial" w:cs="Arial" w:eastAsia="Arial" w:hAnsi="Arial"/>
                <w:sz w:val="18"/>
                <w:szCs w:val="18"/>
                <w:b w:val="1"/>
                <w:bCs w:val="1"/>
                <w:color w:val="FFFFFF"/>
              </w:rPr>
              <w:t>Final Bonus</w:t>
            </w:r>
          </w:p>
        </w:tc>
        <w:tc>
          <w:tcPr>
            <w:tcW w:w="0" w:type="dxa"/>
            <w:vAlign w:val="bottom"/>
          </w:tcPr>
          <w:p>
            <w:pPr>
              <w:spacing w:after="0"/>
              <w:rPr>
                <w:sz w:val="1"/>
                <w:szCs w:val="1"/>
                <w:color w:val="auto"/>
              </w:rPr>
            </w:pPr>
          </w:p>
        </w:tc>
      </w:tr>
      <w:tr>
        <w:trPr>
          <w:trHeight w:val="135"/>
        </w:trPr>
        <w:tc>
          <w:tcPr>
            <w:tcW w:w="1280" w:type="dxa"/>
            <w:vAlign w:val="bottom"/>
            <w:vMerge w:val="continue"/>
            <w:shd w:val="clear" w:color="auto" w:fill="00249C"/>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vMerge w:val="continue"/>
            <w:shd w:val="clear" w:color="auto" w:fill="00249C"/>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vMerge w:val="restart"/>
            <w:shd w:val="clear" w:color="auto" w:fill="00249C"/>
          </w:tcPr>
          <w:p>
            <w:pPr>
              <w:jc w:val="center"/>
              <w:spacing w:after="0"/>
              <w:rPr>
                <w:sz w:val="20"/>
                <w:szCs w:val="20"/>
                <w:color w:val="auto"/>
              </w:rPr>
            </w:pPr>
            <w:r>
              <w:rPr>
                <w:rFonts w:ascii="Arial" w:cs="Arial" w:eastAsia="Arial" w:hAnsi="Arial"/>
                <w:sz w:val="18"/>
                <w:szCs w:val="18"/>
                <w:b w:val="1"/>
                <w:bCs w:val="1"/>
                <w:color w:val="FFFFFF"/>
              </w:rPr>
              <w:t>Award</w:t>
            </w:r>
          </w:p>
        </w:tc>
        <w:tc>
          <w:tcPr>
            <w:tcW w:w="0" w:type="dxa"/>
            <w:vAlign w:val="bottom"/>
          </w:tcPr>
          <w:p>
            <w:pPr>
              <w:spacing w:after="0"/>
              <w:rPr>
                <w:sz w:val="1"/>
                <w:szCs w:val="1"/>
                <w:color w:val="auto"/>
              </w:rPr>
            </w:pPr>
          </w:p>
        </w:tc>
      </w:tr>
      <w:tr>
        <w:trPr>
          <w:trHeight w:val="108"/>
        </w:trPr>
        <w:tc>
          <w:tcPr>
            <w:tcW w:w="1280" w:type="dxa"/>
            <w:vAlign w:val="bottom"/>
            <w:shd w:val="clear" w:color="auto" w:fill="00249C"/>
          </w:tcPr>
          <w:p>
            <w:pPr>
              <w:spacing w:after="0"/>
              <w:rPr>
                <w:sz w:val="9"/>
                <w:szCs w:val="9"/>
                <w:color w:val="auto"/>
              </w:rPr>
            </w:pPr>
          </w:p>
        </w:tc>
        <w:tc>
          <w:tcPr>
            <w:tcW w:w="500" w:type="dxa"/>
            <w:vAlign w:val="bottom"/>
          </w:tcPr>
          <w:p>
            <w:pPr>
              <w:spacing w:after="0"/>
              <w:rPr>
                <w:sz w:val="9"/>
                <w:szCs w:val="9"/>
                <w:color w:val="auto"/>
              </w:rPr>
            </w:pPr>
          </w:p>
        </w:tc>
        <w:tc>
          <w:tcPr>
            <w:tcW w:w="1300" w:type="dxa"/>
            <w:vAlign w:val="bottom"/>
            <w:shd w:val="clear" w:color="auto" w:fill="00249C"/>
          </w:tcPr>
          <w:p>
            <w:pPr>
              <w:spacing w:after="0"/>
              <w:rPr>
                <w:sz w:val="9"/>
                <w:szCs w:val="9"/>
                <w:color w:val="auto"/>
              </w:rPr>
            </w:pPr>
          </w:p>
        </w:tc>
        <w:tc>
          <w:tcPr>
            <w:tcW w:w="500" w:type="dxa"/>
            <w:vAlign w:val="bottom"/>
          </w:tcPr>
          <w:p>
            <w:pPr>
              <w:spacing w:after="0"/>
              <w:rPr>
                <w:sz w:val="9"/>
                <w:szCs w:val="9"/>
                <w:color w:val="auto"/>
              </w:rPr>
            </w:pPr>
          </w:p>
        </w:tc>
        <w:tc>
          <w:tcPr>
            <w:tcW w:w="1300" w:type="dxa"/>
            <w:vAlign w:val="bottom"/>
            <w:vMerge w:val="continue"/>
            <w:shd w:val="clear" w:color="auto" w:fill="00249C"/>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Annual performance evaluations are conducted by the CEO for each NEO, other than the CEO, and reviewed with the Compensation Committee. The Compensation Committee considers this performance information as well as the comparison to market data.</w:t>
      </w:r>
    </w:p>
    <w:p>
      <w:pPr>
        <w:spacing w:after="0" w:line="7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Compensation Committee approves bonus amounts for all NEOs except the CEO, whose annual bonus is recommended by the Compensation Committee to the independent members of the Board for approval. The Compensation Committee has discretion to make adjustments to the annual bonus payouts for NEOs, other than the CEO, if it determines such adjustment is warranted. For example, in instances where Company performance has been impacted by unforeseen or unusual events, the Compensation Committee has exercised its authority to increase the final awards as necessary to preserve the intended incentives and benefits. The Compensation Committee has also adjusted payouts downward in the past, despite performance targets having been met, when it determined that particular circumstances had a negative impact on the Company but were not reflected in the performance calculation.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48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1200"/>
          </w:cols>
          <w:pgMar w:left="320" w:top="701" w:right="379" w:bottom="1440" w:gutter="0" w:footer="0" w:header="0"/>
        </w:sectPr>
      </w:pPr>
    </w:p>
    <w:bookmarkStart w:id="54" w:name="page55"/>
    <w:bookmarkEnd w:id="54"/>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5314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 xml:space="preserve">COMPENSATION DISCUSSION AND ANALYSIS | </w:t>
      </w:r>
      <w:r>
        <w:rPr>
          <w:rFonts w:ascii="Arial" w:cs="Arial" w:eastAsia="Arial" w:hAnsi="Arial"/>
          <w:sz w:val="17"/>
          <w:szCs w:val="17"/>
          <w:b w:val="1"/>
          <w:bCs w:val="1"/>
          <w:color w:val="FFFFFF"/>
        </w:rPr>
        <w:t>KEY COMPONENTS OF OUR PROGRAMS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2020 Annual Incentive Goals and Results</w:t>
      </w:r>
    </w:p>
    <w:p>
      <w:pPr>
        <w:spacing w:after="0" w:line="12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the AIP, we use a mix of financial and non-financial metrics to measure our performance. Our AIP metrics reflect our commitment to investing for and achieving long-term profitable growth; maintaining alignment with shareholders' interests; and incentivizing top performance against our industry peers.</w:t>
      </w:r>
    </w:p>
    <w:p>
      <w:pPr>
        <w:spacing w:after="0" w:line="58"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 xml:space="preserve">FINANCIAL METRICS: </w:t>
      </w:r>
      <w:r>
        <w:rPr>
          <w:rFonts w:ascii="Arial" w:cs="Arial" w:eastAsia="Arial" w:hAnsi="Arial"/>
          <w:sz w:val="18"/>
          <w:szCs w:val="18"/>
          <w:color w:val="auto"/>
        </w:rPr>
        <w:t>For 2020, the Compensation Committee continued with Segment Operating Income* Growth and refined Pension-adjusted Cash Flow from Operations* to be Adjusted Cash Flow from Operations Conversion*, each weighted at 35%. The Committee remained consistent with Pension-adjusted Net Income* Growth and Pension-adjusted OM Rate*, each weighted at 15%. The metrics are defined as follows:</w:t>
      </w:r>
    </w:p>
    <w:p>
      <w:pPr>
        <w:spacing w:after="0" w:line="82" w:lineRule="exact"/>
        <w:rPr>
          <w:sz w:val="20"/>
          <w:szCs w:val="20"/>
          <w:color w:val="auto"/>
        </w:rPr>
      </w:pPr>
    </w:p>
    <w:p>
      <w:pPr>
        <w:ind w:left="340" w:right="80" w:hanging="332"/>
        <w:spacing w:after="0" w:line="262" w:lineRule="auto"/>
        <w:tabs>
          <w:tab w:leader="none" w:pos="308" w:val="left"/>
        </w:tabs>
        <w:numPr>
          <w:ilvl w:val="0"/>
          <w:numId w:val="58"/>
        </w:numPr>
        <w:rPr>
          <w:rFonts w:ascii="Arial" w:cs="Arial" w:eastAsia="Arial" w:hAnsi="Arial"/>
          <w:sz w:val="21"/>
          <w:szCs w:val="21"/>
          <w:color w:val="00249C"/>
        </w:rPr>
      </w:pPr>
      <w:r>
        <w:rPr>
          <w:rFonts w:ascii="Arial" w:cs="Arial" w:eastAsia="Arial" w:hAnsi="Arial"/>
          <w:sz w:val="17"/>
          <w:szCs w:val="17"/>
          <w:b w:val="1"/>
          <w:bCs w:val="1"/>
          <w:color w:val="auto"/>
        </w:rPr>
        <w:t xml:space="preserve">Adjusted Cash Flow from Operations Conversion*: </w:t>
      </w:r>
      <w:r>
        <w:rPr>
          <w:rFonts w:ascii="Arial" w:cs="Arial" w:eastAsia="Arial" w:hAnsi="Arial"/>
          <w:sz w:val="17"/>
          <w:szCs w:val="17"/>
          <w:color w:val="auto"/>
        </w:rPr>
        <w:t>calculated as Adjusted cash provided by operating activities* divided by earnings</w:t>
      </w:r>
      <w:r>
        <w:rPr>
          <w:rFonts w:ascii="Arial" w:cs="Arial" w:eastAsia="Arial" w:hAnsi="Arial"/>
          <w:sz w:val="17"/>
          <w:szCs w:val="17"/>
          <w:b w:val="1"/>
          <w:bCs w:val="1"/>
          <w:color w:val="auto"/>
        </w:rPr>
        <w:t xml:space="preserve"> </w:t>
      </w:r>
      <w:r>
        <w:rPr>
          <w:rFonts w:ascii="Arial" w:cs="Arial" w:eastAsia="Arial" w:hAnsi="Arial"/>
          <w:sz w:val="17"/>
          <w:szCs w:val="17"/>
          <w:color w:val="auto"/>
        </w:rPr>
        <w:t>before interest, taxes, depreciation and amortization, excluding mark-to-market (MTM) expense and the MTM-related deferred state tax benefit (Adjusted EBITDA*). This metric emphasizes the importance of converting earnings into cash and enables management to make capital investment decisions that support long-term profitable growth without impacting performance-based incentive compensation.</w:t>
      </w:r>
    </w:p>
    <w:p>
      <w:pPr>
        <w:spacing w:after="0" w:line="95" w:lineRule="exact"/>
        <w:rPr>
          <w:rFonts w:ascii="Arial" w:cs="Arial" w:eastAsia="Arial" w:hAnsi="Arial"/>
          <w:sz w:val="21"/>
          <w:szCs w:val="21"/>
          <w:color w:val="00249C"/>
        </w:rPr>
      </w:pPr>
    </w:p>
    <w:p>
      <w:pPr>
        <w:jc w:val="both"/>
        <w:ind w:left="340" w:right="140" w:hanging="332"/>
        <w:spacing w:after="0" w:line="242" w:lineRule="auto"/>
        <w:tabs>
          <w:tab w:leader="none" w:pos="308" w:val="left"/>
        </w:tabs>
        <w:numPr>
          <w:ilvl w:val="0"/>
          <w:numId w:val="58"/>
        </w:numPr>
        <w:rPr>
          <w:rFonts w:ascii="Arial" w:cs="Arial" w:eastAsia="Arial" w:hAnsi="Arial"/>
          <w:sz w:val="22"/>
          <w:szCs w:val="22"/>
          <w:color w:val="00249C"/>
        </w:rPr>
      </w:pPr>
      <w:r>
        <w:rPr>
          <w:rFonts w:ascii="Arial" w:cs="Arial" w:eastAsia="Arial" w:hAnsi="Arial"/>
          <w:sz w:val="18"/>
          <w:szCs w:val="18"/>
          <w:b w:val="1"/>
          <w:bCs w:val="1"/>
          <w:color w:val="auto"/>
        </w:rPr>
        <w:t xml:space="preserve">Segment Operating Income* Growth: </w:t>
      </w:r>
      <w:r>
        <w:rPr>
          <w:rFonts w:ascii="Arial" w:cs="Arial" w:eastAsia="Arial" w:hAnsi="Arial"/>
          <w:sz w:val="18"/>
          <w:szCs w:val="18"/>
          <w:color w:val="auto"/>
        </w:rPr>
        <w:t>calculated as segment operating income* multiplied by a market-based growth rate. This metric</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incentivizes management to focus on profitable growth and enables management to evaluate the financial performance and operational trends of our sectors.</w:t>
      </w:r>
    </w:p>
    <w:p>
      <w:pPr>
        <w:spacing w:after="0" w:line="110" w:lineRule="exact"/>
        <w:rPr>
          <w:rFonts w:ascii="Arial" w:cs="Arial" w:eastAsia="Arial" w:hAnsi="Arial"/>
          <w:sz w:val="22"/>
          <w:szCs w:val="22"/>
          <w:color w:val="00249C"/>
        </w:rPr>
      </w:pPr>
    </w:p>
    <w:p>
      <w:pPr>
        <w:ind w:left="340" w:right="560" w:hanging="332"/>
        <w:spacing w:after="0" w:line="242" w:lineRule="auto"/>
        <w:tabs>
          <w:tab w:leader="none" w:pos="308" w:val="left"/>
        </w:tabs>
        <w:numPr>
          <w:ilvl w:val="0"/>
          <w:numId w:val="58"/>
        </w:numPr>
        <w:rPr>
          <w:rFonts w:ascii="Arial" w:cs="Arial" w:eastAsia="Arial" w:hAnsi="Arial"/>
          <w:sz w:val="22"/>
          <w:szCs w:val="22"/>
          <w:color w:val="00249C"/>
        </w:rPr>
      </w:pPr>
      <w:r>
        <w:rPr>
          <w:rFonts w:ascii="Arial" w:cs="Arial" w:eastAsia="Arial" w:hAnsi="Arial"/>
          <w:sz w:val="18"/>
          <w:szCs w:val="18"/>
          <w:b w:val="1"/>
          <w:bCs w:val="1"/>
          <w:color w:val="auto"/>
        </w:rPr>
        <w:t xml:space="preserve">Pension-adjusted Net Income* Growth: </w:t>
      </w:r>
      <w:r>
        <w:rPr>
          <w:rFonts w:ascii="Arial" w:cs="Arial" w:eastAsia="Arial" w:hAnsi="Arial"/>
          <w:sz w:val="18"/>
          <w:szCs w:val="18"/>
          <w:color w:val="auto"/>
        </w:rPr>
        <w:t>calculated as net income before the after-tax impact of the total net FAS/CAS pension</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 multiplied by a market-based growth rate. This metric incentivizes management to achieve relative long-term profitable growth greater than a projected industry growth rate.</w:t>
      </w:r>
    </w:p>
    <w:p>
      <w:pPr>
        <w:spacing w:after="0" w:line="97" w:lineRule="exact"/>
        <w:rPr>
          <w:rFonts w:ascii="Arial" w:cs="Arial" w:eastAsia="Arial" w:hAnsi="Arial"/>
          <w:sz w:val="22"/>
          <w:szCs w:val="22"/>
          <w:color w:val="00249C"/>
        </w:rPr>
      </w:pPr>
    </w:p>
    <w:p>
      <w:pPr>
        <w:ind w:left="340" w:right="800" w:hanging="332"/>
        <w:spacing w:after="0" w:line="237" w:lineRule="auto"/>
        <w:tabs>
          <w:tab w:leader="none" w:pos="308" w:val="left"/>
        </w:tabs>
        <w:numPr>
          <w:ilvl w:val="0"/>
          <w:numId w:val="58"/>
        </w:numPr>
        <w:rPr>
          <w:rFonts w:ascii="Arial" w:cs="Arial" w:eastAsia="Arial" w:hAnsi="Arial"/>
          <w:sz w:val="22"/>
          <w:szCs w:val="22"/>
          <w:color w:val="00249C"/>
        </w:rPr>
      </w:pPr>
      <w:r>
        <w:rPr>
          <w:rFonts w:ascii="Arial" w:cs="Arial" w:eastAsia="Arial" w:hAnsi="Arial"/>
          <w:sz w:val="18"/>
          <w:szCs w:val="18"/>
          <w:b w:val="1"/>
          <w:bCs w:val="1"/>
          <w:color w:val="auto"/>
        </w:rPr>
        <w:t xml:space="preserve">Pension-adjusted OM Rate*: </w:t>
      </w:r>
      <w:r>
        <w:rPr>
          <w:rFonts w:ascii="Arial" w:cs="Arial" w:eastAsia="Arial" w:hAnsi="Arial"/>
          <w:sz w:val="18"/>
          <w:szCs w:val="18"/>
          <w:color w:val="auto"/>
        </w:rPr>
        <w:t>calculated as OM rate (operating margin divided by sales) before net FAS (service)/CAS pension</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 This metric establishes high program performance expectations for the Company.</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 This metric is a non-GAAP financial measure. For more information, see "Appendix A - Use of Non-GAAP Financial Measures."</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49</w:t>
      </w:r>
    </w:p>
    <w:p>
      <w:pPr>
        <w:sectPr>
          <w:pgSz w:w="11900" w:h="16838" w:orient="portrait"/>
          <w:cols w:equalWidth="0" w:num="1">
            <w:col w:w="11240"/>
          </w:cols>
          <w:pgMar w:left="320" w:top="701" w:right="339" w:bottom="1440" w:gutter="0" w:footer="0" w:header="0"/>
        </w:sectPr>
      </w:pPr>
    </w:p>
    <w:bookmarkStart w:id="55" w:name="page56"/>
    <w:bookmarkEnd w:id="55"/>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5314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 xml:space="preserve">COMPENSATION DISCUSSION AND ANALYSIS | </w:t>
      </w:r>
      <w:r>
        <w:rPr>
          <w:rFonts w:ascii="Arial" w:cs="Arial" w:eastAsia="Arial" w:hAnsi="Arial"/>
          <w:sz w:val="17"/>
          <w:szCs w:val="17"/>
          <w:b w:val="1"/>
          <w:bCs w:val="1"/>
          <w:color w:val="FFFFFF"/>
        </w:rPr>
        <w:t>KEY COMPONENTS OF OUR PROGRAMS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color w:val="auto"/>
        </w:rPr>
        <w:t xml:space="preserve">NON-FINANCIAL METRICS: </w:t>
      </w:r>
      <w:r>
        <w:rPr>
          <w:rFonts w:ascii="Arial" w:cs="Arial" w:eastAsia="Arial" w:hAnsi="Arial"/>
          <w:sz w:val="18"/>
          <w:szCs w:val="18"/>
          <w:color w:val="auto"/>
        </w:rPr>
        <w:t>In addition to the financial goals, various non-financial goals are used to align our objectives with all our</w:t>
      </w:r>
      <w:r>
        <w:rPr>
          <w:rFonts w:ascii="Arial" w:cs="Arial" w:eastAsia="Arial" w:hAnsi="Arial"/>
          <w:sz w:val="18"/>
          <w:szCs w:val="18"/>
          <w:b w:val="1"/>
          <w:bCs w:val="1"/>
          <w:color w:val="auto"/>
        </w:rPr>
        <w:t xml:space="preserve"> </w:t>
      </w:r>
      <w:r>
        <w:rPr>
          <w:rFonts w:ascii="Arial" w:cs="Arial" w:eastAsia="Arial" w:hAnsi="Arial"/>
          <w:sz w:val="18"/>
          <w:szCs w:val="18"/>
          <w:color w:val="auto"/>
        </w:rPr>
        <w:t>stakeholders. Performance against these non-financial metrics can result only in a downward adjustment to the financial metric score. For 2020, we selected the following non-financial metrics: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shd w:val="clear" w:color="auto" w:fill="00249C"/>
          </w:tcPr>
          <w:p>
            <w:pPr>
              <w:jc w:val="right"/>
              <w:ind w:right="335"/>
              <w:spacing w:after="0"/>
              <w:rPr>
                <w:sz w:val="20"/>
                <w:szCs w:val="20"/>
                <w:color w:val="auto"/>
              </w:rPr>
            </w:pPr>
            <w:r>
              <w:rPr>
                <w:rFonts w:ascii="Arial" w:cs="Arial" w:eastAsia="Arial" w:hAnsi="Arial"/>
                <w:sz w:val="16"/>
                <w:szCs w:val="16"/>
                <w:b w:val="1"/>
                <w:bCs w:val="1"/>
                <w:color w:val="FFFFFF"/>
              </w:rPr>
              <w:t>Non-Financial Metric</w:t>
            </w:r>
          </w:p>
        </w:tc>
        <w:tc>
          <w:tcPr>
            <w:tcW w:w="4220" w:type="dxa"/>
            <w:vAlign w:val="bottom"/>
            <w:shd w:val="clear" w:color="auto" w:fill="00249C"/>
          </w:tcPr>
          <w:p>
            <w:pPr>
              <w:ind w:left="1700"/>
              <w:spacing w:after="0"/>
              <w:rPr>
                <w:sz w:val="20"/>
                <w:szCs w:val="20"/>
                <w:color w:val="auto"/>
              </w:rPr>
            </w:pPr>
            <w:r>
              <w:rPr>
                <w:rFonts w:ascii="Arial" w:cs="Arial" w:eastAsia="Arial" w:hAnsi="Arial"/>
                <w:sz w:val="16"/>
                <w:szCs w:val="16"/>
                <w:b w:val="1"/>
                <w:bCs w:val="1"/>
                <w:color w:val="FFFFFF"/>
              </w:rPr>
              <w:t>How Measured</w:t>
            </w:r>
          </w:p>
        </w:tc>
        <w:tc>
          <w:tcPr>
            <w:tcW w:w="4140" w:type="dxa"/>
            <w:vAlign w:val="bottom"/>
            <w:shd w:val="clear" w:color="auto" w:fill="00249C"/>
          </w:tcPr>
          <w:p>
            <w:pPr>
              <w:ind w:left="1620"/>
              <w:spacing w:after="0"/>
              <w:rPr>
                <w:sz w:val="20"/>
                <w:szCs w:val="20"/>
                <w:color w:val="auto"/>
              </w:rPr>
            </w:pPr>
            <w:r>
              <w:rPr>
                <w:rFonts w:ascii="Arial" w:cs="Arial" w:eastAsia="Arial" w:hAnsi="Arial"/>
                <w:sz w:val="16"/>
                <w:szCs w:val="16"/>
                <w:b w:val="1"/>
                <w:bCs w:val="1"/>
                <w:color w:val="FFFFFF"/>
              </w:rPr>
              <w:t>Highlights</w:t>
            </w:r>
          </w:p>
        </w:tc>
        <w:tc>
          <w:tcPr>
            <w:tcW w:w="0" w:type="dxa"/>
            <w:vAlign w:val="bottom"/>
          </w:tcPr>
          <w:p>
            <w:pPr>
              <w:spacing w:after="0"/>
              <w:rPr>
                <w:sz w:val="1"/>
                <w:szCs w:val="1"/>
                <w:color w:val="auto"/>
              </w:rPr>
            </w:pPr>
          </w:p>
        </w:tc>
      </w:tr>
      <w:tr>
        <w:trPr>
          <w:trHeight w:val="188"/>
        </w:trPr>
        <w:tc>
          <w:tcPr>
            <w:tcW w:w="2880" w:type="dxa"/>
            <w:vAlign w:val="bottom"/>
            <w:shd w:val="clear" w:color="auto" w:fill="CCD4DB"/>
          </w:tcPr>
          <w:p>
            <w:pPr>
              <w:spacing w:after="0"/>
              <w:rPr>
                <w:sz w:val="16"/>
                <w:szCs w:val="16"/>
                <w:color w:val="auto"/>
              </w:rPr>
            </w:pPr>
          </w:p>
        </w:tc>
        <w:tc>
          <w:tcPr>
            <w:tcW w:w="4220" w:type="dxa"/>
            <w:vAlign w:val="bottom"/>
            <w:shd w:val="clear" w:color="auto" w:fill="CCD4DB"/>
          </w:tcPr>
          <w:p>
            <w:pPr>
              <w:ind w:left="440"/>
              <w:spacing w:after="0" w:line="189" w:lineRule="exact"/>
              <w:rPr>
                <w:sz w:val="20"/>
                <w:szCs w:val="20"/>
                <w:color w:val="auto"/>
              </w:rPr>
            </w:pPr>
            <w:r>
              <w:rPr>
                <w:rFonts w:ascii="Arial" w:cs="Arial" w:eastAsia="Arial" w:hAnsi="Arial"/>
                <w:sz w:val="18"/>
                <w:szCs w:val="18"/>
                <w:color w:val="auto"/>
              </w:rPr>
              <w:t>Program-specific objectives, including defect</w:t>
            </w:r>
          </w:p>
        </w:tc>
        <w:tc>
          <w:tcPr>
            <w:tcW w:w="4140" w:type="dxa"/>
            <w:vAlign w:val="bottom"/>
            <w:vMerge w:val="restart"/>
            <w:shd w:val="clear" w:color="auto" w:fill="CCD4DB"/>
          </w:tcPr>
          <w:p>
            <w:pPr>
              <w:ind w:left="22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Corporate quality metric was above target</w:t>
            </w:r>
          </w:p>
        </w:tc>
        <w:tc>
          <w:tcPr>
            <w:tcW w:w="0" w:type="dxa"/>
            <w:vAlign w:val="bottom"/>
          </w:tcPr>
          <w:p>
            <w:pPr>
              <w:spacing w:after="0"/>
              <w:rPr>
                <w:sz w:val="1"/>
                <w:szCs w:val="1"/>
                <w:color w:val="auto"/>
              </w:rPr>
            </w:pPr>
          </w:p>
        </w:tc>
      </w:tr>
      <w:tr>
        <w:trPr>
          <w:trHeight w:val="176"/>
        </w:trPr>
        <w:tc>
          <w:tcPr>
            <w:tcW w:w="2880" w:type="dxa"/>
            <w:vAlign w:val="bottom"/>
            <w:vMerge w:val="restart"/>
            <w:shd w:val="clear" w:color="auto" w:fill="CCD4DB"/>
          </w:tcPr>
          <w:p>
            <w:pPr>
              <w:jc w:val="right"/>
              <w:ind w:right="335"/>
              <w:spacing w:after="0"/>
              <w:rPr>
                <w:sz w:val="20"/>
                <w:szCs w:val="20"/>
                <w:color w:val="auto"/>
              </w:rPr>
            </w:pPr>
            <w:r>
              <w:rPr>
                <w:rFonts w:ascii="Arial" w:cs="Arial" w:eastAsia="Arial" w:hAnsi="Arial"/>
                <w:sz w:val="18"/>
                <w:szCs w:val="18"/>
                <w:b w:val="1"/>
                <w:bCs w:val="1"/>
                <w:color w:val="00249C"/>
              </w:rPr>
              <w:t>Quality</w:t>
            </w:r>
          </w:p>
        </w:tc>
        <w:tc>
          <w:tcPr>
            <w:tcW w:w="4220" w:type="dxa"/>
            <w:vAlign w:val="bottom"/>
            <w:shd w:val="clear" w:color="auto" w:fill="CCD4DB"/>
          </w:tcPr>
          <w:p>
            <w:pPr>
              <w:ind w:left="440"/>
              <w:spacing w:after="0" w:line="176" w:lineRule="exact"/>
              <w:rPr>
                <w:sz w:val="20"/>
                <w:szCs w:val="20"/>
                <w:color w:val="auto"/>
              </w:rPr>
            </w:pPr>
            <w:r>
              <w:rPr>
                <w:rFonts w:ascii="Arial" w:cs="Arial" w:eastAsia="Arial" w:hAnsi="Arial"/>
                <w:sz w:val="18"/>
                <w:szCs w:val="18"/>
                <w:color w:val="auto"/>
              </w:rPr>
              <w:t>rates, process quality, supplier quality,</w:t>
            </w:r>
          </w:p>
        </w:tc>
        <w:tc>
          <w:tcPr>
            <w:tcW w:w="4140" w:type="dxa"/>
            <w:vAlign w:val="bottom"/>
            <w:vMerge w:val="continue"/>
            <w:shd w:val="clear" w:color="auto" w:fill="CCD4DB"/>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880" w:type="dxa"/>
            <w:vAlign w:val="bottom"/>
            <w:vMerge w:val="continue"/>
            <w:shd w:val="clear" w:color="auto" w:fill="CCD4DB"/>
          </w:tcPr>
          <w:p>
            <w:pPr>
              <w:spacing w:after="0"/>
              <w:rPr>
                <w:sz w:val="10"/>
                <w:szCs w:val="10"/>
                <w:color w:val="auto"/>
              </w:rPr>
            </w:pPr>
          </w:p>
        </w:tc>
        <w:tc>
          <w:tcPr>
            <w:tcW w:w="4220" w:type="dxa"/>
            <w:vAlign w:val="bottom"/>
            <w:vMerge w:val="restart"/>
            <w:shd w:val="clear" w:color="auto" w:fill="CCD4DB"/>
          </w:tcPr>
          <w:p>
            <w:pPr>
              <w:ind w:left="440"/>
              <w:spacing w:after="0" w:line="176" w:lineRule="exact"/>
              <w:rPr>
                <w:sz w:val="20"/>
                <w:szCs w:val="20"/>
                <w:color w:val="auto"/>
              </w:rPr>
            </w:pPr>
            <w:r>
              <w:rPr>
                <w:rFonts w:ascii="Arial" w:cs="Arial" w:eastAsia="Arial" w:hAnsi="Arial"/>
                <w:sz w:val="18"/>
                <w:szCs w:val="18"/>
                <w:color w:val="auto"/>
              </w:rPr>
              <w:t>planning quality or other appropriate criteria</w:t>
            </w:r>
          </w:p>
        </w:tc>
        <w:tc>
          <w:tcPr>
            <w:tcW w:w="4140" w:type="dxa"/>
            <w:vAlign w:val="bottom"/>
            <w:vMerge w:val="restart"/>
            <w:shd w:val="clear" w:color="auto" w:fill="CCD4DB"/>
          </w:tcPr>
          <w:p>
            <w:pPr>
              <w:ind w:left="560"/>
              <w:spacing w:after="0" w:line="176" w:lineRule="exact"/>
              <w:rPr>
                <w:sz w:val="20"/>
                <w:szCs w:val="20"/>
                <w:color w:val="auto"/>
              </w:rPr>
            </w:pPr>
            <w:r>
              <w:rPr>
                <w:rFonts w:ascii="Arial" w:cs="Arial" w:eastAsia="Arial" w:hAnsi="Arial"/>
                <w:sz w:val="18"/>
                <w:szCs w:val="18"/>
                <w:color w:val="auto"/>
              </w:rPr>
              <w:t>for the year</w:t>
            </w:r>
          </w:p>
        </w:tc>
        <w:tc>
          <w:tcPr>
            <w:tcW w:w="0" w:type="dxa"/>
            <w:vAlign w:val="bottom"/>
          </w:tcPr>
          <w:p>
            <w:pPr>
              <w:spacing w:after="0"/>
              <w:rPr>
                <w:sz w:val="1"/>
                <w:szCs w:val="1"/>
                <w:color w:val="auto"/>
              </w:rPr>
            </w:pPr>
          </w:p>
        </w:tc>
      </w:tr>
      <w:tr>
        <w:trPr>
          <w:trHeight w:val="53"/>
        </w:trPr>
        <w:tc>
          <w:tcPr>
            <w:tcW w:w="2880" w:type="dxa"/>
            <w:vAlign w:val="bottom"/>
            <w:shd w:val="clear" w:color="auto" w:fill="CCD4DB"/>
          </w:tcPr>
          <w:p>
            <w:pPr>
              <w:spacing w:after="0"/>
              <w:rPr>
                <w:sz w:val="4"/>
                <w:szCs w:val="4"/>
                <w:color w:val="auto"/>
              </w:rPr>
            </w:pPr>
          </w:p>
        </w:tc>
        <w:tc>
          <w:tcPr>
            <w:tcW w:w="4220" w:type="dxa"/>
            <w:vAlign w:val="bottom"/>
            <w:vMerge w:val="continue"/>
            <w:shd w:val="clear" w:color="auto" w:fill="CCD4DB"/>
          </w:tcPr>
          <w:p>
            <w:pPr>
              <w:spacing w:after="0"/>
              <w:rPr>
                <w:sz w:val="4"/>
                <w:szCs w:val="4"/>
                <w:color w:val="auto"/>
              </w:rPr>
            </w:pPr>
          </w:p>
        </w:tc>
        <w:tc>
          <w:tcPr>
            <w:tcW w:w="4140" w:type="dxa"/>
            <w:vAlign w:val="bottom"/>
            <w:vMerge w:val="continue"/>
            <w:shd w:val="clear" w:color="auto" w:fill="CCD4DB"/>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880" w:type="dxa"/>
            <w:vAlign w:val="bottom"/>
            <w:shd w:val="clear" w:color="auto" w:fill="CCD4DB"/>
          </w:tcPr>
          <w:p>
            <w:pPr>
              <w:spacing w:after="0"/>
              <w:rPr>
                <w:sz w:val="18"/>
                <w:szCs w:val="18"/>
                <w:color w:val="auto"/>
              </w:rPr>
            </w:pPr>
          </w:p>
        </w:tc>
        <w:tc>
          <w:tcPr>
            <w:tcW w:w="4220" w:type="dxa"/>
            <w:vAlign w:val="bottom"/>
            <w:shd w:val="clear" w:color="auto" w:fill="CCD4DB"/>
          </w:tcPr>
          <w:p>
            <w:pPr>
              <w:ind w:left="440"/>
              <w:spacing w:after="0"/>
              <w:rPr>
                <w:sz w:val="20"/>
                <w:szCs w:val="20"/>
                <w:color w:val="auto"/>
              </w:rPr>
            </w:pPr>
            <w:r>
              <w:rPr>
                <w:rFonts w:ascii="Arial" w:cs="Arial" w:eastAsia="Arial" w:hAnsi="Arial"/>
                <w:sz w:val="18"/>
                <w:szCs w:val="18"/>
                <w:color w:val="auto"/>
              </w:rPr>
              <w:t>for program type and phase.</w:t>
            </w:r>
          </w:p>
        </w:tc>
        <w:tc>
          <w:tcPr>
            <w:tcW w:w="4140" w:type="dxa"/>
            <w:vAlign w:val="bottom"/>
            <w:shd w:val="clear" w:color="auto" w:fill="CCD4DB"/>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-436880</wp:posOffset>
            </wp:positionV>
            <wp:extent cx="325755" cy="3257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0</wp:posOffset>
            </wp:positionV>
            <wp:extent cx="325755" cy="3257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ectPr>
          <w:pgSz w:w="11900" w:h="16838" w:orient="portrait"/>
          <w:cols w:equalWidth="0" w:num="1">
            <w:col w:w="11240"/>
          </w:cols>
          <w:pgMar w:left="320" w:top="701" w:right="339" w:bottom="1440" w:gutter="0" w:footer="0" w:header="0"/>
        </w:sectPr>
      </w:pPr>
    </w:p>
    <w:p>
      <w:pPr>
        <w:spacing w:after="0" w:line="180"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00249C"/>
        </w:rPr>
        <w:t>Customer Satisfaction</w:t>
      </w:r>
    </w:p>
    <w:p>
      <w:pPr>
        <w:spacing w:after="0" w:line="200" w:lineRule="exact"/>
        <w:rPr>
          <w:sz w:val="20"/>
          <w:szCs w:val="20"/>
          <w:color w:val="auto"/>
        </w:rPr>
      </w:pPr>
    </w:p>
    <w:p>
      <w:pPr>
        <w:spacing w:after="0" w:line="363"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00249C"/>
        </w:rPr>
        <w:t>Engagement &amp;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327660</wp:posOffset>
            </wp:positionV>
            <wp:extent cx="325755" cy="3257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00249C"/>
        </w:rPr>
        <w:t>Operational Efficiency</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Customer feedback, including customer-generated performance scores, award fees and verbal and written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9525</wp:posOffset>
            </wp:positionV>
            <wp:extent cx="7132320" cy="5918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591820"/>
                    </a:xfrm>
                    <a:prstGeom prst="rect">
                      <a:avLst/>
                    </a:prstGeom>
                    <a:noFill/>
                  </pic:spPr>
                </pic:pic>
              </a:graphicData>
            </a:graphic>
          </wp:anchor>
        </w:drawing>
      </w:r>
    </w:p>
    <w:p>
      <w:pPr>
        <w:spacing w:after="0" w:line="7" w:lineRule="exact"/>
        <w:rPr>
          <w:sz w:val="20"/>
          <w:szCs w:val="20"/>
          <w:color w:val="auto"/>
        </w:rPr>
      </w:pPr>
    </w:p>
    <w:p>
      <w:pPr>
        <w:ind w:right="60"/>
        <w:spacing w:after="0" w:line="225" w:lineRule="auto"/>
        <w:rPr>
          <w:sz w:val="20"/>
          <w:szCs w:val="20"/>
          <w:color w:val="auto"/>
        </w:rPr>
      </w:pPr>
      <w:r>
        <w:rPr>
          <w:rFonts w:ascii="Arial" w:cs="Arial" w:eastAsia="Arial" w:hAnsi="Arial"/>
          <w:sz w:val="17"/>
          <w:szCs w:val="17"/>
          <w:color w:val="auto"/>
        </w:rPr>
        <w:t>Perform at or above the Global High Performance (GHP) Norm, a Willis Towers Watson (WTW) index. Results derived from annual employee survey with a "percent favorable response" measurement scale.</w:t>
      </w:r>
    </w:p>
    <w:p>
      <w:pPr>
        <w:spacing w:after="0" w:line="69" w:lineRule="exact"/>
        <w:rPr>
          <w:sz w:val="20"/>
          <w:szCs w:val="20"/>
          <w:color w:val="auto"/>
        </w:rPr>
      </w:pPr>
    </w:p>
    <w:p>
      <w:pPr>
        <w:spacing w:after="0" w:line="215" w:lineRule="auto"/>
        <w:rPr>
          <w:sz w:val="20"/>
          <w:szCs w:val="20"/>
          <w:color w:val="auto"/>
        </w:rPr>
      </w:pPr>
      <w:r>
        <w:rPr>
          <w:rFonts w:ascii="Arial" w:cs="Arial" w:eastAsia="Arial" w:hAnsi="Arial"/>
          <w:sz w:val="18"/>
          <w:szCs w:val="18"/>
          <w:color w:val="auto"/>
        </w:rPr>
        <w:t>Reach or exceed the GHP Norm. Results derived from annual employee survey with a "percent favorable response" measurement scale.</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331" w:right="240" w:hanging="331"/>
        <w:spacing w:after="0" w:line="225" w:lineRule="auto"/>
        <w:tabs>
          <w:tab w:leader="none" w:pos="325" w:val="left"/>
        </w:tabs>
        <w:numPr>
          <w:ilvl w:val="0"/>
          <w:numId w:val="59"/>
        </w:numPr>
        <w:rPr>
          <w:rFonts w:ascii="Arial" w:cs="Arial" w:eastAsia="Arial" w:hAnsi="Arial"/>
          <w:sz w:val="22"/>
          <w:szCs w:val="22"/>
          <w:color w:val="auto"/>
        </w:rPr>
      </w:pPr>
      <w:r>
        <w:rPr>
          <w:rFonts w:ascii="Arial" w:cs="Arial" w:eastAsia="Arial" w:hAnsi="Arial"/>
          <w:sz w:val="18"/>
          <w:szCs w:val="18"/>
          <w:color w:val="auto"/>
        </w:rPr>
        <w:t>Customer satisfaction metric was at target for the year</w:t>
      </w:r>
    </w:p>
    <w:p>
      <w:pPr>
        <w:spacing w:after="0" w:line="135" w:lineRule="exact"/>
        <w:rPr>
          <w:rFonts w:ascii="Arial" w:cs="Arial" w:eastAsia="Arial" w:hAnsi="Arial"/>
          <w:sz w:val="22"/>
          <w:szCs w:val="22"/>
          <w:color w:val="auto"/>
        </w:rPr>
      </w:pPr>
    </w:p>
    <w:p>
      <w:pPr>
        <w:ind w:left="331" w:right="220" w:hanging="331"/>
        <w:spacing w:after="0" w:line="218" w:lineRule="auto"/>
        <w:tabs>
          <w:tab w:leader="none" w:pos="325" w:val="left"/>
        </w:tabs>
        <w:numPr>
          <w:ilvl w:val="0"/>
          <w:numId w:val="59"/>
        </w:numPr>
        <w:rPr>
          <w:rFonts w:ascii="Arial" w:cs="Arial" w:eastAsia="Arial" w:hAnsi="Arial"/>
          <w:sz w:val="22"/>
          <w:szCs w:val="22"/>
          <w:color w:val="auto"/>
        </w:rPr>
      </w:pPr>
      <w:r>
        <w:rPr>
          <w:rFonts w:ascii="Arial" w:cs="Arial" w:eastAsia="Arial" w:hAnsi="Arial"/>
          <w:sz w:val="18"/>
          <w:szCs w:val="18"/>
          <w:color w:val="auto"/>
        </w:rPr>
        <w:t>86% favorable employee engagement and equal to the GHP norm</w:t>
      </w:r>
    </w:p>
    <w:p>
      <w:pPr>
        <w:ind w:left="331" w:right="340" w:hanging="331"/>
        <w:spacing w:after="0" w:line="246" w:lineRule="auto"/>
        <w:tabs>
          <w:tab w:leader="none" w:pos="299" w:val="left"/>
        </w:tabs>
        <w:numPr>
          <w:ilvl w:val="0"/>
          <w:numId w:val="59"/>
        </w:numPr>
        <w:rPr>
          <w:rFonts w:ascii="Arial" w:cs="Arial" w:eastAsia="Arial" w:hAnsi="Arial"/>
          <w:sz w:val="18"/>
          <w:szCs w:val="18"/>
          <w:color w:val="auto"/>
        </w:rPr>
      </w:pPr>
      <w:r>
        <w:rPr>
          <w:rFonts w:ascii="Arial" w:cs="Arial" w:eastAsia="Arial" w:hAnsi="Arial"/>
          <w:sz w:val="18"/>
          <w:szCs w:val="18"/>
          <w:color w:val="auto"/>
        </w:rPr>
        <w:t>83% favorable on the inclusion index and above the GHP norm</w:t>
      </w:r>
    </w:p>
    <w:p>
      <w:pPr>
        <w:spacing w:after="0" w:line="43" w:lineRule="exact"/>
        <w:rPr>
          <w:rFonts w:ascii="Arial" w:cs="Arial" w:eastAsia="Arial" w:hAnsi="Arial"/>
          <w:sz w:val="18"/>
          <w:szCs w:val="18"/>
          <w:color w:val="auto"/>
        </w:rPr>
      </w:pPr>
    </w:p>
    <w:p>
      <w:pPr>
        <w:ind w:left="291" w:hanging="291"/>
        <w:spacing w:after="0"/>
        <w:tabs>
          <w:tab w:leader="none" w:pos="291" w:val="left"/>
        </w:tabs>
        <w:numPr>
          <w:ilvl w:val="0"/>
          <w:numId w:val="59"/>
        </w:numPr>
        <w:rPr>
          <w:rFonts w:ascii="Arial" w:cs="Arial" w:eastAsia="Arial" w:hAnsi="Arial"/>
          <w:sz w:val="18"/>
          <w:szCs w:val="18"/>
          <w:color w:val="auto"/>
        </w:rPr>
      </w:pPr>
      <w:r>
        <w:rPr>
          <w:rFonts w:ascii="Arial" w:cs="Arial" w:eastAsia="Arial" w:hAnsi="Arial"/>
          <w:sz w:val="18"/>
          <w:szCs w:val="18"/>
          <w:color w:val="auto"/>
        </w:rPr>
        <w:t>75% favorable and equal to the goal</w:t>
      </w:r>
    </w:p>
    <w:p>
      <w:pPr>
        <w:ind w:left="331" w:right="40" w:hanging="331"/>
        <w:spacing w:after="0"/>
        <w:tabs>
          <w:tab w:leader="none" w:pos="299"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Company improved during a year when most other companies had a decline as noted in the WTW indices</w:t>
      </w:r>
    </w:p>
    <w:p>
      <w:pPr>
        <w:spacing w:after="0" w:line="4" w:lineRule="exact"/>
        <w:rPr>
          <w:sz w:val="20"/>
          <w:szCs w:val="20"/>
          <w:color w:val="auto"/>
        </w:rPr>
      </w:pPr>
    </w:p>
    <w:p>
      <w:pPr>
        <w:sectPr>
          <w:pgSz w:w="11900" w:h="16838" w:orient="portrait"/>
          <w:cols w:equalWidth="0" w:num="3">
            <w:col w:w="3200" w:space="120"/>
            <w:col w:w="3520" w:space="489"/>
            <w:col w:w="3911"/>
          </w:cols>
          <w:pgMar w:left="320" w:top="701" w:right="339" w:bottom="1440" w:gutter="0" w:footer="0" w:header="0"/>
          <w:type w:val="continuous"/>
        </w:sectPr>
      </w:pPr>
    </w:p>
    <w:tbl>
      <w:tblPr>
        <w:tblLayout w:type="fixed"/>
        <w:tblInd w:w="0" w:type="dxa"/>
        <w:tblCellMar>
          <w:top w:w="0" w:type="dxa"/>
          <w:left w:w="0" w:type="dxa"/>
          <w:bottom w:w="0" w:type="dxa"/>
          <w:right w:w="0" w:type="dxa"/>
        </w:tblCellMar>
      </w:tblPr>
      <w:tr>
        <w:trPr>
          <w:trHeight w:val="253"/>
        </w:trPr>
        <w:tc>
          <w:tcPr>
            <w:tcW w:w="2920" w:type="dxa"/>
            <w:vAlign w:val="bottom"/>
            <w:vMerge w:val="restart"/>
            <w:shd w:val="clear" w:color="auto" w:fill="CCD4DB"/>
          </w:tcPr>
          <w:p>
            <w:pPr>
              <w:ind w:left="1760"/>
              <w:spacing w:after="0"/>
              <w:rPr>
                <w:sz w:val="20"/>
                <w:szCs w:val="20"/>
                <w:color w:val="auto"/>
              </w:rPr>
            </w:pPr>
            <w:r>
              <w:rPr>
                <w:rFonts w:ascii="Arial" w:cs="Arial" w:eastAsia="Arial" w:hAnsi="Arial"/>
                <w:sz w:val="18"/>
                <w:szCs w:val="18"/>
                <w:b w:val="1"/>
                <w:bCs w:val="1"/>
                <w:color w:val="00249C"/>
              </w:rPr>
              <w:t>Diversity</w:t>
            </w:r>
          </w:p>
        </w:tc>
        <w:tc>
          <w:tcPr>
            <w:tcW w:w="4180" w:type="dxa"/>
            <w:vAlign w:val="bottom"/>
            <w:shd w:val="clear" w:color="auto" w:fill="CCD4DB"/>
          </w:tcPr>
          <w:p>
            <w:pPr>
              <w:ind w:left="400"/>
              <w:spacing w:after="0"/>
              <w:rPr>
                <w:sz w:val="20"/>
                <w:szCs w:val="20"/>
                <w:color w:val="auto"/>
              </w:rPr>
            </w:pPr>
            <w:r>
              <w:rPr>
                <w:rFonts w:ascii="Arial" w:cs="Arial" w:eastAsia="Arial" w:hAnsi="Arial"/>
                <w:sz w:val="18"/>
                <w:szCs w:val="18"/>
                <w:color w:val="auto"/>
              </w:rPr>
              <w:t>Representation of females and people of</w:t>
            </w:r>
          </w:p>
        </w:tc>
        <w:tc>
          <w:tcPr>
            <w:tcW w:w="4140" w:type="dxa"/>
            <w:vAlign w:val="bottom"/>
            <w:shd w:val="clear" w:color="auto" w:fill="CCD4DB"/>
          </w:tcPr>
          <w:p>
            <w:pPr>
              <w:ind w:left="22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We met or exceeded our employee diversity</w:t>
            </w:r>
          </w:p>
        </w:tc>
        <w:tc>
          <w:tcPr>
            <w:tcW w:w="0" w:type="dxa"/>
            <w:vAlign w:val="bottom"/>
          </w:tcPr>
          <w:p>
            <w:pPr>
              <w:spacing w:after="0"/>
              <w:rPr>
                <w:sz w:val="1"/>
                <w:szCs w:val="1"/>
                <w:color w:val="auto"/>
              </w:rPr>
            </w:pPr>
          </w:p>
        </w:tc>
      </w:tr>
      <w:tr>
        <w:trPr>
          <w:trHeight w:val="190"/>
        </w:trPr>
        <w:tc>
          <w:tcPr>
            <w:tcW w:w="2920" w:type="dxa"/>
            <w:vAlign w:val="bottom"/>
            <w:vMerge w:val="continue"/>
            <w:shd w:val="clear" w:color="auto" w:fill="CCD4DB"/>
          </w:tcPr>
          <w:p>
            <w:pPr>
              <w:spacing w:after="0"/>
              <w:rPr>
                <w:sz w:val="16"/>
                <w:szCs w:val="16"/>
                <w:color w:val="auto"/>
              </w:rPr>
            </w:pPr>
          </w:p>
        </w:tc>
        <w:tc>
          <w:tcPr>
            <w:tcW w:w="4180" w:type="dxa"/>
            <w:vAlign w:val="bottom"/>
            <w:shd w:val="clear" w:color="auto" w:fill="CCD4DB"/>
          </w:tcPr>
          <w:p>
            <w:pPr>
              <w:ind w:left="400"/>
              <w:spacing w:after="0" w:line="190" w:lineRule="exact"/>
              <w:rPr>
                <w:sz w:val="20"/>
                <w:szCs w:val="20"/>
                <w:color w:val="auto"/>
              </w:rPr>
            </w:pPr>
            <w:r>
              <w:rPr>
                <w:rFonts w:ascii="Arial" w:cs="Arial" w:eastAsia="Arial" w:hAnsi="Arial"/>
                <w:sz w:val="18"/>
                <w:szCs w:val="18"/>
                <w:color w:val="auto"/>
              </w:rPr>
              <w:t>color in all management level positions with</w:t>
            </w:r>
          </w:p>
        </w:tc>
        <w:tc>
          <w:tcPr>
            <w:tcW w:w="4140" w:type="dxa"/>
            <w:vAlign w:val="bottom"/>
            <w:shd w:val="clear" w:color="auto" w:fill="CCD4DB"/>
          </w:tcPr>
          <w:p>
            <w:pPr>
              <w:ind w:left="560"/>
              <w:spacing w:after="0" w:line="190" w:lineRule="exact"/>
              <w:rPr>
                <w:sz w:val="20"/>
                <w:szCs w:val="20"/>
                <w:color w:val="auto"/>
              </w:rPr>
            </w:pPr>
            <w:r>
              <w:rPr>
                <w:rFonts w:ascii="Arial" w:cs="Arial" w:eastAsia="Arial" w:hAnsi="Arial"/>
                <w:sz w:val="18"/>
                <w:szCs w:val="18"/>
                <w:color w:val="auto"/>
              </w:rPr>
              <w:t>goals in 2020, and since 2010, have made</w:t>
            </w:r>
          </w:p>
        </w:tc>
        <w:tc>
          <w:tcPr>
            <w:tcW w:w="0" w:type="dxa"/>
            <w:vAlign w:val="bottom"/>
          </w:tcPr>
          <w:p>
            <w:pPr>
              <w:spacing w:after="0"/>
              <w:rPr>
                <w:sz w:val="1"/>
                <w:szCs w:val="1"/>
                <w:color w:val="auto"/>
              </w:rPr>
            </w:pPr>
          </w:p>
        </w:tc>
      </w:tr>
      <w:tr>
        <w:trPr>
          <w:trHeight w:val="270"/>
        </w:trPr>
        <w:tc>
          <w:tcPr>
            <w:tcW w:w="2920" w:type="dxa"/>
            <w:vAlign w:val="bottom"/>
            <w:shd w:val="clear" w:color="auto" w:fill="CCD4DB"/>
          </w:tcPr>
          <w:p>
            <w:pPr>
              <w:spacing w:after="0"/>
              <w:rPr>
                <w:sz w:val="23"/>
                <w:szCs w:val="23"/>
                <w:color w:val="auto"/>
              </w:rPr>
            </w:pPr>
          </w:p>
        </w:tc>
        <w:tc>
          <w:tcPr>
            <w:tcW w:w="4180" w:type="dxa"/>
            <w:vAlign w:val="bottom"/>
            <w:shd w:val="clear" w:color="auto" w:fill="CCD4DB"/>
          </w:tcPr>
          <w:p>
            <w:pPr>
              <w:ind w:left="400"/>
              <w:spacing w:after="0"/>
              <w:rPr>
                <w:sz w:val="20"/>
                <w:szCs w:val="20"/>
                <w:color w:val="auto"/>
              </w:rPr>
            </w:pPr>
            <w:r>
              <w:rPr>
                <w:rFonts w:ascii="Arial" w:cs="Arial" w:eastAsia="Arial" w:hAnsi="Arial"/>
                <w:sz w:val="18"/>
                <w:szCs w:val="18"/>
                <w:color w:val="auto"/>
              </w:rPr>
              <w:t>respect to internal and external benchmarks.</w:t>
            </w:r>
          </w:p>
        </w:tc>
        <w:tc>
          <w:tcPr>
            <w:tcW w:w="4140" w:type="dxa"/>
            <w:vAlign w:val="bottom"/>
            <w:shd w:val="clear" w:color="auto" w:fill="CCD4DB"/>
          </w:tcPr>
          <w:p>
            <w:pPr>
              <w:ind w:left="560"/>
              <w:spacing w:after="0"/>
              <w:rPr>
                <w:sz w:val="20"/>
                <w:szCs w:val="20"/>
                <w:color w:val="auto"/>
              </w:rPr>
            </w:pPr>
            <w:r>
              <w:rPr>
                <w:rFonts w:ascii="Arial" w:cs="Arial" w:eastAsia="Arial" w:hAnsi="Arial"/>
                <w:sz w:val="18"/>
                <w:szCs w:val="18"/>
                <w:color w:val="auto"/>
              </w:rPr>
              <w:t>significant progress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-419735</wp:posOffset>
            </wp:positionV>
            <wp:extent cx="325755" cy="3257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ectPr>
          <w:pgSz w:w="11900" w:h="16838" w:orient="portrait"/>
          <w:cols w:equalWidth="0" w:num="1">
            <w:col w:w="11240"/>
          </w:cols>
          <w:pgMar w:left="320" w:top="701" w:right="339" w:bottom="1440" w:gutter="0" w:footer="0" w:header="0"/>
          <w:type w:val="continuous"/>
        </w:sectPr>
      </w:pPr>
    </w:p>
    <w:p>
      <w:pPr>
        <w:spacing w:after="0" w:line="211"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00249C"/>
        </w:rPr>
        <w:t>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-187325</wp:posOffset>
            </wp:positionV>
            <wp:extent cx="325755" cy="3257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ind w:left="1560"/>
        <w:spacing w:after="0"/>
        <w:rPr>
          <w:sz w:val="20"/>
          <w:szCs w:val="20"/>
          <w:color w:val="auto"/>
        </w:rPr>
      </w:pPr>
      <w:r>
        <w:rPr>
          <w:rFonts w:ascii="Arial" w:cs="Arial" w:eastAsia="Arial" w:hAnsi="Arial"/>
          <w:sz w:val="18"/>
          <w:szCs w:val="18"/>
          <w:b w:val="1"/>
          <w:bCs w:val="1"/>
          <w:color w:val="00249C"/>
        </w:rPr>
        <w:t>Sustainability</w:t>
      </w:r>
    </w:p>
    <w:p>
      <w:pPr>
        <w:spacing w:after="0" w:line="200" w:lineRule="exact"/>
        <w:rPr>
          <w:sz w:val="20"/>
          <w:szCs w:val="20"/>
          <w:color w:val="auto"/>
        </w:rPr>
      </w:pPr>
    </w:p>
    <w:p>
      <w:pPr>
        <w:spacing w:after="0" w:line="287"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00249C"/>
        </w:rPr>
        <w:t>Safety</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140"/>
        <w:spacing w:after="0" w:line="228" w:lineRule="auto"/>
        <w:rPr>
          <w:sz w:val="20"/>
          <w:szCs w:val="20"/>
          <w:color w:val="auto"/>
        </w:rPr>
      </w:pPr>
      <w:r>
        <w:rPr>
          <w:rFonts w:ascii="Arial" w:cs="Arial" w:eastAsia="Arial" w:hAnsi="Arial"/>
          <w:sz w:val="17"/>
          <w:szCs w:val="17"/>
          <w:color w:val="auto"/>
        </w:rPr>
        <w:t>Reductions in absolute greenhouse gas emissions and potable water consumption, and improvement in solid waste diversion (i.e., waste diverted from landfill disposal).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34925</wp:posOffset>
            </wp:positionV>
            <wp:extent cx="7132320" cy="4800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47"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Total case rate, defined as the number of Occupational Safety &amp; Health Administration recordable injuries as well as by lost work day rate associated with those injuries.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635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331" w:right="40" w:hanging="331"/>
        <w:spacing w:after="0" w:line="238" w:lineRule="auto"/>
        <w:tabs>
          <w:tab w:leader="none" w:pos="299"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 exceeded the annual target for the year, driving further progress towards our multi-year environmental sustainability goals that ended in 2020</w:t>
      </w:r>
    </w:p>
    <w:p>
      <w:pPr>
        <w:spacing w:after="0" w:line="191" w:lineRule="exact"/>
        <w:rPr>
          <w:rFonts w:ascii="Arial" w:cs="Arial" w:eastAsia="Arial" w:hAnsi="Arial"/>
          <w:sz w:val="18"/>
          <w:szCs w:val="18"/>
          <w:color w:val="auto"/>
        </w:rPr>
      </w:pPr>
    </w:p>
    <w:p>
      <w:pPr>
        <w:ind w:left="331" w:right="40" w:hanging="331"/>
        <w:spacing w:after="0" w:line="225" w:lineRule="auto"/>
        <w:tabs>
          <w:tab w:leader="none" w:pos="325" w:val="left"/>
        </w:tabs>
        <w:numPr>
          <w:ilvl w:val="0"/>
          <w:numId w:val="60"/>
        </w:numPr>
        <w:rPr>
          <w:rFonts w:ascii="Arial" w:cs="Arial" w:eastAsia="Arial" w:hAnsi="Arial"/>
          <w:sz w:val="22"/>
          <w:szCs w:val="22"/>
          <w:color w:val="auto"/>
        </w:rPr>
      </w:pPr>
      <w:r>
        <w:rPr>
          <w:rFonts w:ascii="Arial" w:cs="Arial" w:eastAsia="Arial" w:hAnsi="Arial"/>
          <w:sz w:val="18"/>
          <w:szCs w:val="18"/>
          <w:color w:val="auto"/>
        </w:rPr>
        <w:t>The Company exceeded the annual target in 2020</w:t>
      </w:r>
    </w:p>
    <w:p>
      <w:pPr>
        <w:spacing w:after="0" w:line="349" w:lineRule="exact"/>
        <w:rPr>
          <w:sz w:val="20"/>
          <w:szCs w:val="20"/>
          <w:color w:val="auto"/>
        </w:rPr>
      </w:pPr>
    </w:p>
    <w:p>
      <w:pPr>
        <w:sectPr>
          <w:pgSz w:w="11900" w:h="16838" w:orient="portrait"/>
          <w:cols w:equalWidth="0" w:num="3">
            <w:col w:w="2780" w:space="540"/>
            <w:col w:w="3540" w:space="469"/>
            <w:col w:w="3911"/>
          </w:cols>
          <w:pgMar w:left="320" w:top="701" w:right="339" w:bottom="1440" w:gutter="0" w:footer="0" w:header="0"/>
          <w:type w:val="continuous"/>
        </w:sectPr>
      </w:pPr>
    </w:p>
    <w:p>
      <w:pPr>
        <w:spacing w:after="0" w:line="2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 xml:space="preserve">PAYOUT: </w:t>
      </w:r>
      <w:r>
        <w:rPr>
          <w:rFonts w:ascii="Arial" w:cs="Arial" w:eastAsia="Arial" w:hAnsi="Arial"/>
          <w:sz w:val="18"/>
          <w:szCs w:val="18"/>
          <w:color w:val="auto"/>
        </w:rPr>
        <w:t>Our AIP provides for payout levels from 0% to 200% of target. The minimum, target and maximum performance levels are derived</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an analysis of the historical and forecasted performance of our Performance Peer Group (Pension-adjusted Net Income* Growth is based on projected market growth rates). Specific values are identified for each metric at selected points in the range between minimum and maximum and other values are determined by linear interpolation between these points. No payout is made if performance is below the minimum. Above-target payout can be earned only if the Company’s performance exceeds the performance threshold noted in the table on the following page. The maximum 200% payout is based upon approximate top quartile past performance of the Performance Peer Group. This structure rewards superior performance by aligning above-target payouts to outperforming our peer benchmarks and provides reduced awards for below target performance.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50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1240"/>
          </w:cols>
          <w:pgMar w:left="320" w:top="701" w:right="339" w:bottom="1440" w:gutter="0" w:footer="0" w:header="0"/>
          <w:type w:val="continuous"/>
        </w:sectPr>
      </w:pPr>
    </w:p>
    <w:bookmarkStart w:id="56" w:name="page57"/>
    <w:bookmarkEnd w:id="56"/>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5314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 xml:space="preserve">COMPENSATION DISCUSSION AND ANALYSIS | </w:t>
      </w:r>
      <w:r>
        <w:rPr>
          <w:rFonts w:ascii="Arial" w:cs="Arial" w:eastAsia="Arial" w:hAnsi="Arial"/>
          <w:sz w:val="17"/>
          <w:szCs w:val="17"/>
          <w:b w:val="1"/>
          <w:bCs w:val="1"/>
          <w:color w:val="FFFFFF"/>
        </w:rPr>
        <w:t>KEY COMPONENTS OF OUR PROGRAMS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As mentioned previously, the Committee monitored the impact of COVID-19 throughout the year, and taking into consideration the modest impacts to our operations and results, determined not to make any adjustments to the AIP framework or calculated outcome of performance and resulting payouts.</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determining the CPF, both financial and non-financial performance against goals are assessed. The 2020 Company financial performance for the four metrics shown in the table below was 143%. As approved by the Compensation Committee, Company performance calculations were adjusted, as applicable, to include proceeds from sale of equipment to a customer, and to exclude transaction-related expenses, Orbital ATK intangible asset amortization and property, plant and equipment (PP&amp;E) step-up depreciation expense as well as certain accounting impacts related to the Company's pension, and OPB plans.</w:t>
      </w:r>
    </w:p>
    <w:p>
      <w:pPr>
        <w:spacing w:after="0" w:line="23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Consistent with prior years, GAAP earnings were adjusted for the after-tax impact of the Company's FAS/CAS pension adjustment recorded during the year and MTM pension and OPB expense and related tax impacts recognized at the end of the year. As such, during 2020 we removed $1.3B from earnings related to our FAS/CAS pension adjustment and added back earnings of $0.8B associated with our MTM pension and OPB expense and related tax impacts. The adjustments allowed us to more effectively compare the Company's financial performance against our peers. Details are outlined in Appendix A - Use of Non-GAAP Financial Measures.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shd w:val="clear" w:color="auto" w:fill="00249C"/>
          </w:tcPr>
          <w:p>
            <w:pPr>
              <w:spacing w:after="0"/>
              <w:rPr>
                <w:sz w:val="16"/>
                <w:szCs w:val="16"/>
                <w:color w:val="auto"/>
              </w:rPr>
            </w:pPr>
          </w:p>
        </w:tc>
        <w:tc>
          <w:tcPr>
            <w:tcW w:w="1580" w:type="dxa"/>
            <w:vAlign w:val="bottom"/>
            <w:shd w:val="clear" w:color="auto" w:fill="00249C"/>
          </w:tcPr>
          <w:p>
            <w:pPr>
              <w:spacing w:after="0"/>
              <w:rPr>
                <w:sz w:val="16"/>
                <w:szCs w:val="16"/>
                <w:color w:val="auto"/>
              </w:rPr>
            </w:pPr>
          </w:p>
        </w:tc>
        <w:tc>
          <w:tcPr>
            <w:tcW w:w="1720" w:type="dxa"/>
            <w:vAlign w:val="bottom"/>
            <w:shd w:val="clear" w:color="auto" w:fill="00249C"/>
          </w:tcPr>
          <w:p>
            <w:pPr>
              <w:jc w:val="center"/>
              <w:ind w:left="59"/>
              <w:spacing w:after="0"/>
              <w:rPr>
                <w:sz w:val="20"/>
                <w:szCs w:val="20"/>
                <w:color w:val="auto"/>
              </w:rPr>
            </w:pPr>
            <w:r>
              <w:rPr>
                <w:rFonts w:ascii="Arial" w:cs="Arial" w:eastAsia="Arial" w:hAnsi="Arial"/>
                <w:sz w:val="16"/>
                <w:szCs w:val="16"/>
                <w:b w:val="1"/>
                <w:bCs w:val="1"/>
                <w:color w:val="FFFFFF"/>
              </w:rPr>
              <w:t>Performance to</w:t>
            </w:r>
          </w:p>
        </w:tc>
        <w:tc>
          <w:tcPr>
            <w:tcW w:w="1800" w:type="dxa"/>
            <w:vAlign w:val="bottom"/>
            <w:shd w:val="clear" w:color="auto" w:fill="00249C"/>
          </w:tcPr>
          <w:p>
            <w:pPr>
              <w:spacing w:after="0"/>
              <w:rPr>
                <w:sz w:val="16"/>
                <w:szCs w:val="16"/>
                <w:color w:val="auto"/>
              </w:rPr>
            </w:pPr>
          </w:p>
        </w:tc>
        <w:tc>
          <w:tcPr>
            <w:tcW w:w="1600" w:type="dxa"/>
            <w:vAlign w:val="bottom"/>
            <w:vMerge w:val="restart"/>
            <w:shd w:val="clear" w:color="auto" w:fill="00249C"/>
          </w:tcPr>
          <w:p>
            <w:pPr>
              <w:jc w:val="center"/>
              <w:spacing w:after="0"/>
              <w:rPr>
                <w:sz w:val="20"/>
                <w:szCs w:val="20"/>
                <w:color w:val="auto"/>
              </w:rPr>
            </w:pPr>
            <w:r>
              <w:rPr>
                <w:rFonts w:ascii="Arial" w:cs="Arial" w:eastAsia="Arial" w:hAnsi="Arial"/>
                <w:sz w:val="16"/>
                <w:szCs w:val="16"/>
                <w:b w:val="1"/>
                <w:bCs w:val="1"/>
                <w:color w:val="FFFFFF"/>
              </w:rPr>
              <w:t>2020 Financial</w:t>
            </w:r>
          </w:p>
        </w:tc>
        <w:tc>
          <w:tcPr>
            <w:tcW w:w="20" w:type="dxa"/>
            <w:vAlign w:val="bottom"/>
            <w:shd w:val="clear" w:color="auto" w:fill="00249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540" w:type="dxa"/>
            <w:vAlign w:val="bottom"/>
            <w:vMerge w:val="restart"/>
            <w:shd w:val="clear" w:color="auto" w:fill="00249C"/>
          </w:tcPr>
          <w:p>
            <w:pPr>
              <w:ind w:left="40"/>
              <w:spacing w:after="0"/>
              <w:rPr>
                <w:sz w:val="20"/>
                <w:szCs w:val="20"/>
                <w:color w:val="auto"/>
              </w:rPr>
            </w:pPr>
            <w:r>
              <w:rPr>
                <w:rFonts w:ascii="Arial" w:cs="Arial" w:eastAsia="Arial" w:hAnsi="Arial"/>
                <w:sz w:val="16"/>
                <w:szCs w:val="16"/>
                <w:b w:val="1"/>
                <w:bCs w:val="1"/>
                <w:color w:val="FFFFFF"/>
              </w:rPr>
              <w:t>Metric/Goal</w:t>
            </w:r>
          </w:p>
        </w:tc>
        <w:tc>
          <w:tcPr>
            <w:tcW w:w="1580" w:type="dxa"/>
            <w:vAlign w:val="bottom"/>
            <w:vMerge w:val="restart"/>
            <w:shd w:val="clear" w:color="auto" w:fill="00249C"/>
          </w:tcPr>
          <w:p>
            <w:pPr>
              <w:jc w:val="center"/>
              <w:ind w:left="39"/>
              <w:spacing w:after="0"/>
              <w:rPr>
                <w:sz w:val="20"/>
                <w:szCs w:val="20"/>
                <w:color w:val="auto"/>
              </w:rPr>
            </w:pPr>
            <w:r>
              <w:rPr>
                <w:rFonts w:ascii="Arial" w:cs="Arial" w:eastAsia="Arial" w:hAnsi="Arial"/>
                <w:sz w:val="16"/>
                <w:szCs w:val="16"/>
                <w:b w:val="1"/>
                <w:bCs w:val="1"/>
                <w:color w:val="FFFFFF"/>
              </w:rPr>
              <w:t>Weighting</w:t>
            </w:r>
          </w:p>
        </w:tc>
        <w:tc>
          <w:tcPr>
            <w:tcW w:w="1720" w:type="dxa"/>
            <w:vAlign w:val="bottom"/>
            <w:shd w:val="clear" w:color="auto" w:fill="00249C"/>
          </w:tcPr>
          <w:p>
            <w:pPr>
              <w:jc w:val="center"/>
              <w:ind w:left="59"/>
              <w:spacing w:after="0" w:line="162" w:lineRule="exact"/>
              <w:rPr>
                <w:sz w:val="20"/>
                <w:szCs w:val="20"/>
                <w:color w:val="auto"/>
              </w:rPr>
            </w:pPr>
            <w:r>
              <w:rPr>
                <w:rFonts w:ascii="Arial" w:cs="Arial" w:eastAsia="Arial" w:hAnsi="Arial"/>
                <w:sz w:val="16"/>
                <w:szCs w:val="16"/>
                <w:b w:val="1"/>
                <w:bCs w:val="1"/>
                <w:color w:val="FFFFFF"/>
                <w:w w:val="99"/>
              </w:rPr>
              <w:t>Achieve Target</w:t>
            </w:r>
          </w:p>
        </w:tc>
        <w:tc>
          <w:tcPr>
            <w:tcW w:w="1800" w:type="dxa"/>
            <w:vAlign w:val="bottom"/>
            <w:vMerge w:val="restart"/>
            <w:shd w:val="clear" w:color="auto" w:fill="00249C"/>
          </w:tcPr>
          <w:p>
            <w:pPr>
              <w:ind w:left="200"/>
              <w:spacing w:after="0"/>
              <w:rPr>
                <w:sz w:val="20"/>
                <w:szCs w:val="20"/>
                <w:color w:val="auto"/>
              </w:rPr>
            </w:pPr>
            <w:r>
              <w:rPr>
                <w:rFonts w:ascii="Arial" w:cs="Arial" w:eastAsia="Arial" w:hAnsi="Arial"/>
                <w:sz w:val="16"/>
                <w:szCs w:val="16"/>
                <w:b w:val="1"/>
                <w:bCs w:val="1"/>
                <w:color w:val="FFFFFF"/>
              </w:rPr>
              <w:t>2020 Performance</w:t>
            </w:r>
          </w:p>
        </w:tc>
        <w:tc>
          <w:tcPr>
            <w:tcW w:w="1600" w:type="dxa"/>
            <w:vAlign w:val="bottom"/>
            <w:vMerge w:val="continue"/>
            <w:shd w:val="clear" w:color="auto" w:fill="00249C"/>
          </w:tcPr>
          <w:p>
            <w:pPr>
              <w:spacing w:after="0"/>
              <w:rPr>
                <w:sz w:val="14"/>
                <w:szCs w:val="14"/>
                <w:color w:val="auto"/>
              </w:rPr>
            </w:pPr>
          </w:p>
        </w:tc>
        <w:tc>
          <w:tcPr>
            <w:tcW w:w="20" w:type="dxa"/>
            <w:vAlign w:val="bottom"/>
            <w:shd w:val="clear" w:color="auto" w:fill="00249C"/>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540" w:type="dxa"/>
            <w:vAlign w:val="bottom"/>
            <w:vMerge w:val="continue"/>
            <w:shd w:val="clear" w:color="auto" w:fill="00249C"/>
          </w:tcPr>
          <w:p>
            <w:pPr>
              <w:spacing w:after="0"/>
              <w:rPr>
                <w:sz w:val="19"/>
                <w:szCs w:val="19"/>
                <w:color w:val="auto"/>
              </w:rPr>
            </w:pPr>
          </w:p>
        </w:tc>
        <w:tc>
          <w:tcPr>
            <w:tcW w:w="1580" w:type="dxa"/>
            <w:vAlign w:val="bottom"/>
            <w:vMerge w:val="continue"/>
            <w:shd w:val="clear" w:color="auto" w:fill="00249C"/>
          </w:tcPr>
          <w:p>
            <w:pPr>
              <w:spacing w:after="0"/>
              <w:rPr>
                <w:sz w:val="19"/>
                <w:szCs w:val="19"/>
                <w:color w:val="auto"/>
              </w:rPr>
            </w:pPr>
          </w:p>
        </w:tc>
        <w:tc>
          <w:tcPr>
            <w:tcW w:w="1720" w:type="dxa"/>
            <w:vAlign w:val="bottom"/>
            <w:shd w:val="clear" w:color="auto" w:fill="00249C"/>
          </w:tcPr>
          <w:p>
            <w:pPr>
              <w:jc w:val="center"/>
              <w:ind w:left="59"/>
              <w:spacing w:after="0"/>
              <w:rPr>
                <w:sz w:val="20"/>
                <w:szCs w:val="20"/>
                <w:color w:val="auto"/>
              </w:rPr>
            </w:pPr>
            <w:r>
              <w:rPr>
                <w:rFonts w:ascii="Arial" w:cs="Arial" w:eastAsia="Arial" w:hAnsi="Arial"/>
                <w:sz w:val="16"/>
                <w:szCs w:val="16"/>
                <w:b w:val="1"/>
                <w:bCs w:val="1"/>
                <w:color w:val="FFFFFF"/>
              </w:rPr>
              <w:t>Payout</w:t>
            </w:r>
          </w:p>
        </w:tc>
        <w:tc>
          <w:tcPr>
            <w:tcW w:w="1800" w:type="dxa"/>
            <w:vAlign w:val="bottom"/>
            <w:vMerge w:val="continue"/>
            <w:shd w:val="clear" w:color="auto" w:fill="00249C"/>
          </w:tcPr>
          <w:p>
            <w:pPr>
              <w:spacing w:after="0"/>
              <w:rPr>
                <w:sz w:val="19"/>
                <w:szCs w:val="19"/>
                <w:color w:val="auto"/>
              </w:rPr>
            </w:pPr>
          </w:p>
        </w:tc>
        <w:tc>
          <w:tcPr>
            <w:tcW w:w="160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w w:val="98"/>
              </w:rPr>
              <w:t>Score</w:t>
            </w:r>
          </w:p>
        </w:tc>
        <w:tc>
          <w:tcPr>
            <w:tcW w:w="20" w:type="dxa"/>
            <w:vAlign w:val="bottom"/>
            <w:shd w:val="clear" w:color="auto" w:fill="00249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D4DB"/>
          </w:tcPr>
          <w:p>
            <w:pPr>
              <w:ind w:left="20"/>
              <w:spacing w:after="0"/>
              <w:rPr>
                <w:sz w:val="20"/>
                <w:szCs w:val="20"/>
                <w:color w:val="auto"/>
              </w:rPr>
            </w:pPr>
            <w:r>
              <w:rPr>
                <w:rFonts w:ascii="Arial" w:cs="Arial" w:eastAsia="Arial" w:hAnsi="Arial"/>
                <w:sz w:val="16"/>
                <w:szCs w:val="16"/>
                <w:color w:val="auto"/>
              </w:rPr>
              <w:t>Adjusted Cash Flow from Operations Conversion*</w:t>
            </w:r>
          </w:p>
        </w:tc>
        <w:tc>
          <w:tcPr>
            <w:tcW w:w="1580" w:type="dxa"/>
            <w:vAlign w:val="bottom"/>
            <w:shd w:val="clear" w:color="auto" w:fill="CCD4DB"/>
          </w:tcPr>
          <w:p>
            <w:pPr>
              <w:jc w:val="center"/>
              <w:ind w:left="19"/>
              <w:spacing w:after="0"/>
              <w:rPr>
                <w:sz w:val="20"/>
                <w:szCs w:val="20"/>
                <w:color w:val="auto"/>
              </w:rPr>
            </w:pPr>
            <w:r>
              <w:rPr>
                <w:rFonts w:ascii="Arial" w:cs="Arial" w:eastAsia="Arial" w:hAnsi="Arial"/>
                <w:sz w:val="16"/>
                <w:szCs w:val="16"/>
                <w:color w:val="auto"/>
                <w:w w:val="99"/>
              </w:rPr>
              <w:t>35%</w:t>
            </w:r>
          </w:p>
        </w:tc>
        <w:tc>
          <w:tcPr>
            <w:tcW w:w="1720" w:type="dxa"/>
            <w:vAlign w:val="bottom"/>
            <w:shd w:val="clear" w:color="auto" w:fill="CCD4DB"/>
          </w:tcPr>
          <w:p>
            <w:pPr>
              <w:jc w:val="center"/>
              <w:ind w:left="59"/>
              <w:spacing w:after="0"/>
              <w:rPr>
                <w:sz w:val="20"/>
                <w:szCs w:val="20"/>
                <w:color w:val="auto"/>
              </w:rPr>
            </w:pPr>
            <w:r>
              <w:rPr>
                <w:rFonts w:ascii="Arial" w:cs="Arial" w:eastAsia="Arial" w:hAnsi="Arial"/>
                <w:sz w:val="16"/>
                <w:szCs w:val="16"/>
                <w:color w:val="auto"/>
              </w:rPr>
              <w:t>72.0%</w:t>
            </w:r>
          </w:p>
        </w:tc>
        <w:tc>
          <w:tcPr>
            <w:tcW w:w="180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81.3%</w:t>
            </w:r>
          </w:p>
        </w:tc>
        <w:tc>
          <w:tcPr>
            <w:tcW w:w="1600" w:type="dxa"/>
            <w:vAlign w:val="bottom"/>
            <w:shd w:val="clear" w:color="auto" w:fill="CCD4DB"/>
          </w:tcPr>
          <w:p>
            <w:pPr>
              <w:jc w:val="center"/>
              <w:spacing w:after="0"/>
              <w:rPr>
                <w:sz w:val="20"/>
                <w:szCs w:val="20"/>
                <w:color w:val="auto"/>
              </w:rPr>
            </w:pPr>
            <w:r>
              <w:rPr>
                <w:rFonts w:ascii="Arial" w:cs="Arial" w:eastAsia="Arial" w:hAnsi="Arial"/>
                <w:sz w:val="16"/>
                <w:szCs w:val="16"/>
                <w:color w:val="auto"/>
                <w:w w:val="99"/>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Arial" w:cs="Arial" w:eastAsia="Arial" w:hAnsi="Arial"/>
                <w:sz w:val="16"/>
                <w:szCs w:val="16"/>
                <w:color w:val="auto"/>
              </w:rPr>
              <w:t>Segment Operating Income* Growth</w:t>
            </w:r>
          </w:p>
        </w:tc>
        <w:tc>
          <w:tcPr>
            <w:tcW w:w="1580" w:type="dxa"/>
            <w:vAlign w:val="bottom"/>
          </w:tcPr>
          <w:p>
            <w:pPr>
              <w:jc w:val="center"/>
              <w:ind w:left="19"/>
              <w:spacing w:after="0"/>
              <w:rPr>
                <w:sz w:val="20"/>
                <w:szCs w:val="20"/>
                <w:color w:val="auto"/>
              </w:rPr>
            </w:pPr>
            <w:r>
              <w:rPr>
                <w:rFonts w:ascii="Arial" w:cs="Arial" w:eastAsia="Arial" w:hAnsi="Arial"/>
                <w:sz w:val="16"/>
                <w:szCs w:val="16"/>
                <w:color w:val="auto"/>
                <w:w w:val="99"/>
              </w:rPr>
              <w:t>35%</w:t>
            </w:r>
          </w:p>
        </w:tc>
        <w:tc>
          <w:tcPr>
            <w:tcW w:w="1720" w:type="dxa"/>
            <w:vAlign w:val="bottom"/>
          </w:tcPr>
          <w:p>
            <w:pPr>
              <w:jc w:val="center"/>
              <w:ind w:left="59"/>
              <w:spacing w:after="0"/>
              <w:rPr>
                <w:sz w:val="20"/>
                <w:szCs w:val="20"/>
                <w:color w:val="auto"/>
              </w:rPr>
            </w:pPr>
            <w:r>
              <w:rPr>
                <w:rFonts w:ascii="Arial" w:cs="Arial" w:eastAsia="Arial" w:hAnsi="Arial"/>
                <w:sz w:val="16"/>
                <w:szCs w:val="16"/>
                <w:color w:val="auto"/>
              </w:rPr>
              <w:t>$4.2B</w:t>
            </w:r>
          </w:p>
        </w:tc>
        <w:tc>
          <w:tcPr>
            <w:tcW w:w="1800" w:type="dxa"/>
            <w:vAlign w:val="bottom"/>
          </w:tcPr>
          <w:p>
            <w:pPr>
              <w:jc w:val="center"/>
              <w:spacing w:after="0"/>
              <w:rPr>
                <w:sz w:val="20"/>
                <w:szCs w:val="20"/>
                <w:color w:val="auto"/>
              </w:rPr>
            </w:pPr>
            <w:r>
              <w:rPr>
                <w:rFonts w:ascii="Arial" w:cs="Arial" w:eastAsia="Arial" w:hAnsi="Arial"/>
                <w:sz w:val="16"/>
                <w:szCs w:val="16"/>
                <w:color w:val="auto"/>
              </w:rPr>
              <w:t>$4.2B</w:t>
            </w:r>
          </w:p>
        </w:tc>
        <w:tc>
          <w:tcPr>
            <w:tcW w:w="1600" w:type="dxa"/>
            <w:vAlign w:val="bottom"/>
          </w:tcPr>
          <w:p>
            <w:pPr>
              <w:jc w:val="center"/>
              <w:spacing w:after="0"/>
              <w:rPr>
                <w:sz w:val="20"/>
                <w:szCs w:val="20"/>
                <w:color w:val="auto"/>
              </w:rPr>
            </w:pPr>
            <w:r>
              <w:rPr>
                <w:rFonts w:ascii="Arial" w:cs="Arial" w:eastAsia="Arial" w:hAnsi="Arial"/>
                <w:sz w:val="16"/>
                <w:szCs w:val="16"/>
                <w:color w:val="auto"/>
                <w:w w:val="99"/>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40" w:type="dxa"/>
            <w:vAlign w:val="bottom"/>
            <w:shd w:val="clear" w:color="auto" w:fill="CCD4DB"/>
          </w:tcPr>
          <w:p>
            <w:pPr>
              <w:ind w:left="20"/>
              <w:spacing w:after="0"/>
              <w:rPr>
                <w:sz w:val="20"/>
                <w:szCs w:val="20"/>
                <w:color w:val="auto"/>
              </w:rPr>
            </w:pPr>
            <w:r>
              <w:rPr>
                <w:rFonts w:ascii="Arial" w:cs="Arial" w:eastAsia="Arial" w:hAnsi="Arial"/>
                <w:sz w:val="16"/>
                <w:szCs w:val="16"/>
                <w:color w:val="auto"/>
              </w:rPr>
              <w:t>Pension-adjusted Net Income* Growth</w:t>
            </w:r>
          </w:p>
        </w:tc>
        <w:tc>
          <w:tcPr>
            <w:tcW w:w="1580" w:type="dxa"/>
            <w:vAlign w:val="bottom"/>
            <w:shd w:val="clear" w:color="auto" w:fill="CCD4DB"/>
          </w:tcPr>
          <w:p>
            <w:pPr>
              <w:jc w:val="center"/>
              <w:ind w:left="19"/>
              <w:spacing w:after="0"/>
              <w:rPr>
                <w:sz w:val="20"/>
                <w:szCs w:val="20"/>
                <w:color w:val="auto"/>
              </w:rPr>
            </w:pPr>
            <w:r>
              <w:rPr>
                <w:rFonts w:ascii="Arial" w:cs="Arial" w:eastAsia="Arial" w:hAnsi="Arial"/>
                <w:sz w:val="16"/>
                <w:szCs w:val="16"/>
                <w:color w:val="auto"/>
                <w:w w:val="99"/>
              </w:rPr>
              <w:t>15%</w:t>
            </w:r>
          </w:p>
        </w:tc>
        <w:tc>
          <w:tcPr>
            <w:tcW w:w="1720" w:type="dxa"/>
            <w:vAlign w:val="bottom"/>
            <w:shd w:val="clear" w:color="auto" w:fill="CCD4DB"/>
          </w:tcPr>
          <w:p>
            <w:pPr>
              <w:jc w:val="center"/>
              <w:ind w:left="59"/>
              <w:spacing w:after="0"/>
              <w:rPr>
                <w:sz w:val="20"/>
                <w:szCs w:val="20"/>
                <w:color w:val="auto"/>
              </w:rPr>
            </w:pPr>
            <w:r>
              <w:rPr>
                <w:rFonts w:ascii="Arial" w:cs="Arial" w:eastAsia="Arial" w:hAnsi="Arial"/>
                <w:sz w:val="16"/>
                <w:szCs w:val="16"/>
                <w:color w:val="auto"/>
              </w:rPr>
              <w:t>$2.8B</w:t>
            </w:r>
          </w:p>
        </w:tc>
        <w:tc>
          <w:tcPr>
            <w:tcW w:w="180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$3.0B</w:t>
            </w:r>
          </w:p>
        </w:tc>
        <w:tc>
          <w:tcPr>
            <w:tcW w:w="1600" w:type="dxa"/>
            <w:vAlign w:val="bottom"/>
            <w:shd w:val="clear" w:color="auto" w:fill="CCD4DB"/>
          </w:tcPr>
          <w:p>
            <w:pPr>
              <w:jc w:val="center"/>
              <w:spacing w:after="0"/>
              <w:rPr>
                <w:sz w:val="20"/>
                <w:szCs w:val="20"/>
                <w:color w:val="auto"/>
              </w:rPr>
            </w:pPr>
            <w:r>
              <w:rPr>
                <w:rFonts w:ascii="Arial" w:cs="Arial" w:eastAsia="Arial" w:hAnsi="Arial"/>
                <w:sz w:val="16"/>
                <w:szCs w:val="16"/>
                <w:color w:val="auto"/>
                <w:w w:val="99"/>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40" w:type="dxa"/>
            <w:vAlign w:val="bottom"/>
            <w:tcBorders>
              <w:bottom w:val="single" w:sz="8" w:color="00249C"/>
            </w:tcBorders>
          </w:tcPr>
          <w:p>
            <w:pPr>
              <w:ind w:left="20"/>
              <w:spacing w:after="0"/>
              <w:rPr>
                <w:sz w:val="20"/>
                <w:szCs w:val="20"/>
                <w:color w:val="auto"/>
              </w:rPr>
            </w:pPr>
            <w:r>
              <w:rPr>
                <w:rFonts w:ascii="Arial" w:cs="Arial" w:eastAsia="Arial" w:hAnsi="Arial"/>
                <w:sz w:val="16"/>
                <w:szCs w:val="16"/>
                <w:color w:val="auto"/>
              </w:rPr>
              <w:t>Pension-adjusted OM Rate*</w:t>
            </w:r>
          </w:p>
        </w:tc>
        <w:tc>
          <w:tcPr>
            <w:tcW w:w="1580" w:type="dxa"/>
            <w:vAlign w:val="bottom"/>
            <w:tcBorders>
              <w:bottom w:val="single" w:sz="8" w:color="00249C"/>
            </w:tcBorders>
          </w:tcPr>
          <w:p>
            <w:pPr>
              <w:jc w:val="center"/>
              <w:ind w:left="19"/>
              <w:spacing w:after="0"/>
              <w:rPr>
                <w:sz w:val="20"/>
                <w:szCs w:val="20"/>
                <w:color w:val="auto"/>
              </w:rPr>
            </w:pPr>
            <w:r>
              <w:rPr>
                <w:rFonts w:ascii="Arial" w:cs="Arial" w:eastAsia="Arial" w:hAnsi="Arial"/>
                <w:sz w:val="16"/>
                <w:szCs w:val="16"/>
                <w:color w:val="auto"/>
                <w:w w:val="99"/>
              </w:rPr>
              <w:t>15%</w:t>
            </w:r>
          </w:p>
        </w:tc>
        <w:tc>
          <w:tcPr>
            <w:tcW w:w="1720" w:type="dxa"/>
            <w:vAlign w:val="bottom"/>
            <w:tcBorders>
              <w:bottom w:val="single" w:sz="8" w:color="00249C"/>
            </w:tcBorders>
          </w:tcPr>
          <w:p>
            <w:pPr>
              <w:jc w:val="center"/>
              <w:ind w:left="59"/>
              <w:spacing w:after="0"/>
              <w:rPr>
                <w:sz w:val="20"/>
                <w:szCs w:val="20"/>
                <w:color w:val="auto"/>
              </w:rPr>
            </w:pPr>
            <w:r>
              <w:rPr>
                <w:rFonts w:ascii="Arial" w:cs="Arial" w:eastAsia="Arial" w:hAnsi="Arial"/>
                <w:sz w:val="16"/>
                <w:szCs w:val="16"/>
                <w:color w:val="auto"/>
              </w:rPr>
              <w:t>11.1%</w:t>
            </w:r>
          </w:p>
        </w:tc>
        <w:tc>
          <w:tcPr>
            <w:tcW w:w="1800" w:type="dxa"/>
            <w:vAlign w:val="bottom"/>
            <w:tcBorders>
              <w:bottom w:val="single" w:sz="8" w:color="00249C"/>
            </w:tcBorders>
          </w:tcPr>
          <w:p>
            <w:pPr>
              <w:jc w:val="center"/>
              <w:spacing w:after="0"/>
              <w:rPr>
                <w:sz w:val="20"/>
                <w:szCs w:val="20"/>
                <w:color w:val="auto"/>
              </w:rPr>
            </w:pPr>
            <w:r>
              <w:rPr>
                <w:rFonts w:ascii="Arial" w:cs="Arial" w:eastAsia="Arial" w:hAnsi="Arial"/>
                <w:sz w:val="16"/>
                <w:szCs w:val="16"/>
                <w:color w:val="auto"/>
              </w:rPr>
              <w:t>10.7%</w:t>
            </w:r>
          </w:p>
        </w:tc>
        <w:tc>
          <w:tcPr>
            <w:tcW w:w="1600" w:type="dxa"/>
            <w:vAlign w:val="bottom"/>
            <w:tcBorders>
              <w:bottom w:val="single" w:sz="8" w:color="00249C"/>
            </w:tcBorders>
          </w:tcPr>
          <w:p>
            <w:pPr>
              <w:jc w:val="center"/>
              <w:spacing w:after="0"/>
              <w:rPr>
                <w:sz w:val="20"/>
                <w:szCs w:val="20"/>
                <w:color w:val="auto"/>
              </w:rPr>
            </w:pPr>
            <w:r>
              <w:rPr>
                <w:rFonts w:ascii="Arial" w:cs="Arial" w:eastAsia="Arial" w:hAnsi="Arial"/>
                <w:sz w:val="16"/>
                <w:szCs w:val="16"/>
                <w:color w:val="auto"/>
                <w:w w:val="99"/>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 This metric is a non-GAAP financial measure. For more information, see "Appendix A - Use of Non-GAAP Financial Measures."</w:t>
      </w:r>
    </w:p>
    <w:p>
      <w:pPr>
        <w:spacing w:after="0" w:line="11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Performance against the annual non-financial metrics cannot exceed 100% and can result only in a downward adjustment to the financial performance score. The Company demonstrated strong performance in 2020 overall against the non-financial goals, and the Compensation Committee approved a non-financial score of 100%. In consideration of both the financial and non-financial performance, the 2020 Company Performance Factor was determined to be 143%.</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Decisions for 2020</w:t>
      </w:r>
    </w:p>
    <w:p>
      <w:pPr>
        <w:spacing w:after="0" w:line="12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February 2021, the Compensation Committee recommended, and the independent members of our Board approved, a 2020 annual incentive award of $ 3,977,000 for the CEO, Ms. Warden. Based on the CPF, Ms. Warden recommended, and the Compensation Committee approved, the other NEOs' annual incentive awards.</w:t>
      </w:r>
    </w:p>
    <w:p>
      <w:pPr>
        <w:spacing w:after="0" w:line="100" w:lineRule="exact"/>
        <w:rPr>
          <w:sz w:val="20"/>
          <w:szCs w:val="20"/>
          <w:color w:val="auto"/>
        </w:rPr>
      </w:pPr>
    </w:p>
    <w:tbl>
      <w:tblPr>
        <w:tblLayout w:type="fixed"/>
        <w:tblInd w:w="780" w:type="dxa"/>
        <w:tblCellMar>
          <w:top w:w="0" w:type="dxa"/>
          <w:left w:w="0" w:type="dxa"/>
          <w:bottom w:w="0" w:type="dxa"/>
          <w:right w:w="0" w:type="dxa"/>
        </w:tblCellMar>
      </w:tblPr>
      <w:tr>
        <w:trPr>
          <w:trHeight w:val="184"/>
        </w:trPr>
        <w:tc>
          <w:tcPr>
            <w:tcW w:w="2220" w:type="dxa"/>
            <w:vAlign w:val="bottom"/>
            <w:vMerge w:val="restart"/>
            <w:shd w:val="clear" w:color="auto" w:fill="00249C"/>
          </w:tcPr>
          <w:p>
            <w:pPr>
              <w:ind w:left="20"/>
              <w:spacing w:after="0"/>
              <w:rPr>
                <w:sz w:val="20"/>
                <w:szCs w:val="20"/>
                <w:color w:val="auto"/>
              </w:rPr>
            </w:pPr>
            <w:r>
              <w:rPr>
                <w:rFonts w:ascii="Arial" w:cs="Arial" w:eastAsia="Arial" w:hAnsi="Arial"/>
                <w:sz w:val="16"/>
                <w:szCs w:val="16"/>
                <w:b w:val="1"/>
                <w:bCs w:val="1"/>
                <w:color w:val="FFFFFF"/>
              </w:rPr>
              <w:t>Name</w:t>
            </w:r>
          </w:p>
        </w:tc>
        <w:tc>
          <w:tcPr>
            <w:tcW w:w="1840" w:type="dxa"/>
            <w:vAlign w:val="bottom"/>
            <w:shd w:val="clear" w:color="auto" w:fill="00249C"/>
          </w:tcPr>
          <w:p>
            <w:pPr>
              <w:jc w:val="center"/>
              <w:ind w:left="59"/>
              <w:spacing w:after="0"/>
              <w:rPr>
                <w:sz w:val="20"/>
                <w:szCs w:val="20"/>
                <w:color w:val="auto"/>
              </w:rPr>
            </w:pPr>
            <w:r>
              <w:rPr>
                <w:rFonts w:ascii="Arial" w:cs="Arial" w:eastAsia="Arial" w:hAnsi="Arial"/>
                <w:sz w:val="16"/>
                <w:szCs w:val="16"/>
                <w:b w:val="1"/>
                <w:bCs w:val="1"/>
                <w:color w:val="FFFFFF"/>
                <w:w w:val="99"/>
              </w:rPr>
              <w:t>AIP Target % of</w:t>
            </w:r>
          </w:p>
        </w:tc>
        <w:tc>
          <w:tcPr>
            <w:tcW w:w="1960" w:type="dxa"/>
            <w:vAlign w:val="bottom"/>
            <w:vMerge w:val="restart"/>
            <w:shd w:val="clear" w:color="auto" w:fill="00249C"/>
          </w:tcPr>
          <w:p>
            <w:pPr>
              <w:jc w:val="center"/>
              <w:ind w:left="19"/>
              <w:spacing w:after="0"/>
              <w:rPr>
                <w:sz w:val="20"/>
                <w:szCs w:val="20"/>
                <w:color w:val="auto"/>
              </w:rPr>
            </w:pPr>
            <w:r>
              <w:rPr>
                <w:rFonts w:ascii="Arial" w:cs="Arial" w:eastAsia="Arial" w:hAnsi="Arial"/>
                <w:sz w:val="16"/>
                <w:szCs w:val="16"/>
                <w:b w:val="1"/>
                <w:bCs w:val="1"/>
                <w:color w:val="FFFFFF"/>
              </w:rPr>
              <w:t>AIP Payout Range %</w:t>
            </w:r>
          </w:p>
        </w:tc>
        <w:tc>
          <w:tcPr>
            <w:tcW w:w="1940" w:type="dxa"/>
            <w:vAlign w:val="bottom"/>
            <w:vMerge w:val="restart"/>
            <w:shd w:val="clear" w:color="auto" w:fill="00249C"/>
          </w:tcPr>
          <w:p>
            <w:pPr>
              <w:jc w:val="center"/>
              <w:spacing w:after="0"/>
              <w:rPr>
                <w:sz w:val="20"/>
                <w:szCs w:val="20"/>
                <w:color w:val="auto"/>
              </w:rPr>
            </w:pPr>
            <w:r>
              <w:rPr>
                <w:rFonts w:ascii="Arial" w:cs="Arial" w:eastAsia="Arial" w:hAnsi="Arial"/>
                <w:sz w:val="16"/>
                <w:szCs w:val="16"/>
                <w:b w:val="1"/>
                <w:bCs w:val="1"/>
                <w:color w:val="FFFFFF"/>
              </w:rPr>
              <w:t>Performance Payout</w:t>
            </w:r>
          </w:p>
        </w:tc>
        <w:tc>
          <w:tcPr>
            <w:tcW w:w="1740" w:type="dxa"/>
            <w:vAlign w:val="bottom"/>
            <w:vMerge w:val="restart"/>
            <w:shd w:val="clear" w:color="auto" w:fill="00249C"/>
          </w:tcPr>
          <w:p>
            <w:pPr>
              <w:ind w:left="240"/>
              <w:spacing w:after="0"/>
              <w:rPr>
                <w:sz w:val="20"/>
                <w:szCs w:val="20"/>
                <w:color w:val="auto"/>
              </w:rPr>
            </w:pPr>
            <w:r>
              <w:rPr>
                <w:rFonts w:ascii="Arial" w:cs="Arial" w:eastAsia="Arial" w:hAnsi="Arial"/>
                <w:sz w:val="16"/>
                <w:szCs w:val="16"/>
                <w:b w:val="1"/>
                <w:bCs w:val="1"/>
                <w:color w:val="FFFFFF"/>
              </w:rPr>
              <w:t xml:space="preserve">Actual Payout </w:t>
            </w:r>
            <w:r>
              <w:rPr>
                <w:rFonts w:ascii="Arial" w:cs="Arial" w:eastAsia="Arial" w:hAnsi="Arial"/>
                <w:sz w:val="21"/>
                <w:szCs w:val="21"/>
                <w:b w:val="1"/>
                <w:bCs w:val="1"/>
                <w:color w:val="FFFFFF"/>
                <w:vertAlign w:val="superscript"/>
              </w:rPr>
              <w:t>(1)</w:t>
            </w:r>
          </w:p>
        </w:tc>
        <w:tc>
          <w:tcPr>
            <w:tcW w:w="20" w:type="dxa"/>
            <w:vAlign w:val="bottom"/>
            <w:shd w:val="clear" w:color="auto" w:fill="00249C"/>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220" w:type="dxa"/>
            <w:vAlign w:val="bottom"/>
            <w:vMerge w:val="continue"/>
            <w:shd w:val="clear" w:color="auto" w:fill="00249C"/>
          </w:tcPr>
          <w:p>
            <w:pPr>
              <w:spacing w:after="0"/>
              <w:rPr>
                <w:sz w:val="19"/>
                <w:szCs w:val="19"/>
                <w:color w:val="auto"/>
              </w:rPr>
            </w:pPr>
          </w:p>
        </w:tc>
        <w:tc>
          <w:tcPr>
            <w:tcW w:w="1840" w:type="dxa"/>
            <w:vAlign w:val="bottom"/>
            <w:shd w:val="clear" w:color="auto" w:fill="00249C"/>
          </w:tcPr>
          <w:p>
            <w:pPr>
              <w:jc w:val="center"/>
              <w:ind w:left="79"/>
              <w:spacing w:after="0"/>
              <w:rPr>
                <w:sz w:val="20"/>
                <w:szCs w:val="20"/>
                <w:color w:val="auto"/>
              </w:rPr>
            </w:pPr>
            <w:r>
              <w:rPr>
                <w:rFonts w:ascii="Arial" w:cs="Arial" w:eastAsia="Arial" w:hAnsi="Arial"/>
                <w:sz w:val="16"/>
                <w:szCs w:val="16"/>
                <w:b w:val="1"/>
                <w:bCs w:val="1"/>
                <w:color w:val="FFFFFF"/>
                <w:w w:val="99"/>
              </w:rPr>
              <w:t>Salary</w:t>
            </w:r>
          </w:p>
        </w:tc>
        <w:tc>
          <w:tcPr>
            <w:tcW w:w="1960" w:type="dxa"/>
            <w:vAlign w:val="bottom"/>
            <w:vMerge w:val="continue"/>
            <w:shd w:val="clear" w:color="auto" w:fill="00249C"/>
          </w:tcPr>
          <w:p>
            <w:pPr>
              <w:spacing w:after="0"/>
              <w:rPr>
                <w:sz w:val="19"/>
                <w:szCs w:val="19"/>
                <w:color w:val="auto"/>
              </w:rPr>
            </w:pPr>
          </w:p>
        </w:tc>
        <w:tc>
          <w:tcPr>
            <w:tcW w:w="1940" w:type="dxa"/>
            <w:vAlign w:val="bottom"/>
            <w:vMerge w:val="continue"/>
            <w:shd w:val="clear" w:color="auto" w:fill="00249C"/>
          </w:tcPr>
          <w:p>
            <w:pPr>
              <w:spacing w:after="0"/>
              <w:rPr>
                <w:sz w:val="19"/>
                <w:szCs w:val="19"/>
                <w:color w:val="auto"/>
              </w:rPr>
            </w:pPr>
          </w:p>
        </w:tc>
        <w:tc>
          <w:tcPr>
            <w:tcW w:w="1740" w:type="dxa"/>
            <w:vAlign w:val="bottom"/>
            <w:vMerge w:val="continue"/>
            <w:shd w:val="clear" w:color="auto" w:fill="00249C"/>
          </w:tcPr>
          <w:p>
            <w:pPr>
              <w:spacing w:after="0"/>
              <w:rPr>
                <w:sz w:val="19"/>
                <w:szCs w:val="19"/>
                <w:color w:val="auto"/>
              </w:rPr>
            </w:pPr>
          </w:p>
        </w:tc>
        <w:tc>
          <w:tcPr>
            <w:tcW w:w="20" w:type="dxa"/>
            <w:vAlign w:val="bottom"/>
            <w:shd w:val="clear" w:color="auto" w:fill="00249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D4DB"/>
          </w:tcPr>
          <w:p>
            <w:pPr>
              <w:spacing w:after="0"/>
              <w:rPr>
                <w:sz w:val="20"/>
                <w:szCs w:val="20"/>
                <w:color w:val="auto"/>
              </w:rPr>
            </w:pPr>
            <w:r>
              <w:rPr>
                <w:rFonts w:ascii="Arial" w:cs="Arial" w:eastAsia="Arial" w:hAnsi="Arial"/>
                <w:sz w:val="16"/>
                <w:szCs w:val="16"/>
                <w:color w:val="auto"/>
              </w:rPr>
              <w:t>Kathy J. Warden</w:t>
            </w:r>
          </w:p>
        </w:tc>
        <w:tc>
          <w:tcPr>
            <w:tcW w:w="1840" w:type="dxa"/>
            <w:vAlign w:val="bottom"/>
            <w:shd w:val="clear" w:color="auto" w:fill="CCD4DB"/>
          </w:tcPr>
          <w:p>
            <w:pPr>
              <w:jc w:val="center"/>
              <w:ind w:left="79"/>
              <w:spacing w:after="0"/>
              <w:rPr>
                <w:sz w:val="20"/>
                <w:szCs w:val="20"/>
                <w:color w:val="auto"/>
              </w:rPr>
            </w:pPr>
            <w:r>
              <w:rPr>
                <w:rFonts w:ascii="Arial" w:cs="Arial" w:eastAsia="Arial" w:hAnsi="Arial"/>
                <w:sz w:val="16"/>
                <w:szCs w:val="16"/>
                <w:color w:val="auto"/>
                <w:w w:val="97"/>
              </w:rPr>
              <w:t>180%</w:t>
            </w:r>
          </w:p>
        </w:tc>
        <w:tc>
          <w:tcPr>
            <w:tcW w:w="1960" w:type="dxa"/>
            <w:vAlign w:val="bottom"/>
            <w:shd w:val="clear" w:color="auto" w:fill="CCD4DB"/>
          </w:tcPr>
          <w:p>
            <w:pPr>
              <w:jc w:val="center"/>
              <w:ind w:left="39"/>
              <w:spacing w:after="0"/>
              <w:rPr>
                <w:sz w:val="20"/>
                <w:szCs w:val="20"/>
                <w:color w:val="auto"/>
              </w:rPr>
            </w:pPr>
            <w:r>
              <w:rPr>
                <w:rFonts w:ascii="Arial" w:cs="Arial" w:eastAsia="Arial" w:hAnsi="Arial"/>
                <w:sz w:val="16"/>
                <w:szCs w:val="16"/>
                <w:color w:val="auto"/>
              </w:rPr>
              <w:t>0% - 200%</w:t>
            </w:r>
          </w:p>
        </w:tc>
        <w:tc>
          <w:tcPr>
            <w:tcW w:w="194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143%</w:t>
            </w:r>
          </w:p>
        </w:tc>
        <w:tc>
          <w:tcPr>
            <w:tcW w:w="1740" w:type="dxa"/>
            <w:vAlign w:val="bottom"/>
            <w:shd w:val="clear" w:color="auto" w:fill="CCD4DB"/>
          </w:tcPr>
          <w:p>
            <w:pPr>
              <w:jc w:val="center"/>
              <w:spacing w:after="0"/>
              <w:rPr>
                <w:sz w:val="20"/>
                <w:szCs w:val="20"/>
                <w:color w:val="auto"/>
              </w:rPr>
            </w:pPr>
            <w:r>
              <w:rPr>
                <w:rFonts w:ascii="Arial" w:cs="Arial" w:eastAsia="Arial" w:hAnsi="Arial"/>
                <w:sz w:val="16"/>
                <w:szCs w:val="16"/>
                <w:color w:val="auto"/>
                <w:w w:val="99"/>
              </w:rPr>
              <w:t>$3,977,000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20" w:type="dxa"/>
            <w:vAlign w:val="bottom"/>
          </w:tcPr>
          <w:p>
            <w:pPr>
              <w:spacing w:after="0"/>
              <w:rPr>
                <w:sz w:val="20"/>
                <w:szCs w:val="20"/>
                <w:color w:val="auto"/>
              </w:rPr>
            </w:pPr>
            <w:r>
              <w:rPr>
                <w:rFonts w:ascii="Arial" w:cs="Arial" w:eastAsia="Arial" w:hAnsi="Arial"/>
                <w:sz w:val="16"/>
                <w:szCs w:val="16"/>
                <w:color w:val="auto"/>
              </w:rPr>
              <w:t>David F. Keffer</w:t>
            </w:r>
          </w:p>
        </w:tc>
        <w:tc>
          <w:tcPr>
            <w:tcW w:w="1840" w:type="dxa"/>
            <w:vAlign w:val="bottom"/>
          </w:tcPr>
          <w:p>
            <w:pPr>
              <w:jc w:val="center"/>
              <w:ind w:left="79"/>
              <w:spacing w:after="0"/>
              <w:rPr>
                <w:sz w:val="20"/>
                <w:szCs w:val="20"/>
                <w:color w:val="auto"/>
              </w:rPr>
            </w:pPr>
            <w:r>
              <w:rPr>
                <w:rFonts w:ascii="Arial" w:cs="Arial" w:eastAsia="Arial" w:hAnsi="Arial"/>
                <w:sz w:val="16"/>
                <w:szCs w:val="16"/>
                <w:color w:val="auto"/>
                <w:w w:val="97"/>
              </w:rPr>
              <w:t>100%</w:t>
            </w:r>
          </w:p>
        </w:tc>
        <w:tc>
          <w:tcPr>
            <w:tcW w:w="1960" w:type="dxa"/>
            <w:vAlign w:val="bottom"/>
          </w:tcPr>
          <w:p>
            <w:pPr>
              <w:jc w:val="center"/>
              <w:ind w:left="39"/>
              <w:spacing w:after="0"/>
              <w:rPr>
                <w:sz w:val="20"/>
                <w:szCs w:val="20"/>
                <w:color w:val="auto"/>
              </w:rPr>
            </w:pPr>
            <w:r>
              <w:rPr>
                <w:rFonts w:ascii="Arial" w:cs="Arial" w:eastAsia="Arial" w:hAnsi="Arial"/>
                <w:sz w:val="16"/>
                <w:szCs w:val="16"/>
                <w:color w:val="auto"/>
              </w:rPr>
              <w:t>0% - 200%</w:t>
            </w:r>
          </w:p>
        </w:tc>
        <w:tc>
          <w:tcPr>
            <w:tcW w:w="1940" w:type="dxa"/>
            <w:vAlign w:val="bottom"/>
          </w:tcPr>
          <w:p>
            <w:pPr>
              <w:jc w:val="center"/>
              <w:spacing w:after="0"/>
              <w:rPr>
                <w:sz w:val="20"/>
                <w:szCs w:val="20"/>
                <w:color w:val="auto"/>
              </w:rPr>
            </w:pPr>
            <w:r>
              <w:rPr>
                <w:rFonts w:ascii="Arial" w:cs="Arial" w:eastAsia="Arial" w:hAnsi="Arial"/>
                <w:sz w:val="16"/>
                <w:szCs w:val="16"/>
                <w:color w:val="auto"/>
              </w:rPr>
              <w:t>143%</w:t>
            </w:r>
          </w:p>
        </w:tc>
        <w:tc>
          <w:tcPr>
            <w:tcW w:w="1740" w:type="dxa"/>
            <w:vAlign w:val="bottom"/>
          </w:tcPr>
          <w:p>
            <w:pPr>
              <w:jc w:val="center"/>
              <w:spacing w:after="0"/>
              <w:rPr>
                <w:sz w:val="20"/>
                <w:szCs w:val="20"/>
                <w:color w:val="auto"/>
              </w:rPr>
            </w:pPr>
            <w:r>
              <w:rPr>
                <w:rFonts w:ascii="Arial" w:cs="Arial" w:eastAsia="Arial" w:hAnsi="Arial"/>
                <w:sz w:val="16"/>
                <w:szCs w:val="16"/>
                <w:color w:val="auto"/>
              </w:rPr>
              <w:t>$928,000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20" w:type="dxa"/>
            <w:vAlign w:val="bottom"/>
            <w:shd w:val="clear" w:color="auto" w:fill="CCD4DB"/>
          </w:tcPr>
          <w:p>
            <w:pPr>
              <w:spacing w:after="0"/>
              <w:rPr>
                <w:sz w:val="20"/>
                <w:szCs w:val="20"/>
                <w:color w:val="auto"/>
              </w:rPr>
            </w:pPr>
            <w:r>
              <w:rPr>
                <w:rFonts w:ascii="Arial" w:cs="Arial" w:eastAsia="Arial" w:hAnsi="Arial"/>
                <w:sz w:val="16"/>
                <w:szCs w:val="16"/>
                <w:color w:val="auto"/>
              </w:rPr>
              <w:t>Mark A. Caylor</w:t>
            </w:r>
          </w:p>
        </w:tc>
        <w:tc>
          <w:tcPr>
            <w:tcW w:w="1840" w:type="dxa"/>
            <w:vAlign w:val="bottom"/>
            <w:shd w:val="clear" w:color="auto" w:fill="CCD4DB"/>
          </w:tcPr>
          <w:p>
            <w:pPr>
              <w:jc w:val="center"/>
              <w:ind w:left="79"/>
              <w:spacing w:after="0"/>
              <w:rPr>
                <w:sz w:val="20"/>
                <w:szCs w:val="20"/>
                <w:color w:val="auto"/>
              </w:rPr>
            </w:pPr>
            <w:r>
              <w:rPr>
                <w:rFonts w:ascii="Arial" w:cs="Arial" w:eastAsia="Arial" w:hAnsi="Arial"/>
                <w:sz w:val="16"/>
                <w:szCs w:val="16"/>
                <w:color w:val="auto"/>
                <w:w w:val="97"/>
              </w:rPr>
              <w:t>100%</w:t>
            </w:r>
          </w:p>
        </w:tc>
        <w:tc>
          <w:tcPr>
            <w:tcW w:w="1960" w:type="dxa"/>
            <w:vAlign w:val="bottom"/>
            <w:shd w:val="clear" w:color="auto" w:fill="CCD4DB"/>
          </w:tcPr>
          <w:p>
            <w:pPr>
              <w:jc w:val="center"/>
              <w:ind w:left="39"/>
              <w:spacing w:after="0"/>
              <w:rPr>
                <w:sz w:val="20"/>
                <w:szCs w:val="20"/>
                <w:color w:val="auto"/>
              </w:rPr>
            </w:pPr>
            <w:r>
              <w:rPr>
                <w:rFonts w:ascii="Arial" w:cs="Arial" w:eastAsia="Arial" w:hAnsi="Arial"/>
                <w:sz w:val="16"/>
                <w:szCs w:val="16"/>
                <w:color w:val="auto"/>
              </w:rPr>
              <w:t>0% - 200%</w:t>
            </w:r>
          </w:p>
        </w:tc>
        <w:tc>
          <w:tcPr>
            <w:tcW w:w="194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143%</w:t>
            </w:r>
          </w:p>
        </w:tc>
        <w:tc>
          <w:tcPr>
            <w:tcW w:w="1740" w:type="dxa"/>
            <w:vAlign w:val="bottom"/>
            <w:shd w:val="clear" w:color="auto" w:fill="CCD4DB"/>
          </w:tcPr>
          <w:p>
            <w:pPr>
              <w:jc w:val="center"/>
              <w:spacing w:after="0"/>
              <w:rPr>
                <w:sz w:val="20"/>
                <w:szCs w:val="20"/>
                <w:color w:val="auto"/>
              </w:rPr>
            </w:pPr>
            <w:r>
              <w:rPr>
                <w:rFonts w:ascii="Arial" w:cs="Arial" w:eastAsia="Arial" w:hAnsi="Arial"/>
                <w:sz w:val="16"/>
                <w:szCs w:val="16"/>
                <w:color w:val="auto"/>
                <w:w w:val="99"/>
              </w:rPr>
              <w:t>$1,223,000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220" w:type="dxa"/>
            <w:vAlign w:val="bottom"/>
          </w:tcPr>
          <w:p>
            <w:pPr>
              <w:spacing w:after="0"/>
              <w:rPr>
                <w:sz w:val="20"/>
                <w:szCs w:val="20"/>
                <w:color w:val="auto"/>
              </w:rPr>
            </w:pPr>
            <w:r>
              <w:rPr>
                <w:rFonts w:ascii="Arial" w:cs="Arial" w:eastAsia="Arial" w:hAnsi="Arial"/>
                <w:sz w:val="16"/>
                <w:szCs w:val="16"/>
                <w:color w:val="auto"/>
              </w:rPr>
              <w:t>Blake E. Larson</w:t>
            </w:r>
          </w:p>
        </w:tc>
        <w:tc>
          <w:tcPr>
            <w:tcW w:w="1840" w:type="dxa"/>
            <w:vAlign w:val="bottom"/>
          </w:tcPr>
          <w:p>
            <w:pPr>
              <w:jc w:val="center"/>
              <w:ind w:left="79"/>
              <w:spacing w:after="0"/>
              <w:rPr>
                <w:sz w:val="20"/>
                <w:szCs w:val="20"/>
                <w:color w:val="auto"/>
              </w:rPr>
            </w:pPr>
            <w:r>
              <w:rPr>
                <w:rFonts w:ascii="Arial" w:cs="Arial" w:eastAsia="Arial" w:hAnsi="Arial"/>
                <w:sz w:val="16"/>
                <w:szCs w:val="16"/>
                <w:color w:val="auto"/>
                <w:w w:val="97"/>
              </w:rPr>
              <w:t>100%</w:t>
            </w:r>
          </w:p>
        </w:tc>
        <w:tc>
          <w:tcPr>
            <w:tcW w:w="1960" w:type="dxa"/>
            <w:vAlign w:val="bottom"/>
          </w:tcPr>
          <w:p>
            <w:pPr>
              <w:jc w:val="center"/>
              <w:ind w:left="39"/>
              <w:spacing w:after="0"/>
              <w:rPr>
                <w:sz w:val="20"/>
                <w:szCs w:val="20"/>
                <w:color w:val="auto"/>
              </w:rPr>
            </w:pPr>
            <w:r>
              <w:rPr>
                <w:rFonts w:ascii="Arial" w:cs="Arial" w:eastAsia="Arial" w:hAnsi="Arial"/>
                <w:sz w:val="16"/>
                <w:szCs w:val="16"/>
                <w:color w:val="auto"/>
              </w:rPr>
              <w:t>0% - 200%</w:t>
            </w:r>
          </w:p>
        </w:tc>
        <w:tc>
          <w:tcPr>
            <w:tcW w:w="1940" w:type="dxa"/>
            <w:vAlign w:val="bottom"/>
          </w:tcPr>
          <w:p>
            <w:pPr>
              <w:jc w:val="center"/>
              <w:spacing w:after="0"/>
              <w:rPr>
                <w:sz w:val="20"/>
                <w:szCs w:val="20"/>
                <w:color w:val="auto"/>
              </w:rPr>
            </w:pPr>
            <w:r>
              <w:rPr>
                <w:rFonts w:ascii="Arial" w:cs="Arial" w:eastAsia="Arial" w:hAnsi="Arial"/>
                <w:sz w:val="16"/>
                <w:szCs w:val="16"/>
                <w:color w:val="auto"/>
              </w:rPr>
              <w:t>143%</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$1,160,000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20" w:type="dxa"/>
            <w:vAlign w:val="bottom"/>
            <w:shd w:val="clear" w:color="auto" w:fill="CCD4DB"/>
          </w:tcPr>
          <w:p>
            <w:pPr>
              <w:spacing w:after="0"/>
              <w:rPr>
                <w:sz w:val="20"/>
                <w:szCs w:val="20"/>
                <w:color w:val="auto"/>
              </w:rPr>
            </w:pPr>
            <w:r>
              <w:rPr>
                <w:rFonts w:ascii="Arial" w:cs="Arial" w:eastAsia="Arial" w:hAnsi="Arial"/>
                <w:sz w:val="16"/>
                <w:szCs w:val="16"/>
                <w:color w:val="auto"/>
              </w:rPr>
              <w:t>Janis G. Pamiljans</w:t>
            </w:r>
          </w:p>
        </w:tc>
        <w:tc>
          <w:tcPr>
            <w:tcW w:w="1840" w:type="dxa"/>
            <w:vAlign w:val="bottom"/>
            <w:shd w:val="clear" w:color="auto" w:fill="CCD4DB"/>
          </w:tcPr>
          <w:p>
            <w:pPr>
              <w:jc w:val="center"/>
              <w:ind w:left="79"/>
              <w:spacing w:after="0"/>
              <w:rPr>
                <w:sz w:val="20"/>
                <w:szCs w:val="20"/>
                <w:color w:val="auto"/>
              </w:rPr>
            </w:pPr>
            <w:r>
              <w:rPr>
                <w:rFonts w:ascii="Arial" w:cs="Arial" w:eastAsia="Arial" w:hAnsi="Arial"/>
                <w:sz w:val="16"/>
                <w:szCs w:val="16"/>
                <w:color w:val="auto"/>
                <w:w w:val="97"/>
              </w:rPr>
              <w:t>100%</w:t>
            </w:r>
          </w:p>
        </w:tc>
        <w:tc>
          <w:tcPr>
            <w:tcW w:w="1960" w:type="dxa"/>
            <w:vAlign w:val="bottom"/>
            <w:shd w:val="clear" w:color="auto" w:fill="CCD4DB"/>
          </w:tcPr>
          <w:p>
            <w:pPr>
              <w:jc w:val="center"/>
              <w:ind w:left="39"/>
              <w:spacing w:after="0"/>
              <w:rPr>
                <w:sz w:val="20"/>
                <w:szCs w:val="20"/>
                <w:color w:val="auto"/>
              </w:rPr>
            </w:pPr>
            <w:r>
              <w:rPr>
                <w:rFonts w:ascii="Arial" w:cs="Arial" w:eastAsia="Arial" w:hAnsi="Arial"/>
                <w:sz w:val="16"/>
                <w:szCs w:val="16"/>
                <w:color w:val="auto"/>
              </w:rPr>
              <w:t>0% - 200%</w:t>
            </w:r>
          </w:p>
        </w:tc>
        <w:tc>
          <w:tcPr>
            <w:tcW w:w="194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143%</w:t>
            </w:r>
          </w:p>
        </w:tc>
        <w:tc>
          <w:tcPr>
            <w:tcW w:w="1740" w:type="dxa"/>
            <w:vAlign w:val="bottom"/>
            <w:shd w:val="clear" w:color="auto" w:fill="CCD4DB"/>
          </w:tcPr>
          <w:p>
            <w:pPr>
              <w:jc w:val="center"/>
              <w:spacing w:after="0"/>
              <w:rPr>
                <w:sz w:val="20"/>
                <w:szCs w:val="20"/>
                <w:color w:val="auto"/>
              </w:rPr>
            </w:pPr>
            <w:r>
              <w:rPr>
                <w:rFonts w:ascii="Arial" w:cs="Arial" w:eastAsia="Arial" w:hAnsi="Arial"/>
                <w:sz w:val="16"/>
                <w:szCs w:val="16"/>
                <w:color w:val="auto"/>
                <w:w w:val="99"/>
              </w:rPr>
              <w:t>$1,223,000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220" w:type="dxa"/>
            <w:vAlign w:val="bottom"/>
          </w:tcPr>
          <w:p>
            <w:pPr>
              <w:spacing w:after="0"/>
              <w:rPr>
                <w:sz w:val="20"/>
                <w:szCs w:val="20"/>
                <w:color w:val="auto"/>
              </w:rPr>
            </w:pPr>
            <w:r>
              <w:rPr>
                <w:rFonts w:ascii="Arial" w:cs="Arial" w:eastAsia="Arial" w:hAnsi="Arial"/>
                <w:sz w:val="16"/>
                <w:szCs w:val="16"/>
                <w:color w:val="auto"/>
              </w:rPr>
              <w:t>Kenneth L. Bedingfield</w:t>
            </w:r>
            <w:r>
              <w:rPr>
                <w:rFonts w:ascii="Arial" w:cs="Arial" w:eastAsia="Arial" w:hAnsi="Arial"/>
                <w:sz w:val="21"/>
                <w:szCs w:val="21"/>
                <w:color w:val="auto"/>
                <w:vertAlign w:val="superscript"/>
              </w:rPr>
              <w:t>(2)</w:t>
            </w:r>
          </w:p>
        </w:tc>
        <w:tc>
          <w:tcPr>
            <w:tcW w:w="1840" w:type="dxa"/>
            <w:vAlign w:val="bottom"/>
          </w:tcPr>
          <w:p>
            <w:pPr>
              <w:jc w:val="center"/>
              <w:ind w:left="79"/>
              <w:spacing w:after="0"/>
              <w:rPr>
                <w:sz w:val="20"/>
                <w:szCs w:val="20"/>
                <w:color w:val="auto"/>
              </w:rPr>
            </w:pPr>
            <w:r>
              <w:rPr>
                <w:rFonts w:ascii="Arial" w:cs="Arial" w:eastAsia="Arial" w:hAnsi="Arial"/>
                <w:sz w:val="16"/>
                <w:szCs w:val="16"/>
                <w:color w:val="auto"/>
                <w:w w:val="97"/>
              </w:rPr>
              <w:t>100%</w:t>
            </w:r>
          </w:p>
        </w:tc>
        <w:tc>
          <w:tcPr>
            <w:tcW w:w="1960" w:type="dxa"/>
            <w:vAlign w:val="bottom"/>
          </w:tcPr>
          <w:p>
            <w:pPr>
              <w:jc w:val="center"/>
              <w:ind w:left="39"/>
              <w:spacing w:after="0"/>
              <w:rPr>
                <w:sz w:val="20"/>
                <w:szCs w:val="20"/>
                <w:color w:val="auto"/>
              </w:rPr>
            </w:pPr>
            <w:r>
              <w:rPr>
                <w:rFonts w:ascii="Arial" w:cs="Arial" w:eastAsia="Arial" w:hAnsi="Arial"/>
                <w:sz w:val="16"/>
                <w:szCs w:val="16"/>
                <w:color w:val="auto"/>
              </w:rPr>
              <w:t>0% - 200%</w:t>
            </w:r>
          </w:p>
        </w:tc>
        <w:tc>
          <w:tcPr>
            <w:tcW w:w="1940" w:type="dxa"/>
            <w:vAlign w:val="bottom"/>
          </w:tcPr>
          <w:p>
            <w:pPr>
              <w:jc w:val="center"/>
              <w:spacing w:after="0"/>
              <w:rPr>
                <w:sz w:val="20"/>
                <w:szCs w:val="20"/>
                <w:color w:val="auto"/>
              </w:rPr>
            </w:pPr>
            <w:r>
              <w:rPr>
                <w:rFonts w:ascii="Arial" w:cs="Arial" w:eastAsia="Arial" w:hAnsi="Arial"/>
                <w:sz w:val="16"/>
                <w:szCs w:val="16"/>
                <w:color w:val="auto"/>
              </w:rPr>
              <w:t>143%</w:t>
            </w:r>
          </w:p>
        </w:tc>
        <w:tc>
          <w:tcPr>
            <w:tcW w:w="1740" w:type="dxa"/>
            <w:vAlign w:val="bottom"/>
          </w:tcPr>
          <w:p>
            <w:pPr>
              <w:jc w:val="center"/>
              <w:spacing w:after="0"/>
              <w:rPr>
                <w:sz w:val="20"/>
                <w:szCs w:val="20"/>
                <w:color w:val="auto"/>
              </w:rPr>
            </w:pPr>
            <w:r>
              <w:rPr>
                <w:rFonts w:ascii="Arial" w:cs="Arial" w:eastAsia="Arial" w:hAnsi="Arial"/>
                <w:sz w:val="16"/>
                <w:szCs w:val="16"/>
                <w:color w:val="auto"/>
              </w:rPr>
              <w:t>$185,000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-7620</wp:posOffset>
            </wp:positionV>
            <wp:extent cx="616331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163310" cy="8255"/>
                    </a:xfrm>
                    <a:prstGeom prst="rect">
                      <a:avLst/>
                    </a:prstGeom>
                    <a:noFill/>
                  </pic:spPr>
                </pic:pic>
              </a:graphicData>
            </a:graphic>
          </wp:anchor>
        </w:drawing>
      </w:r>
    </w:p>
    <w:p>
      <w:pPr>
        <w:ind w:left="960" w:right="1100" w:hanging="171"/>
        <w:spacing w:after="0" w:line="212" w:lineRule="auto"/>
        <w:tabs>
          <w:tab w:leader="none" w:pos="956" w:val="left"/>
        </w:tabs>
        <w:numPr>
          <w:ilvl w:val="0"/>
          <w:numId w:val="61"/>
        </w:numPr>
        <w:rPr>
          <w:rFonts w:ascii="Arial" w:cs="Arial" w:eastAsia="Arial" w:hAnsi="Arial"/>
          <w:sz w:val="20"/>
          <w:szCs w:val="20"/>
          <w:color w:val="auto"/>
          <w:vertAlign w:val="superscript"/>
        </w:rPr>
      </w:pPr>
      <w:r>
        <w:rPr>
          <w:rFonts w:ascii="Arial" w:cs="Arial" w:eastAsia="Arial" w:hAnsi="Arial"/>
          <w:sz w:val="15"/>
          <w:szCs w:val="15"/>
          <w:color w:val="auto"/>
        </w:rPr>
        <w:t>The potential range of bonus payouts based on 2020 performance is disclosed in the Grants of Plan-Based Awards Table. Actual bonus payouts for 2020 performance are disclosed above and in the Summary Compensation Table.</w:t>
      </w:r>
    </w:p>
    <w:p>
      <w:pPr>
        <w:spacing w:after="0" w:line="22" w:lineRule="exact"/>
        <w:rPr>
          <w:rFonts w:ascii="Arial" w:cs="Arial" w:eastAsia="Arial" w:hAnsi="Arial"/>
          <w:sz w:val="20"/>
          <w:szCs w:val="20"/>
          <w:color w:val="auto"/>
          <w:vertAlign w:val="superscript"/>
        </w:rPr>
      </w:pPr>
    </w:p>
    <w:p>
      <w:pPr>
        <w:ind w:left="960" w:right="860" w:hanging="171"/>
        <w:spacing w:after="0" w:line="212" w:lineRule="auto"/>
        <w:tabs>
          <w:tab w:leader="none" w:pos="956" w:val="left"/>
        </w:tabs>
        <w:numPr>
          <w:ilvl w:val="0"/>
          <w:numId w:val="61"/>
        </w:numPr>
        <w:rPr>
          <w:rFonts w:ascii="Arial" w:cs="Arial" w:eastAsia="Arial" w:hAnsi="Arial"/>
          <w:sz w:val="20"/>
          <w:szCs w:val="20"/>
          <w:color w:val="auto"/>
          <w:vertAlign w:val="superscript"/>
        </w:rPr>
      </w:pPr>
      <w:r>
        <w:rPr>
          <w:rFonts w:ascii="Arial" w:cs="Arial" w:eastAsia="Arial" w:hAnsi="Arial"/>
          <w:sz w:val="15"/>
          <w:szCs w:val="15"/>
          <w:color w:val="auto"/>
        </w:rPr>
        <w:t>Mr. Bedingfield's payout represents the portion of his severance payment equal to the prorated bonus he would have received under the Company's AIP.</w:t>
      </w:r>
    </w:p>
    <w:p>
      <w:pPr>
        <w:spacing w:after="0" w:line="200" w:lineRule="exact"/>
        <w:rPr>
          <w:sz w:val="20"/>
          <w:szCs w:val="20"/>
          <w:color w:val="auto"/>
        </w:rPr>
      </w:pPr>
    </w:p>
    <w:p>
      <w:pPr>
        <w:spacing w:after="0" w:line="238"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51</w:t>
      </w:r>
    </w:p>
    <w:p>
      <w:pPr>
        <w:sectPr>
          <w:pgSz w:w="11900" w:h="16838" w:orient="portrait"/>
          <w:cols w:equalWidth="0" w:num="1">
            <w:col w:w="11260"/>
          </w:cols>
          <w:pgMar w:left="320" w:top="701" w:right="319" w:bottom="1440" w:gutter="0" w:footer="0" w:header="0"/>
        </w:sectPr>
      </w:pPr>
    </w:p>
    <w:bookmarkStart w:id="57" w:name="page58"/>
    <w:bookmarkEnd w:id="57"/>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5314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 xml:space="preserve">COMPENSATION DISCUSSION AND ANALYSIS | </w:t>
      </w:r>
      <w:r>
        <w:rPr>
          <w:rFonts w:ascii="Arial" w:cs="Arial" w:eastAsia="Arial" w:hAnsi="Arial"/>
          <w:sz w:val="17"/>
          <w:szCs w:val="17"/>
          <w:b w:val="1"/>
          <w:bCs w:val="1"/>
          <w:color w:val="FFFFFF"/>
        </w:rPr>
        <w:t>KEY COMPONENTS OF OUR PROGRAMS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Long-Term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2020 Long-Term Incentive Program</w:t>
      </w:r>
    </w:p>
    <w:p>
      <w:pPr>
        <w:spacing w:after="0" w:line="12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determining the amount of the individual long-term incentive award for our NEOs (other than the CEO), the Compensation Committee considers an elected officer's individual performance during the preceding year, growth in job as demonstrated through sustained performance, leadership impact, retention and pay relative to the CEO, as well as market data for the elected officer's position based on the Target Industry Peer Group analysis.</w:t>
      </w:r>
    </w:p>
    <w:p>
      <w:pPr>
        <w:spacing w:after="0" w:line="6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In 2020, after determining the award value for the NEOs as described above, the Compensation Committee granted awards in the form of RPSRs to ensure sustainability and achievement of business goals over time and RSRs to provide retention value. The awards were comprised of 70% RPSRs and 30% RSRs. The Compensation Committee determined this long-term incentive mix would appropriately motivate and reward the NEOs to achieve our long-term objectives and further reinforce the link between their interests and the interests of our shareholders.</w:t>
      </w:r>
    </w:p>
    <w:p>
      <w:pPr>
        <w:spacing w:after="0" w:line="84" w:lineRule="exact"/>
        <w:rPr>
          <w:sz w:val="20"/>
          <w:szCs w:val="20"/>
          <w:color w:val="auto"/>
        </w:rPr>
      </w:pPr>
    </w:p>
    <w:p>
      <w:pPr>
        <w:ind w:right="360"/>
        <w:spacing w:after="0" w:line="252" w:lineRule="auto"/>
        <w:rPr>
          <w:sz w:val="20"/>
          <w:szCs w:val="20"/>
          <w:color w:val="auto"/>
        </w:rPr>
      </w:pPr>
      <w:r>
        <w:rPr>
          <w:rFonts w:ascii="Arial" w:cs="Arial" w:eastAsia="Arial" w:hAnsi="Arial"/>
          <w:sz w:val="18"/>
          <w:szCs w:val="18"/>
          <w:color w:val="auto"/>
        </w:rPr>
        <w:t>The RPSRs will vest and be distributed following the completion of the three-year performance period (commencing January 1, 2020 and ending December 31, 2022) if goals are met. The RSRs generally vest 100% after three years. Earned RPSRs and RSRs may be paid in shares, cash or a combination of shares and cash at the Compensation Committee's discretion. An executive generally must remain employed through the vesting period to earn an award. Vesting for termination due to death, disability, retirement or change in control is discussed in the "Termination Payments and Benefits" section on page 70. Dividend equivalents accrue on both RPSR and RSR awards earned and will be paid upon distribution of the RPSRs and RSRs.</w:t>
      </w:r>
    </w:p>
    <w:p>
      <w:pPr>
        <w:spacing w:after="0" w:line="8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Compensation Committee evaluates RPSR performance requirements each year to ensure they are aligned with our business objectives. For the 2020 RPSR grant, the Compensation Committee determined that for the NEOs, performance metrics will continue to be relative TSR, Adjusted Cumulative FCF* and Operating RONA*, each equally weighted at 1/3. The current metrics and weightings reflect the Company's continued emphasis on operational performance directly impacted by management decisions and behaviors, while maintaining strong alignment with shareholder interests. Based on the performance against these metrics, shares earned for 2020 RPSR grants can vary from 0% to 150% of the rights awarded.</w:t>
      </w:r>
    </w:p>
    <w:p>
      <w:pPr>
        <w:spacing w:after="0" w:line="73"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TSR is measured by comparing cumulative stock price appreciation with reinvestment of dividends over the three-year period to the Performance Peer Group (50% of relative TSR portion of award) and to the S&amp;P Industrials (50% of relative TSR portion of award), which comprises companies within the S&amp;P 500 classified as Industrials, reflecting the range of similar investment alternatives available to our shareholders. To smooth volatility in the market, the TSR calculation is based on the average of the three-year returns for each of the 30 calendar days, starting from the grant date, to the last 30 days of the performance period. The maximum relative TSR payout is capped at 100% of target shares if the absolute TSR is negative, even if the relative TSR would have resulted in a higher score.</w:t>
      </w:r>
    </w:p>
    <w:p>
      <w:pPr>
        <w:spacing w:after="0" w:line="8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Adjusted Cumulative FCF* focuses on cash generation after capital investments and is calculated as the aggregate Adjusted Free Cash Flow before after-tax total pension funding* over a three-year period. Adjusted Free Cash Flow* includes funds available to create shareholder value after investing in the business through capital expenditures.</w:t>
      </w:r>
    </w:p>
    <w:p>
      <w:pPr>
        <w:spacing w:after="0" w:line="8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Operating RONA* drives operational productivity through the efficient use of capital resources (net operating assets). The metric is calculated as Adjusted Net Operating Profit After-Tax* (adjusted NOPAT*) divided by the two-year average of net operating assets.</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Completed RPSR Performance Period (2018 – 2020)</w:t>
      </w:r>
    </w:p>
    <w:p>
      <w:pPr>
        <w:spacing w:after="0" w:line="12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February 2018, when granting RPSRs to NEOs who were elected officers at the time of the grant, the Compensation Committee selected relative TSR and Adjusted Cumulative FCF*, equally weighted at 50%, as the performance metrics for the awards and established the performance criteria for the awards as set forth in the table below.</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0" w:type="dxa"/>
            <w:vAlign w:val="bottom"/>
            <w:gridSpan w:val="3"/>
            <w:shd w:val="clear" w:color="auto" w:fill="00249C"/>
          </w:tcPr>
          <w:p>
            <w:pPr>
              <w:ind w:left="180"/>
              <w:spacing w:after="0"/>
              <w:rPr>
                <w:sz w:val="20"/>
                <w:szCs w:val="20"/>
                <w:color w:val="auto"/>
              </w:rPr>
            </w:pPr>
            <w:r>
              <w:rPr>
                <w:rFonts w:ascii="Arial" w:cs="Arial" w:eastAsia="Arial" w:hAnsi="Arial"/>
                <w:sz w:val="16"/>
                <w:szCs w:val="16"/>
                <w:b w:val="1"/>
                <w:bCs w:val="1"/>
                <w:color w:val="FFFFFF"/>
              </w:rPr>
              <w:t>Performance Required to Score</w:t>
            </w:r>
          </w:p>
        </w:tc>
        <w:tc>
          <w:tcPr>
            <w:tcW w:w="1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700" w:type="dxa"/>
            <w:vAlign w:val="bottom"/>
            <w:vMerge w:val="restart"/>
            <w:shd w:val="clear" w:color="auto" w:fill="00249C"/>
          </w:tcPr>
          <w:p>
            <w:pPr>
              <w:ind w:left="40"/>
              <w:spacing w:after="0"/>
              <w:rPr>
                <w:sz w:val="20"/>
                <w:szCs w:val="20"/>
                <w:color w:val="auto"/>
              </w:rPr>
            </w:pPr>
            <w:r>
              <w:rPr>
                <w:rFonts w:ascii="Arial" w:cs="Arial" w:eastAsia="Arial" w:hAnsi="Arial"/>
                <w:sz w:val="16"/>
                <w:szCs w:val="16"/>
                <w:b w:val="1"/>
                <w:bCs w:val="1"/>
                <w:color w:val="FFFFFF"/>
              </w:rPr>
              <w:t>Metric/Goal</w:t>
            </w:r>
          </w:p>
        </w:tc>
        <w:tc>
          <w:tcPr>
            <w:tcW w:w="1000" w:type="dxa"/>
            <w:vAlign w:val="bottom"/>
            <w:vMerge w:val="restart"/>
            <w:shd w:val="clear" w:color="auto" w:fill="00249C"/>
          </w:tcPr>
          <w:p>
            <w:pPr>
              <w:jc w:val="center"/>
              <w:spacing w:after="0"/>
              <w:rPr>
                <w:sz w:val="20"/>
                <w:szCs w:val="20"/>
                <w:color w:val="auto"/>
              </w:rPr>
            </w:pPr>
            <w:r>
              <w:rPr>
                <w:rFonts w:ascii="Arial" w:cs="Arial" w:eastAsia="Arial" w:hAnsi="Arial"/>
                <w:sz w:val="16"/>
                <w:szCs w:val="16"/>
                <w:b w:val="1"/>
                <w:bCs w:val="1"/>
                <w:color w:val="FFFFFF"/>
              </w:rPr>
              <w:t>Weighting</w:t>
            </w:r>
          </w:p>
        </w:tc>
        <w:tc>
          <w:tcPr>
            <w:tcW w:w="920" w:type="dxa"/>
            <w:vAlign w:val="bottom"/>
            <w:vMerge w:val="restart"/>
            <w:shd w:val="clear" w:color="auto" w:fill="00249C"/>
          </w:tcPr>
          <w:p>
            <w:pPr>
              <w:jc w:val="center"/>
              <w:spacing w:after="0"/>
              <w:rPr>
                <w:sz w:val="20"/>
                <w:szCs w:val="20"/>
                <w:color w:val="auto"/>
              </w:rPr>
            </w:pPr>
            <w:r>
              <w:rPr>
                <w:rFonts w:ascii="Arial" w:cs="Arial" w:eastAsia="Arial" w:hAnsi="Arial"/>
                <w:sz w:val="16"/>
                <w:szCs w:val="16"/>
                <w:b w:val="1"/>
                <w:bCs w:val="1"/>
                <w:color w:val="FFFFFF"/>
              </w:rPr>
              <w:t>0%</w:t>
            </w:r>
          </w:p>
        </w:tc>
        <w:tc>
          <w:tcPr>
            <w:tcW w:w="940" w:type="dxa"/>
            <w:vAlign w:val="bottom"/>
            <w:vMerge w:val="restart"/>
            <w:shd w:val="clear" w:color="auto" w:fill="00249C"/>
          </w:tcPr>
          <w:p>
            <w:pPr>
              <w:jc w:val="center"/>
              <w:spacing w:after="0"/>
              <w:rPr>
                <w:sz w:val="20"/>
                <w:szCs w:val="20"/>
                <w:color w:val="auto"/>
              </w:rPr>
            </w:pPr>
            <w:r>
              <w:rPr>
                <w:rFonts w:ascii="Arial" w:cs="Arial" w:eastAsia="Arial" w:hAnsi="Arial"/>
                <w:sz w:val="16"/>
                <w:szCs w:val="16"/>
                <w:b w:val="1"/>
                <w:bCs w:val="1"/>
                <w:color w:val="FFFFFF"/>
              </w:rPr>
              <w:t>100%</w:t>
            </w:r>
          </w:p>
        </w:tc>
        <w:tc>
          <w:tcPr>
            <w:tcW w:w="940" w:type="dxa"/>
            <w:vAlign w:val="bottom"/>
            <w:vMerge w:val="restart"/>
            <w:shd w:val="clear" w:color="auto" w:fill="00249C"/>
          </w:tcPr>
          <w:p>
            <w:pPr>
              <w:jc w:val="center"/>
              <w:spacing w:after="0"/>
              <w:rPr>
                <w:sz w:val="20"/>
                <w:szCs w:val="20"/>
                <w:color w:val="auto"/>
              </w:rPr>
            </w:pPr>
            <w:r>
              <w:rPr>
                <w:rFonts w:ascii="Arial" w:cs="Arial" w:eastAsia="Arial" w:hAnsi="Arial"/>
                <w:sz w:val="16"/>
                <w:szCs w:val="16"/>
                <w:b w:val="1"/>
                <w:bCs w:val="1"/>
                <w:color w:val="FFFFFF"/>
              </w:rPr>
              <w:t>150%</w:t>
            </w:r>
          </w:p>
        </w:tc>
        <w:tc>
          <w:tcPr>
            <w:tcW w:w="1400" w:type="dxa"/>
            <w:vAlign w:val="bottom"/>
            <w:shd w:val="clear" w:color="auto" w:fill="00249C"/>
          </w:tcPr>
          <w:p>
            <w:pPr>
              <w:jc w:val="center"/>
              <w:spacing w:after="0" w:line="162" w:lineRule="exact"/>
              <w:rPr>
                <w:sz w:val="20"/>
                <w:szCs w:val="20"/>
                <w:color w:val="auto"/>
              </w:rPr>
            </w:pPr>
            <w:r>
              <w:rPr>
                <w:rFonts w:ascii="Arial" w:cs="Arial" w:eastAsia="Arial" w:hAnsi="Arial"/>
                <w:sz w:val="16"/>
                <w:szCs w:val="16"/>
                <w:b w:val="1"/>
                <w:bCs w:val="1"/>
                <w:color w:val="FFFFFF"/>
              </w:rPr>
              <w:t>2020 Actual</w:t>
            </w:r>
          </w:p>
        </w:tc>
        <w:tc>
          <w:tcPr>
            <w:tcW w:w="1340" w:type="dxa"/>
            <w:vAlign w:val="bottom"/>
            <w:vMerge w:val="restart"/>
            <w:shd w:val="clear" w:color="auto" w:fill="00249C"/>
          </w:tcPr>
          <w:p>
            <w:pPr>
              <w:ind w:left="220"/>
              <w:spacing w:after="0"/>
              <w:rPr>
                <w:sz w:val="20"/>
                <w:szCs w:val="20"/>
                <w:color w:val="auto"/>
              </w:rPr>
            </w:pPr>
            <w:r>
              <w:rPr>
                <w:rFonts w:ascii="Arial" w:cs="Arial" w:eastAsia="Arial" w:hAnsi="Arial"/>
                <w:sz w:val="16"/>
                <w:szCs w:val="16"/>
                <w:b w:val="1"/>
                <w:bCs w:val="1"/>
                <w:color w:val="FFFFFF"/>
              </w:rPr>
              <w:t>2020 Score</w:t>
            </w:r>
          </w:p>
        </w:tc>
        <w:tc>
          <w:tcPr>
            <w:tcW w:w="0" w:type="dxa"/>
            <w:vAlign w:val="bottom"/>
          </w:tcPr>
          <w:p>
            <w:pPr>
              <w:spacing w:after="0"/>
              <w:rPr>
                <w:sz w:val="1"/>
                <w:szCs w:val="1"/>
                <w:color w:val="auto"/>
              </w:rPr>
            </w:pPr>
          </w:p>
        </w:tc>
      </w:tr>
      <w:tr>
        <w:trPr>
          <w:trHeight w:val="229"/>
        </w:trPr>
        <w:tc>
          <w:tcPr>
            <w:tcW w:w="4700" w:type="dxa"/>
            <w:vAlign w:val="bottom"/>
            <w:vMerge w:val="continue"/>
            <w:shd w:val="clear" w:color="auto" w:fill="00249C"/>
          </w:tcPr>
          <w:p>
            <w:pPr>
              <w:spacing w:after="0"/>
              <w:rPr>
                <w:sz w:val="19"/>
                <w:szCs w:val="19"/>
                <w:color w:val="auto"/>
              </w:rPr>
            </w:pPr>
          </w:p>
        </w:tc>
        <w:tc>
          <w:tcPr>
            <w:tcW w:w="1000" w:type="dxa"/>
            <w:vAlign w:val="bottom"/>
            <w:vMerge w:val="continue"/>
            <w:shd w:val="clear" w:color="auto" w:fill="00249C"/>
          </w:tcPr>
          <w:p>
            <w:pPr>
              <w:spacing w:after="0"/>
              <w:rPr>
                <w:sz w:val="19"/>
                <w:szCs w:val="19"/>
                <w:color w:val="auto"/>
              </w:rPr>
            </w:pPr>
          </w:p>
        </w:tc>
        <w:tc>
          <w:tcPr>
            <w:tcW w:w="920" w:type="dxa"/>
            <w:vAlign w:val="bottom"/>
            <w:vMerge w:val="continue"/>
            <w:shd w:val="clear" w:color="auto" w:fill="00249C"/>
          </w:tcPr>
          <w:p>
            <w:pPr>
              <w:spacing w:after="0"/>
              <w:rPr>
                <w:sz w:val="19"/>
                <w:szCs w:val="19"/>
                <w:color w:val="auto"/>
              </w:rPr>
            </w:pPr>
          </w:p>
        </w:tc>
        <w:tc>
          <w:tcPr>
            <w:tcW w:w="940" w:type="dxa"/>
            <w:vAlign w:val="bottom"/>
            <w:vMerge w:val="continue"/>
            <w:shd w:val="clear" w:color="auto" w:fill="00249C"/>
          </w:tcPr>
          <w:p>
            <w:pPr>
              <w:spacing w:after="0"/>
              <w:rPr>
                <w:sz w:val="19"/>
                <w:szCs w:val="19"/>
                <w:color w:val="auto"/>
              </w:rPr>
            </w:pPr>
          </w:p>
        </w:tc>
        <w:tc>
          <w:tcPr>
            <w:tcW w:w="940" w:type="dxa"/>
            <w:vAlign w:val="bottom"/>
            <w:vMerge w:val="continue"/>
            <w:shd w:val="clear" w:color="auto" w:fill="00249C"/>
          </w:tcPr>
          <w:p>
            <w:pPr>
              <w:spacing w:after="0"/>
              <w:rPr>
                <w:sz w:val="19"/>
                <w:szCs w:val="19"/>
                <w:color w:val="auto"/>
              </w:rPr>
            </w:pPr>
          </w:p>
        </w:tc>
        <w:tc>
          <w:tcPr>
            <w:tcW w:w="140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rPr>
              <w:t>Performance</w:t>
            </w:r>
          </w:p>
        </w:tc>
        <w:tc>
          <w:tcPr>
            <w:tcW w:w="1340" w:type="dxa"/>
            <w:vAlign w:val="bottom"/>
            <w:vMerge w:val="continue"/>
            <w:shd w:val="clear" w:color="auto" w:fill="00249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D4DB"/>
          </w:tcPr>
          <w:p>
            <w:pPr>
              <w:ind w:left="20"/>
              <w:spacing w:after="0"/>
              <w:rPr>
                <w:sz w:val="20"/>
                <w:szCs w:val="20"/>
                <w:color w:val="auto"/>
              </w:rPr>
            </w:pPr>
            <w:r>
              <w:rPr>
                <w:rFonts w:ascii="Arial" w:cs="Arial" w:eastAsia="Arial" w:hAnsi="Arial"/>
                <w:sz w:val="16"/>
                <w:szCs w:val="16"/>
                <w:color w:val="auto"/>
              </w:rPr>
              <w:t>Relative TSR - 2018 Performance Peer Group</w:t>
            </w:r>
          </w:p>
        </w:tc>
        <w:tc>
          <w:tcPr>
            <w:tcW w:w="1000" w:type="dxa"/>
            <w:vAlign w:val="bottom"/>
            <w:shd w:val="clear" w:color="auto" w:fill="CCD4DB"/>
          </w:tcPr>
          <w:p>
            <w:pPr>
              <w:jc w:val="center"/>
              <w:spacing w:after="0"/>
              <w:rPr>
                <w:sz w:val="20"/>
                <w:szCs w:val="20"/>
                <w:color w:val="auto"/>
              </w:rPr>
            </w:pPr>
            <w:r>
              <w:rPr>
                <w:rFonts w:ascii="Arial" w:cs="Arial" w:eastAsia="Arial" w:hAnsi="Arial"/>
                <w:sz w:val="16"/>
                <w:szCs w:val="16"/>
                <w:color w:val="auto"/>
                <w:w w:val="99"/>
              </w:rPr>
              <w:t>25%</w:t>
            </w:r>
          </w:p>
        </w:tc>
        <w:tc>
          <w:tcPr>
            <w:tcW w:w="92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25th</w:t>
            </w:r>
          </w:p>
        </w:tc>
        <w:tc>
          <w:tcPr>
            <w:tcW w:w="94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50th</w:t>
            </w:r>
          </w:p>
        </w:tc>
        <w:tc>
          <w:tcPr>
            <w:tcW w:w="94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80th</w:t>
            </w:r>
          </w:p>
        </w:tc>
        <w:tc>
          <w:tcPr>
            <w:tcW w:w="140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60th</w:t>
            </w:r>
          </w:p>
        </w:tc>
        <w:tc>
          <w:tcPr>
            <w:tcW w:w="134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Relative TSR - S&amp;P Industrials</w:t>
            </w: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25%</w:t>
            </w:r>
          </w:p>
        </w:tc>
        <w:tc>
          <w:tcPr>
            <w:tcW w:w="920" w:type="dxa"/>
            <w:vAlign w:val="bottom"/>
          </w:tcPr>
          <w:p>
            <w:pPr>
              <w:jc w:val="center"/>
              <w:spacing w:after="0"/>
              <w:rPr>
                <w:sz w:val="20"/>
                <w:szCs w:val="20"/>
                <w:color w:val="auto"/>
              </w:rPr>
            </w:pPr>
            <w:r>
              <w:rPr>
                <w:rFonts w:ascii="Arial" w:cs="Arial" w:eastAsia="Arial" w:hAnsi="Arial"/>
                <w:sz w:val="16"/>
                <w:szCs w:val="16"/>
                <w:color w:val="auto"/>
              </w:rPr>
              <w:t>25th</w:t>
            </w:r>
          </w:p>
        </w:tc>
        <w:tc>
          <w:tcPr>
            <w:tcW w:w="940" w:type="dxa"/>
            <w:vAlign w:val="bottom"/>
          </w:tcPr>
          <w:p>
            <w:pPr>
              <w:jc w:val="center"/>
              <w:spacing w:after="0"/>
              <w:rPr>
                <w:sz w:val="20"/>
                <w:szCs w:val="20"/>
                <w:color w:val="auto"/>
              </w:rPr>
            </w:pPr>
            <w:r>
              <w:rPr>
                <w:rFonts w:ascii="Arial" w:cs="Arial" w:eastAsia="Arial" w:hAnsi="Arial"/>
                <w:sz w:val="16"/>
                <w:szCs w:val="16"/>
                <w:color w:val="auto"/>
              </w:rPr>
              <w:t>50th</w:t>
            </w:r>
          </w:p>
        </w:tc>
        <w:tc>
          <w:tcPr>
            <w:tcW w:w="940" w:type="dxa"/>
            <w:vAlign w:val="bottom"/>
          </w:tcPr>
          <w:p>
            <w:pPr>
              <w:jc w:val="center"/>
              <w:spacing w:after="0"/>
              <w:rPr>
                <w:sz w:val="20"/>
                <w:szCs w:val="20"/>
                <w:color w:val="auto"/>
              </w:rPr>
            </w:pPr>
            <w:r>
              <w:rPr>
                <w:rFonts w:ascii="Arial" w:cs="Arial" w:eastAsia="Arial" w:hAnsi="Arial"/>
                <w:sz w:val="16"/>
                <w:szCs w:val="16"/>
                <w:color w:val="auto"/>
              </w:rPr>
              <w:t>80th</w:t>
            </w:r>
          </w:p>
        </w:tc>
        <w:tc>
          <w:tcPr>
            <w:tcW w:w="1400" w:type="dxa"/>
            <w:vAlign w:val="bottom"/>
          </w:tcPr>
          <w:p>
            <w:pPr>
              <w:jc w:val="center"/>
              <w:spacing w:after="0"/>
              <w:rPr>
                <w:sz w:val="20"/>
                <w:szCs w:val="20"/>
                <w:color w:val="auto"/>
              </w:rPr>
            </w:pPr>
            <w:r>
              <w:rPr>
                <w:rFonts w:ascii="Arial" w:cs="Arial" w:eastAsia="Arial" w:hAnsi="Arial"/>
                <w:sz w:val="16"/>
                <w:szCs w:val="16"/>
                <w:color w:val="auto"/>
              </w:rPr>
              <w:t>32nd</w:t>
            </w:r>
          </w:p>
        </w:tc>
        <w:tc>
          <w:tcPr>
            <w:tcW w:w="1340" w:type="dxa"/>
            <w:vAlign w:val="bottom"/>
          </w:tcPr>
          <w:p>
            <w:pPr>
              <w:jc w:val="center"/>
              <w:spacing w:after="0"/>
              <w:rPr>
                <w:sz w:val="20"/>
                <w:szCs w:val="20"/>
                <w:color w:val="auto"/>
              </w:rPr>
            </w:pPr>
            <w:r>
              <w:rPr>
                <w:rFonts w:ascii="Arial" w:cs="Arial" w:eastAsia="Arial" w:hAnsi="Arial"/>
                <w:sz w:val="16"/>
                <w:szCs w:val="16"/>
                <w:color w:val="auto"/>
                <w:w w:val="94"/>
              </w:rPr>
              <w:t>7%</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00249C"/>
            </w:tcBorders>
            <w:shd w:val="clear" w:color="auto" w:fill="CCD4DB"/>
          </w:tcPr>
          <w:p>
            <w:pPr>
              <w:ind w:left="20"/>
              <w:spacing w:after="0"/>
              <w:rPr>
                <w:sz w:val="20"/>
                <w:szCs w:val="20"/>
                <w:color w:val="auto"/>
              </w:rPr>
            </w:pPr>
            <w:r>
              <w:rPr>
                <w:rFonts w:ascii="Arial" w:cs="Arial" w:eastAsia="Arial" w:hAnsi="Arial"/>
                <w:sz w:val="16"/>
                <w:szCs w:val="16"/>
                <w:color w:val="auto"/>
              </w:rPr>
              <w:t>Adjusted Cumulative FCF*</w:t>
            </w:r>
          </w:p>
        </w:tc>
        <w:tc>
          <w:tcPr>
            <w:tcW w:w="100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6"/>
                <w:szCs w:val="16"/>
                <w:color w:val="auto"/>
                <w:w w:val="99"/>
              </w:rPr>
              <w:t>50%</w:t>
            </w:r>
          </w:p>
        </w:tc>
        <w:tc>
          <w:tcPr>
            <w:tcW w:w="92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6"/>
                <w:szCs w:val="16"/>
                <w:color w:val="auto"/>
              </w:rPr>
              <w:t>$5.6B</w:t>
            </w:r>
          </w:p>
        </w:tc>
        <w:tc>
          <w:tcPr>
            <w:tcW w:w="94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6"/>
                <w:szCs w:val="16"/>
                <w:color w:val="auto"/>
              </w:rPr>
              <w:t>$6.8B</w:t>
            </w:r>
          </w:p>
        </w:tc>
        <w:tc>
          <w:tcPr>
            <w:tcW w:w="94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6"/>
                <w:szCs w:val="16"/>
                <w:color w:val="auto"/>
              </w:rPr>
              <w:t>$8.5B</w:t>
            </w:r>
          </w:p>
        </w:tc>
        <w:tc>
          <w:tcPr>
            <w:tcW w:w="140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6"/>
                <w:szCs w:val="16"/>
                <w:color w:val="auto"/>
              </w:rPr>
              <w:t>$8.1B</w:t>
            </w:r>
          </w:p>
        </w:tc>
        <w:tc>
          <w:tcPr>
            <w:tcW w:w="134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2"/>
        </w:trPr>
        <w:tc>
          <w:tcPr>
            <w:tcW w:w="4700" w:type="dxa"/>
            <w:vAlign w:val="bottom"/>
            <w:tcBorders>
              <w:bottom w:val="single" w:sz="8" w:color="00249C"/>
            </w:tcBorders>
          </w:tcPr>
          <w:p>
            <w:pPr>
              <w:ind w:left="20"/>
              <w:spacing w:after="0"/>
              <w:rPr>
                <w:sz w:val="20"/>
                <w:szCs w:val="20"/>
                <w:color w:val="auto"/>
              </w:rPr>
            </w:pPr>
            <w:r>
              <w:rPr>
                <w:rFonts w:ascii="Arial" w:cs="Arial" w:eastAsia="Arial" w:hAnsi="Arial"/>
                <w:sz w:val="16"/>
                <w:szCs w:val="16"/>
                <w:b w:val="1"/>
                <w:bCs w:val="1"/>
                <w:color w:val="auto"/>
              </w:rPr>
              <w:t>RPSR Performance Factor</w:t>
            </w:r>
          </w:p>
        </w:tc>
        <w:tc>
          <w:tcPr>
            <w:tcW w:w="1000" w:type="dxa"/>
            <w:vAlign w:val="bottom"/>
            <w:tcBorders>
              <w:bottom w:val="single" w:sz="8" w:color="00249C"/>
            </w:tcBorders>
          </w:tcPr>
          <w:p>
            <w:pPr>
              <w:spacing w:after="0"/>
              <w:rPr>
                <w:sz w:val="18"/>
                <w:szCs w:val="18"/>
                <w:color w:val="auto"/>
              </w:rPr>
            </w:pPr>
          </w:p>
        </w:tc>
        <w:tc>
          <w:tcPr>
            <w:tcW w:w="920" w:type="dxa"/>
            <w:vAlign w:val="bottom"/>
            <w:tcBorders>
              <w:bottom w:val="single" w:sz="8" w:color="00249C"/>
            </w:tcBorders>
          </w:tcPr>
          <w:p>
            <w:pPr>
              <w:spacing w:after="0"/>
              <w:rPr>
                <w:sz w:val="18"/>
                <w:szCs w:val="18"/>
                <w:color w:val="auto"/>
              </w:rPr>
            </w:pPr>
          </w:p>
        </w:tc>
        <w:tc>
          <w:tcPr>
            <w:tcW w:w="940" w:type="dxa"/>
            <w:vAlign w:val="bottom"/>
            <w:tcBorders>
              <w:bottom w:val="single" w:sz="8" w:color="00249C"/>
            </w:tcBorders>
          </w:tcPr>
          <w:p>
            <w:pPr>
              <w:spacing w:after="0"/>
              <w:rPr>
                <w:sz w:val="18"/>
                <w:szCs w:val="18"/>
                <w:color w:val="auto"/>
              </w:rPr>
            </w:pPr>
          </w:p>
        </w:tc>
        <w:tc>
          <w:tcPr>
            <w:tcW w:w="940" w:type="dxa"/>
            <w:vAlign w:val="bottom"/>
            <w:tcBorders>
              <w:bottom w:val="single" w:sz="8" w:color="00249C"/>
            </w:tcBorders>
          </w:tcPr>
          <w:p>
            <w:pPr>
              <w:spacing w:after="0"/>
              <w:rPr>
                <w:sz w:val="18"/>
                <w:szCs w:val="18"/>
                <w:color w:val="auto"/>
              </w:rPr>
            </w:pPr>
          </w:p>
        </w:tc>
        <w:tc>
          <w:tcPr>
            <w:tcW w:w="1400" w:type="dxa"/>
            <w:vAlign w:val="bottom"/>
            <w:tcBorders>
              <w:bottom w:val="single" w:sz="8" w:color="00249C"/>
            </w:tcBorders>
          </w:tcPr>
          <w:p>
            <w:pPr>
              <w:spacing w:after="0"/>
              <w:rPr>
                <w:sz w:val="18"/>
                <w:szCs w:val="18"/>
                <w:color w:val="auto"/>
              </w:rPr>
            </w:pPr>
          </w:p>
        </w:tc>
        <w:tc>
          <w:tcPr>
            <w:tcW w:w="1340" w:type="dxa"/>
            <w:vAlign w:val="bottom"/>
            <w:tcBorders>
              <w:bottom w:val="single" w:sz="8" w:color="00249C"/>
            </w:tcBorders>
          </w:tcPr>
          <w:p>
            <w:pPr>
              <w:jc w:val="center"/>
              <w:spacing w:after="0"/>
              <w:rPr>
                <w:sz w:val="20"/>
                <w:szCs w:val="20"/>
                <w:color w:val="auto"/>
              </w:rPr>
            </w:pPr>
            <w:r>
              <w:rPr>
                <w:rFonts w:ascii="Arial" w:cs="Arial" w:eastAsia="Arial" w:hAnsi="Arial"/>
                <w:sz w:val="16"/>
                <w:szCs w:val="16"/>
                <w:b w:val="1"/>
                <w:bCs w:val="1"/>
                <w:color w:val="auto"/>
              </w:rPr>
              <w:t>105%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1240"/>
          </w:cols>
          <w:pgMar w:left="320" w:top="701" w:right="339" w:bottom="1440" w:gutter="0" w:footer="0" w:header="0"/>
        </w:sectPr>
      </w:pPr>
    </w:p>
    <w:bookmarkStart w:id="58" w:name="page59"/>
    <w:bookmarkEnd w:id="58"/>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5314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 xml:space="preserve">COMPENSATION DISCUSSION AND ANALYSIS | </w:t>
      </w:r>
      <w:r>
        <w:rPr>
          <w:rFonts w:ascii="Arial" w:cs="Arial" w:eastAsia="Arial" w:hAnsi="Arial"/>
          <w:sz w:val="17"/>
          <w:szCs w:val="17"/>
          <w:b w:val="1"/>
          <w:bCs w:val="1"/>
          <w:color w:val="FFFFFF"/>
        </w:rPr>
        <w:t>KEY COMPONENTS OF OUR PROGRAMS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February 2021, the Compensation Committee reviewed performance for the January 1, 2018 to December 31, 2020 RPSR performance period. The combined weighted score for the metrics generated an overall performance score of 105% (excluding the impact of legacy Innovation Systems as detailed in "Appendix A - Use of Non-GAAP Financial Measures").</w:t>
      </w:r>
    </w:p>
    <w:p>
      <w:pPr>
        <w:spacing w:after="0" w:line="80"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In February 2021, the NEOs received payouts in stock with respect to the outstanding RPSR awards that were granted in February 2018 for the three-year performance period ending December 31, 2020 (as described further in footnote 3 to the Outstanding Equity Awards Table on page 61).</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This section describes other benefits the NEOs receive. These benefits are not performance related and are designed to provide a competitive package for purposes of attracting and retaining the executive talent needed to achieve our business objectives. These benefits include retirement benefits, certain perquisites and severance arrangements.</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Retirement Benefits</w:t>
      </w:r>
    </w:p>
    <w:p>
      <w:pPr>
        <w:spacing w:after="0" w:line="1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maintain tax-qualified retirement plans (both defined benefit pension plans and defined contribution savings plans) that cover most of our workforce, including the NEOs. We also maintain nonqualified retirement plans that are available to our NEOs, which are designed to restore benefits that were limited under the tax-qualified plans or to provide supplemental benefits. Compensation, age and years of service factor into the amount of benefits provided under the plans. Thus, the plans are structured to reward and retain employees of long service and recognize higher performance levels as evidenced by increases in annual pay. Additional information about these retirement plans and the NEO benefits under these plans can be found in the Pension Benefits Table and Nonqualified Deferred Compensation Table, on pages 63 and 68, respectively.</w:t>
      </w:r>
    </w:p>
    <w:p>
      <w:pPr>
        <w:spacing w:after="0" w:line="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Compensation Committee assesses aggregate benefits available to the NEOs and has previously imposed an overall cap, generally limited to no more than 60% of final average pay, on pension benefits for the NEOs (except for small variations due to contractual restrictions under the plans). The nonqualified supplemental defined benefit plans in which our NEOs participate were frozen as to pay and service as of December 31, 2014.</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Perquisites</w:t>
      </w:r>
    </w:p>
    <w:p>
      <w:pPr>
        <w:spacing w:after="0" w:line="10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NEOs are eligible for certain limited executive perquisites that include financial planning, income tax preparation, physical exams and personal liability insurance. The Compensation Committee believes these perquisites are common within the competitive market for total compensation packages for executives and are useful in attracting, retaining and motivating talented executives. Perquisites provided to the NEOs in 2020 are detailed in the Summary Compensation Table on page 58.</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Security Arrangements</w:t>
      </w:r>
    </w:p>
    <w:p>
      <w:pPr>
        <w:spacing w:after="0" w:line="12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Given the nature of our business, we maintain a comprehensive security program. As a component of that program, we provide residential and/or travel protection that we consider necessary to address our security requirements. In selecting the level and form of protection, we and the Board consider security risks faced by those in our industry in general and security risks specific to our Company and its individuals. Based on security threat information obtained and an ongoing dialogue with law enforcement and security specialists, the Board has required that Ms. Warden and other NEOs receive varying levels of residential and travel protection.</w:t>
      </w:r>
    </w:p>
    <w:p>
      <w:pPr>
        <w:spacing w:after="0" w:line="70"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Since we require this protection under a comprehensive security program and it is not designed to provide a personal benefit (other than the intended security), we do not view these security arrangements as compensation to the individuals. We report these security arrangements as perquisites as required under applicable SEC rules. In addition, we report them as taxable compensation to the individuals if they are not excludable from income as working condition fringe benefits under Section 132 of the Internal Revenue Code.</w:t>
      </w:r>
    </w:p>
    <w:p>
      <w:pPr>
        <w:spacing w:after="0" w:line="8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Board has determined that the CEO should avoid traveling by commercial aircraft for purposes of security, rapid availability and communications connectivity during travel, and should use Company-provided aircraft for all air travel. If, as a result, the CEO uses Company-provided aircraft for personal travel, the costs of such travel are imputed as income and are subject to the appropriate tax reporting according to Internal Revenue Code regulations.</w:t>
      </w:r>
    </w:p>
    <w:p>
      <w:pPr>
        <w:spacing w:after="0" w:line="82"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We regularly review the nature of the security threat and associated vulnerabilities with law enforcement and security specialists and will continue to revise our security program as appropriate.</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53</w:t>
      </w:r>
    </w:p>
    <w:p>
      <w:pPr>
        <w:sectPr>
          <w:pgSz w:w="11900" w:h="16838" w:orient="portrait"/>
          <w:cols w:equalWidth="0" w:num="1">
            <w:col w:w="11240"/>
          </w:cols>
          <w:pgMar w:left="320" w:top="701" w:right="339" w:bottom="1440" w:gutter="0" w:footer="0" w:header="0"/>
        </w:sectPr>
      </w:pPr>
    </w:p>
    <w:bookmarkStart w:id="59" w:name="page60"/>
    <w:bookmarkEnd w:id="59"/>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5314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 xml:space="preserve">COMPENSATION DISCUSSION AND ANALYSIS | </w:t>
      </w:r>
      <w:r>
        <w:rPr>
          <w:rFonts w:ascii="Arial" w:cs="Arial" w:eastAsia="Arial" w:hAnsi="Arial"/>
          <w:sz w:val="17"/>
          <w:szCs w:val="17"/>
          <w:b w:val="1"/>
          <w:bCs w:val="1"/>
          <w:color w:val="FFFFFF"/>
        </w:rPr>
        <w:t>KEY COMPONENTS OF OUR PROGRAMS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Severance Benefits</w:t>
      </w:r>
    </w:p>
    <w:p>
      <w:pPr>
        <w:spacing w:after="0" w:line="121"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We maintain the Severance Plan for Elected and Appointed Officers of Northrop Grumman Corporation (Severance Plan), which is available to Ms. Warden and other NEOs who qualify and are approved to receive such benefits. The purpose of the Severance Plan is to help bridge the gap in an executive's income and health coverage during a period of unemployment following termination, and to ensure certain benefits for the Company.</w:t>
      </w:r>
    </w:p>
    <w:p>
      <w:pPr>
        <w:spacing w:after="0" w:line="82"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We do not maintain any change in control (CIC) severance plans. In addition, we do not provide excise tax gross-ups for any payments received upon termination after a change in control.</w:t>
      </w:r>
    </w:p>
    <w:p>
      <w:pPr>
        <w:spacing w:after="0" w:line="6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Upon a "qualifying termination" (defined below) the Company will provide severance benefits to eligible NEOs under the Severance Plan. Provided the NEO signs a release and agrees to certain restrictions, he or she may receive: (i) a lump sum severance benefit equal to one and one-half times annual base salary and target bonus, (ii) a prorated performance bonus for the year of termination, (iii) continued medical and dental coverage for the eighteen-month severance period, (iv) income tax preparation/financial planning fees for the year of termination and the following year and (v) outplacement expenses up to 15% of salary, all subject to management approval. The cost of providing continued medical and dental coverage is based upon current premium costs. The cost of providing income tax preparation and financial planning is capped for the year of termination and for the year following termination. The annual cap for the CEO is $30,000 and for the rest of the NEOs is $18,500.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 "qualifying termination" includes one of the following:</w:t>
      </w:r>
    </w:p>
    <w:p>
      <w:pPr>
        <w:spacing w:after="0" w:line="81" w:lineRule="exact"/>
        <w:rPr>
          <w:sz w:val="20"/>
          <w:szCs w:val="20"/>
          <w:color w:val="auto"/>
        </w:rPr>
      </w:pPr>
    </w:p>
    <w:p>
      <w:pPr>
        <w:ind w:left="300" w:hanging="292"/>
        <w:spacing w:after="0"/>
        <w:tabs>
          <w:tab w:leader="none" w:pos="300" w:val="left"/>
        </w:tabs>
        <w:numPr>
          <w:ilvl w:val="0"/>
          <w:numId w:val="62"/>
        </w:numPr>
        <w:rPr>
          <w:rFonts w:ascii="Arial" w:cs="Arial" w:eastAsia="Arial" w:hAnsi="Arial"/>
          <w:sz w:val="22"/>
          <w:szCs w:val="22"/>
          <w:color w:val="00249C"/>
        </w:rPr>
      </w:pPr>
      <w:r>
        <w:rPr>
          <w:rFonts w:ascii="Arial" w:cs="Arial" w:eastAsia="Arial" w:hAnsi="Arial"/>
          <w:sz w:val="18"/>
          <w:szCs w:val="18"/>
          <w:color w:val="auto"/>
        </w:rPr>
        <w:t>involuntary termination, other than for cause or mandatory retirement; or</w:t>
      </w:r>
    </w:p>
    <w:p>
      <w:pPr>
        <w:spacing w:after="0" w:line="44" w:lineRule="exact"/>
        <w:rPr>
          <w:rFonts w:ascii="Arial" w:cs="Arial" w:eastAsia="Arial" w:hAnsi="Arial"/>
          <w:sz w:val="22"/>
          <w:szCs w:val="22"/>
          <w:color w:val="00249C"/>
        </w:rPr>
      </w:pPr>
    </w:p>
    <w:p>
      <w:pPr>
        <w:ind w:left="300" w:hanging="292"/>
        <w:spacing w:after="0"/>
        <w:tabs>
          <w:tab w:leader="none" w:pos="300" w:val="left"/>
        </w:tabs>
        <w:numPr>
          <w:ilvl w:val="0"/>
          <w:numId w:val="62"/>
        </w:numPr>
        <w:rPr>
          <w:rFonts w:ascii="Arial" w:cs="Arial" w:eastAsia="Arial" w:hAnsi="Arial"/>
          <w:sz w:val="22"/>
          <w:szCs w:val="22"/>
          <w:color w:val="00249C"/>
        </w:rPr>
      </w:pPr>
      <w:r>
        <w:rPr>
          <w:rFonts w:ascii="Arial" w:cs="Arial" w:eastAsia="Arial" w:hAnsi="Arial"/>
          <w:sz w:val="18"/>
          <w:szCs w:val="18"/>
          <w:color w:val="auto"/>
        </w:rPr>
        <w:t>election to terminate in lieu of accepting a downgrade to a non-officer position (i.e., good reason).</w:t>
      </w:r>
    </w:p>
    <w:p>
      <w:pPr>
        <w:spacing w:after="0" w:line="39" w:lineRule="exact"/>
        <w:rPr>
          <w:rFonts w:ascii="Arial" w:cs="Arial" w:eastAsia="Arial" w:hAnsi="Arial"/>
          <w:sz w:val="22"/>
          <w:szCs w:val="22"/>
          <w:color w:val="00249C"/>
        </w:rPr>
      </w:pPr>
    </w:p>
    <w:p>
      <w:pPr>
        <w:spacing w:after="0"/>
        <w:rPr>
          <w:rFonts w:ascii="Arial" w:cs="Arial" w:eastAsia="Arial" w:hAnsi="Arial"/>
          <w:sz w:val="22"/>
          <w:szCs w:val="22"/>
          <w:color w:val="00249C"/>
        </w:rPr>
      </w:pPr>
      <w:r>
        <w:rPr>
          <w:rFonts w:ascii="Arial" w:cs="Arial" w:eastAsia="Arial" w:hAnsi="Arial"/>
          <w:sz w:val="20"/>
          <w:szCs w:val="20"/>
          <w:b w:val="1"/>
          <w:bCs w:val="1"/>
          <w:color w:val="auto"/>
        </w:rPr>
        <w:t>Change in Control Benefits</w:t>
      </w:r>
    </w:p>
    <w:p>
      <w:pPr>
        <w:spacing w:after="0" w:line="9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We do not maintain separate CIC programs or agreements. The only CIC benefits available to the NEOs are those described in the terms and conditions of the grants under the 2011 Long-Term Incentive Stock Plan (2011 Plan).</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Ownership Guidelines</w:t>
      </w:r>
    </w:p>
    <w:p>
      <w:pPr>
        <w:spacing w:after="0" w:line="12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maintain stock ownership guidelines for our NEOs to further promote alignment of management and shareholder interests. These guidelines require that NEOs own Company stock with a value denominated as a multiple of their annual salaries, which can be accumulated over a five-year period from the date of hire or promotion into an elected officer position.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guidelines are as follows:</w:t>
      </w:r>
    </w:p>
    <w:p>
      <w:pPr>
        <w:spacing w:after="0" w:line="131" w:lineRule="exact"/>
        <w:rPr>
          <w:sz w:val="20"/>
          <w:szCs w:val="20"/>
          <w:color w:val="auto"/>
        </w:rPr>
      </w:pPr>
    </w:p>
    <w:tbl>
      <w:tblPr>
        <w:tblLayout w:type="fixed"/>
        <w:tblInd w:w="760" w:type="dxa"/>
        <w:tblCellMar>
          <w:top w:w="0" w:type="dxa"/>
          <w:left w:w="0" w:type="dxa"/>
          <w:bottom w:w="0" w:type="dxa"/>
          <w:right w:w="0" w:type="dxa"/>
        </w:tblCellMar>
      </w:tblPr>
      <w:tr>
        <w:trPr>
          <w:trHeight w:val="243"/>
        </w:trPr>
        <w:tc>
          <w:tcPr>
            <w:tcW w:w="4860" w:type="dxa"/>
            <w:vAlign w:val="bottom"/>
            <w:shd w:val="clear" w:color="auto" w:fill="00249C"/>
          </w:tcPr>
          <w:p>
            <w:pPr>
              <w:ind w:left="20"/>
              <w:spacing w:after="0"/>
              <w:rPr>
                <w:sz w:val="20"/>
                <w:szCs w:val="20"/>
                <w:color w:val="auto"/>
              </w:rPr>
            </w:pPr>
            <w:r>
              <w:rPr>
                <w:rFonts w:ascii="Arial" w:cs="Arial" w:eastAsia="Arial" w:hAnsi="Arial"/>
                <w:sz w:val="16"/>
                <w:szCs w:val="16"/>
                <w:b w:val="1"/>
                <w:bCs w:val="1"/>
                <w:color w:val="FFFFFF"/>
              </w:rPr>
              <w:t>Position</w:t>
            </w:r>
          </w:p>
        </w:tc>
        <w:tc>
          <w:tcPr>
            <w:tcW w:w="4880" w:type="dxa"/>
            <w:vAlign w:val="bottom"/>
            <w:shd w:val="clear" w:color="auto" w:fill="00249C"/>
          </w:tcPr>
          <w:p>
            <w:pPr>
              <w:jc w:val="center"/>
              <w:spacing w:after="0"/>
              <w:rPr>
                <w:sz w:val="20"/>
                <w:szCs w:val="20"/>
                <w:color w:val="auto"/>
              </w:rPr>
            </w:pPr>
            <w:r>
              <w:rPr>
                <w:rFonts w:ascii="Arial" w:cs="Arial" w:eastAsia="Arial" w:hAnsi="Arial"/>
                <w:sz w:val="16"/>
                <w:szCs w:val="16"/>
                <w:b w:val="1"/>
                <w:bCs w:val="1"/>
                <w:color w:val="FFFFFF"/>
              </w:rPr>
              <w:t>Stock Value as a Multiple of Base Salary</w:t>
            </w:r>
          </w:p>
        </w:tc>
        <w:tc>
          <w:tcPr>
            <w:tcW w:w="20" w:type="dxa"/>
            <w:vAlign w:val="bottom"/>
            <w:shd w:val="clear" w:color="auto" w:fill="00249C"/>
          </w:tcPr>
          <w:p>
            <w:pPr>
              <w:spacing w:after="0"/>
              <w:rPr>
                <w:sz w:val="21"/>
                <w:szCs w:val="21"/>
                <w:color w:val="auto"/>
              </w:rPr>
            </w:pPr>
          </w:p>
        </w:tc>
      </w:tr>
      <w:tr>
        <w:trPr>
          <w:trHeight w:val="216"/>
        </w:trPr>
        <w:tc>
          <w:tcPr>
            <w:tcW w:w="4860" w:type="dxa"/>
            <w:vAlign w:val="bottom"/>
            <w:shd w:val="clear" w:color="auto" w:fill="CCD4DB"/>
          </w:tcPr>
          <w:p>
            <w:pPr>
              <w:ind w:left="20"/>
              <w:spacing w:after="0"/>
              <w:rPr>
                <w:sz w:val="20"/>
                <w:szCs w:val="20"/>
                <w:color w:val="auto"/>
              </w:rPr>
            </w:pPr>
            <w:r>
              <w:rPr>
                <w:rFonts w:ascii="Arial" w:cs="Arial" w:eastAsia="Arial" w:hAnsi="Arial"/>
                <w:sz w:val="16"/>
                <w:szCs w:val="16"/>
                <w:color w:val="auto"/>
              </w:rPr>
              <w:t>Chairman and Chief Executive Officer</w:t>
            </w:r>
          </w:p>
        </w:tc>
        <w:tc>
          <w:tcPr>
            <w:tcW w:w="4880" w:type="dxa"/>
            <w:vAlign w:val="bottom"/>
            <w:shd w:val="clear" w:color="auto" w:fill="CCD4DB"/>
          </w:tcPr>
          <w:p>
            <w:pPr>
              <w:jc w:val="center"/>
              <w:spacing w:after="0"/>
              <w:rPr>
                <w:sz w:val="20"/>
                <w:szCs w:val="20"/>
                <w:color w:val="auto"/>
              </w:rPr>
            </w:pPr>
            <w:r>
              <w:rPr>
                <w:rFonts w:ascii="Arial" w:cs="Arial" w:eastAsia="Arial" w:hAnsi="Arial"/>
                <w:sz w:val="16"/>
                <w:szCs w:val="16"/>
                <w:color w:val="auto"/>
              </w:rPr>
              <w:t>7x base salary</w:t>
            </w:r>
          </w:p>
        </w:tc>
        <w:tc>
          <w:tcPr>
            <w:tcW w:w="20" w:type="dxa"/>
            <w:vAlign w:val="bottom"/>
          </w:tcPr>
          <w:p>
            <w:pPr>
              <w:spacing w:after="0"/>
              <w:rPr>
                <w:sz w:val="18"/>
                <w:szCs w:val="18"/>
                <w:color w:val="auto"/>
              </w:rPr>
            </w:pPr>
          </w:p>
        </w:tc>
      </w:tr>
      <w:tr>
        <w:trPr>
          <w:trHeight w:val="213"/>
        </w:trPr>
        <w:tc>
          <w:tcPr>
            <w:tcW w:w="4860" w:type="dxa"/>
            <w:vAlign w:val="bottom"/>
            <w:tcBorders>
              <w:bottom w:val="single" w:sz="8" w:color="00249C"/>
            </w:tcBorders>
          </w:tcPr>
          <w:p>
            <w:pPr>
              <w:ind w:left="20"/>
              <w:spacing w:after="0"/>
              <w:rPr>
                <w:sz w:val="20"/>
                <w:szCs w:val="20"/>
                <w:color w:val="auto"/>
              </w:rPr>
            </w:pPr>
            <w:r>
              <w:rPr>
                <w:rFonts w:ascii="Arial" w:cs="Arial" w:eastAsia="Arial" w:hAnsi="Arial"/>
                <w:sz w:val="16"/>
                <w:szCs w:val="16"/>
                <w:color w:val="auto"/>
              </w:rPr>
              <w:t>Other NEOs</w:t>
            </w:r>
          </w:p>
        </w:tc>
        <w:tc>
          <w:tcPr>
            <w:tcW w:w="4880" w:type="dxa"/>
            <w:vAlign w:val="bottom"/>
            <w:tcBorders>
              <w:bottom w:val="single" w:sz="8" w:color="00249C"/>
            </w:tcBorders>
          </w:tcPr>
          <w:p>
            <w:pPr>
              <w:jc w:val="center"/>
              <w:spacing w:after="0"/>
              <w:rPr>
                <w:sz w:val="20"/>
                <w:szCs w:val="20"/>
                <w:color w:val="auto"/>
              </w:rPr>
            </w:pPr>
            <w:r>
              <w:rPr>
                <w:rFonts w:ascii="Arial" w:cs="Arial" w:eastAsia="Arial" w:hAnsi="Arial"/>
                <w:sz w:val="16"/>
                <w:szCs w:val="16"/>
                <w:color w:val="auto"/>
              </w:rPr>
              <w:t>3x base salary</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Shares that satisfy the stock ownership guidelines include:</w:t>
      </w:r>
    </w:p>
    <w:p>
      <w:pPr>
        <w:spacing w:after="0" w:line="81" w:lineRule="exact"/>
        <w:rPr>
          <w:sz w:val="20"/>
          <w:szCs w:val="20"/>
          <w:color w:val="auto"/>
        </w:rPr>
      </w:pPr>
    </w:p>
    <w:p>
      <w:pPr>
        <w:ind w:left="300" w:hanging="292"/>
        <w:spacing w:after="0"/>
        <w:tabs>
          <w:tab w:leader="none" w:pos="300" w:val="left"/>
        </w:tabs>
        <w:numPr>
          <w:ilvl w:val="0"/>
          <w:numId w:val="63"/>
        </w:numPr>
        <w:rPr>
          <w:rFonts w:ascii="Arial" w:cs="Arial" w:eastAsia="Arial" w:hAnsi="Arial"/>
          <w:sz w:val="22"/>
          <w:szCs w:val="22"/>
          <w:color w:val="00249C"/>
        </w:rPr>
      </w:pPr>
      <w:r>
        <w:rPr>
          <w:rFonts w:ascii="Arial" w:cs="Arial" w:eastAsia="Arial" w:hAnsi="Arial"/>
          <w:sz w:val="18"/>
          <w:szCs w:val="18"/>
          <w:color w:val="auto"/>
        </w:rPr>
        <w:t>Company stock owned outright;</w:t>
      </w:r>
    </w:p>
    <w:p>
      <w:pPr>
        <w:spacing w:after="0" w:line="44" w:lineRule="exact"/>
        <w:rPr>
          <w:rFonts w:ascii="Arial" w:cs="Arial" w:eastAsia="Arial" w:hAnsi="Arial"/>
          <w:sz w:val="22"/>
          <w:szCs w:val="22"/>
          <w:color w:val="00249C"/>
        </w:rPr>
      </w:pPr>
    </w:p>
    <w:p>
      <w:pPr>
        <w:ind w:left="300" w:hanging="292"/>
        <w:spacing w:after="0"/>
        <w:tabs>
          <w:tab w:leader="none" w:pos="300" w:val="left"/>
        </w:tabs>
        <w:numPr>
          <w:ilvl w:val="0"/>
          <w:numId w:val="63"/>
        </w:numPr>
        <w:rPr>
          <w:rFonts w:ascii="Arial" w:cs="Arial" w:eastAsia="Arial" w:hAnsi="Arial"/>
          <w:sz w:val="22"/>
          <w:szCs w:val="22"/>
          <w:color w:val="00249C"/>
        </w:rPr>
      </w:pPr>
      <w:r>
        <w:rPr>
          <w:rFonts w:ascii="Arial" w:cs="Arial" w:eastAsia="Arial" w:hAnsi="Arial"/>
          <w:sz w:val="18"/>
          <w:szCs w:val="18"/>
          <w:color w:val="auto"/>
        </w:rPr>
        <w:t>unvested RSRs; and</w:t>
      </w:r>
    </w:p>
    <w:p>
      <w:pPr>
        <w:spacing w:after="0" w:line="57" w:lineRule="exact"/>
        <w:rPr>
          <w:rFonts w:ascii="Arial" w:cs="Arial" w:eastAsia="Arial" w:hAnsi="Arial"/>
          <w:sz w:val="22"/>
          <w:szCs w:val="22"/>
          <w:color w:val="00249C"/>
        </w:rPr>
      </w:pPr>
    </w:p>
    <w:p>
      <w:pPr>
        <w:ind w:left="300" w:hanging="292"/>
        <w:spacing w:after="0"/>
        <w:tabs>
          <w:tab w:leader="none" w:pos="300" w:val="left"/>
        </w:tabs>
        <w:numPr>
          <w:ilvl w:val="0"/>
          <w:numId w:val="63"/>
        </w:numPr>
        <w:rPr>
          <w:rFonts w:ascii="Arial" w:cs="Arial" w:eastAsia="Arial" w:hAnsi="Arial"/>
          <w:sz w:val="22"/>
          <w:szCs w:val="22"/>
          <w:color w:val="00249C"/>
        </w:rPr>
      </w:pPr>
      <w:r>
        <w:rPr>
          <w:rFonts w:ascii="Arial" w:cs="Arial" w:eastAsia="Arial" w:hAnsi="Arial"/>
          <w:sz w:val="18"/>
          <w:szCs w:val="18"/>
          <w:color w:val="auto"/>
        </w:rPr>
        <w:t>the value of shares held in the Northrop Grumman Savings Plan or Northrop Grumman Financial Security and Savings Program.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Unvested RPSRs are not included in calculating ownership until they are converted to actual shares owned.</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Compensation Committee reviews compliance with our stock ownership guidelines on an annual basis. As of December 31, 2020, all NEOs were in compliance with the ownership guidelines. The Compensation Committee continues to monitor compliance and will conduct a full review again in 2021.</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Holding Requirements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holding period requirements for payouts from long-term incentive grants, further emphasizing the importance of sustainable performance and appropriate risk-management behaviors. Under this policy, NEOs are required to hold, for a period of three years, 50% of their net after-tax shares received from RPSR distributions and RSR vestings. These restrictions generally continue following termination and retirement; however, shares acquired from RPSR distributions more than one year after separation from the Company are not subject to the holding requirement.</w:t>
      </w:r>
    </w:p>
    <w:p>
      <w:pPr>
        <w:sectPr>
          <w:pgSz w:w="11900" w:h="16838" w:orient="portrait"/>
          <w:cols w:equalWidth="0" w:num="1">
            <w:col w:w="11220"/>
          </w:cols>
          <w:pgMar w:left="320" w:top="701" w:right="35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1220"/>
          </w:cols>
          <w:pgMar w:left="320" w:top="701" w:right="359" w:bottom="1440" w:gutter="0" w:footer="0" w:header="0"/>
          <w:type w:val="continuous"/>
        </w:sectPr>
      </w:pPr>
    </w:p>
    <w:bookmarkStart w:id="60" w:name="page61"/>
    <w:bookmarkEnd w:id="60"/>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5314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 xml:space="preserve">COMPENSATION DISCUSSION AND ANALYSIS | </w:t>
      </w:r>
      <w:r>
        <w:rPr>
          <w:rFonts w:ascii="Arial" w:cs="Arial" w:eastAsia="Arial" w:hAnsi="Arial"/>
          <w:sz w:val="17"/>
          <w:szCs w:val="17"/>
          <w:b w:val="1"/>
          <w:bCs w:val="1"/>
          <w:color w:val="FFFFFF"/>
        </w:rPr>
        <w:t>KEY COMPONENTS OF OUR PROGRAMS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Anti-Hedging and Pledging Policy</w:t>
      </w:r>
    </w:p>
    <w:p>
      <w:pPr>
        <w:spacing w:after="0" w:line="12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Company policy prohibits our NEOs and other elected officers from hedging or entering into margin transactions involving Company stock, and pledging Company securities as collateral for loans or other transactions. Additional information about our policy can be found in "Compensation of Directors - Stock Ownership Requirements and Anti-Hedging and Pledging Policy" on page 30.</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Recoupment Policy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recoupment policy provides that:</w:t>
      </w:r>
    </w:p>
    <w:p>
      <w:pPr>
        <w:spacing w:after="0" w:line="144" w:lineRule="exact"/>
        <w:rPr>
          <w:sz w:val="20"/>
          <w:szCs w:val="20"/>
          <w:color w:val="auto"/>
        </w:rPr>
      </w:pPr>
    </w:p>
    <w:p>
      <w:pPr>
        <w:ind w:left="340" w:right="160" w:hanging="332"/>
        <w:spacing w:after="0" w:line="225" w:lineRule="auto"/>
        <w:tabs>
          <w:tab w:leader="none" w:pos="308" w:val="left"/>
        </w:tabs>
        <w:numPr>
          <w:ilvl w:val="0"/>
          <w:numId w:val="64"/>
        </w:numPr>
        <w:rPr>
          <w:rFonts w:ascii="Arial" w:cs="Arial" w:eastAsia="Arial" w:hAnsi="Arial"/>
          <w:sz w:val="22"/>
          <w:szCs w:val="22"/>
          <w:color w:val="00249C"/>
        </w:rPr>
      </w:pPr>
      <w:r>
        <w:rPr>
          <w:rFonts w:ascii="Arial" w:cs="Arial" w:eastAsia="Arial" w:hAnsi="Arial"/>
          <w:sz w:val="18"/>
          <w:szCs w:val="18"/>
          <w:color w:val="auto"/>
        </w:rPr>
        <w:t>the Board has discretion to recoup incentive compensation paid to an elected officer in the event of a restatement or if an elected officer engages in illegal conduct that causes significant financial or reputational harm to the Company;</w:t>
      </w:r>
    </w:p>
    <w:p>
      <w:pPr>
        <w:spacing w:after="0" w:line="135" w:lineRule="exact"/>
        <w:rPr>
          <w:rFonts w:ascii="Arial" w:cs="Arial" w:eastAsia="Arial" w:hAnsi="Arial"/>
          <w:sz w:val="22"/>
          <w:szCs w:val="22"/>
          <w:color w:val="00249C"/>
        </w:rPr>
      </w:pPr>
    </w:p>
    <w:p>
      <w:pPr>
        <w:ind w:left="340" w:right="240" w:hanging="332"/>
        <w:spacing w:after="0" w:line="225" w:lineRule="auto"/>
        <w:tabs>
          <w:tab w:leader="none" w:pos="308" w:val="left"/>
        </w:tabs>
        <w:numPr>
          <w:ilvl w:val="0"/>
          <w:numId w:val="64"/>
        </w:numPr>
        <w:rPr>
          <w:rFonts w:ascii="Arial" w:cs="Arial" w:eastAsia="Arial" w:hAnsi="Arial"/>
          <w:sz w:val="22"/>
          <w:szCs w:val="22"/>
          <w:color w:val="00249C"/>
        </w:rPr>
      </w:pPr>
      <w:r>
        <w:rPr>
          <w:rFonts w:ascii="Arial" w:cs="Arial" w:eastAsia="Arial" w:hAnsi="Arial"/>
          <w:sz w:val="18"/>
          <w:szCs w:val="18"/>
          <w:color w:val="auto"/>
        </w:rPr>
        <w:t>the Board has discretion to recoup incentive compensation paid to the elected officer in the event the elected officer fails to report such misconduct of another, or is grossly negligent in fulfilling his or her supervisory responsibilities to prevent such misconduct; and</w:t>
      </w:r>
    </w:p>
    <w:p>
      <w:pPr>
        <w:spacing w:after="0" w:line="122" w:lineRule="exact"/>
        <w:rPr>
          <w:rFonts w:ascii="Arial" w:cs="Arial" w:eastAsia="Arial" w:hAnsi="Arial"/>
          <w:sz w:val="22"/>
          <w:szCs w:val="22"/>
          <w:color w:val="00249C"/>
        </w:rPr>
      </w:pPr>
    </w:p>
    <w:p>
      <w:pPr>
        <w:ind w:left="340" w:right="860" w:hanging="332"/>
        <w:spacing w:after="0" w:line="225" w:lineRule="auto"/>
        <w:tabs>
          <w:tab w:leader="none" w:pos="308" w:val="left"/>
        </w:tabs>
        <w:numPr>
          <w:ilvl w:val="0"/>
          <w:numId w:val="64"/>
        </w:numPr>
        <w:rPr>
          <w:rFonts w:ascii="Arial" w:cs="Arial" w:eastAsia="Arial" w:hAnsi="Arial"/>
          <w:sz w:val="22"/>
          <w:szCs w:val="22"/>
          <w:color w:val="00249C"/>
        </w:rPr>
      </w:pPr>
      <w:r>
        <w:rPr>
          <w:rFonts w:ascii="Arial" w:cs="Arial" w:eastAsia="Arial" w:hAnsi="Arial"/>
          <w:sz w:val="18"/>
          <w:szCs w:val="18"/>
          <w:color w:val="auto"/>
        </w:rPr>
        <w:t>the CEO has discretion to recoup under similar circumstances incentive compensation provided to non-elected officers or other employees.</w:t>
      </w:r>
    </w:p>
    <w:p>
      <w:pPr>
        <w:spacing w:after="0" w:line="95"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The Company’s recoupment policy applies to a three-year look back of performance-based short- or long-term, cash or equity incentive payments. It provides for certain disclosure in the event of recoupment, consistent with SEC and other legal requirements.</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Management</w:t>
      </w:r>
    </w:p>
    <w:p>
      <w:pPr>
        <w:spacing w:after="0" w:line="107"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The Compensation Committee annually reviews our compensation program and together with the independent Compensation Consultant assesses potential compensation-related risks to the Company. Based on this assessment for 2020, the Compensation Committee determined that the risk profile is appropriate and substantial risk management features are incorporated into our compensation program. This determination reflects the following conclusions from the detailed risk assessment:</w:t>
      </w:r>
    </w:p>
    <w:p>
      <w:pPr>
        <w:spacing w:after="0" w:line="123" w:lineRule="exact"/>
        <w:rPr>
          <w:sz w:val="20"/>
          <w:szCs w:val="20"/>
          <w:color w:val="auto"/>
        </w:rPr>
      </w:pPr>
    </w:p>
    <w:p>
      <w:pPr>
        <w:ind w:left="340" w:right="320" w:hanging="332"/>
        <w:spacing w:after="0" w:line="233" w:lineRule="auto"/>
        <w:tabs>
          <w:tab w:leader="none" w:pos="308" w:val="left"/>
        </w:tabs>
        <w:numPr>
          <w:ilvl w:val="0"/>
          <w:numId w:val="65"/>
        </w:numPr>
        <w:rPr>
          <w:rFonts w:ascii="Arial" w:cs="Arial" w:eastAsia="Arial" w:hAnsi="Arial"/>
          <w:sz w:val="22"/>
          <w:szCs w:val="22"/>
          <w:color w:val="00249C"/>
        </w:rPr>
      </w:pPr>
      <w:r>
        <w:rPr>
          <w:rFonts w:ascii="Arial" w:cs="Arial" w:eastAsia="Arial" w:hAnsi="Arial"/>
          <w:sz w:val="18"/>
          <w:szCs w:val="18"/>
          <w:color w:val="auto"/>
        </w:rPr>
        <w:t>there is appropriate balance to mitigate compensation-related risk in the executive compensation program's design between fixed and variable pay, cash and stock components, short- and long-term measures, financial and non-financial measures, and formulaic and discretionary decisions;</w:t>
      </w:r>
    </w:p>
    <w:p>
      <w:pPr>
        <w:spacing w:after="0" w:line="135" w:lineRule="exact"/>
        <w:rPr>
          <w:rFonts w:ascii="Arial" w:cs="Arial" w:eastAsia="Arial" w:hAnsi="Arial"/>
          <w:sz w:val="22"/>
          <w:szCs w:val="22"/>
          <w:color w:val="00249C"/>
        </w:rPr>
      </w:pPr>
    </w:p>
    <w:p>
      <w:pPr>
        <w:ind w:left="340" w:right="40" w:hanging="332"/>
        <w:spacing w:after="0" w:line="233" w:lineRule="auto"/>
        <w:tabs>
          <w:tab w:leader="none" w:pos="308" w:val="left"/>
        </w:tabs>
        <w:numPr>
          <w:ilvl w:val="0"/>
          <w:numId w:val="65"/>
        </w:numPr>
        <w:rPr>
          <w:rFonts w:ascii="Arial" w:cs="Arial" w:eastAsia="Arial" w:hAnsi="Arial"/>
          <w:sz w:val="22"/>
          <w:szCs w:val="22"/>
          <w:color w:val="00249C"/>
        </w:rPr>
      </w:pPr>
      <w:r>
        <w:rPr>
          <w:rFonts w:ascii="Arial" w:cs="Arial" w:eastAsia="Arial" w:hAnsi="Arial"/>
          <w:sz w:val="18"/>
          <w:szCs w:val="18"/>
          <w:color w:val="auto"/>
        </w:rPr>
        <w:t>there are appropriate policies in place to mitigate compensation-related risk, including the Compensation Committee's and its advisor's independence, transparent disclosure, officer stock ownership guidelines and holding period requirements, and hedging and recoupment policies; and</w:t>
      </w:r>
    </w:p>
    <w:p>
      <w:pPr>
        <w:spacing w:after="0" w:line="85" w:lineRule="exact"/>
        <w:rPr>
          <w:rFonts w:ascii="Arial" w:cs="Arial" w:eastAsia="Arial" w:hAnsi="Arial"/>
          <w:sz w:val="22"/>
          <w:szCs w:val="22"/>
          <w:color w:val="00249C"/>
        </w:rPr>
      </w:pPr>
    </w:p>
    <w:p>
      <w:pPr>
        <w:ind w:left="300" w:hanging="292"/>
        <w:spacing w:after="0"/>
        <w:tabs>
          <w:tab w:leader="none" w:pos="300" w:val="left"/>
        </w:tabs>
        <w:numPr>
          <w:ilvl w:val="0"/>
          <w:numId w:val="65"/>
        </w:numPr>
        <w:rPr>
          <w:rFonts w:ascii="Arial" w:cs="Arial" w:eastAsia="Arial" w:hAnsi="Arial"/>
          <w:sz w:val="22"/>
          <w:szCs w:val="22"/>
          <w:color w:val="00249C"/>
        </w:rPr>
      </w:pPr>
      <w:r>
        <w:rPr>
          <w:rFonts w:ascii="Arial" w:cs="Arial" w:eastAsia="Arial" w:hAnsi="Arial"/>
          <w:sz w:val="18"/>
          <w:szCs w:val="18"/>
          <w:color w:val="auto"/>
        </w:rPr>
        <w:t>there are no incentive or commission arrangements below the executive level that potentially encourage excessive risk-taking behavior.</w:t>
      </w:r>
    </w:p>
    <w:p>
      <w:pPr>
        <w:spacing w:after="0" w:line="66" w:lineRule="exact"/>
        <w:rPr>
          <w:rFonts w:ascii="Arial" w:cs="Arial" w:eastAsia="Arial" w:hAnsi="Arial"/>
          <w:sz w:val="22"/>
          <w:szCs w:val="22"/>
          <w:color w:val="00249C"/>
        </w:rPr>
      </w:pPr>
    </w:p>
    <w:p>
      <w:pPr>
        <w:spacing w:after="0"/>
        <w:rPr>
          <w:rFonts w:ascii="Arial" w:cs="Arial" w:eastAsia="Arial" w:hAnsi="Arial"/>
          <w:sz w:val="22"/>
          <w:szCs w:val="22"/>
          <w:color w:val="00249C"/>
        </w:rPr>
      </w:pPr>
      <w:r>
        <w:rPr>
          <w:rFonts w:ascii="Arial" w:cs="Arial" w:eastAsia="Arial" w:hAnsi="Arial"/>
          <w:sz w:val="20"/>
          <w:szCs w:val="20"/>
          <w:b w:val="1"/>
          <w:bCs w:val="1"/>
          <w:color w:val="auto"/>
        </w:rPr>
        <w:t>Grant Date for Equity Awards</w:t>
      </w:r>
    </w:p>
    <w:p>
      <w:pPr>
        <w:spacing w:after="0" w:line="12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Annual grant cycles for equity awards occur in February at the same time salary increases and annual incentive targets are determined. This timing allows the Compensation Committee to make decisions on each of these compensation components at the same time, utilizing a total compensation philosophy. The Compensation Committee reviews and approves annual long-term incentive grants during its scheduled meeting, which occurs following the announcement of our year-end financial results. Equity grants may also be granted on an interim basis throughout the year for special situations, such as new executive hires, promotions or retention.</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 Deductibility of Pay</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Under prior law, Section 162(m) of the Internal Revenue Code generally limited the annual tax deduction to $1 million per person for compensation paid to the Company's CEO and the next three highest-paid NEOs, other than the Chief Financial Officer (collectively, covered employees). Certain compensation, including qualified performance-based compensation, was not subject to the deduction limit if certain requirements were met.</w:t>
      </w:r>
    </w:p>
    <w:p>
      <w:pPr>
        <w:spacing w:after="0" w:line="6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2017 Tax Act enacted on December 22, 2017, modified Section 162(m). The 2017 Tax Act expanded the definition of covered employees to include the Company's Chief Financial Officer and any employee who was a covered employee for any taxable year beginning after December 31, 2016. The 2017 Tax Act also repealed the performance-based compensation exception to the deduction limit. These amendments, effective January 1, 2018, do not apply to compensation paid pursuant to a written binding contract in effect on November 2, 2017, that was not materially modified after such date.</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55</w:t>
      </w:r>
    </w:p>
    <w:p>
      <w:pPr>
        <w:sectPr>
          <w:pgSz w:w="11900" w:h="16838" w:orient="portrait"/>
          <w:cols w:equalWidth="0" w:num="1">
            <w:col w:w="11240"/>
          </w:cols>
          <w:pgMar w:left="320" w:top="701" w:right="339" w:bottom="1440" w:gutter="0" w:footer="0" w:header="0"/>
        </w:sectPr>
      </w:pPr>
    </w:p>
    <w:bookmarkStart w:id="61" w:name="page62"/>
    <w:bookmarkEnd w:id="61"/>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5314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 xml:space="preserve">COMPENSATION DISCUSSION AND ANALYSIS | </w:t>
      </w:r>
      <w:r>
        <w:rPr>
          <w:rFonts w:ascii="Arial" w:cs="Arial" w:eastAsia="Arial" w:hAnsi="Arial"/>
          <w:sz w:val="17"/>
          <w:szCs w:val="17"/>
          <w:b w:val="1"/>
          <w:bCs w:val="1"/>
          <w:color w:val="FFFFFF"/>
        </w:rPr>
        <w:t>KEY COMPONENTS OF OUR PROGRAMS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Say-on-Pay</w:t>
      </w:r>
    </w:p>
    <w:p>
      <w:pPr>
        <w:spacing w:after="0" w:line="1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shareholders are asked annually to approve, on an advisory basis, the compensation paid to our NEOs. We regularly engage with our shareholders to understand their concerns regarding executive compensation. The Compensation Committee annually reviews and discusses the results of the say-on-pay vote. In 2020, our executive compensation programs continued to receive strong support from shareholders with 96% approval at our 2020 Annual Meeting of Shareholders. Based on its review and feedback from shareholder engagement, the Compensation Committee determined that our programs are effective and aligned with shareholder interests, and no substantive changes were required.</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0980"/>
          </w:cols>
          <w:pgMar w:left="320" w:top="701" w:right="599" w:bottom="1440" w:gutter="0" w:footer="0" w:header="0"/>
        </w:sectPr>
      </w:pPr>
    </w:p>
    <w:bookmarkStart w:id="62" w:name="page63"/>
    <w:bookmarkEnd w:id="62"/>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3086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t>COMPENSATION COMMITTEE REPORT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The Compensation Committee reviewed and discussed the CD&amp;A with management. Based on such review and discussion, the Compensation Committee recommended to the Board that the CD&amp;A be included in this Proxy Statement. The Board has approved the recommendation.</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COMPENSATION COMMITTEE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THOMAS M. SCHOEWE, CHAIRPERSON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DONALD E. FELSINGER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BRUCE S. GORDON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MADELEINE A. KLEINER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KARL J. KRAPEK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GARY ROUGHEAD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57</w:t>
      </w:r>
    </w:p>
    <w:p>
      <w:pPr>
        <w:sectPr>
          <w:pgSz w:w="11900" w:h="16838" w:orient="portrait"/>
          <w:cols w:equalWidth="0" w:num="1">
            <w:col w:w="11240"/>
          </w:cols>
          <w:pgMar w:left="320" w:top="607" w:right="339" w:bottom="1440" w:gutter="0" w:footer="0" w:header="0"/>
        </w:sectPr>
      </w:pPr>
    </w:p>
    <w:bookmarkStart w:id="63" w:name="page64"/>
    <w:bookmarkEnd w:id="63"/>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5314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 xml:space="preserve">COMPENSATION TABLES | </w:t>
      </w:r>
      <w:r>
        <w:rPr>
          <w:rFonts w:ascii="Arial" w:cs="Arial" w:eastAsia="Arial" w:hAnsi="Arial"/>
          <w:sz w:val="17"/>
          <w:szCs w:val="17"/>
          <w:b w:val="1"/>
          <w:bCs w:val="1"/>
          <w:color w:val="FFFFFF"/>
        </w:rPr>
        <w:t>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2020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40" w:type="dxa"/>
            <w:vAlign w:val="bottom"/>
            <w:shd w:val="clear" w:color="auto" w:fill="00249C"/>
          </w:tcPr>
          <w:p>
            <w:pPr>
              <w:spacing w:after="0"/>
              <w:rPr>
                <w:sz w:val="14"/>
                <w:szCs w:val="14"/>
                <w:color w:val="auto"/>
              </w:rPr>
            </w:pPr>
          </w:p>
        </w:tc>
        <w:tc>
          <w:tcPr>
            <w:tcW w:w="560" w:type="dxa"/>
            <w:vAlign w:val="bottom"/>
            <w:shd w:val="clear" w:color="auto" w:fill="00249C"/>
          </w:tcPr>
          <w:p>
            <w:pPr>
              <w:spacing w:after="0"/>
              <w:rPr>
                <w:sz w:val="14"/>
                <w:szCs w:val="14"/>
                <w:color w:val="auto"/>
              </w:rPr>
            </w:pPr>
          </w:p>
        </w:tc>
        <w:tc>
          <w:tcPr>
            <w:tcW w:w="1040" w:type="dxa"/>
            <w:vAlign w:val="bottom"/>
            <w:shd w:val="clear" w:color="auto" w:fill="00249C"/>
          </w:tcPr>
          <w:p>
            <w:pPr>
              <w:spacing w:after="0"/>
              <w:rPr>
                <w:sz w:val="14"/>
                <w:szCs w:val="14"/>
                <w:color w:val="auto"/>
              </w:rPr>
            </w:pPr>
          </w:p>
        </w:tc>
        <w:tc>
          <w:tcPr>
            <w:tcW w:w="860" w:type="dxa"/>
            <w:vAlign w:val="bottom"/>
            <w:shd w:val="clear" w:color="auto" w:fill="00249C"/>
          </w:tcPr>
          <w:p>
            <w:pPr>
              <w:spacing w:after="0"/>
              <w:rPr>
                <w:sz w:val="14"/>
                <w:szCs w:val="14"/>
                <w:color w:val="auto"/>
              </w:rPr>
            </w:pPr>
          </w:p>
        </w:tc>
        <w:tc>
          <w:tcPr>
            <w:tcW w:w="1060" w:type="dxa"/>
            <w:vAlign w:val="bottom"/>
            <w:shd w:val="clear" w:color="auto" w:fill="00249C"/>
          </w:tcPr>
          <w:p>
            <w:pPr>
              <w:spacing w:after="0"/>
              <w:rPr>
                <w:sz w:val="14"/>
                <w:szCs w:val="14"/>
                <w:color w:val="auto"/>
              </w:rPr>
            </w:pPr>
          </w:p>
        </w:tc>
        <w:tc>
          <w:tcPr>
            <w:tcW w:w="1440" w:type="dxa"/>
            <w:vAlign w:val="bottom"/>
            <w:shd w:val="clear" w:color="auto" w:fill="00249C"/>
          </w:tcPr>
          <w:p>
            <w:pPr>
              <w:spacing w:after="0"/>
              <w:rPr>
                <w:sz w:val="14"/>
                <w:szCs w:val="14"/>
                <w:color w:val="auto"/>
              </w:rPr>
            </w:pPr>
          </w:p>
        </w:tc>
        <w:tc>
          <w:tcPr>
            <w:tcW w:w="1300" w:type="dxa"/>
            <w:vAlign w:val="bottom"/>
            <w:shd w:val="clear" w:color="auto" w:fill="00249C"/>
          </w:tcPr>
          <w:p>
            <w:pPr>
              <w:ind w:left="100"/>
              <w:spacing w:after="0"/>
              <w:rPr>
                <w:sz w:val="20"/>
                <w:szCs w:val="20"/>
                <w:color w:val="auto"/>
              </w:rPr>
            </w:pPr>
            <w:r>
              <w:rPr>
                <w:rFonts w:ascii="Arial" w:cs="Arial" w:eastAsia="Arial" w:hAnsi="Arial"/>
                <w:sz w:val="14"/>
                <w:szCs w:val="14"/>
                <w:b w:val="1"/>
                <w:bCs w:val="1"/>
                <w:color w:val="FFFFFF"/>
              </w:rPr>
              <w:t>Change in</w:t>
            </w:r>
          </w:p>
        </w:tc>
        <w:tc>
          <w:tcPr>
            <w:tcW w:w="1560" w:type="dxa"/>
            <w:vAlign w:val="bottom"/>
            <w:shd w:val="clear" w:color="auto" w:fill="00249C"/>
          </w:tcPr>
          <w:p>
            <w:pPr>
              <w:spacing w:after="0"/>
              <w:rPr>
                <w:sz w:val="14"/>
                <w:szCs w:val="14"/>
                <w:color w:val="auto"/>
              </w:rPr>
            </w:pPr>
          </w:p>
        </w:tc>
        <w:tc>
          <w:tcPr>
            <w:tcW w:w="980" w:type="dxa"/>
            <w:vAlign w:val="bottom"/>
            <w:shd w:val="clear" w:color="auto" w:fill="00249C"/>
          </w:tcPr>
          <w:p>
            <w:pPr>
              <w:spacing w:after="0"/>
              <w:rPr>
                <w:sz w:val="14"/>
                <w:szCs w:val="14"/>
                <w:color w:val="auto"/>
              </w:rPr>
            </w:pPr>
          </w:p>
        </w:tc>
        <w:tc>
          <w:tcPr>
            <w:tcW w:w="20" w:type="dxa"/>
            <w:vAlign w:val="bottom"/>
            <w:shd w:val="clear" w:color="auto" w:fill="00249C"/>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00249C"/>
          </w:tcPr>
          <w:p>
            <w:pPr>
              <w:spacing w:after="0"/>
              <w:rPr>
                <w:sz w:val="11"/>
                <w:szCs w:val="11"/>
                <w:color w:val="auto"/>
              </w:rPr>
            </w:pPr>
          </w:p>
        </w:tc>
        <w:tc>
          <w:tcPr>
            <w:tcW w:w="560" w:type="dxa"/>
            <w:vAlign w:val="bottom"/>
            <w:shd w:val="clear" w:color="auto" w:fill="00249C"/>
          </w:tcPr>
          <w:p>
            <w:pPr>
              <w:spacing w:after="0"/>
              <w:rPr>
                <w:sz w:val="11"/>
                <w:szCs w:val="11"/>
                <w:color w:val="auto"/>
              </w:rPr>
            </w:pPr>
          </w:p>
        </w:tc>
        <w:tc>
          <w:tcPr>
            <w:tcW w:w="1040" w:type="dxa"/>
            <w:vAlign w:val="bottom"/>
            <w:shd w:val="clear" w:color="auto" w:fill="00249C"/>
          </w:tcPr>
          <w:p>
            <w:pPr>
              <w:spacing w:after="0"/>
              <w:rPr>
                <w:sz w:val="11"/>
                <w:szCs w:val="11"/>
                <w:color w:val="auto"/>
              </w:rPr>
            </w:pPr>
          </w:p>
        </w:tc>
        <w:tc>
          <w:tcPr>
            <w:tcW w:w="860" w:type="dxa"/>
            <w:vAlign w:val="bottom"/>
            <w:shd w:val="clear" w:color="auto" w:fill="00249C"/>
          </w:tcPr>
          <w:p>
            <w:pPr>
              <w:spacing w:after="0"/>
              <w:rPr>
                <w:sz w:val="11"/>
                <w:szCs w:val="11"/>
                <w:color w:val="auto"/>
              </w:rPr>
            </w:pPr>
          </w:p>
        </w:tc>
        <w:tc>
          <w:tcPr>
            <w:tcW w:w="1060" w:type="dxa"/>
            <w:vAlign w:val="bottom"/>
            <w:shd w:val="clear" w:color="auto" w:fill="00249C"/>
          </w:tcPr>
          <w:p>
            <w:pPr>
              <w:spacing w:after="0"/>
              <w:rPr>
                <w:sz w:val="11"/>
                <w:szCs w:val="11"/>
                <w:color w:val="auto"/>
              </w:rPr>
            </w:pPr>
          </w:p>
        </w:tc>
        <w:tc>
          <w:tcPr>
            <w:tcW w:w="1440" w:type="dxa"/>
            <w:vAlign w:val="bottom"/>
            <w:shd w:val="clear" w:color="auto" w:fill="00249C"/>
          </w:tcPr>
          <w:p>
            <w:pPr>
              <w:spacing w:after="0"/>
              <w:rPr>
                <w:sz w:val="11"/>
                <w:szCs w:val="11"/>
                <w:color w:val="auto"/>
              </w:rPr>
            </w:pPr>
          </w:p>
        </w:tc>
        <w:tc>
          <w:tcPr>
            <w:tcW w:w="1300" w:type="dxa"/>
            <w:vAlign w:val="bottom"/>
            <w:shd w:val="clear" w:color="auto" w:fill="00249C"/>
          </w:tcPr>
          <w:p>
            <w:pPr>
              <w:ind w:left="100"/>
              <w:spacing w:after="0" w:line="135" w:lineRule="exact"/>
              <w:rPr>
                <w:sz w:val="20"/>
                <w:szCs w:val="20"/>
                <w:color w:val="auto"/>
              </w:rPr>
            </w:pPr>
            <w:r>
              <w:rPr>
                <w:rFonts w:ascii="Arial" w:cs="Arial" w:eastAsia="Arial" w:hAnsi="Arial"/>
                <w:sz w:val="14"/>
                <w:szCs w:val="14"/>
                <w:b w:val="1"/>
                <w:bCs w:val="1"/>
                <w:color w:val="FFFFFF"/>
              </w:rPr>
              <w:t>Pension Value</w:t>
            </w:r>
          </w:p>
        </w:tc>
        <w:tc>
          <w:tcPr>
            <w:tcW w:w="1560" w:type="dxa"/>
            <w:vAlign w:val="bottom"/>
            <w:shd w:val="clear" w:color="auto" w:fill="00249C"/>
          </w:tcPr>
          <w:p>
            <w:pPr>
              <w:spacing w:after="0"/>
              <w:rPr>
                <w:sz w:val="11"/>
                <w:szCs w:val="11"/>
                <w:color w:val="auto"/>
              </w:rPr>
            </w:pPr>
          </w:p>
        </w:tc>
        <w:tc>
          <w:tcPr>
            <w:tcW w:w="980" w:type="dxa"/>
            <w:vAlign w:val="bottom"/>
            <w:shd w:val="clear" w:color="auto" w:fill="00249C"/>
          </w:tcPr>
          <w:p>
            <w:pPr>
              <w:spacing w:after="0"/>
              <w:rPr>
                <w:sz w:val="11"/>
                <w:szCs w:val="11"/>
                <w:color w:val="auto"/>
              </w:rPr>
            </w:pPr>
          </w:p>
        </w:tc>
        <w:tc>
          <w:tcPr>
            <w:tcW w:w="20" w:type="dxa"/>
            <w:vAlign w:val="bottom"/>
            <w:shd w:val="clear" w:color="auto" w:fill="00249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00249C"/>
          </w:tcPr>
          <w:p>
            <w:pPr>
              <w:spacing w:after="0"/>
              <w:rPr>
                <w:sz w:val="11"/>
                <w:szCs w:val="11"/>
                <w:color w:val="auto"/>
              </w:rPr>
            </w:pPr>
          </w:p>
        </w:tc>
        <w:tc>
          <w:tcPr>
            <w:tcW w:w="560" w:type="dxa"/>
            <w:vAlign w:val="bottom"/>
            <w:shd w:val="clear" w:color="auto" w:fill="00249C"/>
          </w:tcPr>
          <w:p>
            <w:pPr>
              <w:spacing w:after="0"/>
              <w:rPr>
                <w:sz w:val="11"/>
                <w:szCs w:val="11"/>
                <w:color w:val="auto"/>
              </w:rPr>
            </w:pPr>
          </w:p>
        </w:tc>
        <w:tc>
          <w:tcPr>
            <w:tcW w:w="1040" w:type="dxa"/>
            <w:vAlign w:val="bottom"/>
            <w:shd w:val="clear" w:color="auto" w:fill="00249C"/>
          </w:tcPr>
          <w:p>
            <w:pPr>
              <w:spacing w:after="0"/>
              <w:rPr>
                <w:sz w:val="11"/>
                <w:szCs w:val="11"/>
                <w:color w:val="auto"/>
              </w:rPr>
            </w:pPr>
          </w:p>
        </w:tc>
        <w:tc>
          <w:tcPr>
            <w:tcW w:w="860" w:type="dxa"/>
            <w:vAlign w:val="bottom"/>
            <w:shd w:val="clear" w:color="auto" w:fill="00249C"/>
          </w:tcPr>
          <w:p>
            <w:pPr>
              <w:spacing w:after="0"/>
              <w:rPr>
                <w:sz w:val="11"/>
                <w:szCs w:val="11"/>
                <w:color w:val="auto"/>
              </w:rPr>
            </w:pPr>
          </w:p>
        </w:tc>
        <w:tc>
          <w:tcPr>
            <w:tcW w:w="1060" w:type="dxa"/>
            <w:vAlign w:val="bottom"/>
            <w:shd w:val="clear" w:color="auto" w:fill="00249C"/>
          </w:tcPr>
          <w:p>
            <w:pPr>
              <w:spacing w:after="0"/>
              <w:rPr>
                <w:sz w:val="11"/>
                <w:szCs w:val="11"/>
                <w:color w:val="auto"/>
              </w:rPr>
            </w:pPr>
          </w:p>
        </w:tc>
        <w:tc>
          <w:tcPr>
            <w:tcW w:w="1440" w:type="dxa"/>
            <w:vAlign w:val="bottom"/>
            <w:shd w:val="clear" w:color="auto" w:fill="00249C"/>
          </w:tcPr>
          <w:p>
            <w:pPr>
              <w:spacing w:after="0"/>
              <w:rPr>
                <w:sz w:val="11"/>
                <w:szCs w:val="11"/>
                <w:color w:val="auto"/>
              </w:rPr>
            </w:pPr>
          </w:p>
        </w:tc>
        <w:tc>
          <w:tcPr>
            <w:tcW w:w="1300" w:type="dxa"/>
            <w:vAlign w:val="bottom"/>
            <w:shd w:val="clear" w:color="auto" w:fill="00249C"/>
          </w:tcPr>
          <w:p>
            <w:pPr>
              <w:ind w:left="100"/>
              <w:spacing w:after="0" w:line="135" w:lineRule="exact"/>
              <w:rPr>
                <w:sz w:val="20"/>
                <w:szCs w:val="20"/>
                <w:color w:val="auto"/>
              </w:rPr>
            </w:pPr>
            <w:r>
              <w:rPr>
                <w:rFonts w:ascii="Arial" w:cs="Arial" w:eastAsia="Arial" w:hAnsi="Arial"/>
                <w:sz w:val="14"/>
                <w:szCs w:val="14"/>
                <w:b w:val="1"/>
                <w:bCs w:val="1"/>
                <w:color w:val="FFFFFF"/>
              </w:rPr>
              <w:t>and Non-</w:t>
            </w:r>
          </w:p>
        </w:tc>
        <w:tc>
          <w:tcPr>
            <w:tcW w:w="1560" w:type="dxa"/>
            <w:vAlign w:val="bottom"/>
            <w:shd w:val="clear" w:color="auto" w:fill="00249C"/>
          </w:tcPr>
          <w:p>
            <w:pPr>
              <w:spacing w:after="0"/>
              <w:rPr>
                <w:sz w:val="11"/>
                <w:szCs w:val="11"/>
                <w:color w:val="auto"/>
              </w:rPr>
            </w:pPr>
          </w:p>
        </w:tc>
        <w:tc>
          <w:tcPr>
            <w:tcW w:w="980" w:type="dxa"/>
            <w:vAlign w:val="bottom"/>
            <w:shd w:val="clear" w:color="auto" w:fill="00249C"/>
          </w:tcPr>
          <w:p>
            <w:pPr>
              <w:spacing w:after="0"/>
              <w:rPr>
                <w:sz w:val="11"/>
                <w:szCs w:val="11"/>
                <w:color w:val="auto"/>
              </w:rPr>
            </w:pPr>
          </w:p>
        </w:tc>
        <w:tc>
          <w:tcPr>
            <w:tcW w:w="20" w:type="dxa"/>
            <w:vAlign w:val="bottom"/>
            <w:shd w:val="clear" w:color="auto" w:fill="00249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00249C"/>
          </w:tcPr>
          <w:p>
            <w:pPr>
              <w:spacing w:after="0"/>
              <w:rPr>
                <w:sz w:val="11"/>
                <w:szCs w:val="11"/>
                <w:color w:val="auto"/>
              </w:rPr>
            </w:pPr>
          </w:p>
        </w:tc>
        <w:tc>
          <w:tcPr>
            <w:tcW w:w="560" w:type="dxa"/>
            <w:vAlign w:val="bottom"/>
            <w:shd w:val="clear" w:color="auto" w:fill="00249C"/>
          </w:tcPr>
          <w:p>
            <w:pPr>
              <w:spacing w:after="0"/>
              <w:rPr>
                <w:sz w:val="11"/>
                <w:szCs w:val="11"/>
                <w:color w:val="auto"/>
              </w:rPr>
            </w:pPr>
          </w:p>
        </w:tc>
        <w:tc>
          <w:tcPr>
            <w:tcW w:w="1040" w:type="dxa"/>
            <w:vAlign w:val="bottom"/>
            <w:shd w:val="clear" w:color="auto" w:fill="00249C"/>
          </w:tcPr>
          <w:p>
            <w:pPr>
              <w:spacing w:after="0"/>
              <w:rPr>
                <w:sz w:val="11"/>
                <w:szCs w:val="11"/>
                <w:color w:val="auto"/>
              </w:rPr>
            </w:pPr>
          </w:p>
        </w:tc>
        <w:tc>
          <w:tcPr>
            <w:tcW w:w="860" w:type="dxa"/>
            <w:vAlign w:val="bottom"/>
            <w:shd w:val="clear" w:color="auto" w:fill="00249C"/>
          </w:tcPr>
          <w:p>
            <w:pPr>
              <w:spacing w:after="0"/>
              <w:rPr>
                <w:sz w:val="11"/>
                <w:szCs w:val="11"/>
                <w:color w:val="auto"/>
              </w:rPr>
            </w:pPr>
          </w:p>
        </w:tc>
        <w:tc>
          <w:tcPr>
            <w:tcW w:w="1060" w:type="dxa"/>
            <w:vAlign w:val="bottom"/>
            <w:shd w:val="clear" w:color="auto" w:fill="00249C"/>
          </w:tcPr>
          <w:p>
            <w:pPr>
              <w:spacing w:after="0"/>
              <w:rPr>
                <w:sz w:val="11"/>
                <w:szCs w:val="11"/>
                <w:color w:val="auto"/>
              </w:rPr>
            </w:pPr>
          </w:p>
        </w:tc>
        <w:tc>
          <w:tcPr>
            <w:tcW w:w="1440" w:type="dxa"/>
            <w:vAlign w:val="bottom"/>
            <w:vMerge w:val="restart"/>
            <w:shd w:val="clear" w:color="auto" w:fill="00249C"/>
          </w:tcPr>
          <w:p>
            <w:pPr>
              <w:jc w:val="center"/>
              <w:ind w:left="8"/>
              <w:spacing w:after="0"/>
              <w:rPr>
                <w:sz w:val="20"/>
                <w:szCs w:val="20"/>
                <w:color w:val="auto"/>
              </w:rPr>
            </w:pPr>
            <w:r>
              <w:rPr>
                <w:rFonts w:ascii="Arial" w:cs="Arial" w:eastAsia="Arial" w:hAnsi="Arial"/>
                <w:sz w:val="14"/>
                <w:szCs w:val="14"/>
                <w:b w:val="1"/>
                <w:bCs w:val="1"/>
                <w:color w:val="FFFFFF"/>
              </w:rPr>
              <w:t>Non-Equity</w:t>
            </w:r>
          </w:p>
        </w:tc>
        <w:tc>
          <w:tcPr>
            <w:tcW w:w="1300" w:type="dxa"/>
            <w:vAlign w:val="bottom"/>
            <w:shd w:val="clear" w:color="auto" w:fill="00249C"/>
          </w:tcPr>
          <w:p>
            <w:pPr>
              <w:ind w:left="100"/>
              <w:spacing w:after="0" w:line="135" w:lineRule="exact"/>
              <w:rPr>
                <w:sz w:val="20"/>
                <w:szCs w:val="20"/>
                <w:color w:val="auto"/>
              </w:rPr>
            </w:pPr>
            <w:r>
              <w:rPr>
                <w:rFonts w:ascii="Arial" w:cs="Arial" w:eastAsia="Arial" w:hAnsi="Arial"/>
                <w:sz w:val="14"/>
                <w:szCs w:val="14"/>
                <w:b w:val="1"/>
                <w:bCs w:val="1"/>
                <w:color w:val="FFFFFF"/>
              </w:rPr>
              <w:t>Qualified</w:t>
            </w:r>
          </w:p>
        </w:tc>
        <w:tc>
          <w:tcPr>
            <w:tcW w:w="1560" w:type="dxa"/>
            <w:vAlign w:val="bottom"/>
            <w:shd w:val="clear" w:color="auto" w:fill="00249C"/>
          </w:tcPr>
          <w:p>
            <w:pPr>
              <w:spacing w:after="0"/>
              <w:rPr>
                <w:sz w:val="11"/>
                <w:szCs w:val="11"/>
                <w:color w:val="auto"/>
              </w:rPr>
            </w:pPr>
          </w:p>
        </w:tc>
        <w:tc>
          <w:tcPr>
            <w:tcW w:w="980" w:type="dxa"/>
            <w:vAlign w:val="bottom"/>
            <w:shd w:val="clear" w:color="auto" w:fill="00249C"/>
          </w:tcPr>
          <w:p>
            <w:pPr>
              <w:spacing w:after="0"/>
              <w:rPr>
                <w:sz w:val="11"/>
                <w:szCs w:val="11"/>
                <w:color w:val="auto"/>
              </w:rPr>
            </w:pPr>
          </w:p>
        </w:tc>
        <w:tc>
          <w:tcPr>
            <w:tcW w:w="20" w:type="dxa"/>
            <w:vAlign w:val="bottom"/>
            <w:shd w:val="clear" w:color="auto" w:fill="00249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00249C"/>
          </w:tcPr>
          <w:p>
            <w:pPr>
              <w:spacing w:after="0"/>
              <w:rPr>
                <w:sz w:val="11"/>
                <w:szCs w:val="11"/>
                <w:color w:val="auto"/>
              </w:rPr>
            </w:pPr>
          </w:p>
        </w:tc>
        <w:tc>
          <w:tcPr>
            <w:tcW w:w="560" w:type="dxa"/>
            <w:vAlign w:val="bottom"/>
            <w:shd w:val="clear" w:color="auto" w:fill="00249C"/>
          </w:tcPr>
          <w:p>
            <w:pPr>
              <w:spacing w:after="0"/>
              <w:rPr>
                <w:sz w:val="11"/>
                <w:szCs w:val="11"/>
                <w:color w:val="auto"/>
              </w:rPr>
            </w:pPr>
          </w:p>
        </w:tc>
        <w:tc>
          <w:tcPr>
            <w:tcW w:w="1040" w:type="dxa"/>
            <w:vAlign w:val="bottom"/>
            <w:shd w:val="clear" w:color="auto" w:fill="00249C"/>
          </w:tcPr>
          <w:p>
            <w:pPr>
              <w:spacing w:after="0"/>
              <w:rPr>
                <w:sz w:val="11"/>
                <w:szCs w:val="11"/>
                <w:color w:val="auto"/>
              </w:rPr>
            </w:pPr>
          </w:p>
        </w:tc>
        <w:tc>
          <w:tcPr>
            <w:tcW w:w="860" w:type="dxa"/>
            <w:vAlign w:val="bottom"/>
            <w:shd w:val="clear" w:color="auto" w:fill="00249C"/>
          </w:tcPr>
          <w:p>
            <w:pPr>
              <w:spacing w:after="0"/>
              <w:rPr>
                <w:sz w:val="11"/>
                <w:szCs w:val="11"/>
                <w:color w:val="auto"/>
              </w:rPr>
            </w:pPr>
          </w:p>
        </w:tc>
        <w:tc>
          <w:tcPr>
            <w:tcW w:w="1060" w:type="dxa"/>
            <w:vAlign w:val="bottom"/>
            <w:vMerge w:val="restart"/>
            <w:shd w:val="clear" w:color="auto" w:fill="00249C"/>
          </w:tcPr>
          <w:p>
            <w:pPr>
              <w:jc w:val="center"/>
              <w:spacing w:after="0"/>
              <w:rPr>
                <w:sz w:val="20"/>
                <w:szCs w:val="20"/>
                <w:color w:val="auto"/>
              </w:rPr>
            </w:pPr>
            <w:r>
              <w:rPr>
                <w:rFonts w:ascii="Arial" w:cs="Arial" w:eastAsia="Arial" w:hAnsi="Arial"/>
                <w:sz w:val="14"/>
                <w:szCs w:val="14"/>
                <w:b w:val="1"/>
                <w:bCs w:val="1"/>
                <w:color w:val="FFFFFF"/>
              </w:rPr>
              <w:t>Stock</w:t>
            </w:r>
          </w:p>
        </w:tc>
        <w:tc>
          <w:tcPr>
            <w:tcW w:w="1440" w:type="dxa"/>
            <w:vAlign w:val="bottom"/>
            <w:vMerge w:val="continue"/>
            <w:shd w:val="clear" w:color="auto" w:fill="00249C"/>
          </w:tcPr>
          <w:p>
            <w:pPr>
              <w:spacing w:after="0"/>
              <w:rPr>
                <w:sz w:val="11"/>
                <w:szCs w:val="11"/>
                <w:color w:val="auto"/>
              </w:rPr>
            </w:pPr>
          </w:p>
        </w:tc>
        <w:tc>
          <w:tcPr>
            <w:tcW w:w="1300" w:type="dxa"/>
            <w:vAlign w:val="bottom"/>
            <w:shd w:val="clear" w:color="auto" w:fill="00249C"/>
          </w:tcPr>
          <w:p>
            <w:pPr>
              <w:ind w:left="100"/>
              <w:spacing w:after="0" w:line="135" w:lineRule="exact"/>
              <w:rPr>
                <w:sz w:val="20"/>
                <w:szCs w:val="20"/>
                <w:color w:val="auto"/>
              </w:rPr>
            </w:pPr>
            <w:r>
              <w:rPr>
                <w:rFonts w:ascii="Arial" w:cs="Arial" w:eastAsia="Arial" w:hAnsi="Arial"/>
                <w:sz w:val="14"/>
                <w:szCs w:val="14"/>
                <w:b w:val="1"/>
                <w:bCs w:val="1"/>
                <w:color w:val="FFFFFF"/>
              </w:rPr>
              <w:t>Deferred</w:t>
            </w:r>
          </w:p>
        </w:tc>
        <w:tc>
          <w:tcPr>
            <w:tcW w:w="1560" w:type="dxa"/>
            <w:vAlign w:val="bottom"/>
            <w:vMerge w:val="restart"/>
            <w:shd w:val="clear" w:color="auto" w:fill="00249C"/>
          </w:tcPr>
          <w:p>
            <w:pPr>
              <w:jc w:val="center"/>
              <w:spacing w:after="0"/>
              <w:rPr>
                <w:sz w:val="20"/>
                <w:szCs w:val="20"/>
                <w:color w:val="auto"/>
              </w:rPr>
            </w:pPr>
            <w:r>
              <w:rPr>
                <w:rFonts w:ascii="Arial" w:cs="Arial" w:eastAsia="Arial" w:hAnsi="Arial"/>
                <w:sz w:val="14"/>
                <w:szCs w:val="14"/>
                <w:b w:val="1"/>
                <w:bCs w:val="1"/>
                <w:color w:val="FFFFFF"/>
              </w:rPr>
              <w:t>All Other</w:t>
            </w:r>
          </w:p>
        </w:tc>
        <w:tc>
          <w:tcPr>
            <w:tcW w:w="980" w:type="dxa"/>
            <w:vAlign w:val="bottom"/>
            <w:shd w:val="clear" w:color="auto" w:fill="00249C"/>
          </w:tcPr>
          <w:p>
            <w:pPr>
              <w:spacing w:after="0"/>
              <w:rPr>
                <w:sz w:val="11"/>
                <w:szCs w:val="11"/>
                <w:color w:val="auto"/>
              </w:rPr>
            </w:pPr>
          </w:p>
        </w:tc>
        <w:tc>
          <w:tcPr>
            <w:tcW w:w="20" w:type="dxa"/>
            <w:vAlign w:val="bottom"/>
            <w:shd w:val="clear" w:color="auto" w:fill="00249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00249C"/>
          </w:tcPr>
          <w:p>
            <w:pPr>
              <w:spacing w:after="0"/>
              <w:rPr>
                <w:sz w:val="11"/>
                <w:szCs w:val="11"/>
                <w:color w:val="auto"/>
              </w:rPr>
            </w:pPr>
          </w:p>
        </w:tc>
        <w:tc>
          <w:tcPr>
            <w:tcW w:w="560" w:type="dxa"/>
            <w:vAlign w:val="bottom"/>
            <w:shd w:val="clear" w:color="auto" w:fill="00249C"/>
          </w:tcPr>
          <w:p>
            <w:pPr>
              <w:spacing w:after="0"/>
              <w:rPr>
                <w:sz w:val="11"/>
                <w:szCs w:val="11"/>
                <w:color w:val="auto"/>
              </w:rPr>
            </w:pPr>
          </w:p>
        </w:tc>
        <w:tc>
          <w:tcPr>
            <w:tcW w:w="1040" w:type="dxa"/>
            <w:vAlign w:val="bottom"/>
            <w:vMerge w:val="restart"/>
            <w:shd w:val="clear" w:color="auto" w:fill="00249C"/>
          </w:tcPr>
          <w:p>
            <w:pPr>
              <w:ind w:left="200"/>
              <w:spacing w:after="0"/>
              <w:rPr>
                <w:sz w:val="20"/>
                <w:szCs w:val="20"/>
                <w:color w:val="auto"/>
              </w:rPr>
            </w:pPr>
            <w:r>
              <w:rPr>
                <w:rFonts w:ascii="Arial" w:cs="Arial" w:eastAsia="Arial" w:hAnsi="Arial"/>
                <w:sz w:val="14"/>
                <w:szCs w:val="14"/>
                <w:b w:val="1"/>
                <w:bCs w:val="1"/>
                <w:color w:val="FFFFFF"/>
              </w:rPr>
              <w:t>Salary (1)</w:t>
            </w:r>
          </w:p>
        </w:tc>
        <w:tc>
          <w:tcPr>
            <w:tcW w:w="860" w:type="dxa"/>
            <w:vAlign w:val="bottom"/>
            <w:vMerge w:val="restart"/>
            <w:shd w:val="clear" w:color="auto" w:fill="00249C"/>
          </w:tcPr>
          <w:p>
            <w:pPr>
              <w:ind w:left="200"/>
              <w:spacing w:after="0"/>
              <w:rPr>
                <w:sz w:val="20"/>
                <w:szCs w:val="20"/>
                <w:color w:val="auto"/>
              </w:rPr>
            </w:pPr>
            <w:r>
              <w:rPr>
                <w:rFonts w:ascii="Arial" w:cs="Arial" w:eastAsia="Arial" w:hAnsi="Arial"/>
                <w:sz w:val="14"/>
                <w:szCs w:val="14"/>
                <w:b w:val="1"/>
                <w:bCs w:val="1"/>
                <w:color w:val="FFFFFF"/>
              </w:rPr>
              <w:t>Bonus</w:t>
            </w:r>
          </w:p>
        </w:tc>
        <w:tc>
          <w:tcPr>
            <w:tcW w:w="1060" w:type="dxa"/>
            <w:vAlign w:val="bottom"/>
            <w:vMerge w:val="continue"/>
            <w:shd w:val="clear" w:color="auto" w:fill="00249C"/>
          </w:tcPr>
          <w:p>
            <w:pPr>
              <w:spacing w:after="0"/>
              <w:rPr>
                <w:sz w:val="11"/>
                <w:szCs w:val="11"/>
                <w:color w:val="auto"/>
              </w:rPr>
            </w:pPr>
          </w:p>
        </w:tc>
        <w:tc>
          <w:tcPr>
            <w:tcW w:w="1440" w:type="dxa"/>
            <w:vAlign w:val="bottom"/>
            <w:shd w:val="clear" w:color="auto" w:fill="00249C"/>
          </w:tcPr>
          <w:p>
            <w:pPr>
              <w:jc w:val="center"/>
              <w:ind w:left="8"/>
              <w:spacing w:after="0" w:line="135" w:lineRule="exact"/>
              <w:rPr>
                <w:sz w:val="20"/>
                <w:szCs w:val="20"/>
                <w:color w:val="auto"/>
              </w:rPr>
            </w:pPr>
            <w:r>
              <w:rPr>
                <w:rFonts w:ascii="Arial" w:cs="Arial" w:eastAsia="Arial" w:hAnsi="Arial"/>
                <w:sz w:val="14"/>
                <w:szCs w:val="14"/>
                <w:b w:val="1"/>
                <w:bCs w:val="1"/>
                <w:color w:val="FFFFFF"/>
              </w:rPr>
              <w:t>Incentive Plan</w:t>
            </w:r>
          </w:p>
        </w:tc>
        <w:tc>
          <w:tcPr>
            <w:tcW w:w="1300" w:type="dxa"/>
            <w:vAlign w:val="bottom"/>
            <w:shd w:val="clear" w:color="auto" w:fill="00249C"/>
          </w:tcPr>
          <w:p>
            <w:pPr>
              <w:ind w:left="100"/>
              <w:spacing w:after="0" w:line="135" w:lineRule="exact"/>
              <w:rPr>
                <w:sz w:val="20"/>
                <w:szCs w:val="20"/>
                <w:color w:val="auto"/>
              </w:rPr>
            </w:pPr>
            <w:r>
              <w:rPr>
                <w:rFonts w:ascii="Arial" w:cs="Arial" w:eastAsia="Arial" w:hAnsi="Arial"/>
                <w:sz w:val="14"/>
                <w:szCs w:val="14"/>
                <w:b w:val="1"/>
                <w:bCs w:val="1"/>
                <w:color w:val="FFFFFF"/>
              </w:rPr>
              <w:t>Compensation</w:t>
            </w:r>
          </w:p>
        </w:tc>
        <w:tc>
          <w:tcPr>
            <w:tcW w:w="1560" w:type="dxa"/>
            <w:vAlign w:val="bottom"/>
            <w:vMerge w:val="continue"/>
            <w:shd w:val="clear" w:color="auto" w:fill="00249C"/>
          </w:tcPr>
          <w:p>
            <w:pPr>
              <w:spacing w:after="0"/>
              <w:rPr>
                <w:sz w:val="11"/>
                <w:szCs w:val="11"/>
                <w:color w:val="auto"/>
              </w:rPr>
            </w:pPr>
          </w:p>
        </w:tc>
        <w:tc>
          <w:tcPr>
            <w:tcW w:w="980" w:type="dxa"/>
            <w:vAlign w:val="bottom"/>
            <w:vMerge w:val="restart"/>
            <w:shd w:val="clear" w:color="auto" w:fill="00249C"/>
          </w:tcPr>
          <w:p>
            <w:pPr>
              <w:ind w:left="320"/>
              <w:spacing w:after="0"/>
              <w:rPr>
                <w:sz w:val="20"/>
                <w:szCs w:val="20"/>
                <w:color w:val="auto"/>
              </w:rPr>
            </w:pPr>
            <w:r>
              <w:rPr>
                <w:rFonts w:ascii="Arial" w:cs="Arial" w:eastAsia="Arial" w:hAnsi="Arial"/>
                <w:sz w:val="14"/>
                <w:szCs w:val="14"/>
                <w:b w:val="1"/>
                <w:bCs w:val="1"/>
                <w:color w:val="FFFFFF"/>
              </w:rPr>
              <w:t>Total</w:t>
            </w:r>
          </w:p>
        </w:tc>
        <w:tc>
          <w:tcPr>
            <w:tcW w:w="20" w:type="dxa"/>
            <w:vAlign w:val="bottom"/>
            <w:shd w:val="clear" w:color="auto" w:fill="00249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vMerge w:val="restart"/>
            <w:shd w:val="clear" w:color="auto" w:fill="00249C"/>
          </w:tcPr>
          <w:p>
            <w:pPr>
              <w:ind w:left="40"/>
              <w:spacing w:after="0"/>
              <w:rPr>
                <w:sz w:val="20"/>
                <w:szCs w:val="20"/>
                <w:color w:val="auto"/>
              </w:rPr>
            </w:pPr>
            <w:r>
              <w:rPr>
                <w:rFonts w:ascii="Arial" w:cs="Arial" w:eastAsia="Arial" w:hAnsi="Arial"/>
                <w:sz w:val="14"/>
                <w:szCs w:val="14"/>
                <w:b w:val="1"/>
                <w:bCs w:val="1"/>
                <w:color w:val="FFFFFF"/>
              </w:rPr>
              <w:t>Name &amp; Principal Position</w:t>
            </w:r>
          </w:p>
        </w:tc>
        <w:tc>
          <w:tcPr>
            <w:tcW w:w="560" w:type="dxa"/>
            <w:vAlign w:val="bottom"/>
            <w:vMerge w:val="restart"/>
            <w:shd w:val="clear" w:color="auto" w:fill="00249C"/>
          </w:tcPr>
          <w:p>
            <w:pPr>
              <w:ind w:left="120"/>
              <w:spacing w:after="0"/>
              <w:rPr>
                <w:sz w:val="20"/>
                <w:szCs w:val="20"/>
                <w:color w:val="auto"/>
              </w:rPr>
            </w:pPr>
            <w:r>
              <w:rPr>
                <w:rFonts w:ascii="Arial" w:cs="Arial" w:eastAsia="Arial" w:hAnsi="Arial"/>
                <w:sz w:val="14"/>
                <w:szCs w:val="14"/>
                <w:b w:val="1"/>
                <w:bCs w:val="1"/>
                <w:color w:val="FFFFFF"/>
              </w:rPr>
              <w:t>Year</w:t>
            </w:r>
          </w:p>
        </w:tc>
        <w:tc>
          <w:tcPr>
            <w:tcW w:w="1040" w:type="dxa"/>
            <w:vAlign w:val="bottom"/>
            <w:vMerge w:val="continue"/>
            <w:shd w:val="clear" w:color="auto" w:fill="00249C"/>
          </w:tcPr>
          <w:p>
            <w:pPr>
              <w:spacing w:after="0"/>
              <w:rPr>
                <w:sz w:val="11"/>
                <w:szCs w:val="11"/>
                <w:color w:val="auto"/>
              </w:rPr>
            </w:pPr>
          </w:p>
        </w:tc>
        <w:tc>
          <w:tcPr>
            <w:tcW w:w="860" w:type="dxa"/>
            <w:vAlign w:val="bottom"/>
            <w:vMerge w:val="continue"/>
            <w:shd w:val="clear" w:color="auto" w:fill="00249C"/>
          </w:tcPr>
          <w:p>
            <w:pPr>
              <w:spacing w:after="0"/>
              <w:rPr>
                <w:sz w:val="11"/>
                <w:szCs w:val="11"/>
                <w:color w:val="auto"/>
              </w:rPr>
            </w:pPr>
          </w:p>
        </w:tc>
        <w:tc>
          <w:tcPr>
            <w:tcW w:w="1060" w:type="dxa"/>
            <w:vAlign w:val="bottom"/>
            <w:shd w:val="clear" w:color="auto" w:fill="00249C"/>
          </w:tcPr>
          <w:p>
            <w:pPr>
              <w:jc w:val="center"/>
              <w:spacing w:after="0" w:line="135" w:lineRule="exact"/>
              <w:rPr>
                <w:sz w:val="20"/>
                <w:szCs w:val="20"/>
                <w:color w:val="auto"/>
              </w:rPr>
            </w:pPr>
            <w:r>
              <w:rPr>
                <w:rFonts w:ascii="Arial" w:cs="Arial" w:eastAsia="Arial" w:hAnsi="Arial"/>
                <w:sz w:val="14"/>
                <w:szCs w:val="14"/>
                <w:b w:val="1"/>
                <w:bCs w:val="1"/>
                <w:color w:val="FFFFFF"/>
              </w:rPr>
              <w:t>Awards (2)</w:t>
            </w:r>
          </w:p>
        </w:tc>
        <w:tc>
          <w:tcPr>
            <w:tcW w:w="1440" w:type="dxa"/>
            <w:vAlign w:val="bottom"/>
            <w:shd w:val="clear" w:color="auto" w:fill="00249C"/>
          </w:tcPr>
          <w:p>
            <w:pPr>
              <w:jc w:val="center"/>
              <w:ind w:left="8"/>
              <w:spacing w:after="0" w:line="135" w:lineRule="exact"/>
              <w:rPr>
                <w:sz w:val="20"/>
                <w:szCs w:val="20"/>
                <w:color w:val="auto"/>
              </w:rPr>
            </w:pPr>
            <w:r>
              <w:rPr>
                <w:rFonts w:ascii="Arial" w:cs="Arial" w:eastAsia="Arial" w:hAnsi="Arial"/>
                <w:sz w:val="14"/>
                <w:szCs w:val="14"/>
                <w:b w:val="1"/>
                <w:bCs w:val="1"/>
                <w:color w:val="FFFFFF"/>
              </w:rPr>
              <w:t>Compensation (3)</w:t>
            </w:r>
          </w:p>
        </w:tc>
        <w:tc>
          <w:tcPr>
            <w:tcW w:w="1300" w:type="dxa"/>
            <w:vAlign w:val="bottom"/>
            <w:shd w:val="clear" w:color="auto" w:fill="00249C"/>
          </w:tcPr>
          <w:p>
            <w:pPr>
              <w:ind w:left="100"/>
              <w:spacing w:after="0" w:line="135" w:lineRule="exact"/>
              <w:rPr>
                <w:sz w:val="20"/>
                <w:szCs w:val="20"/>
                <w:color w:val="auto"/>
              </w:rPr>
            </w:pPr>
            <w:r>
              <w:rPr>
                <w:rFonts w:ascii="Arial" w:cs="Arial" w:eastAsia="Arial" w:hAnsi="Arial"/>
                <w:sz w:val="14"/>
                <w:szCs w:val="14"/>
                <w:b w:val="1"/>
                <w:bCs w:val="1"/>
                <w:color w:val="FFFFFF"/>
              </w:rPr>
              <w:t>Earnings (4)</w:t>
            </w:r>
          </w:p>
        </w:tc>
        <w:tc>
          <w:tcPr>
            <w:tcW w:w="1560" w:type="dxa"/>
            <w:vAlign w:val="bottom"/>
            <w:shd w:val="clear" w:color="auto" w:fill="00249C"/>
          </w:tcPr>
          <w:p>
            <w:pPr>
              <w:jc w:val="center"/>
              <w:spacing w:after="0" w:line="135" w:lineRule="exact"/>
              <w:rPr>
                <w:sz w:val="20"/>
                <w:szCs w:val="20"/>
                <w:color w:val="auto"/>
              </w:rPr>
            </w:pPr>
            <w:r>
              <w:rPr>
                <w:rFonts w:ascii="Arial" w:cs="Arial" w:eastAsia="Arial" w:hAnsi="Arial"/>
                <w:sz w:val="14"/>
                <w:szCs w:val="14"/>
                <w:b w:val="1"/>
                <w:bCs w:val="1"/>
                <w:color w:val="FFFFFF"/>
              </w:rPr>
              <w:t>Compensation (5)</w:t>
            </w:r>
          </w:p>
        </w:tc>
        <w:tc>
          <w:tcPr>
            <w:tcW w:w="980" w:type="dxa"/>
            <w:vAlign w:val="bottom"/>
            <w:vMerge w:val="continue"/>
            <w:shd w:val="clear" w:color="auto" w:fill="00249C"/>
          </w:tcPr>
          <w:p>
            <w:pPr>
              <w:spacing w:after="0"/>
              <w:rPr>
                <w:sz w:val="11"/>
                <w:szCs w:val="11"/>
                <w:color w:val="auto"/>
              </w:rPr>
            </w:pPr>
          </w:p>
        </w:tc>
        <w:tc>
          <w:tcPr>
            <w:tcW w:w="20" w:type="dxa"/>
            <w:vAlign w:val="bottom"/>
            <w:shd w:val="clear" w:color="auto" w:fill="00249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440" w:type="dxa"/>
            <w:vAlign w:val="bottom"/>
            <w:vMerge w:val="continue"/>
            <w:shd w:val="clear" w:color="auto" w:fill="00249C"/>
          </w:tcPr>
          <w:p>
            <w:pPr>
              <w:spacing w:after="0"/>
              <w:rPr>
                <w:sz w:val="16"/>
                <w:szCs w:val="16"/>
                <w:color w:val="auto"/>
              </w:rPr>
            </w:pPr>
          </w:p>
        </w:tc>
        <w:tc>
          <w:tcPr>
            <w:tcW w:w="560" w:type="dxa"/>
            <w:vAlign w:val="bottom"/>
            <w:vMerge w:val="continue"/>
            <w:shd w:val="clear" w:color="auto" w:fill="00249C"/>
          </w:tcPr>
          <w:p>
            <w:pPr>
              <w:spacing w:after="0"/>
              <w:rPr>
                <w:sz w:val="16"/>
                <w:szCs w:val="16"/>
                <w:color w:val="auto"/>
              </w:rPr>
            </w:pPr>
          </w:p>
        </w:tc>
        <w:tc>
          <w:tcPr>
            <w:tcW w:w="104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w:t>
            </w:r>
          </w:p>
        </w:tc>
        <w:tc>
          <w:tcPr>
            <w:tcW w:w="86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w:t>
            </w:r>
          </w:p>
        </w:tc>
        <w:tc>
          <w:tcPr>
            <w:tcW w:w="106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w w:val="93"/>
              </w:rPr>
              <w:t>($)</w:t>
            </w:r>
          </w:p>
        </w:tc>
        <w:tc>
          <w:tcPr>
            <w:tcW w:w="144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w:t>
            </w:r>
          </w:p>
        </w:tc>
        <w:tc>
          <w:tcPr>
            <w:tcW w:w="1300" w:type="dxa"/>
            <w:vAlign w:val="bottom"/>
            <w:shd w:val="clear" w:color="auto" w:fill="00249C"/>
          </w:tcPr>
          <w:p>
            <w:pPr>
              <w:ind w:left="100"/>
              <w:spacing w:after="0"/>
              <w:rPr>
                <w:sz w:val="20"/>
                <w:szCs w:val="20"/>
                <w:color w:val="auto"/>
              </w:rPr>
            </w:pPr>
            <w:r>
              <w:rPr>
                <w:rFonts w:ascii="Arial" w:cs="Arial" w:eastAsia="Arial" w:hAnsi="Arial"/>
                <w:sz w:val="14"/>
                <w:szCs w:val="14"/>
                <w:b w:val="1"/>
                <w:bCs w:val="1"/>
                <w:color w:val="FFFFFF"/>
              </w:rPr>
              <w:t>($)</w:t>
            </w:r>
          </w:p>
        </w:tc>
        <w:tc>
          <w:tcPr>
            <w:tcW w:w="156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w w:val="93"/>
              </w:rPr>
              <w:t>($)</w:t>
            </w:r>
          </w:p>
        </w:tc>
        <w:tc>
          <w:tcPr>
            <w:tcW w:w="98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w w:val="93"/>
              </w:rPr>
              <w:t>($)</w:t>
            </w:r>
          </w:p>
        </w:tc>
        <w:tc>
          <w:tcPr>
            <w:tcW w:w="20" w:type="dxa"/>
            <w:vAlign w:val="bottom"/>
            <w:shd w:val="clear" w:color="auto" w:fill="00249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40" w:type="dxa"/>
            <w:vAlign w:val="bottom"/>
          </w:tcPr>
          <w:p>
            <w:pPr>
              <w:ind w:left="20"/>
              <w:spacing w:after="0"/>
              <w:rPr>
                <w:sz w:val="20"/>
                <w:szCs w:val="20"/>
                <w:color w:val="auto"/>
              </w:rPr>
            </w:pPr>
            <w:r>
              <w:rPr>
                <w:rFonts w:ascii="Arial" w:cs="Arial" w:eastAsia="Arial" w:hAnsi="Arial"/>
                <w:sz w:val="14"/>
                <w:szCs w:val="14"/>
                <w:color w:val="auto"/>
              </w:rPr>
              <w:t>Kathy J. Warden</w:t>
            </w:r>
          </w:p>
        </w:tc>
        <w:tc>
          <w:tcPr>
            <w:tcW w:w="560" w:type="dxa"/>
            <w:vAlign w:val="bottom"/>
            <w:shd w:val="clear" w:color="auto" w:fill="CCD4DB"/>
          </w:tcPr>
          <w:p>
            <w:pPr>
              <w:ind w:left="120"/>
              <w:spacing w:after="0"/>
              <w:rPr>
                <w:sz w:val="20"/>
                <w:szCs w:val="20"/>
                <w:color w:val="auto"/>
              </w:rPr>
            </w:pPr>
            <w:r>
              <w:rPr>
                <w:rFonts w:ascii="Arial" w:cs="Arial" w:eastAsia="Arial" w:hAnsi="Arial"/>
                <w:sz w:val="14"/>
                <w:szCs w:val="14"/>
                <w:color w:val="auto"/>
              </w:rPr>
              <w:t>2020</w:t>
            </w:r>
          </w:p>
        </w:tc>
        <w:tc>
          <w:tcPr>
            <w:tcW w:w="104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1,536,346</w:t>
            </w:r>
          </w:p>
        </w:tc>
        <w:tc>
          <w:tcPr>
            <w:tcW w:w="860" w:type="dxa"/>
            <w:vAlign w:val="bottom"/>
            <w:shd w:val="clear" w:color="auto" w:fill="CCD4DB"/>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13,499,889</w:t>
            </w:r>
          </w:p>
        </w:tc>
        <w:tc>
          <w:tcPr>
            <w:tcW w:w="1440" w:type="dxa"/>
            <w:vAlign w:val="bottom"/>
            <w:shd w:val="clear" w:color="auto" w:fill="CCD4DB"/>
          </w:tcPr>
          <w:p>
            <w:pPr>
              <w:jc w:val="center"/>
              <w:ind w:left="8"/>
              <w:spacing w:after="0"/>
              <w:rPr>
                <w:sz w:val="20"/>
                <w:szCs w:val="20"/>
                <w:color w:val="auto"/>
              </w:rPr>
            </w:pPr>
            <w:r>
              <w:rPr>
                <w:rFonts w:ascii="Arial" w:cs="Arial" w:eastAsia="Arial" w:hAnsi="Arial"/>
                <w:sz w:val="14"/>
                <w:szCs w:val="14"/>
                <w:color w:val="auto"/>
              </w:rPr>
              <w:t>3,977,000</w:t>
            </w:r>
          </w:p>
        </w:tc>
        <w:tc>
          <w:tcPr>
            <w:tcW w:w="1300" w:type="dxa"/>
            <w:vAlign w:val="bottom"/>
            <w:shd w:val="clear" w:color="auto" w:fill="CCD4DB"/>
          </w:tcPr>
          <w:p>
            <w:pPr>
              <w:jc w:val="center"/>
              <w:ind w:left="28"/>
              <w:spacing w:after="0"/>
              <w:rPr>
                <w:sz w:val="20"/>
                <w:szCs w:val="20"/>
                <w:color w:val="auto"/>
              </w:rPr>
            </w:pPr>
            <w:r>
              <w:rPr>
                <w:rFonts w:ascii="Arial" w:cs="Arial" w:eastAsia="Arial" w:hAnsi="Arial"/>
                <w:sz w:val="14"/>
                <w:szCs w:val="14"/>
                <w:color w:val="auto"/>
              </w:rPr>
              <w:t>1,144,248</w:t>
            </w:r>
          </w:p>
        </w:tc>
        <w:tc>
          <w:tcPr>
            <w:tcW w:w="156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649,661</w:t>
            </w:r>
          </w:p>
        </w:tc>
        <w:tc>
          <w:tcPr>
            <w:tcW w:w="98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20,807,144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40" w:type="dxa"/>
            <w:vAlign w:val="bottom"/>
          </w:tcPr>
          <w:p>
            <w:pPr>
              <w:ind w:left="180"/>
              <w:spacing w:after="0"/>
              <w:rPr>
                <w:sz w:val="20"/>
                <w:szCs w:val="20"/>
                <w:color w:val="auto"/>
              </w:rPr>
            </w:pPr>
            <w:r>
              <w:rPr>
                <w:rFonts w:ascii="Arial" w:cs="Arial" w:eastAsia="Arial" w:hAnsi="Arial"/>
                <w:sz w:val="14"/>
                <w:szCs w:val="14"/>
                <w:color w:val="auto"/>
              </w:rPr>
              <w:t>Chairman, Chief Executive Officer</w:t>
            </w:r>
          </w:p>
        </w:tc>
        <w:tc>
          <w:tcPr>
            <w:tcW w:w="560" w:type="dxa"/>
            <w:vAlign w:val="bottom"/>
          </w:tcPr>
          <w:p>
            <w:pPr>
              <w:ind w:left="120"/>
              <w:spacing w:after="0"/>
              <w:rPr>
                <w:sz w:val="20"/>
                <w:szCs w:val="20"/>
                <w:color w:val="auto"/>
              </w:rPr>
            </w:pPr>
            <w:r>
              <w:rPr>
                <w:rFonts w:ascii="Arial" w:cs="Arial" w:eastAsia="Arial" w:hAnsi="Arial"/>
                <w:sz w:val="14"/>
                <w:szCs w:val="14"/>
                <w:color w:val="auto"/>
              </w:rPr>
              <w:t>2019</w:t>
            </w:r>
          </w:p>
        </w:tc>
        <w:tc>
          <w:tcPr>
            <w:tcW w:w="1040" w:type="dxa"/>
            <w:vAlign w:val="bottom"/>
          </w:tcPr>
          <w:p>
            <w:pPr>
              <w:jc w:val="center"/>
              <w:spacing w:after="0"/>
              <w:rPr>
                <w:sz w:val="20"/>
                <w:szCs w:val="20"/>
                <w:color w:val="auto"/>
              </w:rPr>
            </w:pPr>
            <w:r>
              <w:rPr>
                <w:rFonts w:ascii="Arial" w:cs="Arial" w:eastAsia="Arial" w:hAnsi="Arial"/>
                <w:sz w:val="14"/>
                <w:szCs w:val="14"/>
                <w:color w:val="auto"/>
              </w:rPr>
              <w:t>1,488,462</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13,000,159</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rPr>
              <w:t>4,509,000</w:t>
            </w:r>
          </w:p>
        </w:tc>
        <w:tc>
          <w:tcPr>
            <w:tcW w:w="1300" w:type="dxa"/>
            <w:vAlign w:val="bottom"/>
          </w:tcPr>
          <w:p>
            <w:pPr>
              <w:jc w:val="center"/>
              <w:ind w:left="28"/>
              <w:spacing w:after="0"/>
              <w:rPr>
                <w:sz w:val="20"/>
                <w:szCs w:val="20"/>
                <w:color w:val="auto"/>
              </w:rPr>
            </w:pPr>
            <w:r>
              <w:rPr>
                <w:rFonts w:ascii="Arial" w:cs="Arial" w:eastAsia="Arial" w:hAnsi="Arial"/>
                <w:sz w:val="14"/>
                <w:szCs w:val="14"/>
                <w:color w:val="auto"/>
              </w:rPr>
              <w:t>687,615</w:t>
            </w:r>
          </w:p>
        </w:tc>
        <w:tc>
          <w:tcPr>
            <w:tcW w:w="1560" w:type="dxa"/>
            <w:vAlign w:val="bottom"/>
          </w:tcPr>
          <w:p>
            <w:pPr>
              <w:jc w:val="center"/>
              <w:spacing w:after="0"/>
              <w:rPr>
                <w:sz w:val="20"/>
                <w:szCs w:val="20"/>
                <w:color w:val="auto"/>
              </w:rPr>
            </w:pPr>
            <w:r>
              <w:rPr>
                <w:rFonts w:ascii="Arial" w:cs="Arial" w:eastAsia="Arial" w:hAnsi="Arial"/>
                <w:sz w:val="14"/>
                <w:szCs w:val="14"/>
                <w:color w:val="auto"/>
              </w:rPr>
              <w:t>623,484</w:t>
            </w:r>
          </w:p>
        </w:tc>
        <w:tc>
          <w:tcPr>
            <w:tcW w:w="980" w:type="dxa"/>
            <w:vAlign w:val="bottom"/>
          </w:tcPr>
          <w:p>
            <w:pPr>
              <w:jc w:val="center"/>
              <w:spacing w:after="0"/>
              <w:rPr>
                <w:sz w:val="20"/>
                <w:szCs w:val="20"/>
                <w:color w:val="auto"/>
              </w:rPr>
            </w:pPr>
            <w:r>
              <w:rPr>
                <w:rFonts w:ascii="Arial" w:cs="Arial" w:eastAsia="Arial" w:hAnsi="Arial"/>
                <w:sz w:val="14"/>
                <w:szCs w:val="14"/>
                <w:color w:val="auto"/>
              </w:rPr>
              <w:t>20,308,720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440" w:type="dxa"/>
            <w:vAlign w:val="bottom"/>
            <w:vMerge w:val="restart"/>
          </w:tcPr>
          <w:p>
            <w:pPr>
              <w:ind w:left="180"/>
              <w:spacing w:after="0"/>
              <w:rPr>
                <w:sz w:val="20"/>
                <w:szCs w:val="20"/>
                <w:color w:val="auto"/>
              </w:rPr>
            </w:pPr>
            <w:r>
              <w:rPr>
                <w:rFonts w:ascii="Arial" w:cs="Arial" w:eastAsia="Arial" w:hAnsi="Arial"/>
                <w:sz w:val="14"/>
                <w:szCs w:val="14"/>
                <w:color w:val="auto"/>
              </w:rPr>
              <w:t>and President</w:t>
            </w:r>
          </w:p>
        </w:tc>
        <w:tc>
          <w:tcPr>
            <w:tcW w:w="5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2440" w:type="dxa"/>
            <w:vAlign w:val="bottom"/>
            <w:vMerge w:val="continue"/>
          </w:tcPr>
          <w:p>
            <w:pPr>
              <w:spacing w:after="0"/>
              <w:rPr>
                <w:sz w:val="10"/>
                <w:szCs w:val="10"/>
                <w:color w:val="auto"/>
              </w:rPr>
            </w:pPr>
          </w:p>
        </w:tc>
        <w:tc>
          <w:tcPr>
            <w:tcW w:w="560" w:type="dxa"/>
            <w:vAlign w:val="bottom"/>
            <w:vMerge w:val="restart"/>
            <w:shd w:val="clear" w:color="auto" w:fill="CCD4DB"/>
          </w:tcPr>
          <w:p>
            <w:pPr>
              <w:ind w:left="120"/>
              <w:spacing w:after="0"/>
              <w:rPr>
                <w:sz w:val="20"/>
                <w:szCs w:val="20"/>
                <w:color w:val="auto"/>
              </w:rPr>
            </w:pPr>
            <w:r>
              <w:rPr>
                <w:rFonts w:ascii="Arial" w:cs="Arial" w:eastAsia="Arial" w:hAnsi="Arial"/>
                <w:sz w:val="14"/>
                <w:szCs w:val="14"/>
                <w:color w:val="auto"/>
              </w:rPr>
              <w:t>2018</w:t>
            </w:r>
          </w:p>
        </w:tc>
        <w:tc>
          <w:tcPr>
            <w:tcW w:w="104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963,462</w:t>
            </w:r>
          </w:p>
        </w:tc>
        <w:tc>
          <w:tcPr>
            <w:tcW w:w="86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9,999,869</w:t>
            </w:r>
          </w:p>
        </w:tc>
        <w:tc>
          <w:tcPr>
            <w:tcW w:w="1440" w:type="dxa"/>
            <w:vAlign w:val="bottom"/>
            <w:vMerge w:val="restart"/>
            <w:shd w:val="clear" w:color="auto" w:fill="CCD4DB"/>
          </w:tcPr>
          <w:p>
            <w:pPr>
              <w:jc w:val="center"/>
              <w:ind w:left="8"/>
              <w:spacing w:after="0"/>
              <w:rPr>
                <w:sz w:val="20"/>
                <w:szCs w:val="20"/>
                <w:color w:val="auto"/>
              </w:rPr>
            </w:pPr>
            <w:r>
              <w:rPr>
                <w:rFonts w:ascii="Arial" w:cs="Arial" w:eastAsia="Arial" w:hAnsi="Arial"/>
                <w:sz w:val="14"/>
                <w:szCs w:val="14"/>
                <w:color w:val="auto"/>
              </w:rPr>
              <w:t>1,920,000</w:t>
            </w:r>
          </w:p>
        </w:tc>
        <w:tc>
          <w:tcPr>
            <w:tcW w:w="1300" w:type="dxa"/>
            <w:vAlign w:val="bottom"/>
            <w:vMerge w:val="restart"/>
            <w:shd w:val="clear" w:color="auto" w:fill="CCD4DB"/>
          </w:tcPr>
          <w:p>
            <w:pPr>
              <w:jc w:val="center"/>
              <w:ind w:left="8"/>
              <w:spacing w:after="0"/>
              <w:rPr>
                <w:sz w:val="20"/>
                <w:szCs w:val="20"/>
                <w:color w:val="auto"/>
              </w:rPr>
            </w:pPr>
            <w:r>
              <w:rPr>
                <w:rFonts w:ascii="Arial" w:cs="Arial" w:eastAsia="Arial" w:hAnsi="Arial"/>
                <w:sz w:val="14"/>
                <w:szCs w:val="14"/>
                <w:color w:val="auto"/>
                <w:w w:val="99"/>
              </w:rPr>
              <w:t>—</w:t>
            </w:r>
          </w:p>
        </w:tc>
        <w:tc>
          <w:tcPr>
            <w:tcW w:w="156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458,976</w:t>
            </w:r>
          </w:p>
        </w:tc>
        <w:tc>
          <w:tcPr>
            <w:tcW w:w="98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13,342,307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440" w:type="dxa"/>
            <w:vAlign w:val="bottom"/>
            <w:tcBorders>
              <w:bottom w:val="single" w:sz="8" w:color="00249C"/>
            </w:tcBorders>
          </w:tcPr>
          <w:p>
            <w:pPr>
              <w:spacing w:after="0"/>
              <w:rPr>
                <w:sz w:val="7"/>
                <w:szCs w:val="7"/>
                <w:color w:val="auto"/>
              </w:rPr>
            </w:pPr>
          </w:p>
        </w:tc>
        <w:tc>
          <w:tcPr>
            <w:tcW w:w="560" w:type="dxa"/>
            <w:vAlign w:val="bottom"/>
            <w:tcBorders>
              <w:bottom w:val="single" w:sz="8" w:color="00249C"/>
            </w:tcBorders>
            <w:vMerge w:val="continue"/>
            <w:shd w:val="clear" w:color="auto" w:fill="CCD4DB"/>
          </w:tcPr>
          <w:p>
            <w:pPr>
              <w:spacing w:after="0"/>
              <w:rPr>
                <w:sz w:val="7"/>
                <w:szCs w:val="7"/>
                <w:color w:val="auto"/>
              </w:rPr>
            </w:pPr>
          </w:p>
        </w:tc>
        <w:tc>
          <w:tcPr>
            <w:tcW w:w="1040" w:type="dxa"/>
            <w:vAlign w:val="bottom"/>
            <w:tcBorders>
              <w:bottom w:val="single" w:sz="8" w:color="00249C"/>
            </w:tcBorders>
            <w:vMerge w:val="continue"/>
            <w:shd w:val="clear" w:color="auto" w:fill="CCD4DB"/>
          </w:tcPr>
          <w:p>
            <w:pPr>
              <w:spacing w:after="0"/>
              <w:rPr>
                <w:sz w:val="7"/>
                <w:szCs w:val="7"/>
                <w:color w:val="auto"/>
              </w:rPr>
            </w:pPr>
          </w:p>
        </w:tc>
        <w:tc>
          <w:tcPr>
            <w:tcW w:w="860" w:type="dxa"/>
            <w:vAlign w:val="bottom"/>
            <w:tcBorders>
              <w:bottom w:val="single" w:sz="8" w:color="00249C"/>
            </w:tcBorders>
            <w:vMerge w:val="continue"/>
            <w:shd w:val="clear" w:color="auto" w:fill="CCD4DB"/>
          </w:tcPr>
          <w:p>
            <w:pPr>
              <w:spacing w:after="0"/>
              <w:rPr>
                <w:sz w:val="7"/>
                <w:szCs w:val="7"/>
                <w:color w:val="auto"/>
              </w:rPr>
            </w:pPr>
          </w:p>
        </w:tc>
        <w:tc>
          <w:tcPr>
            <w:tcW w:w="1060" w:type="dxa"/>
            <w:vAlign w:val="bottom"/>
            <w:tcBorders>
              <w:bottom w:val="single" w:sz="8" w:color="00249C"/>
            </w:tcBorders>
            <w:vMerge w:val="continue"/>
            <w:shd w:val="clear" w:color="auto" w:fill="CCD4DB"/>
          </w:tcPr>
          <w:p>
            <w:pPr>
              <w:spacing w:after="0"/>
              <w:rPr>
                <w:sz w:val="7"/>
                <w:szCs w:val="7"/>
                <w:color w:val="auto"/>
              </w:rPr>
            </w:pPr>
          </w:p>
        </w:tc>
        <w:tc>
          <w:tcPr>
            <w:tcW w:w="1440" w:type="dxa"/>
            <w:vAlign w:val="bottom"/>
            <w:tcBorders>
              <w:bottom w:val="single" w:sz="8" w:color="00249C"/>
            </w:tcBorders>
            <w:vMerge w:val="continue"/>
            <w:shd w:val="clear" w:color="auto" w:fill="CCD4DB"/>
          </w:tcPr>
          <w:p>
            <w:pPr>
              <w:spacing w:after="0"/>
              <w:rPr>
                <w:sz w:val="7"/>
                <w:szCs w:val="7"/>
                <w:color w:val="auto"/>
              </w:rPr>
            </w:pPr>
          </w:p>
        </w:tc>
        <w:tc>
          <w:tcPr>
            <w:tcW w:w="1300" w:type="dxa"/>
            <w:vAlign w:val="bottom"/>
            <w:tcBorders>
              <w:bottom w:val="single" w:sz="8" w:color="00249C"/>
            </w:tcBorders>
            <w:vMerge w:val="continue"/>
            <w:shd w:val="clear" w:color="auto" w:fill="CCD4DB"/>
          </w:tcPr>
          <w:p>
            <w:pPr>
              <w:spacing w:after="0"/>
              <w:rPr>
                <w:sz w:val="7"/>
                <w:szCs w:val="7"/>
                <w:color w:val="auto"/>
              </w:rPr>
            </w:pPr>
          </w:p>
        </w:tc>
        <w:tc>
          <w:tcPr>
            <w:tcW w:w="1560" w:type="dxa"/>
            <w:vAlign w:val="bottom"/>
            <w:tcBorders>
              <w:bottom w:val="single" w:sz="8" w:color="00249C"/>
            </w:tcBorders>
            <w:vMerge w:val="continue"/>
            <w:shd w:val="clear" w:color="auto" w:fill="CCD4DB"/>
          </w:tcPr>
          <w:p>
            <w:pPr>
              <w:spacing w:after="0"/>
              <w:rPr>
                <w:sz w:val="7"/>
                <w:szCs w:val="7"/>
                <w:color w:val="auto"/>
              </w:rPr>
            </w:pPr>
          </w:p>
        </w:tc>
        <w:tc>
          <w:tcPr>
            <w:tcW w:w="980" w:type="dxa"/>
            <w:vAlign w:val="bottom"/>
            <w:tcBorders>
              <w:bottom w:val="single" w:sz="8" w:color="00249C"/>
            </w:tcBorders>
            <w:vMerge w:val="continue"/>
            <w:shd w:val="clear" w:color="auto" w:fill="CCD4DB"/>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440" w:type="dxa"/>
            <w:vAlign w:val="bottom"/>
          </w:tcPr>
          <w:p>
            <w:pPr>
              <w:ind w:left="20"/>
              <w:spacing w:after="0"/>
              <w:rPr>
                <w:sz w:val="20"/>
                <w:szCs w:val="20"/>
                <w:color w:val="auto"/>
              </w:rPr>
            </w:pPr>
            <w:r>
              <w:rPr>
                <w:rFonts w:ascii="Arial" w:cs="Arial" w:eastAsia="Arial" w:hAnsi="Arial"/>
                <w:sz w:val="14"/>
                <w:szCs w:val="14"/>
                <w:color w:val="auto"/>
              </w:rPr>
              <w:t>David F. Keffer (6)</w:t>
            </w:r>
          </w:p>
        </w:tc>
        <w:tc>
          <w:tcPr>
            <w:tcW w:w="560" w:type="dxa"/>
            <w:vAlign w:val="bottom"/>
          </w:tcPr>
          <w:p>
            <w:pPr>
              <w:ind w:left="120"/>
              <w:spacing w:after="0"/>
              <w:rPr>
                <w:sz w:val="20"/>
                <w:szCs w:val="20"/>
                <w:color w:val="auto"/>
              </w:rPr>
            </w:pPr>
            <w:r>
              <w:rPr>
                <w:rFonts w:ascii="Arial" w:cs="Arial" w:eastAsia="Arial" w:hAnsi="Arial"/>
                <w:sz w:val="14"/>
                <w:szCs w:val="14"/>
                <w:color w:val="auto"/>
              </w:rPr>
              <w:t>2020</w:t>
            </w:r>
          </w:p>
        </w:tc>
        <w:tc>
          <w:tcPr>
            <w:tcW w:w="1040" w:type="dxa"/>
            <w:vAlign w:val="bottom"/>
          </w:tcPr>
          <w:p>
            <w:pPr>
              <w:jc w:val="center"/>
              <w:spacing w:after="0"/>
              <w:rPr>
                <w:sz w:val="20"/>
                <w:szCs w:val="20"/>
                <w:color w:val="auto"/>
              </w:rPr>
            </w:pPr>
            <w:r>
              <w:rPr>
                <w:rFonts w:ascii="Arial" w:cs="Arial" w:eastAsia="Arial" w:hAnsi="Arial"/>
                <w:sz w:val="14"/>
                <w:szCs w:val="14"/>
                <w:color w:val="auto"/>
              </w:rPr>
              <w:t>634,616</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4,000,102</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rPr>
              <w:t>928,000</w:t>
            </w:r>
          </w:p>
        </w:tc>
        <w:tc>
          <w:tcPr>
            <w:tcW w:w="130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spacing w:after="0"/>
              <w:rPr>
                <w:sz w:val="20"/>
                <w:szCs w:val="20"/>
                <w:color w:val="auto"/>
              </w:rPr>
            </w:pPr>
            <w:r>
              <w:rPr>
                <w:rFonts w:ascii="Arial" w:cs="Arial" w:eastAsia="Arial" w:hAnsi="Arial"/>
                <w:sz w:val="14"/>
                <w:szCs w:val="14"/>
                <w:color w:val="auto"/>
              </w:rPr>
              <w:t>71,494</w:t>
            </w:r>
          </w:p>
        </w:tc>
        <w:tc>
          <w:tcPr>
            <w:tcW w:w="980" w:type="dxa"/>
            <w:vAlign w:val="bottom"/>
          </w:tcPr>
          <w:p>
            <w:pPr>
              <w:jc w:val="center"/>
              <w:spacing w:after="0"/>
              <w:rPr>
                <w:sz w:val="20"/>
                <w:szCs w:val="20"/>
                <w:color w:val="auto"/>
              </w:rPr>
            </w:pPr>
            <w:r>
              <w:rPr>
                <w:rFonts w:ascii="Arial" w:cs="Arial" w:eastAsia="Arial" w:hAnsi="Arial"/>
                <w:sz w:val="14"/>
                <w:szCs w:val="14"/>
                <w:color w:val="auto"/>
              </w:rPr>
              <w:t>5,634,212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440" w:type="dxa"/>
            <w:vAlign w:val="bottom"/>
          </w:tcPr>
          <w:p>
            <w:pPr>
              <w:ind w:left="180"/>
              <w:spacing w:after="0" w:line="153" w:lineRule="exact"/>
              <w:rPr>
                <w:sz w:val="20"/>
                <w:szCs w:val="20"/>
                <w:color w:val="auto"/>
              </w:rPr>
            </w:pPr>
            <w:r>
              <w:rPr>
                <w:rFonts w:ascii="Arial" w:cs="Arial" w:eastAsia="Arial" w:hAnsi="Arial"/>
                <w:sz w:val="14"/>
                <w:szCs w:val="14"/>
                <w:color w:val="auto"/>
              </w:rPr>
              <w:t>Corporate Vice President and</w:t>
            </w:r>
          </w:p>
        </w:tc>
        <w:tc>
          <w:tcPr>
            <w:tcW w:w="560" w:type="dxa"/>
            <w:vAlign w:val="bottom"/>
            <w:shd w:val="clear" w:color="auto" w:fill="CCD4DB"/>
          </w:tcPr>
          <w:p>
            <w:pPr>
              <w:spacing w:after="0"/>
              <w:rPr>
                <w:sz w:val="13"/>
                <w:szCs w:val="13"/>
                <w:color w:val="auto"/>
              </w:rPr>
            </w:pPr>
          </w:p>
        </w:tc>
        <w:tc>
          <w:tcPr>
            <w:tcW w:w="1040" w:type="dxa"/>
            <w:vAlign w:val="bottom"/>
            <w:shd w:val="clear" w:color="auto" w:fill="CCD4DB"/>
          </w:tcPr>
          <w:p>
            <w:pPr>
              <w:spacing w:after="0"/>
              <w:rPr>
                <w:sz w:val="13"/>
                <w:szCs w:val="13"/>
                <w:color w:val="auto"/>
              </w:rPr>
            </w:pPr>
          </w:p>
        </w:tc>
        <w:tc>
          <w:tcPr>
            <w:tcW w:w="860" w:type="dxa"/>
            <w:vAlign w:val="bottom"/>
            <w:shd w:val="clear" w:color="auto" w:fill="CCD4DB"/>
          </w:tcPr>
          <w:p>
            <w:pPr>
              <w:spacing w:after="0"/>
              <w:rPr>
                <w:sz w:val="13"/>
                <w:szCs w:val="13"/>
                <w:color w:val="auto"/>
              </w:rPr>
            </w:pPr>
          </w:p>
        </w:tc>
        <w:tc>
          <w:tcPr>
            <w:tcW w:w="1060" w:type="dxa"/>
            <w:vAlign w:val="bottom"/>
            <w:shd w:val="clear" w:color="auto" w:fill="CCD4DB"/>
          </w:tcPr>
          <w:p>
            <w:pPr>
              <w:spacing w:after="0"/>
              <w:rPr>
                <w:sz w:val="13"/>
                <w:szCs w:val="13"/>
                <w:color w:val="auto"/>
              </w:rPr>
            </w:pPr>
          </w:p>
        </w:tc>
        <w:tc>
          <w:tcPr>
            <w:tcW w:w="1440" w:type="dxa"/>
            <w:vAlign w:val="bottom"/>
            <w:shd w:val="clear" w:color="auto" w:fill="CCD4DB"/>
          </w:tcPr>
          <w:p>
            <w:pPr>
              <w:spacing w:after="0"/>
              <w:rPr>
                <w:sz w:val="13"/>
                <w:szCs w:val="13"/>
                <w:color w:val="auto"/>
              </w:rPr>
            </w:pPr>
          </w:p>
        </w:tc>
        <w:tc>
          <w:tcPr>
            <w:tcW w:w="1300" w:type="dxa"/>
            <w:vAlign w:val="bottom"/>
            <w:shd w:val="clear" w:color="auto" w:fill="CCD4DB"/>
          </w:tcPr>
          <w:p>
            <w:pPr>
              <w:spacing w:after="0"/>
              <w:rPr>
                <w:sz w:val="13"/>
                <w:szCs w:val="13"/>
                <w:color w:val="auto"/>
              </w:rPr>
            </w:pPr>
          </w:p>
        </w:tc>
        <w:tc>
          <w:tcPr>
            <w:tcW w:w="1560" w:type="dxa"/>
            <w:vAlign w:val="bottom"/>
            <w:shd w:val="clear" w:color="auto" w:fill="CCD4DB"/>
          </w:tcPr>
          <w:p>
            <w:pPr>
              <w:spacing w:after="0"/>
              <w:rPr>
                <w:sz w:val="13"/>
                <w:szCs w:val="13"/>
                <w:color w:val="auto"/>
              </w:rPr>
            </w:pPr>
          </w:p>
        </w:tc>
        <w:tc>
          <w:tcPr>
            <w:tcW w:w="980" w:type="dxa"/>
            <w:vAlign w:val="bottom"/>
            <w:shd w:val="clear" w:color="auto" w:fill="CCD4DB"/>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440" w:type="dxa"/>
            <w:vAlign w:val="bottom"/>
            <w:vMerge w:val="restart"/>
          </w:tcPr>
          <w:p>
            <w:pPr>
              <w:ind w:left="180"/>
              <w:spacing w:after="0"/>
              <w:rPr>
                <w:sz w:val="20"/>
                <w:szCs w:val="20"/>
                <w:color w:val="auto"/>
              </w:rPr>
            </w:pPr>
            <w:r>
              <w:rPr>
                <w:rFonts w:ascii="Arial" w:cs="Arial" w:eastAsia="Arial" w:hAnsi="Arial"/>
                <w:sz w:val="14"/>
                <w:szCs w:val="14"/>
                <w:color w:val="auto"/>
              </w:rPr>
              <w:t>Chief Financial Officer</w:t>
            </w:r>
          </w:p>
        </w:tc>
        <w:tc>
          <w:tcPr>
            <w:tcW w:w="560" w:type="dxa"/>
            <w:vAlign w:val="bottom"/>
            <w:shd w:val="clear" w:color="auto" w:fill="CCD4DB"/>
          </w:tcPr>
          <w:p>
            <w:pPr>
              <w:spacing w:after="0"/>
              <w:rPr>
                <w:sz w:val="5"/>
                <w:szCs w:val="5"/>
                <w:color w:val="auto"/>
              </w:rPr>
            </w:pPr>
          </w:p>
        </w:tc>
        <w:tc>
          <w:tcPr>
            <w:tcW w:w="1040" w:type="dxa"/>
            <w:vAlign w:val="bottom"/>
            <w:shd w:val="clear" w:color="auto" w:fill="CCD4DB"/>
          </w:tcPr>
          <w:p>
            <w:pPr>
              <w:spacing w:after="0"/>
              <w:rPr>
                <w:sz w:val="5"/>
                <w:szCs w:val="5"/>
                <w:color w:val="auto"/>
              </w:rPr>
            </w:pPr>
          </w:p>
        </w:tc>
        <w:tc>
          <w:tcPr>
            <w:tcW w:w="860" w:type="dxa"/>
            <w:vAlign w:val="bottom"/>
            <w:shd w:val="clear" w:color="auto" w:fill="CCD4DB"/>
          </w:tcPr>
          <w:p>
            <w:pPr>
              <w:spacing w:after="0"/>
              <w:rPr>
                <w:sz w:val="5"/>
                <w:szCs w:val="5"/>
                <w:color w:val="auto"/>
              </w:rPr>
            </w:pPr>
          </w:p>
        </w:tc>
        <w:tc>
          <w:tcPr>
            <w:tcW w:w="1060" w:type="dxa"/>
            <w:vAlign w:val="bottom"/>
            <w:shd w:val="clear" w:color="auto" w:fill="CCD4DB"/>
          </w:tcPr>
          <w:p>
            <w:pPr>
              <w:spacing w:after="0"/>
              <w:rPr>
                <w:sz w:val="5"/>
                <w:szCs w:val="5"/>
                <w:color w:val="auto"/>
              </w:rPr>
            </w:pPr>
          </w:p>
        </w:tc>
        <w:tc>
          <w:tcPr>
            <w:tcW w:w="1440" w:type="dxa"/>
            <w:vAlign w:val="bottom"/>
            <w:shd w:val="clear" w:color="auto" w:fill="CCD4DB"/>
          </w:tcPr>
          <w:p>
            <w:pPr>
              <w:spacing w:after="0"/>
              <w:rPr>
                <w:sz w:val="5"/>
                <w:szCs w:val="5"/>
                <w:color w:val="auto"/>
              </w:rPr>
            </w:pPr>
          </w:p>
        </w:tc>
        <w:tc>
          <w:tcPr>
            <w:tcW w:w="1300" w:type="dxa"/>
            <w:vAlign w:val="bottom"/>
            <w:shd w:val="clear" w:color="auto" w:fill="CCD4DB"/>
          </w:tcPr>
          <w:p>
            <w:pPr>
              <w:spacing w:after="0"/>
              <w:rPr>
                <w:sz w:val="5"/>
                <w:szCs w:val="5"/>
                <w:color w:val="auto"/>
              </w:rPr>
            </w:pPr>
          </w:p>
        </w:tc>
        <w:tc>
          <w:tcPr>
            <w:tcW w:w="1560" w:type="dxa"/>
            <w:vAlign w:val="bottom"/>
            <w:shd w:val="clear" w:color="auto" w:fill="CCD4DB"/>
          </w:tcPr>
          <w:p>
            <w:pPr>
              <w:spacing w:after="0"/>
              <w:rPr>
                <w:sz w:val="5"/>
                <w:szCs w:val="5"/>
                <w:color w:val="auto"/>
              </w:rPr>
            </w:pPr>
          </w:p>
        </w:tc>
        <w:tc>
          <w:tcPr>
            <w:tcW w:w="980" w:type="dxa"/>
            <w:vAlign w:val="bottom"/>
            <w:shd w:val="clear" w:color="auto" w:fill="CCD4DB"/>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44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440" w:type="dxa"/>
            <w:vAlign w:val="bottom"/>
            <w:tcBorders>
              <w:bottom w:val="single" w:sz="8" w:color="00249C"/>
            </w:tcBorders>
          </w:tcPr>
          <w:p>
            <w:pPr>
              <w:spacing w:after="0"/>
              <w:rPr>
                <w:sz w:val="9"/>
                <w:szCs w:val="9"/>
                <w:color w:val="auto"/>
              </w:rPr>
            </w:pPr>
          </w:p>
        </w:tc>
        <w:tc>
          <w:tcPr>
            <w:tcW w:w="560" w:type="dxa"/>
            <w:vAlign w:val="bottom"/>
            <w:tcBorders>
              <w:bottom w:val="single" w:sz="8" w:color="00249C"/>
            </w:tcBorders>
          </w:tcPr>
          <w:p>
            <w:pPr>
              <w:spacing w:after="0"/>
              <w:rPr>
                <w:sz w:val="9"/>
                <w:szCs w:val="9"/>
                <w:color w:val="auto"/>
              </w:rPr>
            </w:pPr>
          </w:p>
        </w:tc>
        <w:tc>
          <w:tcPr>
            <w:tcW w:w="1040" w:type="dxa"/>
            <w:vAlign w:val="bottom"/>
            <w:tcBorders>
              <w:bottom w:val="single" w:sz="8" w:color="00249C"/>
            </w:tcBorders>
          </w:tcPr>
          <w:p>
            <w:pPr>
              <w:spacing w:after="0"/>
              <w:rPr>
                <w:sz w:val="9"/>
                <w:szCs w:val="9"/>
                <w:color w:val="auto"/>
              </w:rPr>
            </w:pPr>
          </w:p>
        </w:tc>
        <w:tc>
          <w:tcPr>
            <w:tcW w:w="860" w:type="dxa"/>
            <w:vAlign w:val="bottom"/>
            <w:tcBorders>
              <w:bottom w:val="single" w:sz="8" w:color="00249C"/>
            </w:tcBorders>
          </w:tcPr>
          <w:p>
            <w:pPr>
              <w:spacing w:after="0"/>
              <w:rPr>
                <w:sz w:val="9"/>
                <w:szCs w:val="9"/>
                <w:color w:val="auto"/>
              </w:rPr>
            </w:pPr>
          </w:p>
        </w:tc>
        <w:tc>
          <w:tcPr>
            <w:tcW w:w="1060" w:type="dxa"/>
            <w:vAlign w:val="bottom"/>
            <w:tcBorders>
              <w:bottom w:val="single" w:sz="8" w:color="00249C"/>
            </w:tcBorders>
          </w:tcPr>
          <w:p>
            <w:pPr>
              <w:spacing w:after="0"/>
              <w:rPr>
                <w:sz w:val="9"/>
                <w:szCs w:val="9"/>
                <w:color w:val="auto"/>
              </w:rPr>
            </w:pPr>
          </w:p>
        </w:tc>
        <w:tc>
          <w:tcPr>
            <w:tcW w:w="1440" w:type="dxa"/>
            <w:vAlign w:val="bottom"/>
            <w:tcBorders>
              <w:bottom w:val="single" w:sz="8" w:color="00249C"/>
            </w:tcBorders>
          </w:tcPr>
          <w:p>
            <w:pPr>
              <w:spacing w:after="0"/>
              <w:rPr>
                <w:sz w:val="9"/>
                <w:szCs w:val="9"/>
                <w:color w:val="auto"/>
              </w:rPr>
            </w:pPr>
          </w:p>
        </w:tc>
        <w:tc>
          <w:tcPr>
            <w:tcW w:w="1300" w:type="dxa"/>
            <w:vAlign w:val="bottom"/>
            <w:tcBorders>
              <w:bottom w:val="single" w:sz="8" w:color="00249C"/>
            </w:tcBorders>
          </w:tcPr>
          <w:p>
            <w:pPr>
              <w:spacing w:after="0"/>
              <w:rPr>
                <w:sz w:val="9"/>
                <w:szCs w:val="9"/>
                <w:color w:val="auto"/>
              </w:rPr>
            </w:pPr>
          </w:p>
        </w:tc>
        <w:tc>
          <w:tcPr>
            <w:tcW w:w="1560" w:type="dxa"/>
            <w:vAlign w:val="bottom"/>
            <w:tcBorders>
              <w:bottom w:val="single" w:sz="8" w:color="00249C"/>
            </w:tcBorders>
          </w:tcPr>
          <w:p>
            <w:pPr>
              <w:spacing w:after="0"/>
              <w:rPr>
                <w:sz w:val="9"/>
                <w:szCs w:val="9"/>
                <w:color w:val="auto"/>
              </w:rPr>
            </w:pPr>
          </w:p>
        </w:tc>
        <w:tc>
          <w:tcPr>
            <w:tcW w:w="980" w:type="dxa"/>
            <w:vAlign w:val="bottom"/>
            <w:tcBorders>
              <w:bottom w:val="single" w:sz="8" w:color="00249C"/>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440" w:type="dxa"/>
            <w:vAlign w:val="bottom"/>
          </w:tcPr>
          <w:p>
            <w:pPr>
              <w:ind w:left="20"/>
              <w:spacing w:after="0"/>
              <w:rPr>
                <w:sz w:val="20"/>
                <w:szCs w:val="20"/>
                <w:color w:val="auto"/>
              </w:rPr>
            </w:pPr>
            <w:r>
              <w:rPr>
                <w:rFonts w:ascii="Arial" w:cs="Arial" w:eastAsia="Arial" w:hAnsi="Arial"/>
                <w:sz w:val="14"/>
                <w:szCs w:val="14"/>
                <w:color w:val="auto"/>
              </w:rPr>
              <w:t>Mark A. Caylor</w:t>
            </w:r>
          </w:p>
        </w:tc>
        <w:tc>
          <w:tcPr>
            <w:tcW w:w="560" w:type="dxa"/>
            <w:vAlign w:val="bottom"/>
            <w:shd w:val="clear" w:color="auto" w:fill="CCD4DB"/>
          </w:tcPr>
          <w:p>
            <w:pPr>
              <w:ind w:left="120"/>
              <w:spacing w:after="0"/>
              <w:rPr>
                <w:sz w:val="20"/>
                <w:szCs w:val="20"/>
                <w:color w:val="auto"/>
              </w:rPr>
            </w:pPr>
            <w:r>
              <w:rPr>
                <w:rFonts w:ascii="Arial" w:cs="Arial" w:eastAsia="Arial" w:hAnsi="Arial"/>
                <w:sz w:val="14"/>
                <w:szCs w:val="14"/>
                <w:color w:val="auto"/>
              </w:rPr>
              <w:t>2020</w:t>
            </w:r>
          </w:p>
        </w:tc>
        <w:tc>
          <w:tcPr>
            <w:tcW w:w="104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855,000</w:t>
            </w:r>
          </w:p>
        </w:tc>
        <w:tc>
          <w:tcPr>
            <w:tcW w:w="860" w:type="dxa"/>
            <w:vAlign w:val="bottom"/>
            <w:shd w:val="clear" w:color="auto" w:fill="CCD4DB"/>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3,000,212</w:t>
            </w:r>
          </w:p>
        </w:tc>
        <w:tc>
          <w:tcPr>
            <w:tcW w:w="1440" w:type="dxa"/>
            <w:vAlign w:val="bottom"/>
            <w:shd w:val="clear" w:color="auto" w:fill="CCD4DB"/>
          </w:tcPr>
          <w:p>
            <w:pPr>
              <w:jc w:val="center"/>
              <w:ind w:left="8"/>
              <w:spacing w:after="0"/>
              <w:rPr>
                <w:sz w:val="20"/>
                <w:szCs w:val="20"/>
                <w:color w:val="auto"/>
              </w:rPr>
            </w:pPr>
            <w:r>
              <w:rPr>
                <w:rFonts w:ascii="Arial" w:cs="Arial" w:eastAsia="Arial" w:hAnsi="Arial"/>
                <w:sz w:val="14"/>
                <w:szCs w:val="14"/>
                <w:color w:val="auto"/>
              </w:rPr>
              <w:t>1,223,000</w:t>
            </w:r>
          </w:p>
        </w:tc>
        <w:tc>
          <w:tcPr>
            <w:tcW w:w="1300" w:type="dxa"/>
            <w:vAlign w:val="bottom"/>
            <w:shd w:val="clear" w:color="auto" w:fill="CCD4DB"/>
          </w:tcPr>
          <w:p>
            <w:pPr>
              <w:jc w:val="center"/>
              <w:ind w:left="28"/>
              <w:spacing w:after="0"/>
              <w:rPr>
                <w:sz w:val="20"/>
                <w:szCs w:val="20"/>
                <w:color w:val="auto"/>
              </w:rPr>
            </w:pPr>
            <w:r>
              <w:rPr>
                <w:rFonts w:ascii="Arial" w:cs="Arial" w:eastAsia="Arial" w:hAnsi="Arial"/>
                <w:sz w:val="14"/>
                <w:szCs w:val="14"/>
                <w:color w:val="auto"/>
              </w:rPr>
              <w:t>870,818</w:t>
            </w:r>
          </w:p>
        </w:tc>
        <w:tc>
          <w:tcPr>
            <w:tcW w:w="156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144,715</w:t>
            </w:r>
          </w:p>
        </w:tc>
        <w:tc>
          <w:tcPr>
            <w:tcW w:w="98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6,093,745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40" w:type="dxa"/>
            <w:vAlign w:val="bottom"/>
          </w:tcPr>
          <w:p>
            <w:pPr>
              <w:ind w:left="180"/>
              <w:spacing w:after="0"/>
              <w:rPr>
                <w:sz w:val="20"/>
                <w:szCs w:val="20"/>
                <w:color w:val="auto"/>
              </w:rPr>
            </w:pPr>
            <w:r>
              <w:rPr>
                <w:rFonts w:ascii="Arial" w:cs="Arial" w:eastAsia="Arial" w:hAnsi="Arial"/>
                <w:sz w:val="14"/>
                <w:szCs w:val="14"/>
                <w:color w:val="auto"/>
              </w:rPr>
              <w:t>Corporate Vice President and</w:t>
            </w:r>
          </w:p>
        </w:tc>
        <w:tc>
          <w:tcPr>
            <w:tcW w:w="560" w:type="dxa"/>
            <w:vAlign w:val="bottom"/>
          </w:tcPr>
          <w:p>
            <w:pPr>
              <w:ind w:left="120"/>
              <w:spacing w:after="0"/>
              <w:rPr>
                <w:sz w:val="20"/>
                <w:szCs w:val="20"/>
                <w:color w:val="auto"/>
              </w:rPr>
            </w:pPr>
            <w:r>
              <w:rPr>
                <w:rFonts w:ascii="Arial" w:cs="Arial" w:eastAsia="Arial" w:hAnsi="Arial"/>
                <w:sz w:val="14"/>
                <w:szCs w:val="14"/>
                <w:color w:val="auto"/>
              </w:rPr>
              <w:t>2019</w:t>
            </w:r>
          </w:p>
        </w:tc>
        <w:tc>
          <w:tcPr>
            <w:tcW w:w="1040" w:type="dxa"/>
            <w:vAlign w:val="bottom"/>
          </w:tcPr>
          <w:p>
            <w:pPr>
              <w:jc w:val="center"/>
              <w:spacing w:after="0"/>
              <w:rPr>
                <w:sz w:val="20"/>
                <w:szCs w:val="20"/>
                <w:color w:val="auto"/>
              </w:rPr>
            </w:pPr>
            <w:r>
              <w:rPr>
                <w:rFonts w:ascii="Arial" w:cs="Arial" w:eastAsia="Arial" w:hAnsi="Arial"/>
                <w:sz w:val="14"/>
                <w:szCs w:val="14"/>
                <w:color w:val="auto"/>
              </w:rPr>
              <w:t>850,192</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3,499,779</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rPr>
              <w:t>1,428,000</w:t>
            </w:r>
          </w:p>
        </w:tc>
        <w:tc>
          <w:tcPr>
            <w:tcW w:w="1300" w:type="dxa"/>
            <w:vAlign w:val="bottom"/>
          </w:tcPr>
          <w:p>
            <w:pPr>
              <w:jc w:val="center"/>
              <w:ind w:left="28"/>
              <w:spacing w:after="0"/>
              <w:rPr>
                <w:sz w:val="20"/>
                <w:szCs w:val="20"/>
                <w:color w:val="auto"/>
              </w:rPr>
            </w:pPr>
            <w:r>
              <w:rPr>
                <w:rFonts w:ascii="Arial" w:cs="Arial" w:eastAsia="Arial" w:hAnsi="Arial"/>
                <w:sz w:val="14"/>
                <w:szCs w:val="14"/>
                <w:color w:val="auto"/>
              </w:rPr>
              <w:t>886,646</w:t>
            </w:r>
          </w:p>
        </w:tc>
        <w:tc>
          <w:tcPr>
            <w:tcW w:w="1560" w:type="dxa"/>
            <w:vAlign w:val="bottom"/>
          </w:tcPr>
          <w:p>
            <w:pPr>
              <w:jc w:val="center"/>
              <w:spacing w:after="0"/>
              <w:rPr>
                <w:sz w:val="20"/>
                <w:szCs w:val="20"/>
                <w:color w:val="auto"/>
              </w:rPr>
            </w:pPr>
            <w:r>
              <w:rPr>
                <w:rFonts w:ascii="Arial" w:cs="Arial" w:eastAsia="Arial" w:hAnsi="Arial"/>
                <w:sz w:val="14"/>
                <w:szCs w:val="14"/>
                <w:color w:val="auto"/>
              </w:rPr>
              <w:t>129,727</w:t>
            </w:r>
          </w:p>
        </w:tc>
        <w:tc>
          <w:tcPr>
            <w:tcW w:w="980" w:type="dxa"/>
            <w:vAlign w:val="bottom"/>
          </w:tcPr>
          <w:p>
            <w:pPr>
              <w:jc w:val="center"/>
              <w:spacing w:after="0"/>
              <w:rPr>
                <w:sz w:val="20"/>
                <w:szCs w:val="20"/>
                <w:color w:val="auto"/>
              </w:rPr>
            </w:pPr>
            <w:r>
              <w:rPr>
                <w:rFonts w:ascii="Arial" w:cs="Arial" w:eastAsia="Arial" w:hAnsi="Arial"/>
                <w:sz w:val="14"/>
                <w:szCs w:val="14"/>
                <w:color w:val="auto"/>
              </w:rPr>
              <w:t>6,794,344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440" w:type="dxa"/>
            <w:vAlign w:val="bottom"/>
            <w:vMerge w:val="restart"/>
          </w:tcPr>
          <w:p>
            <w:pPr>
              <w:ind w:left="180"/>
              <w:spacing w:after="0"/>
              <w:rPr>
                <w:sz w:val="20"/>
                <w:szCs w:val="20"/>
                <w:color w:val="auto"/>
              </w:rPr>
            </w:pPr>
            <w:r>
              <w:rPr>
                <w:rFonts w:ascii="Arial" w:cs="Arial" w:eastAsia="Arial" w:hAnsi="Arial"/>
                <w:sz w:val="14"/>
                <w:szCs w:val="14"/>
                <w:color w:val="auto"/>
              </w:rPr>
              <w:t>President, Mission Systems</w:t>
            </w:r>
          </w:p>
        </w:tc>
        <w:tc>
          <w:tcPr>
            <w:tcW w:w="5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2440" w:type="dxa"/>
            <w:vAlign w:val="bottom"/>
            <w:vMerge w:val="continue"/>
          </w:tcPr>
          <w:p>
            <w:pPr>
              <w:spacing w:after="0"/>
              <w:rPr>
                <w:sz w:val="10"/>
                <w:szCs w:val="10"/>
                <w:color w:val="auto"/>
              </w:rPr>
            </w:pPr>
          </w:p>
        </w:tc>
        <w:tc>
          <w:tcPr>
            <w:tcW w:w="560" w:type="dxa"/>
            <w:vAlign w:val="bottom"/>
            <w:vMerge w:val="restart"/>
            <w:shd w:val="clear" w:color="auto" w:fill="CCD4DB"/>
          </w:tcPr>
          <w:p>
            <w:pPr>
              <w:ind w:left="120"/>
              <w:spacing w:after="0"/>
              <w:rPr>
                <w:sz w:val="20"/>
                <w:szCs w:val="20"/>
                <w:color w:val="auto"/>
              </w:rPr>
            </w:pPr>
            <w:r>
              <w:rPr>
                <w:rFonts w:ascii="Arial" w:cs="Arial" w:eastAsia="Arial" w:hAnsi="Arial"/>
                <w:sz w:val="14"/>
                <w:szCs w:val="14"/>
                <w:color w:val="auto"/>
              </w:rPr>
              <w:t>2018</w:t>
            </w:r>
          </w:p>
        </w:tc>
        <w:tc>
          <w:tcPr>
            <w:tcW w:w="104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790,577</w:t>
            </w:r>
          </w:p>
        </w:tc>
        <w:tc>
          <w:tcPr>
            <w:tcW w:w="86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3,900,096</w:t>
            </w:r>
          </w:p>
        </w:tc>
        <w:tc>
          <w:tcPr>
            <w:tcW w:w="1440" w:type="dxa"/>
            <w:vAlign w:val="bottom"/>
            <w:vMerge w:val="restart"/>
            <w:shd w:val="clear" w:color="auto" w:fill="CCD4DB"/>
          </w:tcPr>
          <w:p>
            <w:pPr>
              <w:jc w:val="center"/>
              <w:ind w:left="8"/>
              <w:spacing w:after="0"/>
              <w:rPr>
                <w:sz w:val="20"/>
                <w:szCs w:val="20"/>
                <w:color w:val="auto"/>
              </w:rPr>
            </w:pPr>
            <w:r>
              <w:rPr>
                <w:rFonts w:ascii="Arial" w:cs="Arial" w:eastAsia="Arial" w:hAnsi="Arial"/>
                <w:sz w:val="14"/>
                <w:szCs w:val="14"/>
                <w:color w:val="auto"/>
              </w:rPr>
              <w:t>1,328,000</w:t>
            </w:r>
          </w:p>
        </w:tc>
        <w:tc>
          <w:tcPr>
            <w:tcW w:w="1300" w:type="dxa"/>
            <w:vAlign w:val="bottom"/>
            <w:vMerge w:val="restart"/>
            <w:shd w:val="clear" w:color="auto" w:fill="CCD4DB"/>
          </w:tcPr>
          <w:p>
            <w:pPr>
              <w:jc w:val="center"/>
              <w:ind w:left="8"/>
              <w:spacing w:after="0"/>
              <w:rPr>
                <w:sz w:val="20"/>
                <w:szCs w:val="20"/>
                <w:color w:val="auto"/>
              </w:rPr>
            </w:pPr>
            <w:r>
              <w:rPr>
                <w:rFonts w:ascii="Arial" w:cs="Arial" w:eastAsia="Arial" w:hAnsi="Arial"/>
                <w:sz w:val="14"/>
                <w:szCs w:val="14"/>
                <w:color w:val="auto"/>
                <w:w w:val="99"/>
              </w:rPr>
              <w:t>—</w:t>
            </w:r>
          </w:p>
        </w:tc>
        <w:tc>
          <w:tcPr>
            <w:tcW w:w="156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127,017</w:t>
            </w:r>
          </w:p>
        </w:tc>
        <w:tc>
          <w:tcPr>
            <w:tcW w:w="98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6,145,690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440" w:type="dxa"/>
            <w:vAlign w:val="bottom"/>
            <w:tcBorders>
              <w:bottom w:val="single" w:sz="8" w:color="00249C"/>
            </w:tcBorders>
          </w:tcPr>
          <w:p>
            <w:pPr>
              <w:spacing w:after="0"/>
              <w:rPr>
                <w:sz w:val="7"/>
                <w:szCs w:val="7"/>
                <w:color w:val="auto"/>
              </w:rPr>
            </w:pPr>
          </w:p>
        </w:tc>
        <w:tc>
          <w:tcPr>
            <w:tcW w:w="560" w:type="dxa"/>
            <w:vAlign w:val="bottom"/>
            <w:tcBorders>
              <w:bottom w:val="single" w:sz="8" w:color="00249C"/>
            </w:tcBorders>
            <w:vMerge w:val="continue"/>
            <w:shd w:val="clear" w:color="auto" w:fill="CCD4DB"/>
          </w:tcPr>
          <w:p>
            <w:pPr>
              <w:spacing w:after="0"/>
              <w:rPr>
                <w:sz w:val="7"/>
                <w:szCs w:val="7"/>
                <w:color w:val="auto"/>
              </w:rPr>
            </w:pPr>
          </w:p>
        </w:tc>
        <w:tc>
          <w:tcPr>
            <w:tcW w:w="1040" w:type="dxa"/>
            <w:vAlign w:val="bottom"/>
            <w:tcBorders>
              <w:bottom w:val="single" w:sz="8" w:color="00249C"/>
            </w:tcBorders>
            <w:vMerge w:val="continue"/>
            <w:shd w:val="clear" w:color="auto" w:fill="CCD4DB"/>
          </w:tcPr>
          <w:p>
            <w:pPr>
              <w:spacing w:after="0"/>
              <w:rPr>
                <w:sz w:val="7"/>
                <w:szCs w:val="7"/>
                <w:color w:val="auto"/>
              </w:rPr>
            </w:pPr>
          </w:p>
        </w:tc>
        <w:tc>
          <w:tcPr>
            <w:tcW w:w="860" w:type="dxa"/>
            <w:vAlign w:val="bottom"/>
            <w:tcBorders>
              <w:bottom w:val="single" w:sz="8" w:color="00249C"/>
            </w:tcBorders>
            <w:vMerge w:val="continue"/>
            <w:shd w:val="clear" w:color="auto" w:fill="CCD4DB"/>
          </w:tcPr>
          <w:p>
            <w:pPr>
              <w:spacing w:after="0"/>
              <w:rPr>
                <w:sz w:val="7"/>
                <w:szCs w:val="7"/>
                <w:color w:val="auto"/>
              </w:rPr>
            </w:pPr>
          </w:p>
        </w:tc>
        <w:tc>
          <w:tcPr>
            <w:tcW w:w="1060" w:type="dxa"/>
            <w:vAlign w:val="bottom"/>
            <w:tcBorders>
              <w:bottom w:val="single" w:sz="8" w:color="00249C"/>
            </w:tcBorders>
            <w:vMerge w:val="continue"/>
            <w:shd w:val="clear" w:color="auto" w:fill="CCD4DB"/>
          </w:tcPr>
          <w:p>
            <w:pPr>
              <w:spacing w:after="0"/>
              <w:rPr>
                <w:sz w:val="7"/>
                <w:szCs w:val="7"/>
                <w:color w:val="auto"/>
              </w:rPr>
            </w:pPr>
          </w:p>
        </w:tc>
        <w:tc>
          <w:tcPr>
            <w:tcW w:w="1440" w:type="dxa"/>
            <w:vAlign w:val="bottom"/>
            <w:tcBorders>
              <w:bottom w:val="single" w:sz="8" w:color="00249C"/>
            </w:tcBorders>
            <w:vMerge w:val="continue"/>
            <w:shd w:val="clear" w:color="auto" w:fill="CCD4DB"/>
          </w:tcPr>
          <w:p>
            <w:pPr>
              <w:spacing w:after="0"/>
              <w:rPr>
                <w:sz w:val="7"/>
                <w:szCs w:val="7"/>
                <w:color w:val="auto"/>
              </w:rPr>
            </w:pPr>
          </w:p>
        </w:tc>
        <w:tc>
          <w:tcPr>
            <w:tcW w:w="1300" w:type="dxa"/>
            <w:vAlign w:val="bottom"/>
            <w:tcBorders>
              <w:bottom w:val="single" w:sz="8" w:color="00249C"/>
            </w:tcBorders>
            <w:vMerge w:val="continue"/>
            <w:shd w:val="clear" w:color="auto" w:fill="CCD4DB"/>
          </w:tcPr>
          <w:p>
            <w:pPr>
              <w:spacing w:after="0"/>
              <w:rPr>
                <w:sz w:val="7"/>
                <w:szCs w:val="7"/>
                <w:color w:val="auto"/>
              </w:rPr>
            </w:pPr>
          </w:p>
        </w:tc>
        <w:tc>
          <w:tcPr>
            <w:tcW w:w="1560" w:type="dxa"/>
            <w:vAlign w:val="bottom"/>
            <w:tcBorders>
              <w:bottom w:val="single" w:sz="8" w:color="00249C"/>
            </w:tcBorders>
            <w:vMerge w:val="continue"/>
            <w:shd w:val="clear" w:color="auto" w:fill="CCD4DB"/>
          </w:tcPr>
          <w:p>
            <w:pPr>
              <w:spacing w:after="0"/>
              <w:rPr>
                <w:sz w:val="7"/>
                <w:szCs w:val="7"/>
                <w:color w:val="auto"/>
              </w:rPr>
            </w:pPr>
          </w:p>
        </w:tc>
        <w:tc>
          <w:tcPr>
            <w:tcW w:w="980" w:type="dxa"/>
            <w:vAlign w:val="bottom"/>
            <w:tcBorders>
              <w:bottom w:val="single" w:sz="8" w:color="00249C"/>
            </w:tcBorders>
            <w:vMerge w:val="continue"/>
            <w:shd w:val="clear" w:color="auto" w:fill="CCD4DB"/>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440" w:type="dxa"/>
            <w:vAlign w:val="bottom"/>
          </w:tcPr>
          <w:p>
            <w:pPr>
              <w:ind w:left="20"/>
              <w:spacing w:after="0"/>
              <w:rPr>
                <w:sz w:val="20"/>
                <w:szCs w:val="20"/>
                <w:color w:val="auto"/>
              </w:rPr>
            </w:pPr>
            <w:r>
              <w:rPr>
                <w:rFonts w:ascii="Arial" w:cs="Arial" w:eastAsia="Arial" w:hAnsi="Arial"/>
                <w:sz w:val="14"/>
                <w:szCs w:val="14"/>
                <w:color w:val="auto"/>
              </w:rPr>
              <w:t>Blake E. Larson</w:t>
            </w:r>
          </w:p>
        </w:tc>
        <w:tc>
          <w:tcPr>
            <w:tcW w:w="560" w:type="dxa"/>
            <w:vAlign w:val="bottom"/>
          </w:tcPr>
          <w:p>
            <w:pPr>
              <w:ind w:left="120"/>
              <w:spacing w:after="0"/>
              <w:rPr>
                <w:sz w:val="20"/>
                <w:szCs w:val="20"/>
                <w:color w:val="auto"/>
              </w:rPr>
            </w:pPr>
            <w:r>
              <w:rPr>
                <w:rFonts w:ascii="Arial" w:cs="Arial" w:eastAsia="Arial" w:hAnsi="Arial"/>
                <w:sz w:val="14"/>
                <w:szCs w:val="14"/>
                <w:color w:val="auto"/>
              </w:rPr>
              <w:t>2020</w:t>
            </w:r>
          </w:p>
        </w:tc>
        <w:tc>
          <w:tcPr>
            <w:tcW w:w="1040" w:type="dxa"/>
            <w:vAlign w:val="bottom"/>
          </w:tcPr>
          <w:p>
            <w:pPr>
              <w:jc w:val="center"/>
              <w:spacing w:after="0"/>
              <w:rPr>
                <w:sz w:val="20"/>
                <w:szCs w:val="20"/>
                <w:color w:val="auto"/>
              </w:rPr>
            </w:pPr>
            <w:r>
              <w:rPr>
                <w:rFonts w:ascii="Arial" w:cs="Arial" w:eastAsia="Arial" w:hAnsi="Arial"/>
                <w:sz w:val="14"/>
                <w:szCs w:val="14"/>
                <w:color w:val="auto"/>
              </w:rPr>
              <w:t>802,154</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3,500,217</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rPr>
              <w:t>1,160,000</w:t>
            </w:r>
          </w:p>
        </w:tc>
        <w:tc>
          <w:tcPr>
            <w:tcW w:w="1300" w:type="dxa"/>
            <w:vAlign w:val="bottom"/>
          </w:tcPr>
          <w:p>
            <w:pPr>
              <w:jc w:val="center"/>
              <w:ind w:left="28"/>
              <w:spacing w:after="0"/>
              <w:rPr>
                <w:sz w:val="20"/>
                <w:szCs w:val="20"/>
                <w:color w:val="auto"/>
              </w:rPr>
            </w:pPr>
            <w:r>
              <w:rPr>
                <w:rFonts w:ascii="Arial" w:cs="Arial" w:eastAsia="Arial" w:hAnsi="Arial"/>
                <w:sz w:val="14"/>
                <w:szCs w:val="14"/>
                <w:color w:val="auto"/>
              </w:rPr>
              <w:t>326,767</w:t>
            </w:r>
          </w:p>
        </w:tc>
        <w:tc>
          <w:tcPr>
            <w:tcW w:w="1560" w:type="dxa"/>
            <w:vAlign w:val="bottom"/>
          </w:tcPr>
          <w:p>
            <w:pPr>
              <w:jc w:val="center"/>
              <w:spacing w:after="0"/>
              <w:rPr>
                <w:sz w:val="20"/>
                <w:szCs w:val="20"/>
                <w:color w:val="auto"/>
              </w:rPr>
            </w:pPr>
            <w:r>
              <w:rPr>
                <w:rFonts w:ascii="Arial" w:cs="Arial" w:eastAsia="Arial" w:hAnsi="Arial"/>
                <w:sz w:val="14"/>
                <w:szCs w:val="14"/>
                <w:color w:val="auto"/>
              </w:rPr>
              <w:t>217,676</w:t>
            </w:r>
          </w:p>
        </w:tc>
        <w:tc>
          <w:tcPr>
            <w:tcW w:w="980" w:type="dxa"/>
            <w:vAlign w:val="bottom"/>
          </w:tcPr>
          <w:p>
            <w:pPr>
              <w:jc w:val="center"/>
              <w:spacing w:after="0"/>
              <w:rPr>
                <w:sz w:val="20"/>
                <w:szCs w:val="20"/>
                <w:color w:val="auto"/>
              </w:rPr>
            </w:pPr>
            <w:r>
              <w:rPr>
                <w:rFonts w:ascii="Arial" w:cs="Arial" w:eastAsia="Arial" w:hAnsi="Arial"/>
                <w:sz w:val="14"/>
                <w:szCs w:val="14"/>
                <w:color w:val="auto"/>
              </w:rPr>
              <w:t>6,006,814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40" w:type="dxa"/>
            <w:vAlign w:val="bottom"/>
          </w:tcPr>
          <w:p>
            <w:pPr>
              <w:ind w:left="180"/>
              <w:spacing w:after="0"/>
              <w:rPr>
                <w:sz w:val="20"/>
                <w:szCs w:val="20"/>
                <w:color w:val="auto"/>
              </w:rPr>
            </w:pPr>
            <w:r>
              <w:rPr>
                <w:rFonts w:ascii="Arial" w:cs="Arial" w:eastAsia="Arial" w:hAnsi="Arial"/>
                <w:sz w:val="14"/>
                <w:szCs w:val="14"/>
                <w:color w:val="auto"/>
              </w:rPr>
              <w:t>Corporate Vice President and</w:t>
            </w:r>
          </w:p>
        </w:tc>
        <w:tc>
          <w:tcPr>
            <w:tcW w:w="560" w:type="dxa"/>
            <w:vAlign w:val="bottom"/>
            <w:tcBorders>
              <w:bottom w:val="single" w:sz="8" w:color="CCD4DB"/>
            </w:tcBorders>
            <w:shd w:val="clear" w:color="auto" w:fill="CCD4DB"/>
          </w:tcPr>
          <w:p>
            <w:pPr>
              <w:ind w:left="120"/>
              <w:spacing w:after="0"/>
              <w:rPr>
                <w:sz w:val="20"/>
                <w:szCs w:val="20"/>
                <w:color w:val="auto"/>
              </w:rPr>
            </w:pPr>
            <w:r>
              <w:rPr>
                <w:rFonts w:ascii="Arial" w:cs="Arial" w:eastAsia="Arial" w:hAnsi="Arial"/>
                <w:sz w:val="14"/>
                <w:szCs w:val="14"/>
                <w:color w:val="auto"/>
              </w:rPr>
              <w:t>2019</w:t>
            </w:r>
          </w:p>
        </w:tc>
        <w:tc>
          <w:tcPr>
            <w:tcW w:w="104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746,394</w:t>
            </w:r>
          </w:p>
        </w:tc>
        <w:tc>
          <w:tcPr>
            <w:tcW w:w="86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3,000,163</w:t>
            </w:r>
          </w:p>
        </w:tc>
        <w:tc>
          <w:tcPr>
            <w:tcW w:w="1440" w:type="dxa"/>
            <w:vAlign w:val="bottom"/>
            <w:tcBorders>
              <w:bottom w:val="single" w:sz="8" w:color="CCD4DB"/>
            </w:tcBorders>
            <w:shd w:val="clear" w:color="auto" w:fill="CCD4DB"/>
          </w:tcPr>
          <w:p>
            <w:pPr>
              <w:jc w:val="center"/>
              <w:ind w:left="8"/>
              <w:spacing w:after="0"/>
              <w:rPr>
                <w:sz w:val="20"/>
                <w:szCs w:val="20"/>
                <w:color w:val="auto"/>
              </w:rPr>
            </w:pPr>
            <w:r>
              <w:rPr>
                <w:rFonts w:ascii="Arial" w:cs="Arial" w:eastAsia="Arial" w:hAnsi="Arial"/>
                <w:sz w:val="14"/>
                <w:szCs w:val="14"/>
                <w:color w:val="auto"/>
              </w:rPr>
              <w:t>1,278,000</w:t>
            </w:r>
          </w:p>
        </w:tc>
        <w:tc>
          <w:tcPr>
            <w:tcW w:w="1300" w:type="dxa"/>
            <w:vAlign w:val="bottom"/>
            <w:tcBorders>
              <w:bottom w:val="single" w:sz="8" w:color="CCD4DB"/>
            </w:tcBorders>
            <w:shd w:val="clear" w:color="auto" w:fill="CCD4DB"/>
          </w:tcPr>
          <w:p>
            <w:pPr>
              <w:jc w:val="center"/>
              <w:ind w:left="28"/>
              <w:spacing w:after="0"/>
              <w:rPr>
                <w:sz w:val="20"/>
                <w:szCs w:val="20"/>
                <w:color w:val="auto"/>
              </w:rPr>
            </w:pPr>
            <w:r>
              <w:rPr>
                <w:rFonts w:ascii="Arial" w:cs="Arial" w:eastAsia="Arial" w:hAnsi="Arial"/>
                <w:sz w:val="14"/>
                <w:szCs w:val="14"/>
                <w:color w:val="auto"/>
              </w:rPr>
              <w:t>388,000</w:t>
            </w:r>
          </w:p>
        </w:tc>
        <w:tc>
          <w:tcPr>
            <w:tcW w:w="156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189,586</w:t>
            </w:r>
          </w:p>
        </w:tc>
        <w:tc>
          <w:tcPr>
            <w:tcW w:w="98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5,602,143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2440" w:type="dxa"/>
            <w:vAlign w:val="bottom"/>
          </w:tcPr>
          <w:p>
            <w:pPr>
              <w:ind w:left="180"/>
              <w:spacing w:after="0" w:line="118" w:lineRule="exact"/>
              <w:rPr>
                <w:sz w:val="20"/>
                <w:szCs w:val="20"/>
                <w:color w:val="auto"/>
              </w:rPr>
            </w:pPr>
            <w:r>
              <w:rPr>
                <w:rFonts w:ascii="Arial" w:cs="Arial" w:eastAsia="Arial" w:hAnsi="Arial"/>
                <w:sz w:val="13"/>
                <w:szCs w:val="13"/>
                <w:color w:val="auto"/>
              </w:rPr>
              <w:t>President, Space Systems</w:t>
            </w:r>
          </w:p>
        </w:tc>
        <w:tc>
          <w:tcPr>
            <w:tcW w:w="560" w:type="dxa"/>
            <w:vAlign w:val="bottom"/>
            <w:vMerge w:val="restart"/>
          </w:tcPr>
          <w:p>
            <w:pPr>
              <w:ind w:left="120"/>
              <w:spacing w:after="0"/>
              <w:rPr>
                <w:sz w:val="20"/>
                <w:szCs w:val="20"/>
                <w:color w:val="auto"/>
              </w:rPr>
            </w:pPr>
            <w:r>
              <w:rPr>
                <w:rFonts w:ascii="Arial" w:cs="Arial" w:eastAsia="Arial" w:hAnsi="Arial"/>
                <w:sz w:val="14"/>
                <w:szCs w:val="14"/>
                <w:color w:val="auto"/>
              </w:rPr>
              <w:t>2018</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rPr>
              <w:t>426,216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rPr>
              <w:t>6,499,923</w:t>
            </w:r>
          </w:p>
        </w:tc>
        <w:tc>
          <w:tcPr>
            <w:tcW w:w="1440" w:type="dxa"/>
            <w:vAlign w:val="bottom"/>
            <w:vMerge w:val="restart"/>
          </w:tcPr>
          <w:p>
            <w:pPr>
              <w:jc w:val="center"/>
              <w:ind w:left="8"/>
              <w:spacing w:after="0"/>
              <w:rPr>
                <w:sz w:val="20"/>
                <w:szCs w:val="20"/>
                <w:color w:val="auto"/>
              </w:rPr>
            </w:pPr>
            <w:r>
              <w:rPr>
                <w:rFonts w:ascii="Arial" w:cs="Arial" w:eastAsia="Arial" w:hAnsi="Arial"/>
                <w:sz w:val="14"/>
                <w:szCs w:val="14"/>
                <w:color w:val="auto"/>
              </w:rPr>
              <w:t>1,127,000</w:t>
            </w:r>
          </w:p>
        </w:tc>
        <w:tc>
          <w:tcPr>
            <w:tcW w:w="1300" w:type="dxa"/>
            <w:vAlign w:val="bottom"/>
            <w:vMerge w:val="restart"/>
          </w:tcPr>
          <w:p>
            <w:pPr>
              <w:jc w:val="center"/>
              <w:ind w:left="28"/>
              <w:spacing w:after="0"/>
              <w:rPr>
                <w:sz w:val="20"/>
                <w:szCs w:val="20"/>
                <w:color w:val="auto"/>
              </w:rPr>
            </w:pPr>
            <w:r>
              <w:rPr>
                <w:rFonts w:ascii="Arial" w:cs="Arial" w:eastAsia="Arial" w:hAnsi="Arial"/>
                <w:sz w:val="14"/>
                <w:szCs w:val="14"/>
                <w:color w:val="auto"/>
              </w:rPr>
              <w:t>5,297</w:t>
            </w: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rPr>
              <w:t>35,717</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rPr>
              <w:t>8,094,153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40" w:type="dxa"/>
            <w:vAlign w:val="bottom"/>
            <w:tcBorders>
              <w:bottom w:val="single" w:sz="8" w:color="00249C"/>
            </w:tcBorders>
          </w:tcPr>
          <w:p>
            <w:pPr>
              <w:spacing w:after="0"/>
              <w:rPr>
                <w:sz w:val="12"/>
                <w:szCs w:val="12"/>
                <w:color w:val="auto"/>
              </w:rPr>
            </w:pPr>
          </w:p>
        </w:tc>
        <w:tc>
          <w:tcPr>
            <w:tcW w:w="560" w:type="dxa"/>
            <w:vAlign w:val="bottom"/>
            <w:tcBorders>
              <w:bottom w:val="single" w:sz="8" w:color="00249C"/>
            </w:tcBorders>
            <w:vMerge w:val="continue"/>
          </w:tcPr>
          <w:p>
            <w:pPr>
              <w:spacing w:after="0"/>
              <w:rPr>
                <w:sz w:val="12"/>
                <w:szCs w:val="12"/>
                <w:color w:val="auto"/>
              </w:rPr>
            </w:pPr>
          </w:p>
        </w:tc>
        <w:tc>
          <w:tcPr>
            <w:tcW w:w="1040" w:type="dxa"/>
            <w:vAlign w:val="bottom"/>
            <w:tcBorders>
              <w:bottom w:val="single" w:sz="8" w:color="00249C"/>
            </w:tcBorders>
            <w:vMerge w:val="continue"/>
          </w:tcPr>
          <w:p>
            <w:pPr>
              <w:spacing w:after="0"/>
              <w:rPr>
                <w:sz w:val="12"/>
                <w:szCs w:val="12"/>
                <w:color w:val="auto"/>
              </w:rPr>
            </w:pPr>
          </w:p>
        </w:tc>
        <w:tc>
          <w:tcPr>
            <w:tcW w:w="860" w:type="dxa"/>
            <w:vAlign w:val="bottom"/>
            <w:tcBorders>
              <w:bottom w:val="single" w:sz="8" w:color="00249C"/>
            </w:tcBorders>
            <w:vMerge w:val="continue"/>
          </w:tcPr>
          <w:p>
            <w:pPr>
              <w:spacing w:after="0"/>
              <w:rPr>
                <w:sz w:val="12"/>
                <w:szCs w:val="12"/>
                <w:color w:val="auto"/>
              </w:rPr>
            </w:pPr>
          </w:p>
        </w:tc>
        <w:tc>
          <w:tcPr>
            <w:tcW w:w="1060" w:type="dxa"/>
            <w:vAlign w:val="bottom"/>
            <w:tcBorders>
              <w:bottom w:val="single" w:sz="8" w:color="00249C"/>
            </w:tcBorders>
            <w:vMerge w:val="continue"/>
          </w:tcPr>
          <w:p>
            <w:pPr>
              <w:spacing w:after="0"/>
              <w:rPr>
                <w:sz w:val="12"/>
                <w:szCs w:val="12"/>
                <w:color w:val="auto"/>
              </w:rPr>
            </w:pPr>
          </w:p>
        </w:tc>
        <w:tc>
          <w:tcPr>
            <w:tcW w:w="1440" w:type="dxa"/>
            <w:vAlign w:val="bottom"/>
            <w:tcBorders>
              <w:bottom w:val="single" w:sz="8" w:color="00249C"/>
            </w:tcBorders>
            <w:vMerge w:val="continue"/>
          </w:tcPr>
          <w:p>
            <w:pPr>
              <w:spacing w:after="0"/>
              <w:rPr>
                <w:sz w:val="12"/>
                <w:szCs w:val="12"/>
                <w:color w:val="auto"/>
              </w:rPr>
            </w:pPr>
          </w:p>
        </w:tc>
        <w:tc>
          <w:tcPr>
            <w:tcW w:w="1300" w:type="dxa"/>
            <w:vAlign w:val="bottom"/>
            <w:tcBorders>
              <w:bottom w:val="single" w:sz="8" w:color="00249C"/>
            </w:tcBorders>
            <w:vMerge w:val="continue"/>
          </w:tcPr>
          <w:p>
            <w:pPr>
              <w:spacing w:after="0"/>
              <w:rPr>
                <w:sz w:val="12"/>
                <w:szCs w:val="12"/>
                <w:color w:val="auto"/>
              </w:rPr>
            </w:pPr>
          </w:p>
        </w:tc>
        <w:tc>
          <w:tcPr>
            <w:tcW w:w="1560" w:type="dxa"/>
            <w:vAlign w:val="bottom"/>
            <w:tcBorders>
              <w:bottom w:val="single" w:sz="8" w:color="00249C"/>
            </w:tcBorders>
            <w:vMerge w:val="continue"/>
          </w:tcPr>
          <w:p>
            <w:pPr>
              <w:spacing w:after="0"/>
              <w:rPr>
                <w:sz w:val="12"/>
                <w:szCs w:val="12"/>
                <w:color w:val="auto"/>
              </w:rPr>
            </w:pPr>
          </w:p>
        </w:tc>
        <w:tc>
          <w:tcPr>
            <w:tcW w:w="980" w:type="dxa"/>
            <w:vAlign w:val="bottom"/>
            <w:tcBorders>
              <w:bottom w:val="single" w:sz="8" w:color="00249C"/>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440" w:type="dxa"/>
            <w:vAlign w:val="bottom"/>
          </w:tcPr>
          <w:p>
            <w:pPr>
              <w:ind w:left="20"/>
              <w:spacing w:after="0"/>
              <w:rPr>
                <w:sz w:val="20"/>
                <w:szCs w:val="20"/>
                <w:color w:val="auto"/>
              </w:rPr>
            </w:pPr>
            <w:r>
              <w:rPr>
                <w:rFonts w:ascii="Arial" w:cs="Arial" w:eastAsia="Arial" w:hAnsi="Arial"/>
                <w:sz w:val="14"/>
                <w:szCs w:val="14"/>
                <w:color w:val="auto"/>
              </w:rPr>
              <w:t>Janis G. Pamiljans (7)</w:t>
            </w:r>
          </w:p>
        </w:tc>
        <w:tc>
          <w:tcPr>
            <w:tcW w:w="560" w:type="dxa"/>
            <w:vAlign w:val="bottom"/>
            <w:shd w:val="clear" w:color="auto" w:fill="CCD4DB"/>
          </w:tcPr>
          <w:p>
            <w:pPr>
              <w:ind w:left="120"/>
              <w:spacing w:after="0"/>
              <w:rPr>
                <w:sz w:val="20"/>
                <w:szCs w:val="20"/>
                <w:color w:val="auto"/>
              </w:rPr>
            </w:pPr>
            <w:r>
              <w:rPr>
                <w:rFonts w:ascii="Arial" w:cs="Arial" w:eastAsia="Arial" w:hAnsi="Arial"/>
                <w:sz w:val="14"/>
                <w:szCs w:val="14"/>
                <w:color w:val="auto"/>
              </w:rPr>
              <w:t>2020</w:t>
            </w:r>
          </w:p>
        </w:tc>
        <w:tc>
          <w:tcPr>
            <w:tcW w:w="104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855,000</w:t>
            </w:r>
          </w:p>
        </w:tc>
        <w:tc>
          <w:tcPr>
            <w:tcW w:w="860" w:type="dxa"/>
            <w:vAlign w:val="bottom"/>
            <w:shd w:val="clear" w:color="auto" w:fill="CCD4DB"/>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3,500,217</w:t>
            </w:r>
          </w:p>
        </w:tc>
        <w:tc>
          <w:tcPr>
            <w:tcW w:w="1440" w:type="dxa"/>
            <w:vAlign w:val="bottom"/>
            <w:shd w:val="clear" w:color="auto" w:fill="CCD4DB"/>
          </w:tcPr>
          <w:p>
            <w:pPr>
              <w:jc w:val="center"/>
              <w:ind w:left="8"/>
              <w:spacing w:after="0"/>
              <w:rPr>
                <w:sz w:val="20"/>
                <w:szCs w:val="20"/>
                <w:color w:val="auto"/>
              </w:rPr>
            </w:pPr>
            <w:r>
              <w:rPr>
                <w:rFonts w:ascii="Arial" w:cs="Arial" w:eastAsia="Arial" w:hAnsi="Arial"/>
                <w:sz w:val="14"/>
                <w:szCs w:val="14"/>
                <w:color w:val="auto"/>
              </w:rPr>
              <w:t>1,223,000</w:t>
            </w:r>
          </w:p>
        </w:tc>
        <w:tc>
          <w:tcPr>
            <w:tcW w:w="1300" w:type="dxa"/>
            <w:vAlign w:val="bottom"/>
            <w:shd w:val="clear" w:color="auto" w:fill="CCD4DB"/>
          </w:tcPr>
          <w:p>
            <w:pPr>
              <w:jc w:val="center"/>
              <w:ind w:left="28"/>
              <w:spacing w:after="0"/>
              <w:rPr>
                <w:sz w:val="20"/>
                <w:szCs w:val="20"/>
                <w:color w:val="auto"/>
              </w:rPr>
            </w:pPr>
            <w:r>
              <w:rPr>
                <w:rFonts w:ascii="Arial" w:cs="Arial" w:eastAsia="Arial" w:hAnsi="Arial"/>
                <w:sz w:val="14"/>
                <w:szCs w:val="14"/>
                <w:color w:val="auto"/>
              </w:rPr>
              <w:t>861,964</w:t>
            </w:r>
          </w:p>
        </w:tc>
        <w:tc>
          <w:tcPr>
            <w:tcW w:w="156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239,096</w:t>
            </w:r>
          </w:p>
        </w:tc>
        <w:tc>
          <w:tcPr>
            <w:tcW w:w="98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6,679,277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40" w:type="dxa"/>
            <w:vAlign w:val="bottom"/>
          </w:tcPr>
          <w:p>
            <w:pPr>
              <w:ind w:left="180"/>
              <w:spacing w:after="0"/>
              <w:rPr>
                <w:sz w:val="20"/>
                <w:szCs w:val="20"/>
                <w:color w:val="auto"/>
              </w:rPr>
            </w:pPr>
            <w:r>
              <w:rPr>
                <w:rFonts w:ascii="Arial" w:cs="Arial" w:eastAsia="Arial" w:hAnsi="Arial"/>
                <w:sz w:val="14"/>
                <w:szCs w:val="14"/>
                <w:color w:val="auto"/>
              </w:rPr>
              <w:t>Corporate Vice President and</w:t>
            </w:r>
          </w:p>
        </w:tc>
        <w:tc>
          <w:tcPr>
            <w:tcW w:w="560" w:type="dxa"/>
            <w:vAlign w:val="bottom"/>
          </w:tcPr>
          <w:p>
            <w:pPr>
              <w:ind w:left="120"/>
              <w:spacing w:after="0"/>
              <w:rPr>
                <w:sz w:val="20"/>
                <w:szCs w:val="20"/>
                <w:color w:val="auto"/>
              </w:rPr>
            </w:pPr>
            <w:r>
              <w:rPr>
                <w:rFonts w:ascii="Arial" w:cs="Arial" w:eastAsia="Arial" w:hAnsi="Arial"/>
                <w:sz w:val="14"/>
                <w:szCs w:val="14"/>
                <w:color w:val="auto"/>
              </w:rPr>
              <w:t>2019</w:t>
            </w:r>
          </w:p>
        </w:tc>
        <w:tc>
          <w:tcPr>
            <w:tcW w:w="1040" w:type="dxa"/>
            <w:vAlign w:val="bottom"/>
          </w:tcPr>
          <w:p>
            <w:pPr>
              <w:jc w:val="center"/>
              <w:spacing w:after="0"/>
              <w:rPr>
                <w:sz w:val="20"/>
                <w:szCs w:val="20"/>
                <w:color w:val="auto"/>
              </w:rPr>
            </w:pPr>
            <w:r>
              <w:rPr>
                <w:rFonts w:ascii="Arial" w:cs="Arial" w:eastAsia="Arial" w:hAnsi="Arial"/>
                <w:sz w:val="14"/>
                <w:szCs w:val="14"/>
                <w:color w:val="auto"/>
              </w:rPr>
              <w:t>850,192</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3,499,779</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rPr>
              <w:t>1,428,000</w:t>
            </w:r>
          </w:p>
        </w:tc>
        <w:tc>
          <w:tcPr>
            <w:tcW w:w="1300" w:type="dxa"/>
            <w:vAlign w:val="bottom"/>
          </w:tcPr>
          <w:p>
            <w:pPr>
              <w:jc w:val="center"/>
              <w:ind w:left="28"/>
              <w:spacing w:after="0"/>
              <w:rPr>
                <w:sz w:val="20"/>
                <w:szCs w:val="20"/>
                <w:color w:val="auto"/>
              </w:rPr>
            </w:pPr>
            <w:r>
              <w:rPr>
                <w:rFonts w:ascii="Arial" w:cs="Arial" w:eastAsia="Arial" w:hAnsi="Arial"/>
                <w:sz w:val="14"/>
                <w:szCs w:val="14"/>
                <w:color w:val="auto"/>
              </w:rPr>
              <w:t>1,088,160</w:t>
            </w:r>
          </w:p>
        </w:tc>
        <w:tc>
          <w:tcPr>
            <w:tcW w:w="1560" w:type="dxa"/>
            <w:vAlign w:val="bottom"/>
          </w:tcPr>
          <w:p>
            <w:pPr>
              <w:jc w:val="center"/>
              <w:spacing w:after="0"/>
              <w:rPr>
                <w:sz w:val="20"/>
                <w:szCs w:val="20"/>
                <w:color w:val="auto"/>
              </w:rPr>
            </w:pPr>
            <w:r>
              <w:rPr>
                <w:rFonts w:ascii="Arial" w:cs="Arial" w:eastAsia="Arial" w:hAnsi="Arial"/>
                <w:sz w:val="14"/>
                <w:szCs w:val="14"/>
                <w:color w:val="auto"/>
              </w:rPr>
              <w:t>356,125</w:t>
            </w:r>
          </w:p>
        </w:tc>
        <w:tc>
          <w:tcPr>
            <w:tcW w:w="980" w:type="dxa"/>
            <w:vAlign w:val="bottom"/>
          </w:tcPr>
          <w:p>
            <w:pPr>
              <w:jc w:val="center"/>
              <w:spacing w:after="0"/>
              <w:rPr>
                <w:sz w:val="20"/>
                <w:szCs w:val="20"/>
                <w:color w:val="auto"/>
              </w:rPr>
            </w:pPr>
            <w:r>
              <w:rPr>
                <w:rFonts w:ascii="Arial" w:cs="Arial" w:eastAsia="Arial" w:hAnsi="Arial"/>
                <w:sz w:val="14"/>
                <w:szCs w:val="14"/>
                <w:color w:val="auto"/>
              </w:rPr>
              <w:t>7,222,256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440" w:type="dxa"/>
            <w:vAlign w:val="bottom"/>
            <w:vMerge w:val="restart"/>
          </w:tcPr>
          <w:p>
            <w:pPr>
              <w:ind w:left="180"/>
              <w:spacing w:after="0"/>
              <w:rPr>
                <w:sz w:val="20"/>
                <w:szCs w:val="20"/>
                <w:color w:val="auto"/>
              </w:rPr>
            </w:pPr>
            <w:r>
              <w:rPr>
                <w:rFonts w:ascii="Arial" w:cs="Arial" w:eastAsia="Arial" w:hAnsi="Arial"/>
                <w:sz w:val="14"/>
                <w:szCs w:val="14"/>
                <w:color w:val="auto"/>
              </w:rPr>
              <w:t>President, Aeronautics Systems</w:t>
            </w:r>
          </w:p>
        </w:tc>
        <w:tc>
          <w:tcPr>
            <w:tcW w:w="5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2440" w:type="dxa"/>
            <w:vAlign w:val="bottom"/>
            <w:vMerge w:val="continue"/>
          </w:tcPr>
          <w:p>
            <w:pPr>
              <w:spacing w:after="0"/>
              <w:rPr>
                <w:sz w:val="10"/>
                <w:szCs w:val="10"/>
                <w:color w:val="auto"/>
              </w:rPr>
            </w:pPr>
          </w:p>
        </w:tc>
        <w:tc>
          <w:tcPr>
            <w:tcW w:w="560" w:type="dxa"/>
            <w:vAlign w:val="bottom"/>
            <w:vMerge w:val="restart"/>
            <w:shd w:val="clear" w:color="auto" w:fill="CCD4DB"/>
          </w:tcPr>
          <w:p>
            <w:pPr>
              <w:ind w:left="120"/>
              <w:spacing w:after="0"/>
              <w:rPr>
                <w:sz w:val="20"/>
                <w:szCs w:val="20"/>
                <w:color w:val="auto"/>
              </w:rPr>
            </w:pPr>
            <w:r>
              <w:rPr>
                <w:rFonts w:ascii="Arial" w:cs="Arial" w:eastAsia="Arial" w:hAnsi="Arial"/>
                <w:sz w:val="14"/>
                <w:szCs w:val="14"/>
                <w:color w:val="auto"/>
              </w:rPr>
              <w:t>2018</w:t>
            </w:r>
          </w:p>
        </w:tc>
        <w:tc>
          <w:tcPr>
            <w:tcW w:w="104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826,154</w:t>
            </w:r>
          </w:p>
        </w:tc>
        <w:tc>
          <w:tcPr>
            <w:tcW w:w="86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3,500,008</w:t>
            </w:r>
          </w:p>
        </w:tc>
        <w:tc>
          <w:tcPr>
            <w:tcW w:w="1440" w:type="dxa"/>
            <w:vAlign w:val="bottom"/>
            <w:vMerge w:val="restart"/>
            <w:shd w:val="clear" w:color="auto" w:fill="CCD4DB"/>
          </w:tcPr>
          <w:p>
            <w:pPr>
              <w:jc w:val="center"/>
              <w:ind w:left="8"/>
              <w:spacing w:after="0"/>
              <w:rPr>
                <w:sz w:val="20"/>
                <w:szCs w:val="20"/>
                <w:color w:val="auto"/>
              </w:rPr>
            </w:pPr>
            <w:r>
              <w:rPr>
                <w:rFonts w:ascii="Arial" w:cs="Arial" w:eastAsia="Arial" w:hAnsi="Arial"/>
                <w:sz w:val="14"/>
                <w:szCs w:val="14"/>
                <w:color w:val="auto"/>
              </w:rPr>
              <w:t>1,328,000</w:t>
            </w:r>
          </w:p>
        </w:tc>
        <w:tc>
          <w:tcPr>
            <w:tcW w:w="1300" w:type="dxa"/>
            <w:vAlign w:val="bottom"/>
            <w:vMerge w:val="restart"/>
            <w:shd w:val="clear" w:color="auto" w:fill="CCD4DB"/>
          </w:tcPr>
          <w:p>
            <w:pPr>
              <w:jc w:val="center"/>
              <w:ind w:left="8"/>
              <w:spacing w:after="0"/>
              <w:rPr>
                <w:sz w:val="20"/>
                <w:szCs w:val="20"/>
                <w:color w:val="auto"/>
              </w:rPr>
            </w:pPr>
            <w:r>
              <w:rPr>
                <w:rFonts w:ascii="Arial" w:cs="Arial" w:eastAsia="Arial" w:hAnsi="Arial"/>
                <w:sz w:val="14"/>
                <w:szCs w:val="14"/>
                <w:color w:val="auto"/>
                <w:w w:val="99"/>
              </w:rPr>
              <w:t>—</w:t>
            </w:r>
          </w:p>
        </w:tc>
        <w:tc>
          <w:tcPr>
            <w:tcW w:w="156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241,318</w:t>
            </w:r>
          </w:p>
        </w:tc>
        <w:tc>
          <w:tcPr>
            <w:tcW w:w="98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5,895,480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440" w:type="dxa"/>
            <w:vAlign w:val="bottom"/>
            <w:tcBorders>
              <w:bottom w:val="single" w:sz="8" w:color="00249C"/>
            </w:tcBorders>
          </w:tcPr>
          <w:p>
            <w:pPr>
              <w:spacing w:after="0"/>
              <w:rPr>
                <w:sz w:val="7"/>
                <w:szCs w:val="7"/>
                <w:color w:val="auto"/>
              </w:rPr>
            </w:pPr>
          </w:p>
        </w:tc>
        <w:tc>
          <w:tcPr>
            <w:tcW w:w="560" w:type="dxa"/>
            <w:vAlign w:val="bottom"/>
            <w:tcBorders>
              <w:bottom w:val="single" w:sz="8" w:color="00249C"/>
            </w:tcBorders>
            <w:vMerge w:val="continue"/>
            <w:shd w:val="clear" w:color="auto" w:fill="CCD4DB"/>
          </w:tcPr>
          <w:p>
            <w:pPr>
              <w:spacing w:after="0"/>
              <w:rPr>
                <w:sz w:val="7"/>
                <w:szCs w:val="7"/>
                <w:color w:val="auto"/>
              </w:rPr>
            </w:pPr>
          </w:p>
        </w:tc>
        <w:tc>
          <w:tcPr>
            <w:tcW w:w="1040" w:type="dxa"/>
            <w:vAlign w:val="bottom"/>
            <w:tcBorders>
              <w:bottom w:val="single" w:sz="8" w:color="00249C"/>
            </w:tcBorders>
            <w:vMerge w:val="continue"/>
            <w:shd w:val="clear" w:color="auto" w:fill="CCD4DB"/>
          </w:tcPr>
          <w:p>
            <w:pPr>
              <w:spacing w:after="0"/>
              <w:rPr>
                <w:sz w:val="7"/>
                <w:szCs w:val="7"/>
                <w:color w:val="auto"/>
              </w:rPr>
            </w:pPr>
          </w:p>
        </w:tc>
        <w:tc>
          <w:tcPr>
            <w:tcW w:w="860" w:type="dxa"/>
            <w:vAlign w:val="bottom"/>
            <w:tcBorders>
              <w:bottom w:val="single" w:sz="8" w:color="00249C"/>
            </w:tcBorders>
            <w:vMerge w:val="continue"/>
            <w:shd w:val="clear" w:color="auto" w:fill="CCD4DB"/>
          </w:tcPr>
          <w:p>
            <w:pPr>
              <w:spacing w:after="0"/>
              <w:rPr>
                <w:sz w:val="7"/>
                <w:szCs w:val="7"/>
                <w:color w:val="auto"/>
              </w:rPr>
            </w:pPr>
          </w:p>
        </w:tc>
        <w:tc>
          <w:tcPr>
            <w:tcW w:w="1060" w:type="dxa"/>
            <w:vAlign w:val="bottom"/>
            <w:tcBorders>
              <w:bottom w:val="single" w:sz="8" w:color="00249C"/>
            </w:tcBorders>
            <w:vMerge w:val="continue"/>
            <w:shd w:val="clear" w:color="auto" w:fill="CCD4DB"/>
          </w:tcPr>
          <w:p>
            <w:pPr>
              <w:spacing w:after="0"/>
              <w:rPr>
                <w:sz w:val="7"/>
                <w:szCs w:val="7"/>
                <w:color w:val="auto"/>
              </w:rPr>
            </w:pPr>
          </w:p>
        </w:tc>
        <w:tc>
          <w:tcPr>
            <w:tcW w:w="1440" w:type="dxa"/>
            <w:vAlign w:val="bottom"/>
            <w:tcBorders>
              <w:bottom w:val="single" w:sz="8" w:color="00249C"/>
            </w:tcBorders>
            <w:vMerge w:val="continue"/>
            <w:shd w:val="clear" w:color="auto" w:fill="CCD4DB"/>
          </w:tcPr>
          <w:p>
            <w:pPr>
              <w:spacing w:after="0"/>
              <w:rPr>
                <w:sz w:val="7"/>
                <w:szCs w:val="7"/>
                <w:color w:val="auto"/>
              </w:rPr>
            </w:pPr>
          </w:p>
        </w:tc>
        <w:tc>
          <w:tcPr>
            <w:tcW w:w="1300" w:type="dxa"/>
            <w:vAlign w:val="bottom"/>
            <w:tcBorders>
              <w:bottom w:val="single" w:sz="8" w:color="00249C"/>
            </w:tcBorders>
            <w:vMerge w:val="continue"/>
            <w:shd w:val="clear" w:color="auto" w:fill="CCD4DB"/>
          </w:tcPr>
          <w:p>
            <w:pPr>
              <w:spacing w:after="0"/>
              <w:rPr>
                <w:sz w:val="7"/>
                <w:szCs w:val="7"/>
                <w:color w:val="auto"/>
              </w:rPr>
            </w:pPr>
          </w:p>
        </w:tc>
        <w:tc>
          <w:tcPr>
            <w:tcW w:w="1560" w:type="dxa"/>
            <w:vAlign w:val="bottom"/>
            <w:tcBorders>
              <w:bottom w:val="single" w:sz="8" w:color="00249C"/>
            </w:tcBorders>
            <w:vMerge w:val="continue"/>
            <w:shd w:val="clear" w:color="auto" w:fill="CCD4DB"/>
          </w:tcPr>
          <w:p>
            <w:pPr>
              <w:spacing w:after="0"/>
              <w:rPr>
                <w:sz w:val="7"/>
                <w:szCs w:val="7"/>
                <w:color w:val="auto"/>
              </w:rPr>
            </w:pPr>
          </w:p>
        </w:tc>
        <w:tc>
          <w:tcPr>
            <w:tcW w:w="980" w:type="dxa"/>
            <w:vAlign w:val="bottom"/>
            <w:tcBorders>
              <w:bottom w:val="single" w:sz="8" w:color="00249C"/>
            </w:tcBorders>
            <w:vMerge w:val="continue"/>
            <w:shd w:val="clear" w:color="auto" w:fill="CCD4DB"/>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440" w:type="dxa"/>
            <w:vAlign w:val="bottom"/>
          </w:tcPr>
          <w:p>
            <w:pPr>
              <w:ind w:left="20"/>
              <w:spacing w:after="0"/>
              <w:rPr>
                <w:sz w:val="20"/>
                <w:szCs w:val="20"/>
                <w:color w:val="auto"/>
              </w:rPr>
            </w:pPr>
            <w:r>
              <w:rPr>
                <w:rFonts w:ascii="Arial" w:cs="Arial" w:eastAsia="Arial" w:hAnsi="Arial"/>
                <w:sz w:val="14"/>
                <w:szCs w:val="14"/>
                <w:color w:val="auto"/>
              </w:rPr>
              <w:t>Kenneth L. Bedingfield (8)</w:t>
            </w:r>
          </w:p>
        </w:tc>
        <w:tc>
          <w:tcPr>
            <w:tcW w:w="560" w:type="dxa"/>
            <w:vAlign w:val="bottom"/>
          </w:tcPr>
          <w:p>
            <w:pPr>
              <w:ind w:left="120"/>
              <w:spacing w:after="0"/>
              <w:rPr>
                <w:sz w:val="20"/>
                <w:szCs w:val="20"/>
                <w:color w:val="auto"/>
              </w:rPr>
            </w:pPr>
            <w:r>
              <w:rPr>
                <w:rFonts w:ascii="Arial" w:cs="Arial" w:eastAsia="Arial" w:hAnsi="Arial"/>
                <w:sz w:val="14"/>
                <w:szCs w:val="14"/>
                <w:color w:val="auto"/>
              </w:rPr>
              <w:t>2020</w:t>
            </w:r>
          </w:p>
        </w:tc>
        <w:tc>
          <w:tcPr>
            <w:tcW w:w="1040" w:type="dxa"/>
            <w:vAlign w:val="bottom"/>
          </w:tcPr>
          <w:p>
            <w:pPr>
              <w:jc w:val="center"/>
              <w:spacing w:after="0"/>
              <w:rPr>
                <w:sz w:val="20"/>
                <w:szCs w:val="20"/>
                <w:color w:val="auto"/>
              </w:rPr>
            </w:pPr>
            <w:r>
              <w:rPr>
                <w:rFonts w:ascii="Arial" w:cs="Arial" w:eastAsia="Arial" w:hAnsi="Arial"/>
                <w:sz w:val="14"/>
                <w:szCs w:val="14"/>
                <w:color w:val="auto"/>
              </w:rPr>
              <w:t>145,212</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spacing w:after="0"/>
              <w:rPr>
                <w:sz w:val="20"/>
                <w:szCs w:val="20"/>
                <w:color w:val="auto"/>
              </w:rPr>
            </w:pPr>
            <w:r>
              <w:rPr>
                <w:rFonts w:ascii="Arial" w:cs="Arial" w:eastAsia="Arial" w:hAnsi="Arial"/>
                <w:sz w:val="14"/>
                <w:szCs w:val="14"/>
                <w:color w:val="auto"/>
              </w:rPr>
              <w:t>3,072,889</w:t>
            </w:r>
          </w:p>
        </w:tc>
        <w:tc>
          <w:tcPr>
            <w:tcW w:w="980" w:type="dxa"/>
            <w:vAlign w:val="bottom"/>
          </w:tcPr>
          <w:p>
            <w:pPr>
              <w:jc w:val="center"/>
              <w:spacing w:after="0"/>
              <w:rPr>
                <w:sz w:val="20"/>
                <w:szCs w:val="20"/>
                <w:color w:val="auto"/>
              </w:rPr>
            </w:pPr>
            <w:r>
              <w:rPr>
                <w:rFonts w:ascii="Arial" w:cs="Arial" w:eastAsia="Arial" w:hAnsi="Arial"/>
                <w:sz w:val="14"/>
                <w:szCs w:val="14"/>
                <w:color w:val="auto"/>
              </w:rPr>
              <w:t>3,218,101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40" w:type="dxa"/>
            <w:vAlign w:val="bottom"/>
          </w:tcPr>
          <w:p>
            <w:pPr>
              <w:ind w:left="180"/>
              <w:spacing w:after="0"/>
              <w:rPr>
                <w:sz w:val="20"/>
                <w:szCs w:val="20"/>
                <w:color w:val="auto"/>
              </w:rPr>
            </w:pPr>
            <w:r>
              <w:rPr>
                <w:rFonts w:ascii="Arial" w:cs="Arial" w:eastAsia="Arial" w:hAnsi="Arial"/>
                <w:sz w:val="14"/>
                <w:szCs w:val="14"/>
                <w:color w:val="auto"/>
              </w:rPr>
              <w:t>Former Corporate Vice President</w:t>
            </w:r>
          </w:p>
        </w:tc>
        <w:tc>
          <w:tcPr>
            <w:tcW w:w="560" w:type="dxa"/>
            <w:vAlign w:val="bottom"/>
            <w:tcBorders>
              <w:bottom w:val="single" w:sz="8" w:color="CCD4DB"/>
            </w:tcBorders>
            <w:shd w:val="clear" w:color="auto" w:fill="CCD4DB"/>
          </w:tcPr>
          <w:p>
            <w:pPr>
              <w:ind w:left="120"/>
              <w:spacing w:after="0"/>
              <w:rPr>
                <w:sz w:val="20"/>
                <w:szCs w:val="20"/>
                <w:color w:val="auto"/>
              </w:rPr>
            </w:pPr>
            <w:r>
              <w:rPr>
                <w:rFonts w:ascii="Arial" w:cs="Arial" w:eastAsia="Arial" w:hAnsi="Arial"/>
                <w:sz w:val="14"/>
                <w:szCs w:val="14"/>
                <w:color w:val="auto"/>
              </w:rPr>
              <w:t>2019</w:t>
            </w:r>
          </w:p>
        </w:tc>
        <w:tc>
          <w:tcPr>
            <w:tcW w:w="104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834,385</w:t>
            </w:r>
          </w:p>
        </w:tc>
        <w:tc>
          <w:tcPr>
            <w:tcW w:w="86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3,499,779</w:t>
            </w:r>
          </w:p>
        </w:tc>
        <w:tc>
          <w:tcPr>
            <w:tcW w:w="1440" w:type="dxa"/>
            <w:vAlign w:val="bottom"/>
            <w:tcBorders>
              <w:bottom w:val="single" w:sz="8" w:color="CCD4DB"/>
            </w:tcBorders>
            <w:shd w:val="clear" w:color="auto" w:fill="CCD4DB"/>
          </w:tcPr>
          <w:p>
            <w:pPr>
              <w:jc w:val="center"/>
              <w:ind w:left="8"/>
              <w:spacing w:after="0"/>
              <w:rPr>
                <w:sz w:val="20"/>
                <w:szCs w:val="20"/>
                <w:color w:val="auto"/>
              </w:rPr>
            </w:pPr>
            <w:r>
              <w:rPr>
                <w:rFonts w:ascii="Arial" w:cs="Arial" w:eastAsia="Arial" w:hAnsi="Arial"/>
                <w:sz w:val="14"/>
                <w:szCs w:val="14"/>
                <w:color w:val="auto"/>
              </w:rPr>
              <w:t>1,401,000</w:t>
            </w:r>
          </w:p>
        </w:tc>
        <w:tc>
          <w:tcPr>
            <w:tcW w:w="1300" w:type="dxa"/>
            <w:vAlign w:val="bottom"/>
            <w:tcBorders>
              <w:bottom w:val="single" w:sz="8" w:color="CCD4DB"/>
            </w:tcBorders>
            <w:shd w:val="clear" w:color="auto" w:fill="CCD4DB"/>
          </w:tcPr>
          <w:p>
            <w:pPr>
              <w:jc w:val="center"/>
              <w:ind w:left="8"/>
              <w:spacing w:after="0"/>
              <w:rPr>
                <w:sz w:val="20"/>
                <w:szCs w:val="20"/>
                <w:color w:val="auto"/>
              </w:rPr>
            </w:pPr>
            <w:r>
              <w:rPr>
                <w:rFonts w:ascii="Arial" w:cs="Arial" w:eastAsia="Arial" w:hAnsi="Arial"/>
                <w:sz w:val="14"/>
                <w:szCs w:val="14"/>
                <w:color w:val="auto"/>
                <w:w w:val="99"/>
              </w:rPr>
              <w:t>—</w:t>
            </w:r>
          </w:p>
        </w:tc>
        <w:tc>
          <w:tcPr>
            <w:tcW w:w="156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296,756</w:t>
            </w:r>
          </w:p>
        </w:tc>
        <w:tc>
          <w:tcPr>
            <w:tcW w:w="980" w:type="dxa"/>
            <w:vAlign w:val="bottom"/>
            <w:tcBorders>
              <w:bottom w:val="single" w:sz="8" w:color="CCD4DB"/>
            </w:tcBorders>
            <w:shd w:val="clear" w:color="auto" w:fill="CCD4DB"/>
          </w:tcPr>
          <w:p>
            <w:pPr>
              <w:jc w:val="center"/>
              <w:spacing w:after="0"/>
              <w:rPr>
                <w:sz w:val="20"/>
                <w:szCs w:val="20"/>
                <w:color w:val="auto"/>
              </w:rPr>
            </w:pPr>
            <w:r>
              <w:rPr>
                <w:rFonts w:ascii="Arial" w:cs="Arial" w:eastAsia="Arial" w:hAnsi="Arial"/>
                <w:sz w:val="14"/>
                <w:szCs w:val="14"/>
                <w:color w:val="auto"/>
              </w:rPr>
              <w:t>6,031,920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2440" w:type="dxa"/>
            <w:vAlign w:val="bottom"/>
          </w:tcPr>
          <w:p>
            <w:pPr>
              <w:ind w:left="180"/>
              <w:spacing w:after="0" w:line="118" w:lineRule="exact"/>
              <w:rPr>
                <w:sz w:val="20"/>
                <w:szCs w:val="20"/>
                <w:color w:val="auto"/>
              </w:rPr>
            </w:pPr>
            <w:r>
              <w:rPr>
                <w:rFonts w:ascii="Arial" w:cs="Arial" w:eastAsia="Arial" w:hAnsi="Arial"/>
                <w:sz w:val="13"/>
                <w:szCs w:val="13"/>
                <w:color w:val="auto"/>
              </w:rPr>
              <w:t>and Chief Financial Officer</w:t>
            </w:r>
          </w:p>
        </w:tc>
        <w:tc>
          <w:tcPr>
            <w:tcW w:w="560" w:type="dxa"/>
            <w:vAlign w:val="bottom"/>
            <w:vMerge w:val="restart"/>
          </w:tcPr>
          <w:p>
            <w:pPr>
              <w:ind w:left="120"/>
              <w:spacing w:after="0"/>
              <w:rPr>
                <w:sz w:val="20"/>
                <w:szCs w:val="20"/>
                <w:color w:val="auto"/>
              </w:rPr>
            </w:pPr>
            <w:r>
              <w:rPr>
                <w:rFonts w:ascii="Arial" w:cs="Arial" w:eastAsia="Arial" w:hAnsi="Arial"/>
                <w:sz w:val="14"/>
                <w:szCs w:val="14"/>
                <w:color w:val="auto"/>
              </w:rPr>
              <w:t>2018</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rPr>
              <w:t>811,154</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rPr>
              <w:t>3,500,008</w:t>
            </w:r>
          </w:p>
        </w:tc>
        <w:tc>
          <w:tcPr>
            <w:tcW w:w="1440" w:type="dxa"/>
            <w:vAlign w:val="bottom"/>
            <w:vMerge w:val="restart"/>
          </w:tcPr>
          <w:p>
            <w:pPr>
              <w:jc w:val="center"/>
              <w:ind w:left="8"/>
              <w:spacing w:after="0"/>
              <w:rPr>
                <w:sz w:val="20"/>
                <w:szCs w:val="20"/>
                <w:color w:val="auto"/>
              </w:rPr>
            </w:pPr>
            <w:r>
              <w:rPr>
                <w:rFonts w:ascii="Arial" w:cs="Arial" w:eastAsia="Arial" w:hAnsi="Arial"/>
                <w:sz w:val="14"/>
                <w:szCs w:val="14"/>
                <w:color w:val="auto"/>
              </w:rPr>
              <w:t>1,304,000</w:t>
            </w:r>
          </w:p>
        </w:tc>
        <w:tc>
          <w:tcPr>
            <w:tcW w:w="1300" w:type="dxa"/>
            <w:vAlign w:val="bottom"/>
            <w:vMerge w:val="restart"/>
          </w:tcPr>
          <w:p>
            <w:pPr>
              <w:jc w:val="center"/>
              <w:ind w:left="8"/>
              <w:spacing w:after="0"/>
              <w:rPr>
                <w:sz w:val="20"/>
                <w:szCs w:val="20"/>
                <w:color w:val="auto"/>
              </w:rPr>
            </w:pPr>
            <w:r>
              <w:rPr>
                <w:rFonts w:ascii="Arial" w:cs="Arial" w:eastAsia="Arial" w:hAnsi="Arial"/>
                <w:sz w:val="14"/>
                <w:szCs w:val="14"/>
                <w:color w:val="auto"/>
                <w:w w:val="99"/>
              </w:rPr>
              <w:t>—</w:t>
            </w: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rPr>
              <w:t>312,214</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rPr>
              <w:t>5,927,376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440" w:type="dxa"/>
            <w:vAlign w:val="bottom"/>
            <w:tcBorders>
              <w:bottom w:val="single" w:sz="8" w:color="00249C"/>
            </w:tcBorders>
          </w:tcPr>
          <w:p>
            <w:pPr>
              <w:spacing w:after="0"/>
              <w:rPr>
                <w:sz w:val="8"/>
                <w:szCs w:val="8"/>
                <w:color w:val="auto"/>
              </w:rPr>
            </w:pPr>
          </w:p>
        </w:tc>
        <w:tc>
          <w:tcPr>
            <w:tcW w:w="560" w:type="dxa"/>
            <w:vAlign w:val="bottom"/>
            <w:tcBorders>
              <w:bottom w:val="single" w:sz="8" w:color="auto"/>
            </w:tcBorders>
            <w:vMerge w:val="continue"/>
          </w:tcPr>
          <w:p>
            <w:pPr>
              <w:spacing w:after="0"/>
              <w:rPr>
                <w:sz w:val="8"/>
                <w:szCs w:val="8"/>
                <w:color w:val="auto"/>
              </w:rPr>
            </w:pPr>
          </w:p>
        </w:tc>
        <w:tc>
          <w:tcPr>
            <w:tcW w:w="1040" w:type="dxa"/>
            <w:vAlign w:val="bottom"/>
            <w:tcBorders>
              <w:bottom w:val="single" w:sz="8" w:color="00249C"/>
            </w:tcBorders>
            <w:vMerge w:val="continue"/>
          </w:tcPr>
          <w:p>
            <w:pPr>
              <w:spacing w:after="0"/>
              <w:rPr>
                <w:sz w:val="8"/>
                <w:szCs w:val="8"/>
                <w:color w:val="auto"/>
              </w:rPr>
            </w:pPr>
          </w:p>
        </w:tc>
        <w:tc>
          <w:tcPr>
            <w:tcW w:w="860" w:type="dxa"/>
            <w:vAlign w:val="bottom"/>
            <w:tcBorders>
              <w:bottom w:val="single" w:sz="8" w:color="00249C"/>
            </w:tcBorders>
            <w:vMerge w:val="continue"/>
          </w:tcPr>
          <w:p>
            <w:pPr>
              <w:spacing w:after="0"/>
              <w:rPr>
                <w:sz w:val="8"/>
                <w:szCs w:val="8"/>
                <w:color w:val="auto"/>
              </w:rPr>
            </w:pPr>
          </w:p>
        </w:tc>
        <w:tc>
          <w:tcPr>
            <w:tcW w:w="1060" w:type="dxa"/>
            <w:vAlign w:val="bottom"/>
            <w:tcBorders>
              <w:bottom w:val="single" w:sz="8" w:color="00249C"/>
            </w:tcBorders>
            <w:vMerge w:val="continue"/>
          </w:tcPr>
          <w:p>
            <w:pPr>
              <w:spacing w:after="0"/>
              <w:rPr>
                <w:sz w:val="8"/>
                <w:szCs w:val="8"/>
                <w:color w:val="auto"/>
              </w:rPr>
            </w:pPr>
          </w:p>
        </w:tc>
        <w:tc>
          <w:tcPr>
            <w:tcW w:w="1440" w:type="dxa"/>
            <w:vAlign w:val="bottom"/>
            <w:tcBorders>
              <w:bottom w:val="single" w:sz="8" w:color="00249C"/>
            </w:tcBorders>
            <w:vMerge w:val="continue"/>
          </w:tcPr>
          <w:p>
            <w:pPr>
              <w:spacing w:after="0"/>
              <w:rPr>
                <w:sz w:val="8"/>
                <w:szCs w:val="8"/>
                <w:color w:val="auto"/>
              </w:rPr>
            </w:pPr>
          </w:p>
        </w:tc>
        <w:tc>
          <w:tcPr>
            <w:tcW w:w="1300" w:type="dxa"/>
            <w:vAlign w:val="bottom"/>
            <w:tcBorders>
              <w:bottom w:val="single" w:sz="8" w:color="00249C"/>
            </w:tcBorders>
            <w:vMerge w:val="continue"/>
          </w:tcPr>
          <w:p>
            <w:pPr>
              <w:spacing w:after="0"/>
              <w:rPr>
                <w:sz w:val="8"/>
                <w:szCs w:val="8"/>
                <w:color w:val="auto"/>
              </w:rPr>
            </w:pPr>
          </w:p>
        </w:tc>
        <w:tc>
          <w:tcPr>
            <w:tcW w:w="1560" w:type="dxa"/>
            <w:vAlign w:val="bottom"/>
            <w:tcBorders>
              <w:bottom w:val="single" w:sz="8" w:color="00249C"/>
            </w:tcBorders>
            <w:vMerge w:val="continue"/>
          </w:tcPr>
          <w:p>
            <w:pPr>
              <w:spacing w:after="0"/>
              <w:rPr>
                <w:sz w:val="8"/>
                <w:szCs w:val="8"/>
                <w:color w:val="auto"/>
              </w:rPr>
            </w:pPr>
          </w:p>
        </w:tc>
        <w:tc>
          <w:tcPr>
            <w:tcW w:w="980" w:type="dxa"/>
            <w:vAlign w:val="bottom"/>
            <w:tcBorders>
              <w:bottom w:val="single" w:sz="8" w:color="00249C"/>
            </w:tcBorders>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40" w:hanging="432"/>
        <w:spacing w:after="0"/>
        <w:tabs>
          <w:tab w:leader="none" w:pos="4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amounts deferred under qualified savings and nonqualified deferred compensation plans.</w:t>
      </w:r>
    </w:p>
    <w:p>
      <w:pPr>
        <w:spacing w:after="0" w:line="103" w:lineRule="exact"/>
        <w:rPr>
          <w:rFonts w:ascii="Arial" w:cs="Arial" w:eastAsia="Arial" w:hAnsi="Arial"/>
          <w:sz w:val="18"/>
          <w:szCs w:val="18"/>
          <w:color w:val="auto"/>
        </w:rPr>
      </w:pPr>
    </w:p>
    <w:p>
      <w:pPr>
        <w:ind w:left="420" w:right="200" w:hanging="412"/>
        <w:spacing w:after="0" w:line="265" w:lineRule="auto"/>
        <w:tabs>
          <w:tab w:leader="none" w:pos="437"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Represents the grant date aggregate fair value of RPSRs and RSRs granted during the periods presented. The fair value of awards was computed in accordance with Financial Accounting Standards Board (FASB) Accounting Standards Codification (ASC) Topic 718, excluding any assumed forfeitures. Assumptions used in the calculation of these amounts are disclosed in Note 14 of the Company's</w:t>
      </w:r>
    </w:p>
    <w:p>
      <w:pPr>
        <w:ind w:left="420"/>
        <w:spacing w:after="0"/>
        <w:rPr>
          <w:rFonts w:ascii="Arial" w:cs="Arial" w:eastAsia="Arial" w:hAnsi="Arial"/>
          <w:sz w:val="17"/>
          <w:szCs w:val="17"/>
          <w:color w:val="auto"/>
        </w:rPr>
      </w:pPr>
      <w:r>
        <w:rPr>
          <w:rFonts w:ascii="Arial" w:cs="Arial" w:eastAsia="Arial" w:hAnsi="Arial"/>
          <w:sz w:val="18"/>
          <w:szCs w:val="18"/>
          <w:color w:val="auto"/>
        </w:rPr>
        <w:t>2020 Form 10-K. The maximum grant date fair values of the 2020 RPSRs are as follows (grants assume a 150% maximum payout):</w:t>
      </w:r>
    </w:p>
    <w:p>
      <w:pPr>
        <w:spacing w:after="0" w:line="119"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3700" w:type="dxa"/>
            <w:vAlign w:val="bottom"/>
            <w:vMerge w:val="restart"/>
            <w:shd w:val="clear" w:color="auto" w:fill="00249C"/>
          </w:tcPr>
          <w:p>
            <w:pPr>
              <w:ind w:left="20"/>
              <w:spacing w:after="0"/>
              <w:rPr>
                <w:sz w:val="20"/>
                <w:szCs w:val="20"/>
                <w:color w:val="auto"/>
              </w:rPr>
            </w:pPr>
            <w:r>
              <w:rPr>
                <w:rFonts w:ascii="Arial" w:cs="Arial" w:eastAsia="Arial" w:hAnsi="Arial"/>
                <w:sz w:val="14"/>
                <w:szCs w:val="14"/>
                <w:b w:val="1"/>
                <w:bCs w:val="1"/>
                <w:color w:val="FFFFFF"/>
              </w:rPr>
              <w:t>Name</w:t>
            </w:r>
          </w:p>
        </w:tc>
        <w:tc>
          <w:tcPr>
            <w:tcW w:w="3720" w:type="dxa"/>
            <w:vAlign w:val="bottom"/>
            <w:shd w:val="clear" w:color="auto" w:fill="00249C"/>
          </w:tcPr>
          <w:p>
            <w:pPr>
              <w:ind w:left="780"/>
              <w:spacing w:after="0"/>
              <w:rPr>
                <w:sz w:val="20"/>
                <w:szCs w:val="20"/>
                <w:color w:val="auto"/>
              </w:rPr>
            </w:pPr>
            <w:r>
              <w:rPr>
                <w:rFonts w:ascii="Arial" w:cs="Arial" w:eastAsia="Arial" w:hAnsi="Arial"/>
                <w:sz w:val="14"/>
                <w:szCs w:val="14"/>
                <w:b w:val="1"/>
                <w:bCs w:val="1"/>
                <w:color w:val="FFFFFF"/>
              </w:rPr>
              <w:t>Maximum Grant Date Fair Value</w:t>
            </w:r>
          </w:p>
        </w:tc>
        <w:tc>
          <w:tcPr>
            <w:tcW w:w="0" w:type="dxa"/>
            <w:vAlign w:val="bottom"/>
          </w:tcPr>
          <w:p>
            <w:pPr>
              <w:spacing w:after="0"/>
              <w:rPr>
                <w:sz w:val="1"/>
                <w:szCs w:val="1"/>
                <w:color w:val="auto"/>
              </w:rPr>
            </w:pPr>
          </w:p>
        </w:tc>
      </w:tr>
      <w:tr>
        <w:trPr>
          <w:trHeight w:val="189"/>
        </w:trPr>
        <w:tc>
          <w:tcPr>
            <w:tcW w:w="3700" w:type="dxa"/>
            <w:vAlign w:val="bottom"/>
            <w:vMerge w:val="continue"/>
            <w:shd w:val="clear" w:color="auto" w:fill="00249C"/>
          </w:tcPr>
          <w:p>
            <w:pPr>
              <w:spacing w:after="0"/>
              <w:rPr>
                <w:sz w:val="16"/>
                <w:szCs w:val="16"/>
                <w:color w:val="auto"/>
              </w:rPr>
            </w:pPr>
          </w:p>
        </w:tc>
        <w:tc>
          <w:tcPr>
            <w:tcW w:w="372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w w:val="93"/>
              </w:rPr>
              <w:t>($)</w:t>
            </w:r>
          </w:p>
        </w:tc>
        <w:tc>
          <w:tcPr>
            <w:tcW w:w="0" w:type="dxa"/>
            <w:vAlign w:val="bottom"/>
          </w:tcPr>
          <w:p>
            <w:pPr>
              <w:spacing w:after="0"/>
              <w:rPr>
                <w:sz w:val="1"/>
                <w:szCs w:val="1"/>
                <w:color w:val="auto"/>
              </w:rPr>
            </w:pPr>
          </w:p>
        </w:tc>
      </w:tr>
      <w:tr>
        <w:trPr>
          <w:trHeight w:val="189"/>
        </w:trPr>
        <w:tc>
          <w:tcPr>
            <w:tcW w:w="3700" w:type="dxa"/>
            <w:vAlign w:val="bottom"/>
            <w:shd w:val="clear" w:color="auto" w:fill="CCD4DB"/>
          </w:tcPr>
          <w:p>
            <w:pPr>
              <w:ind w:left="20"/>
              <w:spacing w:after="0"/>
              <w:rPr>
                <w:sz w:val="20"/>
                <w:szCs w:val="20"/>
                <w:color w:val="auto"/>
              </w:rPr>
            </w:pPr>
            <w:r>
              <w:rPr>
                <w:rFonts w:ascii="Arial" w:cs="Arial" w:eastAsia="Arial" w:hAnsi="Arial"/>
                <w:sz w:val="14"/>
                <w:szCs w:val="14"/>
                <w:color w:val="auto"/>
              </w:rPr>
              <w:t>Ms. Warden</w:t>
            </w:r>
          </w:p>
        </w:tc>
        <w:tc>
          <w:tcPr>
            <w:tcW w:w="372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14,174,991</w:t>
            </w:r>
          </w:p>
        </w:tc>
        <w:tc>
          <w:tcPr>
            <w:tcW w:w="0" w:type="dxa"/>
            <w:vAlign w:val="bottom"/>
          </w:tcPr>
          <w:p>
            <w:pPr>
              <w:spacing w:after="0"/>
              <w:rPr>
                <w:sz w:val="1"/>
                <w:szCs w:val="1"/>
                <w:color w:val="auto"/>
              </w:rPr>
            </w:pPr>
          </w:p>
        </w:tc>
      </w:tr>
      <w:tr>
        <w:trPr>
          <w:trHeight w:val="189"/>
        </w:trPr>
        <w:tc>
          <w:tcPr>
            <w:tcW w:w="3700" w:type="dxa"/>
            <w:vAlign w:val="bottom"/>
          </w:tcPr>
          <w:p>
            <w:pPr>
              <w:ind w:left="20"/>
              <w:spacing w:after="0"/>
              <w:rPr>
                <w:sz w:val="20"/>
                <w:szCs w:val="20"/>
                <w:color w:val="auto"/>
              </w:rPr>
            </w:pPr>
            <w:r>
              <w:rPr>
                <w:rFonts w:ascii="Arial" w:cs="Arial" w:eastAsia="Arial" w:hAnsi="Arial"/>
                <w:sz w:val="14"/>
                <w:szCs w:val="14"/>
                <w:color w:val="auto"/>
              </w:rPr>
              <w:t>Mr. Keffer</w:t>
            </w:r>
          </w:p>
        </w:tc>
        <w:tc>
          <w:tcPr>
            <w:tcW w:w="3720" w:type="dxa"/>
            <w:vAlign w:val="bottom"/>
          </w:tcPr>
          <w:p>
            <w:pPr>
              <w:jc w:val="center"/>
              <w:spacing w:after="0"/>
              <w:rPr>
                <w:sz w:val="20"/>
                <w:szCs w:val="20"/>
                <w:color w:val="auto"/>
              </w:rPr>
            </w:pPr>
            <w:r>
              <w:rPr>
                <w:rFonts w:ascii="Arial" w:cs="Arial" w:eastAsia="Arial" w:hAnsi="Arial"/>
                <w:sz w:val="14"/>
                <w:szCs w:val="14"/>
                <w:color w:val="auto"/>
              </w:rPr>
              <w:t>4,199,931</w:t>
            </w:r>
          </w:p>
        </w:tc>
        <w:tc>
          <w:tcPr>
            <w:tcW w:w="0" w:type="dxa"/>
            <w:vAlign w:val="bottom"/>
          </w:tcPr>
          <w:p>
            <w:pPr>
              <w:spacing w:after="0"/>
              <w:rPr>
                <w:sz w:val="1"/>
                <w:szCs w:val="1"/>
                <w:color w:val="auto"/>
              </w:rPr>
            </w:pPr>
          </w:p>
        </w:tc>
      </w:tr>
      <w:tr>
        <w:trPr>
          <w:trHeight w:val="189"/>
        </w:trPr>
        <w:tc>
          <w:tcPr>
            <w:tcW w:w="3700" w:type="dxa"/>
            <w:vAlign w:val="bottom"/>
            <w:shd w:val="clear" w:color="auto" w:fill="CCD4DB"/>
          </w:tcPr>
          <w:p>
            <w:pPr>
              <w:ind w:left="20"/>
              <w:spacing w:after="0"/>
              <w:rPr>
                <w:sz w:val="20"/>
                <w:szCs w:val="20"/>
                <w:color w:val="auto"/>
              </w:rPr>
            </w:pPr>
            <w:r>
              <w:rPr>
                <w:rFonts w:ascii="Arial" w:cs="Arial" w:eastAsia="Arial" w:hAnsi="Arial"/>
                <w:sz w:val="14"/>
                <w:szCs w:val="14"/>
                <w:color w:val="auto"/>
              </w:rPr>
              <w:t>Mr. Caylor</w:t>
            </w:r>
          </w:p>
        </w:tc>
        <w:tc>
          <w:tcPr>
            <w:tcW w:w="372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3,150,413</w:t>
            </w:r>
          </w:p>
        </w:tc>
        <w:tc>
          <w:tcPr>
            <w:tcW w:w="0" w:type="dxa"/>
            <w:vAlign w:val="bottom"/>
          </w:tcPr>
          <w:p>
            <w:pPr>
              <w:spacing w:after="0"/>
              <w:rPr>
                <w:sz w:val="1"/>
                <w:szCs w:val="1"/>
                <w:color w:val="auto"/>
              </w:rPr>
            </w:pPr>
          </w:p>
        </w:tc>
      </w:tr>
      <w:tr>
        <w:trPr>
          <w:trHeight w:val="189"/>
        </w:trPr>
        <w:tc>
          <w:tcPr>
            <w:tcW w:w="3700" w:type="dxa"/>
            <w:vAlign w:val="bottom"/>
          </w:tcPr>
          <w:p>
            <w:pPr>
              <w:ind w:left="20"/>
              <w:spacing w:after="0"/>
              <w:rPr>
                <w:sz w:val="20"/>
                <w:szCs w:val="20"/>
                <w:color w:val="auto"/>
              </w:rPr>
            </w:pPr>
            <w:r>
              <w:rPr>
                <w:rFonts w:ascii="Arial" w:cs="Arial" w:eastAsia="Arial" w:hAnsi="Arial"/>
                <w:sz w:val="14"/>
                <w:szCs w:val="14"/>
                <w:color w:val="auto"/>
              </w:rPr>
              <w:t>Mr. Larson</w:t>
            </w:r>
          </w:p>
        </w:tc>
        <w:tc>
          <w:tcPr>
            <w:tcW w:w="3720" w:type="dxa"/>
            <w:vAlign w:val="bottom"/>
          </w:tcPr>
          <w:p>
            <w:pPr>
              <w:jc w:val="center"/>
              <w:spacing w:after="0"/>
              <w:rPr>
                <w:sz w:val="20"/>
                <w:szCs w:val="20"/>
                <w:color w:val="auto"/>
              </w:rPr>
            </w:pPr>
            <w:r>
              <w:rPr>
                <w:rFonts w:ascii="Arial" w:cs="Arial" w:eastAsia="Arial" w:hAnsi="Arial"/>
                <w:sz w:val="14"/>
                <w:szCs w:val="14"/>
                <w:color w:val="auto"/>
              </w:rPr>
              <w:t>3,150,413</w:t>
            </w:r>
          </w:p>
        </w:tc>
        <w:tc>
          <w:tcPr>
            <w:tcW w:w="0" w:type="dxa"/>
            <w:vAlign w:val="bottom"/>
          </w:tcPr>
          <w:p>
            <w:pPr>
              <w:spacing w:after="0"/>
              <w:rPr>
                <w:sz w:val="1"/>
                <w:szCs w:val="1"/>
                <w:color w:val="auto"/>
              </w:rPr>
            </w:pPr>
          </w:p>
        </w:tc>
      </w:tr>
      <w:tr>
        <w:trPr>
          <w:trHeight w:val="189"/>
        </w:trPr>
        <w:tc>
          <w:tcPr>
            <w:tcW w:w="3700" w:type="dxa"/>
            <w:vAlign w:val="bottom"/>
            <w:shd w:val="clear" w:color="auto" w:fill="CCD4DB"/>
          </w:tcPr>
          <w:p>
            <w:pPr>
              <w:ind w:left="20"/>
              <w:spacing w:after="0"/>
              <w:rPr>
                <w:sz w:val="20"/>
                <w:szCs w:val="20"/>
                <w:color w:val="auto"/>
              </w:rPr>
            </w:pPr>
            <w:r>
              <w:rPr>
                <w:rFonts w:ascii="Arial" w:cs="Arial" w:eastAsia="Arial" w:hAnsi="Arial"/>
                <w:sz w:val="14"/>
                <w:szCs w:val="14"/>
                <w:color w:val="auto"/>
              </w:rPr>
              <w:t>Mr. Pamiljans</w:t>
            </w:r>
          </w:p>
        </w:tc>
        <w:tc>
          <w:tcPr>
            <w:tcW w:w="372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3,150,413</w:t>
            </w:r>
          </w:p>
        </w:tc>
        <w:tc>
          <w:tcPr>
            <w:tcW w:w="0" w:type="dxa"/>
            <w:vAlign w:val="bottom"/>
          </w:tcPr>
          <w:p>
            <w:pPr>
              <w:spacing w:after="0"/>
              <w:rPr>
                <w:sz w:val="1"/>
                <w:szCs w:val="1"/>
                <w:color w:val="auto"/>
              </w:rPr>
            </w:pPr>
          </w:p>
        </w:tc>
      </w:tr>
      <w:tr>
        <w:trPr>
          <w:trHeight w:val="189"/>
        </w:trPr>
        <w:tc>
          <w:tcPr>
            <w:tcW w:w="3700" w:type="dxa"/>
            <w:vAlign w:val="bottom"/>
            <w:tcBorders>
              <w:bottom w:val="single" w:sz="8" w:color="00249C"/>
            </w:tcBorders>
          </w:tcPr>
          <w:p>
            <w:pPr>
              <w:ind w:left="20"/>
              <w:spacing w:after="0"/>
              <w:rPr>
                <w:sz w:val="20"/>
                <w:szCs w:val="20"/>
                <w:color w:val="auto"/>
              </w:rPr>
            </w:pPr>
            <w:r>
              <w:rPr>
                <w:rFonts w:ascii="Arial" w:cs="Arial" w:eastAsia="Arial" w:hAnsi="Arial"/>
                <w:sz w:val="14"/>
                <w:szCs w:val="14"/>
                <w:color w:val="auto"/>
              </w:rPr>
              <w:t>Mr. Bedingfield</w:t>
            </w:r>
          </w:p>
        </w:tc>
        <w:tc>
          <w:tcPr>
            <w:tcW w:w="3720" w:type="dxa"/>
            <w:vAlign w:val="bottom"/>
            <w:tcBorders>
              <w:bottom w:val="single" w:sz="8" w:color="00249C"/>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20" w:right="460" w:hanging="412"/>
        <w:spacing w:after="0" w:line="261" w:lineRule="auto"/>
        <w:tabs>
          <w:tab w:leader="none" w:pos="437"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These amounts were paid pursuant to the Company's AIP. Includes amounts deferred under the qualified savings and nonqualified deferred compensation plans.</w:t>
      </w:r>
    </w:p>
    <w:p>
      <w:pPr>
        <w:spacing w:after="0" w:line="76" w:lineRule="exact"/>
        <w:rPr>
          <w:rFonts w:ascii="Arial" w:cs="Arial" w:eastAsia="Arial" w:hAnsi="Arial"/>
          <w:sz w:val="18"/>
          <w:szCs w:val="18"/>
          <w:color w:val="auto"/>
        </w:rPr>
      </w:pPr>
    </w:p>
    <w:p>
      <w:pPr>
        <w:ind w:left="420" w:right="40" w:hanging="412"/>
        <w:spacing w:after="0" w:line="273" w:lineRule="auto"/>
        <w:tabs>
          <w:tab w:leader="none" w:pos="437"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These amounts relate solely to the increased present value of the NEO's pension plan benefits using mandatory SEC assumptions (see the descriptions of these plans under the Pension Benefits table on page 63). The amount accrued in each year differs from the amount accrued in prior years due to an increase in age, service and pay (salary and bonus). The change in pension value is also highly sensitive to changes in the interest rate used to determine the present value of the payments to be made over the life of the executive.</w:t>
      </w:r>
    </w:p>
    <w:p>
      <w:pPr>
        <w:spacing w:after="0" w:line="69" w:lineRule="exact"/>
        <w:rPr>
          <w:rFonts w:ascii="Arial" w:cs="Arial" w:eastAsia="Arial" w:hAnsi="Arial"/>
          <w:sz w:val="17"/>
          <w:szCs w:val="17"/>
          <w:color w:val="auto"/>
        </w:rPr>
      </w:pPr>
    </w:p>
    <w:p>
      <w:pPr>
        <w:ind w:left="420" w:right="460"/>
        <w:spacing w:after="0" w:line="261" w:lineRule="auto"/>
        <w:rPr>
          <w:rFonts w:ascii="Arial" w:cs="Arial" w:eastAsia="Arial" w:hAnsi="Arial"/>
          <w:sz w:val="17"/>
          <w:szCs w:val="17"/>
          <w:color w:val="auto"/>
        </w:rPr>
      </w:pPr>
      <w:r>
        <w:rPr>
          <w:rFonts w:ascii="Arial" w:cs="Arial" w:eastAsia="Arial" w:hAnsi="Arial"/>
          <w:sz w:val="18"/>
          <w:szCs w:val="18"/>
          <w:color w:val="auto"/>
        </w:rPr>
        <w:t>Mr. Bedingfield and Mr. Keffer were hired after the Company's defined benefit pension plans were closed to new entrants, and as a result, they do not participate in any defined benefit pension plans.</w:t>
      </w:r>
    </w:p>
    <w:p>
      <w:pPr>
        <w:spacing w:after="0" w:line="62" w:lineRule="exact"/>
        <w:rPr>
          <w:rFonts w:ascii="Arial" w:cs="Arial" w:eastAsia="Arial" w:hAnsi="Arial"/>
          <w:sz w:val="17"/>
          <w:szCs w:val="17"/>
          <w:color w:val="auto"/>
        </w:rPr>
      </w:pPr>
    </w:p>
    <w:p>
      <w:pPr>
        <w:ind w:left="420" w:right="220"/>
        <w:spacing w:after="0" w:line="261" w:lineRule="auto"/>
        <w:rPr>
          <w:rFonts w:ascii="Arial" w:cs="Arial" w:eastAsia="Arial" w:hAnsi="Arial"/>
          <w:sz w:val="17"/>
          <w:szCs w:val="17"/>
          <w:color w:val="auto"/>
        </w:rPr>
      </w:pPr>
      <w:r>
        <w:rPr>
          <w:rFonts w:ascii="Arial" w:cs="Arial" w:eastAsia="Arial" w:hAnsi="Arial"/>
          <w:sz w:val="18"/>
          <w:szCs w:val="18"/>
          <w:color w:val="auto"/>
        </w:rPr>
        <w:t>There were no above-market earnings in the nonqualified deferred compensation plans (see the descriptions of these plans under the Nonqualified Deferred Compensation table on page 68).</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58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1260"/>
          </w:cols>
          <w:pgMar w:left="320" w:top="607" w:right="319" w:bottom="1440" w:gutter="0" w:footer="0" w:header="0"/>
        </w:sectPr>
      </w:pPr>
    </w:p>
    <w:bookmarkStart w:id="64" w:name="page65"/>
    <w:bookmarkEnd w:id="64"/>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5314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 xml:space="preserve">COMPENSATION TABLES | </w:t>
      </w:r>
      <w:r>
        <w:rPr>
          <w:rFonts w:ascii="Arial" w:cs="Arial" w:eastAsia="Arial" w:hAnsi="Arial"/>
          <w:sz w:val="17"/>
          <w:szCs w:val="17"/>
          <w:b w:val="1"/>
          <w:bCs w:val="1"/>
          <w:color w:val="FFFFFF"/>
        </w:rPr>
        <w:t>SUMMARY COMPENSATION TABLE</w:t>
      </w:r>
    </w:p>
    <w:p>
      <w:pPr>
        <w:spacing w:after="0" w:line="200" w:lineRule="exact"/>
        <w:rPr>
          <w:sz w:val="20"/>
          <w:szCs w:val="20"/>
          <w:color w:val="auto"/>
        </w:rPr>
      </w:pPr>
    </w:p>
    <w:p>
      <w:pPr>
        <w:spacing w:after="0" w:line="389" w:lineRule="exact"/>
        <w:rPr>
          <w:sz w:val="20"/>
          <w:szCs w:val="20"/>
          <w:color w:val="auto"/>
        </w:rPr>
      </w:pPr>
    </w:p>
    <w:p>
      <w:pPr>
        <w:ind w:left="420" w:right="120" w:hanging="412"/>
        <w:spacing w:after="0" w:line="253" w:lineRule="auto"/>
        <w:tabs>
          <w:tab w:leader="none" w:pos="437" w:val="left"/>
        </w:tabs>
        <w:numPr>
          <w:ilvl w:val="0"/>
          <w:numId w:val="68"/>
        </w:numPr>
        <w:rPr>
          <w:rFonts w:ascii="Arial" w:cs="Arial" w:eastAsia="Arial" w:hAnsi="Arial"/>
          <w:sz w:val="18"/>
          <w:szCs w:val="18"/>
          <w:color w:val="auto"/>
        </w:rPr>
      </w:pPr>
      <w:r>
        <w:rPr>
          <w:rFonts w:ascii="Arial" w:cs="Arial" w:eastAsia="Arial" w:hAnsi="Arial"/>
          <w:sz w:val="18"/>
          <w:szCs w:val="18"/>
          <w:color w:val="auto"/>
        </w:rPr>
        <w:t>Amounts include, as applicable, (a) the value of perquisites and personal benefits, (b) basic life insurance premiums, (c) matching contributions through the Northrop Grumman Foundation made to eligible educational institutions and to non-profit organizations under a Company program, and (d) Company contributions to defined contribution and deferred compensation plans. Where the value of the items reported in a particular category for an NEO exceeded $10,000 in 2020 (other than perquisites and personal benefits, which are subject to different thresholds as described below), those items are identified and quantified below.</w:t>
      </w:r>
    </w:p>
    <w:p>
      <w:pPr>
        <w:spacing w:after="0" w:line="52" w:lineRule="exact"/>
        <w:rPr>
          <w:rFonts w:ascii="Arial" w:cs="Arial" w:eastAsia="Arial" w:hAnsi="Arial"/>
          <w:sz w:val="18"/>
          <w:szCs w:val="18"/>
          <w:color w:val="auto"/>
        </w:rPr>
      </w:pPr>
    </w:p>
    <w:p>
      <w:pPr>
        <w:ind w:left="420" w:right="160"/>
        <w:spacing w:after="0" w:line="256" w:lineRule="auto"/>
        <w:rPr>
          <w:rFonts w:ascii="Arial" w:cs="Arial" w:eastAsia="Arial" w:hAnsi="Arial"/>
          <w:sz w:val="18"/>
          <w:szCs w:val="18"/>
          <w:color w:val="auto"/>
        </w:rPr>
      </w:pPr>
      <w:r>
        <w:rPr>
          <w:rFonts w:ascii="Arial" w:cs="Arial" w:eastAsia="Arial" w:hAnsi="Arial"/>
          <w:sz w:val="18"/>
          <w:szCs w:val="18"/>
          <w:i w:val="1"/>
          <w:iCs w:val="1"/>
          <w:color w:val="auto"/>
        </w:rPr>
        <w:t xml:space="preserve">Perquisites and Personal Benefits - </w:t>
      </w:r>
      <w:r>
        <w:rPr>
          <w:rFonts w:ascii="Arial" w:cs="Arial" w:eastAsia="Arial" w:hAnsi="Arial"/>
          <w:sz w:val="18"/>
          <w:szCs w:val="18"/>
          <w:color w:val="auto"/>
        </w:rPr>
        <w:t>Perquisites and other personal benefits provided to certain NEOs are as follows: security, travel-related perquisites (including use of Company aircraft or ground transportation services for personal travel and incidental expenses for family members if accompanying the NEO while on business travel), financial planning/income tax preparation services, insurance premiums paid by the Company on the NEO's behalf, executive physicals and other nominal perquisites or personal benefits. We determine the incremental cost for perquisites and personal benefits based on costs or charges incurred by the Company for the benefits.</w:t>
      </w:r>
    </w:p>
    <w:p>
      <w:pPr>
        <w:spacing w:after="0" w:line="83" w:lineRule="exact"/>
        <w:rPr>
          <w:rFonts w:ascii="Arial" w:cs="Arial" w:eastAsia="Arial" w:hAnsi="Arial"/>
          <w:sz w:val="18"/>
          <w:szCs w:val="18"/>
          <w:color w:val="auto"/>
        </w:rPr>
      </w:pPr>
    </w:p>
    <w:p>
      <w:pPr>
        <w:ind w:left="420"/>
        <w:spacing w:after="0" w:line="251" w:lineRule="auto"/>
        <w:rPr>
          <w:rFonts w:ascii="Arial" w:cs="Arial" w:eastAsia="Arial" w:hAnsi="Arial"/>
          <w:sz w:val="18"/>
          <w:szCs w:val="18"/>
          <w:color w:val="auto"/>
        </w:rPr>
      </w:pPr>
      <w:r>
        <w:rPr>
          <w:rFonts w:ascii="Arial" w:cs="Arial" w:eastAsia="Arial" w:hAnsi="Arial"/>
          <w:sz w:val="18"/>
          <w:szCs w:val="18"/>
          <w:color w:val="auto"/>
        </w:rPr>
        <w:t>As discussed in "Key Components of Our Programs - Security Arrangements," the Company provides NEOs with certain residential and travel security protection due to the nature of our business and security threat information. The amounts reflected in the "All Other Compensation" column include expenses for certain residential and travel security that we treat as perquisites under relevant SEC guidance, even though the need for such expenses arises from the risks attendant with their positions with the Company. The Company calculates the cost of travel security coverage based on the hourly rates and overhead fees charged directly to the Company by the firms providing security personnel. If Company security personnel are used, their hourly rates are used to calculate the cost of coverage. The Company calculates the value of personal use of Company aircraft based on the incremental cost of each element. Fixed costs that would be incurred in any event to operate Company aircraft (e.g., aircraft purchase costs, maintenance not related to personal trips and flight crew salaries) are not included.</w:t>
      </w:r>
    </w:p>
    <w:p>
      <w:pPr>
        <w:spacing w:after="0" w:line="90" w:lineRule="exact"/>
        <w:rPr>
          <w:rFonts w:ascii="Arial" w:cs="Arial" w:eastAsia="Arial" w:hAnsi="Arial"/>
          <w:sz w:val="18"/>
          <w:szCs w:val="18"/>
          <w:color w:val="auto"/>
        </w:rPr>
      </w:pPr>
    </w:p>
    <w:p>
      <w:pPr>
        <w:ind w:left="420" w:right="20"/>
        <w:spacing w:after="0" w:line="261" w:lineRule="auto"/>
        <w:rPr>
          <w:rFonts w:ascii="Arial" w:cs="Arial" w:eastAsia="Arial" w:hAnsi="Arial"/>
          <w:sz w:val="18"/>
          <w:szCs w:val="18"/>
          <w:color w:val="auto"/>
        </w:rPr>
      </w:pPr>
      <w:r>
        <w:rPr>
          <w:rFonts w:ascii="Arial" w:cs="Arial" w:eastAsia="Arial" w:hAnsi="Arial"/>
          <w:sz w:val="18"/>
          <w:szCs w:val="18"/>
          <w:color w:val="auto"/>
        </w:rPr>
        <w:t>The cost of any category of the listed perquisites and personal benefits did not exceed the greater of $25,000 or 10% of total perquisites and personal benefits for any NEO in 2020, except for the following:</w:t>
      </w:r>
    </w:p>
    <w:p>
      <w:pPr>
        <w:spacing w:after="0" w:line="62" w:lineRule="exact"/>
        <w:rPr>
          <w:rFonts w:ascii="Arial" w:cs="Arial" w:eastAsia="Arial" w:hAnsi="Arial"/>
          <w:sz w:val="18"/>
          <w:szCs w:val="18"/>
          <w:color w:val="auto"/>
        </w:rPr>
      </w:pPr>
    </w:p>
    <w:p>
      <w:pPr>
        <w:ind w:left="1220" w:right="800" w:hanging="564"/>
        <w:spacing w:after="0" w:line="261" w:lineRule="auto"/>
        <w:tabs>
          <w:tab w:leader="none" w:pos="1215" w:val="left"/>
        </w:tabs>
        <w:numPr>
          <w:ilvl w:val="1"/>
          <w:numId w:val="68"/>
        </w:numPr>
        <w:rPr>
          <w:rFonts w:ascii="Arial" w:cs="Arial" w:eastAsia="Arial" w:hAnsi="Arial"/>
          <w:sz w:val="18"/>
          <w:szCs w:val="18"/>
          <w:color w:val="auto"/>
        </w:rPr>
      </w:pPr>
      <w:r>
        <w:rPr>
          <w:rFonts w:ascii="Arial" w:cs="Arial" w:eastAsia="Arial" w:hAnsi="Arial"/>
          <w:sz w:val="18"/>
          <w:szCs w:val="18"/>
          <w:color w:val="auto"/>
        </w:rPr>
        <w:t>Ms. Warden: costs attributable to security protection ($100,353), which includes personal travel on Company aircraft consistent with the Company's security program ($67,195), and matching gifts ($18,900);</w:t>
      </w:r>
    </w:p>
    <w:p>
      <w:pPr>
        <w:spacing w:after="0" w:line="76" w:lineRule="exact"/>
        <w:rPr>
          <w:rFonts w:ascii="Arial" w:cs="Arial" w:eastAsia="Arial" w:hAnsi="Arial"/>
          <w:sz w:val="18"/>
          <w:szCs w:val="18"/>
          <w:color w:val="auto"/>
        </w:rPr>
      </w:pPr>
    </w:p>
    <w:p>
      <w:pPr>
        <w:ind w:left="1220" w:hanging="564"/>
        <w:spacing w:after="0"/>
        <w:tabs>
          <w:tab w:leader="none" w:pos="12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Mr. Caylor: costs attributable to matching gifts ($14,740);</w:t>
      </w:r>
    </w:p>
    <w:p>
      <w:pPr>
        <w:spacing w:after="0" w:line="103" w:lineRule="exact"/>
        <w:rPr>
          <w:rFonts w:ascii="Arial" w:cs="Arial" w:eastAsia="Arial" w:hAnsi="Arial"/>
          <w:sz w:val="18"/>
          <w:szCs w:val="18"/>
          <w:color w:val="auto"/>
        </w:rPr>
      </w:pPr>
    </w:p>
    <w:p>
      <w:pPr>
        <w:ind w:left="1220" w:hanging="564"/>
        <w:spacing w:after="0"/>
        <w:tabs>
          <w:tab w:leader="none" w:pos="12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Mr. Larson: costs attributable to matching gifts ($13,310);</w:t>
      </w:r>
    </w:p>
    <w:p>
      <w:pPr>
        <w:spacing w:after="0" w:line="90" w:lineRule="exact"/>
        <w:rPr>
          <w:rFonts w:ascii="Arial" w:cs="Arial" w:eastAsia="Arial" w:hAnsi="Arial"/>
          <w:sz w:val="18"/>
          <w:szCs w:val="18"/>
          <w:color w:val="auto"/>
        </w:rPr>
      </w:pPr>
    </w:p>
    <w:p>
      <w:pPr>
        <w:ind w:left="1220" w:hanging="564"/>
        <w:spacing w:after="0"/>
        <w:tabs>
          <w:tab w:leader="none" w:pos="12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Mr. Pamiljans: costs attributable to matching gifts ($13,000); and</w:t>
      </w:r>
    </w:p>
    <w:p>
      <w:pPr>
        <w:spacing w:after="0" w:line="103" w:lineRule="exact"/>
        <w:rPr>
          <w:rFonts w:ascii="Arial" w:cs="Arial" w:eastAsia="Arial" w:hAnsi="Arial"/>
          <w:sz w:val="18"/>
          <w:szCs w:val="18"/>
          <w:color w:val="auto"/>
        </w:rPr>
      </w:pPr>
    </w:p>
    <w:p>
      <w:pPr>
        <w:ind w:left="1220" w:hanging="564"/>
        <w:spacing w:after="0"/>
        <w:tabs>
          <w:tab w:leader="none" w:pos="12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Mr. Bedingfield: costs attributable to cash severance ($2,702,000) and vacation payout ($157,873).</w:t>
      </w:r>
    </w:p>
    <w:p>
      <w:pPr>
        <w:spacing w:after="0" w:line="86" w:lineRule="exact"/>
        <w:rPr>
          <w:sz w:val="20"/>
          <w:szCs w:val="20"/>
          <w:color w:val="auto"/>
        </w:rPr>
      </w:pPr>
    </w:p>
    <w:p>
      <w:pPr>
        <w:ind w:left="420" w:right="180"/>
        <w:spacing w:after="0" w:line="282" w:lineRule="auto"/>
        <w:rPr>
          <w:sz w:val="20"/>
          <w:szCs w:val="20"/>
          <w:color w:val="auto"/>
        </w:rPr>
      </w:pPr>
      <w:r>
        <w:rPr>
          <w:rFonts w:ascii="Arial" w:cs="Arial" w:eastAsia="Arial" w:hAnsi="Arial"/>
          <w:sz w:val="18"/>
          <w:szCs w:val="18"/>
          <w:i w:val="1"/>
          <w:iCs w:val="1"/>
          <w:color w:val="auto"/>
        </w:rPr>
        <w:t xml:space="preserve">Contributions to Plans </w:t>
      </w:r>
      <w:r>
        <w:rPr>
          <w:rFonts w:ascii="Arial" w:cs="Arial" w:eastAsia="Arial" w:hAnsi="Arial"/>
          <w:sz w:val="18"/>
          <w:szCs w:val="18"/>
          <w:color w:val="auto"/>
        </w:rPr>
        <w:t>- In 2020, we made the following Company contributions to the defined contribution and deferred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plans:</w:t>
      </w:r>
    </w:p>
    <w:p>
      <w:pPr>
        <w:spacing w:after="0" w:line="60"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3700" w:type="dxa"/>
            <w:vAlign w:val="bottom"/>
            <w:vMerge w:val="restart"/>
            <w:shd w:val="clear" w:color="auto" w:fill="00249C"/>
          </w:tcPr>
          <w:p>
            <w:pPr>
              <w:ind w:left="20"/>
              <w:spacing w:after="0"/>
              <w:rPr>
                <w:sz w:val="20"/>
                <w:szCs w:val="20"/>
                <w:color w:val="auto"/>
              </w:rPr>
            </w:pPr>
            <w:r>
              <w:rPr>
                <w:rFonts w:ascii="Arial" w:cs="Arial" w:eastAsia="Arial" w:hAnsi="Arial"/>
                <w:sz w:val="14"/>
                <w:szCs w:val="14"/>
                <w:b w:val="1"/>
                <w:bCs w:val="1"/>
                <w:color w:val="FFFFFF"/>
              </w:rPr>
              <w:t>Name</w:t>
            </w:r>
          </w:p>
        </w:tc>
        <w:tc>
          <w:tcPr>
            <w:tcW w:w="3720" w:type="dxa"/>
            <w:vAlign w:val="bottom"/>
            <w:shd w:val="clear" w:color="auto" w:fill="00249C"/>
          </w:tcPr>
          <w:p>
            <w:pPr>
              <w:ind w:left="1020"/>
              <w:spacing w:after="0"/>
              <w:rPr>
                <w:sz w:val="20"/>
                <w:szCs w:val="20"/>
                <w:color w:val="auto"/>
              </w:rPr>
            </w:pPr>
            <w:r>
              <w:rPr>
                <w:rFonts w:ascii="Arial" w:cs="Arial" w:eastAsia="Arial" w:hAnsi="Arial"/>
                <w:sz w:val="14"/>
                <w:szCs w:val="14"/>
                <w:b w:val="1"/>
                <w:bCs w:val="1"/>
                <w:color w:val="FFFFFF"/>
              </w:rPr>
              <w:t>Company Contributions</w:t>
            </w:r>
          </w:p>
        </w:tc>
        <w:tc>
          <w:tcPr>
            <w:tcW w:w="0" w:type="dxa"/>
            <w:vAlign w:val="bottom"/>
          </w:tcPr>
          <w:p>
            <w:pPr>
              <w:spacing w:after="0"/>
              <w:rPr>
                <w:sz w:val="1"/>
                <w:szCs w:val="1"/>
                <w:color w:val="auto"/>
              </w:rPr>
            </w:pPr>
          </w:p>
        </w:tc>
      </w:tr>
      <w:tr>
        <w:trPr>
          <w:trHeight w:val="189"/>
        </w:trPr>
        <w:tc>
          <w:tcPr>
            <w:tcW w:w="3700" w:type="dxa"/>
            <w:vAlign w:val="bottom"/>
            <w:vMerge w:val="continue"/>
            <w:shd w:val="clear" w:color="auto" w:fill="00249C"/>
          </w:tcPr>
          <w:p>
            <w:pPr>
              <w:spacing w:after="0"/>
              <w:rPr>
                <w:sz w:val="16"/>
                <w:szCs w:val="16"/>
                <w:color w:val="auto"/>
              </w:rPr>
            </w:pPr>
          </w:p>
        </w:tc>
        <w:tc>
          <w:tcPr>
            <w:tcW w:w="372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w w:val="93"/>
              </w:rPr>
              <w:t>($)</w:t>
            </w:r>
          </w:p>
        </w:tc>
        <w:tc>
          <w:tcPr>
            <w:tcW w:w="0" w:type="dxa"/>
            <w:vAlign w:val="bottom"/>
          </w:tcPr>
          <w:p>
            <w:pPr>
              <w:spacing w:after="0"/>
              <w:rPr>
                <w:sz w:val="1"/>
                <w:szCs w:val="1"/>
                <w:color w:val="auto"/>
              </w:rPr>
            </w:pPr>
          </w:p>
        </w:tc>
      </w:tr>
      <w:tr>
        <w:trPr>
          <w:trHeight w:val="189"/>
        </w:trPr>
        <w:tc>
          <w:tcPr>
            <w:tcW w:w="3700" w:type="dxa"/>
            <w:vAlign w:val="bottom"/>
            <w:shd w:val="clear" w:color="auto" w:fill="CCD4DB"/>
          </w:tcPr>
          <w:p>
            <w:pPr>
              <w:ind w:left="20"/>
              <w:spacing w:after="0"/>
              <w:rPr>
                <w:sz w:val="20"/>
                <w:szCs w:val="20"/>
                <w:color w:val="auto"/>
              </w:rPr>
            </w:pPr>
            <w:r>
              <w:rPr>
                <w:rFonts w:ascii="Arial" w:cs="Arial" w:eastAsia="Arial" w:hAnsi="Arial"/>
                <w:sz w:val="14"/>
                <w:szCs w:val="14"/>
                <w:color w:val="auto"/>
              </w:rPr>
              <w:t>Ms. Warden</w:t>
            </w:r>
          </w:p>
        </w:tc>
        <w:tc>
          <w:tcPr>
            <w:tcW w:w="372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483,628</w:t>
            </w:r>
          </w:p>
        </w:tc>
        <w:tc>
          <w:tcPr>
            <w:tcW w:w="0" w:type="dxa"/>
            <w:vAlign w:val="bottom"/>
          </w:tcPr>
          <w:p>
            <w:pPr>
              <w:spacing w:after="0"/>
              <w:rPr>
                <w:sz w:val="1"/>
                <w:szCs w:val="1"/>
                <w:color w:val="auto"/>
              </w:rPr>
            </w:pPr>
          </w:p>
        </w:tc>
      </w:tr>
      <w:tr>
        <w:trPr>
          <w:trHeight w:val="189"/>
        </w:trPr>
        <w:tc>
          <w:tcPr>
            <w:tcW w:w="3700" w:type="dxa"/>
            <w:vAlign w:val="bottom"/>
          </w:tcPr>
          <w:p>
            <w:pPr>
              <w:ind w:left="20"/>
              <w:spacing w:after="0"/>
              <w:rPr>
                <w:sz w:val="20"/>
                <w:szCs w:val="20"/>
                <w:color w:val="auto"/>
              </w:rPr>
            </w:pPr>
            <w:r>
              <w:rPr>
                <w:rFonts w:ascii="Arial" w:cs="Arial" w:eastAsia="Arial" w:hAnsi="Arial"/>
                <w:sz w:val="14"/>
                <w:szCs w:val="14"/>
                <w:color w:val="auto"/>
              </w:rPr>
              <w:t>Mr. Keffer</w:t>
            </w:r>
          </w:p>
        </w:tc>
        <w:tc>
          <w:tcPr>
            <w:tcW w:w="3720" w:type="dxa"/>
            <w:vAlign w:val="bottom"/>
          </w:tcPr>
          <w:p>
            <w:pPr>
              <w:jc w:val="center"/>
              <w:spacing w:after="0"/>
              <w:rPr>
                <w:sz w:val="20"/>
                <w:szCs w:val="20"/>
                <w:color w:val="auto"/>
              </w:rPr>
            </w:pPr>
            <w:r>
              <w:rPr>
                <w:rFonts w:ascii="Arial" w:cs="Arial" w:eastAsia="Arial" w:hAnsi="Arial"/>
                <w:sz w:val="14"/>
                <w:szCs w:val="14"/>
                <w:color w:val="auto"/>
              </w:rPr>
              <w:t>33,323</w:t>
            </w:r>
          </w:p>
        </w:tc>
        <w:tc>
          <w:tcPr>
            <w:tcW w:w="0" w:type="dxa"/>
            <w:vAlign w:val="bottom"/>
          </w:tcPr>
          <w:p>
            <w:pPr>
              <w:spacing w:after="0"/>
              <w:rPr>
                <w:sz w:val="1"/>
                <w:szCs w:val="1"/>
                <w:color w:val="auto"/>
              </w:rPr>
            </w:pPr>
          </w:p>
        </w:tc>
      </w:tr>
      <w:tr>
        <w:trPr>
          <w:trHeight w:val="189"/>
        </w:trPr>
        <w:tc>
          <w:tcPr>
            <w:tcW w:w="3700" w:type="dxa"/>
            <w:vAlign w:val="bottom"/>
            <w:shd w:val="clear" w:color="auto" w:fill="CCD4DB"/>
          </w:tcPr>
          <w:p>
            <w:pPr>
              <w:ind w:left="20"/>
              <w:spacing w:after="0"/>
              <w:rPr>
                <w:sz w:val="20"/>
                <w:szCs w:val="20"/>
                <w:color w:val="auto"/>
              </w:rPr>
            </w:pPr>
            <w:r>
              <w:rPr>
                <w:rFonts w:ascii="Arial" w:cs="Arial" w:eastAsia="Arial" w:hAnsi="Arial"/>
                <w:sz w:val="14"/>
                <w:szCs w:val="14"/>
                <w:color w:val="auto"/>
              </w:rPr>
              <w:t>Mr. Caylor</w:t>
            </w:r>
          </w:p>
        </w:tc>
        <w:tc>
          <w:tcPr>
            <w:tcW w:w="372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102,714</w:t>
            </w:r>
          </w:p>
        </w:tc>
        <w:tc>
          <w:tcPr>
            <w:tcW w:w="0" w:type="dxa"/>
            <w:vAlign w:val="bottom"/>
          </w:tcPr>
          <w:p>
            <w:pPr>
              <w:spacing w:after="0"/>
              <w:rPr>
                <w:sz w:val="1"/>
                <w:szCs w:val="1"/>
                <w:color w:val="auto"/>
              </w:rPr>
            </w:pPr>
          </w:p>
        </w:tc>
      </w:tr>
      <w:tr>
        <w:trPr>
          <w:trHeight w:val="189"/>
        </w:trPr>
        <w:tc>
          <w:tcPr>
            <w:tcW w:w="3700" w:type="dxa"/>
            <w:vAlign w:val="bottom"/>
          </w:tcPr>
          <w:p>
            <w:pPr>
              <w:ind w:left="20"/>
              <w:spacing w:after="0"/>
              <w:rPr>
                <w:sz w:val="20"/>
                <w:szCs w:val="20"/>
                <w:color w:val="auto"/>
              </w:rPr>
            </w:pPr>
            <w:r>
              <w:rPr>
                <w:rFonts w:ascii="Arial" w:cs="Arial" w:eastAsia="Arial" w:hAnsi="Arial"/>
                <w:sz w:val="14"/>
                <w:szCs w:val="14"/>
                <w:color w:val="auto"/>
              </w:rPr>
              <w:t>Mr. Larson</w:t>
            </w:r>
          </w:p>
        </w:tc>
        <w:tc>
          <w:tcPr>
            <w:tcW w:w="3720" w:type="dxa"/>
            <w:vAlign w:val="bottom"/>
          </w:tcPr>
          <w:p>
            <w:pPr>
              <w:jc w:val="center"/>
              <w:spacing w:after="0"/>
              <w:rPr>
                <w:sz w:val="20"/>
                <w:szCs w:val="20"/>
                <w:color w:val="auto"/>
              </w:rPr>
            </w:pPr>
            <w:r>
              <w:rPr>
                <w:rFonts w:ascii="Arial" w:cs="Arial" w:eastAsia="Arial" w:hAnsi="Arial"/>
                <w:sz w:val="14"/>
                <w:szCs w:val="14"/>
                <w:color w:val="auto"/>
              </w:rPr>
              <w:t>175,451</w:t>
            </w:r>
          </w:p>
        </w:tc>
        <w:tc>
          <w:tcPr>
            <w:tcW w:w="0" w:type="dxa"/>
            <w:vAlign w:val="bottom"/>
          </w:tcPr>
          <w:p>
            <w:pPr>
              <w:spacing w:after="0"/>
              <w:rPr>
                <w:sz w:val="1"/>
                <w:szCs w:val="1"/>
                <w:color w:val="auto"/>
              </w:rPr>
            </w:pPr>
          </w:p>
        </w:tc>
      </w:tr>
      <w:tr>
        <w:trPr>
          <w:trHeight w:val="189"/>
        </w:trPr>
        <w:tc>
          <w:tcPr>
            <w:tcW w:w="3700" w:type="dxa"/>
            <w:vAlign w:val="bottom"/>
            <w:shd w:val="clear" w:color="auto" w:fill="CCD4DB"/>
          </w:tcPr>
          <w:p>
            <w:pPr>
              <w:ind w:left="20"/>
              <w:spacing w:after="0"/>
              <w:rPr>
                <w:sz w:val="20"/>
                <w:szCs w:val="20"/>
                <w:color w:val="auto"/>
              </w:rPr>
            </w:pPr>
            <w:r>
              <w:rPr>
                <w:rFonts w:ascii="Arial" w:cs="Arial" w:eastAsia="Arial" w:hAnsi="Arial"/>
                <w:sz w:val="14"/>
                <w:szCs w:val="14"/>
                <w:color w:val="auto"/>
              </w:rPr>
              <w:t>Mr. Pamiljans</w:t>
            </w:r>
          </w:p>
        </w:tc>
        <w:tc>
          <w:tcPr>
            <w:tcW w:w="372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182,628</w:t>
            </w:r>
          </w:p>
        </w:tc>
        <w:tc>
          <w:tcPr>
            <w:tcW w:w="0" w:type="dxa"/>
            <w:vAlign w:val="bottom"/>
          </w:tcPr>
          <w:p>
            <w:pPr>
              <w:spacing w:after="0"/>
              <w:rPr>
                <w:sz w:val="1"/>
                <w:szCs w:val="1"/>
                <w:color w:val="auto"/>
              </w:rPr>
            </w:pPr>
          </w:p>
        </w:tc>
      </w:tr>
      <w:tr>
        <w:trPr>
          <w:trHeight w:val="189"/>
        </w:trPr>
        <w:tc>
          <w:tcPr>
            <w:tcW w:w="3700" w:type="dxa"/>
            <w:vAlign w:val="bottom"/>
            <w:tcBorders>
              <w:bottom w:val="single" w:sz="8" w:color="00249C"/>
            </w:tcBorders>
          </w:tcPr>
          <w:p>
            <w:pPr>
              <w:ind w:left="20"/>
              <w:spacing w:after="0"/>
              <w:rPr>
                <w:sz w:val="20"/>
                <w:szCs w:val="20"/>
                <w:color w:val="auto"/>
              </w:rPr>
            </w:pPr>
            <w:r>
              <w:rPr>
                <w:rFonts w:ascii="Arial" w:cs="Arial" w:eastAsia="Arial" w:hAnsi="Arial"/>
                <w:sz w:val="14"/>
                <w:szCs w:val="14"/>
                <w:color w:val="auto"/>
              </w:rPr>
              <w:t>Mr. Bedingfield</w:t>
            </w:r>
          </w:p>
        </w:tc>
        <w:tc>
          <w:tcPr>
            <w:tcW w:w="3720" w:type="dxa"/>
            <w:vAlign w:val="bottom"/>
            <w:tcBorders>
              <w:bottom w:val="single" w:sz="8" w:color="00249C"/>
            </w:tcBorders>
          </w:tcPr>
          <w:p>
            <w:pPr>
              <w:jc w:val="center"/>
              <w:spacing w:after="0"/>
              <w:rPr>
                <w:sz w:val="20"/>
                <w:szCs w:val="20"/>
                <w:color w:val="auto"/>
              </w:rPr>
            </w:pPr>
            <w:r>
              <w:rPr>
                <w:rFonts w:ascii="Arial" w:cs="Arial" w:eastAsia="Arial" w:hAnsi="Arial"/>
                <w:sz w:val="14"/>
                <w:szCs w:val="14"/>
                <w:color w:val="auto"/>
              </w:rPr>
              <w:t>185,561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40" w:hanging="432"/>
        <w:spacing w:after="0"/>
        <w:tabs>
          <w:tab w:leader="none" w:pos="4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Mr. Keffer was appointed Corporate Vice President and Chief Financial Officer effective February 17, 2020.</w:t>
      </w:r>
    </w:p>
    <w:p>
      <w:pPr>
        <w:spacing w:after="0" w:line="103" w:lineRule="exact"/>
        <w:rPr>
          <w:rFonts w:ascii="Arial" w:cs="Arial" w:eastAsia="Arial" w:hAnsi="Arial"/>
          <w:sz w:val="18"/>
          <w:szCs w:val="18"/>
          <w:color w:val="auto"/>
        </w:rPr>
      </w:pPr>
    </w:p>
    <w:p>
      <w:pPr>
        <w:ind w:left="440" w:hanging="432"/>
        <w:spacing w:after="0"/>
        <w:tabs>
          <w:tab w:leader="none" w:pos="4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Mr. Pamiljans retired from the Company on February 26, 2021.</w:t>
      </w:r>
    </w:p>
    <w:p>
      <w:pPr>
        <w:spacing w:after="0" w:line="90" w:lineRule="exact"/>
        <w:rPr>
          <w:rFonts w:ascii="Arial" w:cs="Arial" w:eastAsia="Arial" w:hAnsi="Arial"/>
          <w:sz w:val="18"/>
          <w:szCs w:val="18"/>
          <w:color w:val="auto"/>
        </w:rPr>
      </w:pPr>
    </w:p>
    <w:p>
      <w:pPr>
        <w:ind w:left="420" w:right="40" w:hanging="412"/>
        <w:spacing w:after="0" w:line="256" w:lineRule="auto"/>
        <w:tabs>
          <w:tab w:leader="none" w:pos="437" w:val="left"/>
        </w:tabs>
        <w:numPr>
          <w:ilvl w:val="0"/>
          <w:numId w:val="69"/>
        </w:numPr>
        <w:rPr>
          <w:rFonts w:ascii="Arial" w:cs="Arial" w:eastAsia="Arial" w:hAnsi="Arial"/>
          <w:sz w:val="18"/>
          <w:szCs w:val="18"/>
          <w:color w:val="auto"/>
        </w:rPr>
      </w:pPr>
      <w:r>
        <w:rPr>
          <w:rFonts w:ascii="Arial" w:cs="Arial" w:eastAsia="Arial" w:hAnsi="Arial"/>
          <w:sz w:val="18"/>
          <w:szCs w:val="18"/>
          <w:color w:val="auto"/>
        </w:rPr>
        <w:t>Mr. Bedingfield was the Corporate Vice President and Chief Financial Officer in 2019. He stepped down from this position effective February 17, 2020 and left the Company February 21, 2020. On February 6, 2020, the Company filed a Form 8-K which included, as an exhibit, the Separation Agreement with Mr. Bedingfield.</w:t>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59</w:t>
      </w:r>
    </w:p>
    <w:p>
      <w:pPr>
        <w:sectPr>
          <w:pgSz w:w="11900" w:h="16838" w:orient="portrait"/>
          <w:cols w:equalWidth="0" w:num="1">
            <w:col w:w="11240"/>
          </w:cols>
          <w:pgMar w:left="320" w:top="607" w:right="339" w:bottom="1440" w:gutter="0" w:footer="0" w:header="0"/>
        </w:sectPr>
      </w:pPr>
    </w:p>
    <w:bookmarkStart w:id="65" w:name="page66"/>
    <w:bookmarkEnd w:id="65"/>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5314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 xml:space="preserve">COMPENSATION TABLES | </w:t>
      </w:r>
      <w:r>
        <w:rPr>
          <w:rFonts w:ascii="Arial" w:cs="Arial" w:eastAsia="Arial" w:hAnsi="Arial"/>
          <w:sz w:val="17"/>
          <w:szCs w:val="17"/>
          <w:b w:val="1"/>
          <w:bCs w:val="1"/>
          <w:color w:val="FFFFFF"/>
        </w:rPr>
        <w:t>GRANTS OF PLAN-BASED AWARDS TABLE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2020 Grants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405"/>
        </w:trPr>
        <w:tc>
          <w:tcPr>
            <w:tcW w:w="1580" w:type="dxa"/>
            <w:vAlign w:val="bottom"/>
            <w:shd w:val="clear" w:color="auto" w:fill="00249C"/>
          </w:tcPr>
          <w:p>
            <w:pPr>
              <w:spacing w:after="0"/>
              <w:rPr>
                <w:sz w:val="24"/>
                <w:szCs w:val="24"/>
                <w:color w:val="auto"/>
              </w:rPr>
            </w:pPr>
          </w:p>
        </w:tc>
        <w:tc>
          <w:tcPr>
            <w:tcW w:w="1240" w:type="dxa"/>
            <w:vAlign w:val="bottom"/>
            <w:shd w:val="clear" w:color="auto" w:fill="00249C"/>
          </w:tcPr>
          <w:p>
            <w:pPr>
              <w:spacing w:after="0"/>
              <w:rPr>
                <w:sz w:val="24"/>
                <w:szCs w:val="24"/>
                <w:color w:val="auto"/>
              </w:rPr>
            </w:pPr>
          </w:p>
        </w:tc>
        <w:tc>
          <w:tcPr>
            <w:tcW w:w="960" w:type="dxa"/>
            <w:vAlign w:val="bottom"/>
            <w:shd w:val="clear" w:color="auto" w:fill="00249C"/>
          </w:tcPr>
          <w:p>
            <w:pPr>
              <w:spacing w:after="0"/>
              <w:rPr>
                <w:sz w:val="24"/>
                <w:szCs w:val="24"/>
                <w:color w:val="auto"/>
              </w:rPr>
            </w:pPr>
          </w:p>
        </w:tc>
        <w:tc>
          <w:tcPr>
            <w:tcW w:w="2720" w:type="dxa"/>
            <w:vAlign w:val="bottom"/>
            <w:gridSpan w:val="3"/>
            <w:vMerge w:val="restart"/>
            <w:shd w:val="clear" w:color="auto" w:fill="00249C"/>
          </w:tcPr>
          <w:p>
            <w:pPr>
              <w:jc w:val="center"/>
              <w:spacing w:after="0"/>
              <w:rPr>
                <w:sz w:val="20"/>
                <w:szCs w:val="20"/>
                <w:color w:val="auto"/>
              </w:rPr>
            </w:pPr>
            <w:r>
              <w:rPr>
                <w:rFonts w:ascii="Arial" w:cs="Arial" w:eastAsia="Arial" w:hAnsi="Arial"/>
                <w:sz w:val="14"/>
                <w:szCs w:val="14"/>
                <w:b w:val="1"/>
                <w:bCs w:val="1"/>
                <w:color w:val="FFFFFF"/>
              </w:rPr>
              <w:t>Estimated Future Payouts Under</w:t>
            </w:r>
          </w:p>
        </w:tc>
        <w:tc>
          <w:tcPr>
            <w:tcW w:w="2760" w:type="dxa"/>
            <w:vAlign w:val="bottom"/>
            <w:gridSpan w:val="3"/>
            <w:vMerge w:val="restart"/>
            <w:shd w:val="clear" w:color="auto" w:fill="00249C"/>
          </w:tcPr>
          <w:p>
            <w:pPr>
              <w:jc w:val="center"/>
              <w:ind w:left="8"/>
              <w:spacing w:after="0"/>
              <w:rPr>
                <w:sz w:val="20"/>
                <w:szCs w:val="20"/>
                <w:color w:val="auto"/>
              </w:rPr>
            </w:pPr>
            <w:r>
              <w:rPr>
                <w:rFonts w:ascii="Arial" w:cs="Arial" w:eastAsia="Arial" w:hAnsi="Arial"/>
                <w:sz w:val="14"/>
                <w:szCs w:val="14"/>
                <w:b w:val="1"/>
                <w:bCs w:val="1"/>
                <w:color w:val="FFFFFF"/>
              </w:rPr>
              <w:t>Estimated Future Payouts</w:t>
            </w:r>
          </w:p>
        </w:tc>
        <w:tc>
          <w:tcPr>
            <w:tcW w:w="92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All Other</w:t>
            </w:r>
          </w:p>
        </w:tc>
        <w:tc>
          <w:tcPr>
            <w:tcW w:w="1000" w:type="dxa"/>
            <w:vAlign w:val="bottom"/>
            <w:shd w:val="clear" w:color="auto" w:fill="00249C"/>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00249C"/>
          </w:tcPr>
          <w:p>
            <w:pPr>
              <w:spacing w:after="0"/>
              <w:rPr>
                <w:sz w:val="12"/>
                <w:szCs w:val="12"/>
                <w:color w:val="auto"/>
              </w:rPr>
            </w:pPr>
          </w:p>
        </w:tc>
        <w:tc>
          <w:tcPr>
            <w:tcW w:w="1240" w:type="dxa"/>
            <w:vAlign w:val="bottom"/>
            <w:shd w:val="clear" w:color="auto" w:fill="00249C"/>
          </w:tcPr>
          <w:p>
            <w:pPr>
              <w:spacing w:after="0"/>
              <w:rPr>
                <w:sz w:val="12"/>
                <w:szCs w:val="12"/>
                <w:color w:val="auto"/>
              </w:rPr>
            </w:pPr>
          </w:p>
        </w:tc>
        <w:tc>
          <w:tcPr>
            <w:tcW w:w="960" w:type="dxa"/>
            <w:vAlign w:val="bottom"/>
            <w:shd w:val="clear" w:color="auto" w:fill="00249C"/>
          </w:tcPr>
          <w:p>
            <w:pPr>
              <w:spacing w:after="0"/>
              <w:rPr>
                <w:sz w:val="12"/>
                <w:szCs w:val="12"/>
                <w:color w:val="auto"/>
              </w:rPr>
            </w:pPr>
          </w:p>
        </w:tc>
        <w:tc>
          <w:tcPr>
            <w:tcW w:w="2720" w:type="dxa"/>
            <w:vAlign w:val="bottom"/>
            <w:gridSpan w:val="3"/>
            <w:vMerge w:val="continue"/>
            <w:shd w:val="clear" w:color="auto" w:fill="00249C"/>
          </w:tcPr>
          <w:p>
            <w:pPr>
              <w:spacing w:after="0"/>
              <w:rPr>
                <w:sz w:val="12"/>
                <w:szCs w:val="12"/>
                <w:color w:val="auto"/>
              </w:rPr>
            </w:pPr>
          </w:p>
        </w:tc>
        <w:tc>
          <w:tcPr>
            <w:tcW w:w="2760" w:type="dxa"/>
            <w:vAlign w:val="bottom"/>
            <w:gridSpan w:val="3"/>
            <w:vMerge w:val="continue"/>
            <w:shd w:val="clear" w:color="auto" w:fill="00249C"/>
          </w:tcPr>
          <w:p>
            <w:pPr>
              <w:spacing w:after="0"/>
              <w:rPr>
                <w:sz w:val="12"/>
                <w:szCs w:val="12"/>
                <w:color w:val="auto"/>
              </w:rPr>
            </w:pPr>
          </w:p>
        </w:tc>
        <w:tc>
          <w:tcPr>
            <w:tcW w:w="920" w:type="dxa"/>
            <w:vAlign w:val="bottom"/>
            <w:shd w:val="clear" w:color="auto" w:fill="00249C"/>
          </w:tcPr>
          <w:p>
            <w:pPr>
              <w:jc w:val="center"/>
              <w:spacing w:after="0" w:line="149" w:lineRule="exact"/>
              <w:rPr>
                <w:sz w:val="20"/>
                <w:szCs w:val="20"/>
                <w:color w:val="auto"/>
              </w:rPr>
            </w:pPr>
            <w:r>
              <w:rPr>
                <w:rFonts w:ascii="Arial" w:cs="Arial" w:eastAsia="Arial" w:hAnsi="Arial"/>
                <w:sz w:val="14"/>
                <w:szCs w:val="14"/>
                <w:b w:val="1"/>
                <w:bCs w:val="1"/>
                <w:color w:val="FFFFFF"/>
              </w:rPr>
              <w:t>Stock</w:t>
            </w:r>
          </w:p>
        </w:tc>
        <w:tc>
          <w:tcPr>
            <w:tcW w:w="1000" w:type="dxa"/>
            <w:vAlign w:val="bottom"/>
            <w:vMerge w:val="restart"/>
            <w:shd w:val="clear" w:color="auto" w:fill="00249C"/>
          </w:tcPr>
          <w:p>
            <w:pPr>
              <w:jc w:val="center"/>
              <w:spacing w:after="0"/>
              <w:rPr>
                <w:sz w:val="20"/>
                <w:szCs w:val="20"/>
                <w:color w:val="auto"/>
              </w:rPr>
            </w:pPr>
            <w:r>
              <w:rPr>
                <w:rFonts w:ascii="Arial" w:cs="Arial" w:eastAsia="Arial" w:hAnsi="Arial"/>
                <w:sz w:val="14"/>
                <w:szCs w:val="14"/>
                <w:b w:val="1"/>
                <w:bCs w:val="1"/>
                <w:color w:val="FFFFFF"/>
              </w:rPr>
              <w:t>Grant</w:t>
            </w:r>
          </w:p>
        </w:tc>
        <w:tc>
          <w:tcPr>
            <w:tcW w:w="0" w:type="dxa"/>
            <w:vAlign w:val="bottom"/>
          </w:tcPr>
          <w:p>
            <w:pPr>
              <w:spacing w:after="0"/>
              <w:rPr>
                <w:sz w:val="1"/>
                <w:szCs w:val="1"/>
                <w:color w:val="auto"/>
              </w:rPr>
            </w:pPr>
          </w:p>
        </w:tc>
      </w:tr>
      <w:tr>
        <w:trPr>
          <w:trHeight w:val="135"/>
        </w:trPr>
        <w:tc>
          <w:tcPr>
            <w:tcW w:w="1580" w:type="dxa"/>
            <w:vAlign w:val="bottom"/>
            <w:shd w:val="clear" w:color="auto" w:fill="00249C"/>
          </w:tcPr>
          <w:p>
            <w:pPr>
              <w:spacing w:after="0"/>
              <w:rPr>
                <w:sz w:val="11"/>
                <w:szCs w:val="11"/>
                <w:color w:val="auto"/>
              </w:rPr>
            </w:pPr>
          </w:p>
        </w:tc>
        <w:tc>
          <w:tcPr>
            <w:tcW w:w="1240" w:type="dxa"/>
            <w:vAlign w:val="bottom"/>
            <w:shd w:val="clear" w:color="auto" w:fill="00249C"/>
          </w:tcPr>
          <w:p>
            <w:pPr>
              <w:spacing w:after="0"/>
              <w:rPr>
                <w:sz w:val="11"/>
                <w:szCs w:val="11"/>
                <w:color w:val="auto"/>
              </w:rPr>
            </w:pPr>
          </w:p>
        </w:tc>
        <w:tc>
          <w:tcPr>
            <w:tcW w:w="960" w:type="dxa"/>
            <w:vAlign w:val="bottom"/>
            <w:shd w:val="clear" w:color="auto" w:fill="00249C"/>
          </w:tcPr>
          <w:p>
            <w:pPr>
              <w:spacing w:after="0"/>
              <w:rPr>
                <w:sz w:val="11"/>
                <w:szCs w:val="11"/>
                <w:color w:val="auto"/>
              </w:rPr>
            </w:pPr>
          </w:p>
        </w:tc>
        <w:tc>
          <w:tcPr>
            <w:tcW w:w="2720" w:type="dxa"/>
            <w:vAlign w:val="bottom"/>
            <w:gridSpan w:val="3"/>
            <w:shd w:val="clear" w:color="auto" w:fill="00249C"/>
          </w:tcPr>
          <w:p>
            <w:pPr>
              <w:jc w:val="center"/>
              <w:spacing w:after="0" w:line="135" w:lineRule="exact"/>
              <w:rPr>
                <w:sz w:val="20"/>
                <w:szCs w:val="20"/>
                <w:color w:val="auto"/>
              </w:rPr>
            </w:pPr>
            <w:r>
              <w:rPr>
                <w:rFonts w:ascii="Arial" w:cs="Arial" w:eastAsia="Arial" w:hAnsi="Arial"/>
                <w:sz w:val="14"/>
                <w:szCs w:val="14"/>
                <w:b w:val="1"/>
                <w:bCs w:val="1"/>
                <w:color w:val="FFFFFF"/>
              </w:rPr>
              <w:t>Non-Equity Incentive</w:t>
            </w:r>
          </w:p>
        </w:tc>
        <w:tc>
          <w:tcPr>
            <w:tcW w:w="2760" w:type="dxa"/>
            <w:vAlign w:val="bottom"/>
            <w:gridSpan w:val="3"/>
            <w:shd w:val="clear" w:color="auto" w:fill="00249C"/>
          </w:tcPr>
          <w:p>
            <w:pPr>
              <w:jc w:val="center"/>
              <w:ind w:left="8"/>
              <w:spacing w:after="0" w:line="135" w:lineRule="exact"/>
              <w:rPr>
                <w:sz w:val="20"/>
                <w:szCs w:val="20"/>
                <w:color w:val="auto"/>
              </w:rPr>
            </w:pPr>
            <w:r>
              <w:rPr>
                <w:rFonts w:ascii="Arial" w:cs="Arial" w:eastAsia="Arial" w:hAnsi="Arial"/>
                <w:sz w:val="14"/>
                <w:szCs w:val="14"/>
                <w:b w:val="1"/>
                <w:bCs w:val="1"/>
                <w:color w:val="FFFFFF"/>
              </w:rPr>
              <w:t>Under Equity Incentive</w:t>
            </w:r>
          </w:p>
        </w:tc>
        <w:tc>
          <w:tcPr>
            <w:tcW w:w="920" w:type="dxa"/>
            <w:vAlign w:val="bottom"/>
            <w:shd w:val="clear" w:color="auto" w:fill="00249C"/>
          </w:tcPr>
          <w:p>
            <w:pPr>
              <w:jc w:val="center"/>
              <w:spacing w:after="0" w:line="135" w:lineRule="exact"/>
              <w:rPr>
                <w:sz w:val="20"/>
                <w:szCs w:val="20"/>
                <w:color w:val="auto"/>
              </w:rPr>
            </w:pPr>
            <w:r>
              <w:rPr>
                <w:rFonts w:ascii="Arial" w:cs="Arial" w:eastAsia="Arial" w:hAnsi="Arial"/>
                <w:sz w:val="14"/>
                <w:szCs w:val="14"/>
                <w:b w:val="1"/>
                <w:bCs w:val="1"/>
                <w:color w:val="FFFFFF"/>
              </w:rPr>
              <w:t>Awards:</w:t>
            </w:r>
          </w:p>
        </w:tc>
        <w:tc>
          <w:tcPr>
            <w:tcW w:w="1000" w:type="dxa"/>
            <w:vAlign w:val="bottom"/>
            <w:vMerge w:val="continue"/>
            <w:shd w:val="clear" w:color="auto" w:fill="00249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00249C"/>
          </w:tcPr>
          <w:p>
            <w:pPr>
              <w:spacing w:after="0"/>
              <w:rPr>
                <w:sz w:val="11"/>
                <w:szCs w:val="11"/>
                <w:color w:val="auto"/>
              </w:rPr>
            </w:pPr>
          </w:p>
        </w:tc>
        <w:tc>
          <w:tcPr>
            <w:tcW w:w="1240" w:type="dxa"/>
            <w:vAlign w:val="bottom"/>
            <w:shd w:val="clear" w:color="auto" w:fill="00249C"/>
          </w:tcPr>
          <w:p>
            <w:pPr>
              <w:spacing w:after="0"/>
              <w:rPr>
                <w:sz w:val="11"/>
                <w:szCs w:val="11"/>
                <w:color w:val="auto"/>
              </w:rPr>
            </w:pPr>
          </w:p>
        </w:tc>
        <w:tc>
          <w:tcPr>
            <w:tcW w:w="960" w:type="dxa"/>
            <w:vAlign w:val="bottom"/>
            <w:shd w:val="clear" w:color="auto" w:fill="00249C"/>
          </w:tcPr>
          <w:p>
            <w:pPr>
              <w:spacing w:after="0"/>
              <w:rPr>
                <w:sz w:val="11"/>
                <w:szCs w:val="11"/>
                <w:color w:val="auto"/>
              </w:rPr>
            </w:pPr>
          </w:p>
        </w:tc>
        <w:tc>
          <w:tcPr>
            <w:tcW w:w="800" w:type="dxa"/>
            <w:vAlign w:val="bottom"/>
            <w:shd w:val="clear" w:color="auto" w:fill="00249C"/>
          </w:tcPr>
          <w:p>
            <w:pPr>
              <w:spacing w:after="0"/>
              <w:rPr>
                <w:sz w:val="11"/>
                <w:szCs w:val="11"/>
                <w:color w:val="auto"/>
              </w:rPr>
            </w:pPr>
          </w:p>
        </w:tc>
        <w:tc>
          <w:tcPr>
            <w:tcW w:w="1080" w:type="dxa"/>
            <w:vAlign w:val="bottom"/>
            <w:shd w:val="clear" w:color="auto" w:fill="00249C"/>
          </w:tcPr>
          <w:p>
            <w:pPr>
              <w:jc w:val="center"/>
              <w:spacing w:after="0" w:line="135" w:lineRule="exact"/>
              <w:rPr>
                <w:sz w:val="20"/>
                <w:szCs w:val="20"/>
                <w:color w:val="auto"/>
              </w:rPr>
            </w:pPr>
            <w:r>
              <w:rPr>
                <w:rFonts w:ascii="Arial" w:cs="Arial" w:eastAsia="Arial" w:hAnsi="Arial"/>
                <w:sz w:val="14"/>
                <w:szCs w:val="14"/>
                <w:b w:val="1"/>
                <w:bCs w:val="1"/>
                <w:color w:val="FFFFFF"/>
              </w:rPr>
              <w:t>Plan Awards (1)</w:t>
            </w:r>
          </w:p>
        </w:tc>
        <w:tc>
          <w:tcPr>
            <w:tcW w:w="840" w:type="dxa"/>
            <w:vAlign w:val="bottom"/>
            <w:shd w:val="clear" w:color="auto" w:fill="00249C"/>
          </w:tcPr>
          <w:p>
            <w:pPr>
              <w:spacing w:after="0"/>
              <w:rPr>
                <w:sz w:val="11"/>
                <w:szCs w:val="11"/>
                <w:color w:val="auto"/>
              </w:rPr>
            </w:pPr>
          </w:p>
        </w:tc>
        <w:tc>
          <w:tcPr>
            <w:tcW w:w="880" w:type="dxa"/>
            <w:vAlign w:val="bottom"/>
            <w:shd w:val="clear" w:color="auto" w:fill="00249C"/>
          </w:tcPr>
          <w:p>
            <w:pPr>
              <w:spacing w:after="0"/>
              <w:rPr>
                <w:sz w:val="11"/>
                <w:szCs w:val="11"/>
                <w:color w:val="auto"/>
              </w:rPr>
            </w:pPr>
          </w:p>
        </w:tc>
        <w:tc>
          <w:tcPr>
            <w:tcW w:w="1080" w:type="dxa"/>
            <w:vAlign w:val="bottom"/>
            <w:shd w:val="clear" w:color="auto" w:fill="00249C"/>
          </w:tcPr>
          <w:p>
            <w:pPr>
              <w:jc w:val="center"/>
              <w:spacing w:after="0" w:line="135" w:lineRule="exact"/>
              <w:rPr>
                <w:sz w:val="20"/>
                <w:szCs w:val="20"/>
                <w:color w:val="auto"/>
              </w:rPr>
            </w:pPr>
            <w:r>
              <w:rPr>
                <w:rFonts w:ascii="Arial" w:cs="Arial" w:eastAsia="Arial" w:hAnsi="Arial"/>
                <w:sz w:val="14"/>
                <w:szCs w:val="14"/>
                <w:b w:val="1"/>
                <w:bCs w:val="1"/>
                <w:color w:val="FFFFFF"/>
              </w:rPr>
              <w:t>Plan Awards (2)</w:t>
            </w:r>
          </w:p>
        </w:tc>
        <w:tc>
          <w:tcPr>
            <w:tcW w:w="800" w:type="dxa"/>
            <w:vAlign w:val="bottom"/>
            <w:shd w:val="clear" w:color="auto" w:fill="00249C"/>
          </w:tcPr>
          <w:p>
            <w:pPr>
              <w:spacing w:after="0"/>
              <w:rPr>
                <w:sz w:val="11"/>
                <w:szCs w:val="11"/>
                <w:color w:val="auto"/>
              </w:rPr>
            </w:pPr>
          </w:p>
        </w:tc>
        <w:tc>
          <w:tcPr>
            <w:tcW w:w="920" w:type="dxa"/>
            <w:vAlign w:val="bottom"/>
            <w:shd w:val="clear" w:color="auto" w:fill="00249C"/>
          </w:tcPr>
          <w:p>
            <w:pPr>
              <w:jc w:val="center"/>
              <w:spacing w:after="0" w:line="135" w:lineRule="exact"/>
              <w:rPr>
                <w:sz w:val="20"/>
                <w:szCs w:val="20"/>
                <w:color w:val="auto"/>
              </w:rPr>
            </w:pPr>
            <w:r>
              <w:rPr>
                <w:rFonts w:ascii="Arial" w:cs="Arial" w:eastAsia="Arial" w:hAnsi="Arial"/>
                <w:sz w:val="14"/>
                <w:szCs w:val="14"/>
                <w:b w:val="1"/>
                <w:bCs w:val="1"/>
                <w:color w:val="FFFFFF"/>
              </w:rPr>
              <w:t>Number of</w:t>
            </w:r>
          </w:p>
        </w:tc>
        <w:tc>
          <w:tcPr>
            <w:tcW w:w="1000" w:type="dxa"/>
            <w:vAlign w:val="bottom"/>
            <w:shd w:val="clear" w:color="auto" w:fill="00249C"/>
          </w:tcPr>
          <w:p>
            <w:pPr>
              <w:jc w:val="center"/>
              <w:spacing w:after="0" w:line="135" w:lineRule="exact"/>
              <w:rPr>
                <w:sz w:val="20"/>
                <w:szCs w:val="20"/>
                <w:color w:val="auto"/>
              </w:rPr>
            </w:pPr>
            <w:r>
              <w:rPr>
                <w:rFonts w:ascii="Arial" w:cs="Arial" w:eastAsia="Arial" w:hAnsi="Arial"/>
                <w:sz w:val="14"/>
                <w:szCs w:val="14"/>
                <w:b w:val="1"/>
                <w:bCs w:val="1"/>
                <w:color w:val="FFFFFF"/>
              </w:rPr>
              <w:t>Date Fair</w:t>
            </w:r>
          </w:p>
        </w:tc>
        <w:tc>
          <w:tcPr>
            <w:tcW w:w="0" w:type="dxa"/>
            <w:vAlign w:val="bottom"/>
          </w:tcPr>
          <w:p>
            <w:pPr>
              <w:spacing w:after="0"/>
              <w:rPr>
                <w:sz w:val="1"/>
                <w:szCs w:val="1"/>
                <w:color w:val="auto"/>
              </w:rPr>
            </w:pPr>
          </w:p>
        </w:tc>
      </w:tr>
      <w:tr>
        <w:trPr>
          <w:trHeight w:val="122"/>
        </w:trPr>
        <w:tc>
          <w:tcPr>
            <w:tcW w:w="1580" w:type="dxa"/>
            <w:vAlign w:val="bottom"/>
            <w:shd w:val="clear" w:color="auto" w:fill="00249C"/>
          </w:tcPr>
          <w:p>
            <w:pPr>
              <w:spacing w:after="0"/>
              <w:rPr>
                <w:sz w:val="10"/>
                <w:szCs w:val="10"/>
                <w:color w:val="auto"/>
              </w:rPr>
            </w:pPr>
          </w:p>
        </w:tc>
        <w:tc>
          <w:tcPr>
            <w:tcW w:w="1240" w:type="dxa"/>
            <w:vAlign w:val="bottom"/>
            <w:shd w:val="clear" w:color="auto" w:fill="00249C"/>
          </w:tcPr>
          <w:p>
            <w:pPr>
              <w:spacing w:after="0"/>
              <w:rPr>
                <w:sz w:val="10"/>
                <w:szCs w:val="10"/>
                <w:color w:val="auto"/>
              </w:rPr>
            </w:pPr>
          </w:p>
        </w:tc>
        <w:tc>
          <w:tcPr>
            <w:tcW w:w="960" w:type="dxa"/>
            <w:vAlign w:val="bottom"/>
            <w:shd w:val="clear" w:color="auto" w:fill="00249C"/>
          </w:tcPr>
          <w:p>
            <w:pPr>
              <w:spacing w:after="0"/>
              <w:rPr>
                <w:sz w:val="10"/>
                <w:szCs w:val="10"/>
                <w:color w:val="auto"/>
              </w:rPr>
            </w:pPr>
          </w:p>
        </w:tc>
        <w:tc>
          <w:tcPr>
            <w:tcW w:w="800" w:type="dxa"/>
            <w:vAlign w:val="bottom"/>
            <w:shd w:val="clear" w:color="auto" w:fill="00249C"/>
          </w:tcPr>
          <w:p>
            <w:pPr>
              <w:spacing w:after="0"/>
              <w:rPr>
                <w:sz w:val="10"/>
                <w:szCs w:val="10"/>
                <w:color w:val="auto"/>
              </w:rPr>
            </w:pPr>
          </w:p>
        </w:tc>
        <w:tc>
          <w:tcPr>
            <w:tcW w:w="1080" w:type="dxa"/>
            <w:vAlign w:val="bottom"/>
            <w:shd w:val="clear" w:color="auto" w:fill="00249C"/>
          </w:tcPr>
          <w:p>
            <w:pPr>
              <w:spacing w:after="0"/>
              <w:rPr>
                <w:sz w:val="10"/>
                <w:szCs w:val="10"/>
                <w:color w:val="auto"/>
              </w:rPr>
            </w:pPr>
          </w:p>
        </w:tc>
        <w:tc>
          <w:tcPr>
            <w:tcW w:w="840" w:type="dxa"/>
            <w:vAlign w:val="bottom"/>
            <w:shd w:val="clear" w:color="auto" w:fill="00249C"/>
          </w:tcPr>
          <w:p>
            <w:pPr>
              <w:spacing w:after="0"/>
              <w:rPr>
                <w:sz w:val="10"/>
                <w:szCs w:val="10"/>
                <w:color w:val="auto"/>
              </w:rPr>
            </w:pPr>
          </w:p>
        </w:tc>
        <w:tc>
          <w:tcPr>
            <w:tcW w:w="880" w:type="dxa"/>
            <w:vAlign w:val="bottom"/>
            <w:shd w:val="clear" w:color="auto" w:fill="00249C"/>
          </w:tcPr>
          <w:p>
            <w:pPr>
              <w:spacing w:after="0"/>
              <w:rPr>
                <w:sz w:val="10"/>
                <w:szCs w:val="10"/>
                <w:color w:val="auto"/>
              </w:rPr>
            </w:pPr>
          </w:p>
        </w:tc>
        <w:tc>
          <w:tcPr>
            <w:tcW w:w="1080" w:type="dxa"/>
            <w:vAlign w:val="bottom"/>
            <w:shd w:val="clear" w:color="auto" w:fill="00249C"/>
          </w:tcPr>
          <w:p>
            <w:pPr>
              <w:spacing w:after="0"/>
              <w:rPr>
                <w:sz w:val="10"/>
                <w:szCs w:val="10"/>
                <w:color w:val="auto"/>
              </w:rPr>
            </w:pPr>
          </w:p>
        </w:tc>
        <w:tc>
          <w:tcPr>
            <w:tcW w:w="800" w:type="dxa"/>
            <w:vAlign w:val="bottom"/>
            <w:shd w:val="clear" w:color="auto" w:fill="00249C"/>
          </w:tcPr>
          <w:p>
            <w:pPr>
              <w:spacing w:after="0"/>
              <w:rPr>
                <w:sz w:val="10"/>
                <w:szCs w:val="10"/>
                <w:color w:val="auto"/>
              </w:rPr>
            </w:pPr>
          </w:p>
        </w:tc>
        <w:tc>
          <w:tcPr>
            <w:tcW w:w="920" w:type="dxa"/>
            <w:vAlign w:val="bottom"/>
            <w:shd w:val="clear" w:color="auto" w:fill="00249C"/>
          </w:tcPr>
          <w:p>
            <w:pPr>
              <w:jc w:val="center"/>
              <w:spacing w:after="0" w:line="122" w:lineRule="exact"/>
              <w:rPr>
                <w:sz w:val="20"/>
                <w:szCs w:val="20"/>
                <w:color w:val="auto"/>
              </w:rPr>
            </w:pPr>
            <w:r>
              <w:rPr>
                <w:rFonts w:ascii="Arial" w:cs="Arial" w:eastAsia="Arial" w:hAnsi="Arial"/>
                <w:sz w:val="14"/>
                <w:szCs w:val="14"/>
                <w:b w:val="1"/>
                <w:bCs w:val="1"/>
                <w:color w:val="FFFFFF"/>
              </w:rPr>
              <w:t>Shares of</w:t>
            </w:r>
          </w:p>
        </w:tc>
        <w:tc>
          <w:tcPr>
            <w:tcW w:w="1000" w:type="dxa"/>
            <w:vAlign w:val="bottom"/>
            <w:shd w:val="clear" w:color="auto" w:fill="00249C"/>
          </w:tcPr>
          <w:p>
            <w:pPr>
              <w:jc w:val="center"/>
              <w:spacing w:after="0" w:line="122" w:lineRule="exact"/>
              <w:rPr>
                <w:sz w:val="20"/>
                <w:szCs w:val="20"/>
                <w:color w:val="auto"/>
              </w:rPr>
            </w:pPr>
            <w:r>
              <w:rPr>
                <w:rFonts w:ascii="Arial" w:cs="Arial" w:eastAsia="Arial" w:hAnsi="Arial"/>
                <w:sz w:val="14"/>
                <w:szCs w:val="14"/>
                <w:b w:val="1"/>
                <w:bCs w:val="1"/>
                <w:color w:val="FFFFFF"/>
              </w:rPr>
              <w:t>Value of</w:t>
            </w:r>
          </w:p>
        </w:tc>
        <w:tc>
          <w:tcPr>
            <w:tcW w:w="0" w:type="dxa"/>
            <w:vAlign w:val="bottom"/>
          </w:tcPr>
          <w:p>
            <w:pPr>
              <w:spacing w:after="0"/>
              <w:rPr>
                <w:sz w:val="1"/>
                <w:szCs w:val="1"/>
                <w:color w:val="auto"/>
              </w:rPr>
            </w:pPr>
          </w:p>
        </w:tc>
      </w:tr>
      <w:tr>
        <w:trPr>
          <w:trHeight w:val="135"/>
        </w:trPr>
        <w:tc>
          <w:tcPr>
            <w:tcW w:w="1580" w:type="dxa"/>
            <w:vAlign w:val="bottom"/>
            <w:shd w:val="clear" w:color="auto" w:fill="00249C"/>
          </w:tcPr>
          <w:p>
            <w:pPr>
              <w:spacing w:after="0"/>
              <w:rPr>
                <w:sz w:val="11"/>
                <w:szCs w:val="11"/>
                <w:color w:val="auto"/>
              </w:rPr>
            </w:pPr>
          </w:p>
        </w:tc>
        <w:tc>
          <w:tcPr>
            <w:tcW w:w="1240" w:type="dxa"/>
            <w:vAlign w:val="bottom"/>
            <w:shd w:val="clear" w:color="auto" w:fill="00249C"/>
          </w:tcPr>
          <w:p>
            <w:pPr>
              <w:spacing w:after="0"/>
              <w:rPr>
                <w:sz w:val="11"/>
                <w:szCs w:val="11"/>
                <w:color w:val="auto"/>
              </w:rPr>
            </w:pPr>
          </w:p>
        </w:tc>
        <w:tc>
          <w:tcPr>
            <w:tcW w:w="960" w:type="dxa"/>
            <w:vAlign w:val="bottom"/>
            <w:shd w:val="clear" w:color="auto" w:fill="00249C"/>
          </w:tcPr>
          <w:p>
            <w:pPr>
              <w:spacing w:after="0"/>
              <w:rPr>
                <w:sz w:val="11"/>
                <w:szCs w:val="11"/>
                <w:color w:val="auto"/>
              </w:rPr>
            </w:pPr>
          </w:p>
        </w:tc>
        <w:tc>
          <w:tcPr>
            <w:tcW w:w="800" w:type="dxa"/>
            <w:vAlign w:val="bottom"/>
            <w:vMerge w:val="restart"/>
            <w:shd w:val="clear" w:color="auto" w:fill="00249C"/>
          </w:tcPr>
          <w:p>
            <w:pPr>
              <w:ind w:left="100"/>
              <w:spacing w:after="0"/>
              <w:rPr>
                <w:sz w:val="20"/>
                <w:szCs w:val="20"/>
                <w:color w:val="auto"/>
              </w:rPr>
            </w:pPr>
            <w:r>
              <w:rPr>
                <w:rFonts w:ascii="Arial" w:cs="Arial" w:eastAsia="Arial" w:hAnsi="Arial"/>
                <w:sz w:val="14"/>
                <w:szCs w:val="14"/>
                <w:b w:val="1"/>
                <w:bCs w:val="1"/>
                <w:color w:val="FFFFFF"/>
              </w:rPr>
              <w:t>Threshold</w:t>
            </w:r>
          </w:p>
        </w:tc>
        <w:tc>
          <w:tcPr>
            <w:tcW w:w="1080" w:type="dxa"/>
            <w:vAlign w:val="bottom"/>
            <w:vMerge w:val="restart"/>
            <w:shd w:val="clear" w:color="auto" w:fill="00249C"/>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840" w:type="dxa"/>
            <w:vAlign w:val="bottom"/>
            <w:vMerge w:val="restart"/>
            <w:shd w:val="clear" w:color="auto" w:fill="00249C"/>
          </w:tcPr>
          <w:p>
            <w:pPr>
              <w:ind w:left="20"/>
              <w:spacing w:after="0"/>
              <w:rPr>
                <w:sz w:val="20"/>
                <w:szCs w:val="20"/>
                <w:color w:val="auto"/>
              </w:rPr>
            </w:pPr>
            <w:r>
              <w:rPr>
                <w:rFonts w:ascii="Arial" w:cs="Arial" w:eastAsia="Arial" w:hAnsi="Arial"/>
                <w:sz w:val="14"/>
                <w:szCs w:val="14"/>
                <w:b w:val="1"/>
                <w:bCs w:val="1"/>
                <w:color w:val="FFFFFF"/>
              </w:rPr>
              <w:t>Maximum</w:t>
            </w:r>
          </w:p>
        </w:tc>
        <w:tc>
          <w:tcPr>
            <w:tcW w:w="880" w:type="dxa"/>
            <w:vAlign w:val="bottom"/>
            <w:vMerge w:val="restart"/>
            <w:shd w:val="clear" w:color="auto" w:fill="00249C"/>
          </w:tcPr>
          <w:p>
            <w:pPr>
              <w:ind w:left="180"/>
              <w:spacing w:after="0"/>
              <w:rPr>
                <w:sz w:val="20"/>
                <w:szCs w:val="20"/>
                <w:color w:val="auto"/>
              </w:rPr>
            </w:pPr>
            <w:r>
              <w:rPr>
                <w:rFonts w:ascii="Arial" w:cs="Arial" w:eastAsia="Arial" w:hAnsi="Arial"/>
                <w:sz w:val="14"/>
                <w:szCs w:val="14"/>
                <w:b w:val="1"/>
                <w:bCs w:val="1"/>
                <w:color w:val="FFFFFF"/>
              </w:rPr>
              <w:t>Threshold</w:t>
            </w:r>
          </w:p>
        </w:tc>
        <w:tc>
          <w:tcPr>
            <w:tcW w:w="1080" w:type="dxa"/>
            <w:vAlign w:val="bottom"/>
            <w:vMerge w:val="restart"/>
            <w:shd w:val="clear" w:color="auto" w:fill="00249C"/>
          </w:tcPr>
          <w:p>
            <w:pPr>
              <w:jc w:val="center"/>
              <w:spacing w:after="0"/>
              <w:rPr>
                <w:sz w:val="20"/>
                <w:szCs w:val="20"/>
                <w:color w:val="auto"/>
              </w:rPr>
            </w:pPr>
            <w:r>
              <w:rPr>
                <w:rFonts w:ascii="Arial" w:cs="Arial" w:eastAsia="Arial" w:hAnsi="Arial"/>
                <w:sz w:val="14"/>
                <w:szCs w:val="14"/>
                <w:b w:val="1"/>
                <w:bCs w:val="1"/>
                <w:color w:val="FFFFFF"/>
              </w:rPr>
              <w:t>Target</w:t>
            </w:r>
          </w:p>
        </w:tc>
        <w:tc>
          <w:tcPr>
            <w:tcW w:w="800" w:type="dxa"/>
            <w:vAlign w:val="bottom"/>
            <w:vMerge w:val="restart"/>
            <w:shd w:val="clear" w:color="auto" w:fill="00249C"/>
          </w:tcPr>
          <w:p>
            <w:pPr>
              <w:ind w:left="20"/>
              <w:spacing w:after="0"/>
              <w:rPr>
                <w:sz w:val="20"/>
                <w:szCs w:val="20"/>
                <w:color w:val="auto"/>
              </w:rPr>
            </w:pPr>
            <w:r>
              <w:rPr>
                <w:rFonts w:ascii="Arial" w:cs="Arial" w:eastAsia="Arial" w:hAnsi="Arial"/>
                <w:sz w:val="14"/>
                <w:szCs w:val="14"/>
                <w:b w:val="1"/>
                <w:bCs w:val="1"/>
                <w:color w:val="FFFFFF"/>
              </w:rPr>
              <w:t>Maximum</w:t>
            </w:r>
          </w:p>
        </w:tc>
        <w:tc>
          <w:tcPr>
            <w:tcW w:w="920" w:type="dxa"/>
            <w:vAlign w:val="bottom"/>
            <w:shd w:val="clear" w:color="auto" w:fill="00249C"/>
          </w:tcPr>
          <w:p>
            <w:pPr>
              <w:jc w:val="center"/>
              <w:spacing w:after="0" w:line="135" w:lineRule="exact"/>
              <w:rPr>
                <w:sz w:val="20"/>
                <w:szCs w:val="20"/>
                <w:color w:val="auto"/>
              </w:rPr>
            </w:pPr>
            <w:r>
              <w:rPr>
                <w:rFonts w:ascii="Arial" w:cs="Arial" w:eastAsia="Arial" w:hAnsi="Arial"/>
                <w:sz w:val="14"/>
                <w:szCs w:val="14"/>
                <w:b w:val="1"/>
                <w:bCs w:val="1"/>
                <w:color w:val="FFFFFF"/>
                <w:w w:val="99"/>
              </w:rPr>
              <w:t>Stock or</w:t>
            </w:r>
          </w:p>
        </w:tc>
        <w:tc>
          <w:tcPr>
            <w:tcW w:w="1000" w:type="dxa"/>
            <w:vAlign w:val="bottom"/>
            <w:shd w:val="clear" w:color="auto" w:fill="00249C"/>
          </w:tcPr>
          <w:p>
            <w:pPr>
              <w:jc w:val="center"/>
              <w:spacing w:after="0" w:line="135" w:lineRule="exact"/>
              <w:rPr>
                <w:sz w:val="20"/>
                <w:szCs w:val="20"/>
                <w:color w:val="auto"/>
              </w:rPr>
            </w:pPr>
            <w:r>
              <w:rPr>
                <w:rFonts w:ascii="Arial" w:cs="Arial" w:eastAsia="Arial" w:hAnsi="Arial"/>
                <w:sz w:val="14"/>
                <w:szCs w:val="14"/>
                <w:b w:val="1"/>
                <w:bCs w:val="1"/>
                <w:color w:val="FFFFFF"/>
              </w:rPr>
              <w:t>Stock Awards</w:t>
            </w:r>
          </w:p>
        </w:tc>
        <w:tc>
          <w:tcPr>
            <w:tcW w:w="0" w:type="dxa"/>
            <w:vAlign w:val="bottom"/>
          </w:tcPr>
          <w:p>
            <w:pPr>
              <w:spacing w:after="0"/>
              <w:rPr>
                <w:sz w:val="1"/>
                <w:szCs w:val="1"/>
                <w:color w:val="auto"/>
              </w:rPr>
            </w:pPr>
          </w:p>
        </w:tc>
      </w:tr>
      <w:tr>
        <w:trPr>
          <w:trHeight w:val="135"/>
        </w:trPr>
        <w:tc>
          <w:tcPr>
            <w:tcW w:w="1580" w:type="dxa"/>
            <w:vAlign w:val="bottom"/>
            <w:vMerge w:val="restart"/>
            <w:shd w:val="clear" w:color="auto" w:fill="00249C"/>
          </w:tcPr>
          <w:p>
            <w:pPr>
              <w:ind w:left="20"/>
              <w:spacing w:after="0"/>
              <w:rPr>
                <w:sz w:val="20"/>
                <w:szCs w:val="20"/>
                <w:color w:val="auto"/>
              </w:rPr>
            </w:pPr>
            <w:r>
              <w:rPr>
                <w:rFonts w:ascii="Arial" w:cs="Arial" w:eastAsia="Arial" w:hAnsi="Arial"/>
                <w:sz w:val="14"/>
                <w:szCs w:val="14"/>
                <w:b w:val="1"/>
                <w:bCs w:val="1"/>
                <w:color w:val="FFFFFF"/>
              </w:rPr>
              <w:t>Name</w:t>
            </w:r>
          </w:p>
        </w:tc>
        <w:tc>
          <w:tcPr>
            <w:tcW w:w="1240" w:type="dxa"/>
            <w:vAlign w:val="bottom"/>
            <w:vMerge w:val="restart"/>
            <w:shd w:val="clear" w:color="auto" w:fill="00249C"/>
          </w:tcPr>
          <w:p>
            <w:pPr>
              <w:ind w:left="240"/>
              <w:spacing w:after="0"/>
              <w:rPr>
                <w:sz w:val="20"/>
                <w:szCs w:val="20"/>
                <w:color w:val="auto"/>
              </w:rPr>
            </w:pPr>
            <w:r>
              <w:rPr>
                <w:rFonts w:ascii="Arial" w:cs="Arial" w:eastAsia="Arial" w:hAnsi="Arial"/>
                <w:sz w:val="14"/>
                <w:szCs w:val="14"/>
                <w:b w:val="1"/>
                <w:bCs w:val="1"/>
                <w:color w:val="FFFFFF"/>
              </w:rPr>
              <w:t>Grant Type</w:t>
            </w:r>
          </w:p>
        </w:tc>
        <w:tc>
          <w:tcPr>
            <w:tcW w:w="960" w:type="dxa"/>
            <w:vAlign w:val="bottom"/>
            <w:vMerge w:val="restart"/>
            <w:shd w:val="clear" w:color="auto" w:fill="00249C"/>
          </w:tcPr>
          <w:p>
            <w:pPr>
              <w:ind w:left="120"/>
              <w:spacing w:after="0"/>
              <w:rPr>
                <w:sz w:val="20"/>
                <w:szCs w:val="20"/>
                <w:color w:val="auto"/>
              </w:rPr>
            </w:pPr>
            <w:r>
              <w:rPr>
                <w:rFonts w:ascii="Arial" w:cs="Arial" w:eastAsia="Arial" w:hAnsi="Arial"/>
                <w:sz w:val="14"/>
                <w:szCs w:val="14"/>
                <w:b w:val="1"/>
                <w:bCs w:val="1"/>
                <w:color w:val="FFFFFF"/>
              </w:rPr>
              <w:t>Grant Date</w:t>
            </w:r>
          </w:p>
        </w:tc>
        <w:tc>
          <w:tcPr>
            <w:tcW w:w="800" w:type="dxa"/>
            <w:vAlign w:val="bottom"/>
            <w:vMerge w:val="continue"/>
            <w:shd w:val="clear" w:color="auto" w:fill="00249C"/>
          </w:tcPr>
          <w:p>
            <w:pPr>
              <w:spacing w:after="0"/>
              <w:rPr>
                <w:sz w:val="11"/>
                <w:szCs w:val="11"/>
                <w:color w:val="auto"/>
              </w:rPr>
            </w:pPr>
          </w:p>
        </w:tc>
        <w:tc>
          <w:tcPr>
            <w:tcW w:w="1080" w:type="dxa"/>
            <w:vAlign w:val="bottom"/>
            <w:vMerge w:val="continue"/>
            <w:shd w:val="clear" w:color="auto" w:fill="00249C"/>
          </w:tcPr>
          <w:p>
            <w:pPr>
              <w:spacing w:after="0"/>
              <w:rPr>
                <w:sz w:val="11"/>
                <w:szCs w:val="11"/>
                <w:color w:val="auto"/>
              </w:rPr>
            </w:pPr>
          </w:p>
        </w:tc>
        <w:tc>
          <w:tcPr>
            <w:tcW w:w="840" w:type="dxa"/>
            <w:vAlign w:val="bottom"/>
            <w:vMerge w:val="continue"/>
            <w:shd w:val="clear" w:color="auto" w:fill="00249C"/>
          </w:tcPr>
          <w:p>
            <w:pPr>
              <w:spacing w:after="0"/>
              <w:rPr>
                <w:sz w:val="11"/>
                <w:szCs w:val="11"/>
                <w:color w:val="auto"/>
              </w:rPr>
            </w:pPr>
          </w:p>
        </w:tc>
        <w:tc>
          <w:tcPr>
            <w:tcW w:w="880" w:type="dxa"/>
            <w:vAlign w:val="bottom"/>
            <w:vMerge w:val="continue"/>
            <w:shd w:val="clear" w:color="auto" w:fill="00249C"/>
          </w:tcPr>
          <w:p>
            <w:pPr>
              <w:spacing w:after="0"/>
              <w:rPr>
                <w:sz w:val="11"/>
                <w:szCs w:val="11"/>
                <w:color w:val="auto"/>
              </w:rPr>
            </w:pPr>
          </w:p>
        </w:tc>
        <w:tc>
          <w:tcPr>
            <w:tcW w:w="1080" w:type="dxa"/>
            <w:vAlign w:val="bottom"/>
            <w:vMerge w:val="continue"/>
            <w:shd w:val="clear" w:color="auto" w:fill="00249C"/>
          </w:tcPr>
          <w:p>
            <w:pPr>
              <w:spacing w:after="0"/>
              <w:rPr>
                <w:sz w:val="11"/>
                <w:szCs w:val="11"/>
                <w:color w:val="auto"/>
              </w:rPr>
            </w:pPr>
          </w:p>
        </w:tc>
        <w:tc>
          <w:tcPr>
            <w:tcW w:w="800" w:type="dxa"/>
            <w:vAlign w:val="bottom"/>
            <w:vMerge w:val="continue"/>
            <w:shd w:val="clear" w:color="auto" w:fill="00249C"/>
          </w:tcPr>
          <w:p>
            <w:pPr>
              <w:spacing w:after="0"/>
              <w:rPr>
                <w:sz w:val="11"/>
                <w:szCs w:val="11"/>
                <w:color w:val="auto"/>
              </w:rPr>
            </w:pPr>
          </w:p>
        </w:tc>
        <w:tc>
          <w:tcPr>
            <w:tcW w:w="920" w:type="dxa"/>
            <w:vAlign w:val="bottom"/>
            <w:shd w:val="clear" w:color="auto" w:fill="00249C"/>
          </w:tcPr>
          <w:p>
            <w:pPr>
              <w:jc w:val="center"/>
              <w:spacing w:after="0" w:line="135" w:lineRule="exact"/>
              <w:rPr>
                <w:sz w:val="20"/>
                <w:szCs w:val="20"/>
                <w:color w:val="auto"/>
              </w:rPr>
            </w:pPr>
            <w:r>
              <w:rPr>
                <w:rFonts w:ascii="Arial" w:cs="Arial" w:eastAsia="Arial" w:hAnsi="Arial"/>
                <w:sz w:val="14"/>
                <w:szCs w:val="14"/>
                <w:b w:val="1"/>
                <w:bCs w:val="1"/>
                <w:color w:val="FFFFFF"/>
                <w:w w:val="99"/>
              </w:rPr>
              <w:t>Units (3)</w:t>
            </w:r>
          </w:p>
        </w:tc>
        <w:tc>
          <w:tcPr>
            <w:tcW w:w="1000" w:type="dxa"/>
            <w:vAlign w:val="bottom"/>
            <w:shd w:val="clear" w:color="auto" w:fill="00249C"/>
          </w:tcPr>
          <w:p>
            <w:pPr>
              <w:jc w:val="center"/>
              <w:spacing w:after="0" w:line="135" w:lineRule="exact"/>
              <w:rPr>
                <w:sz w:val="20"/>
                <w:szCs w:val="20"/>
                <w:color w:val="auto"/>
              </w:rPr>
            </w:pPr>
            <w:r>
              <w:rPr>
                <w:rFonts w:ascii="Arial" w:cs="Arial" w:eastAsia="Arial" w:hAnsi="Arial"/>
                <w:sz w:val="14"/>
                <w:szCs w:val="14"/>
                <w:b w:val="1"/>
                <w:bCs w:val="1"/>
                <w:color w:val="FFFFFF"/>
                <w:w w:val="93"/>
              </w:rPr>
              <w:t>(4)</w:t>
            </w:r>
          </w:p>
        </w:tc>
        <w:tc>
          <w:tcPr>
            <w:tcW w:w="0" w:type="dxa"/>
            <w:vAlign w:val="bottom"/>
          </w:tcPr>
          <w:p>
            <w:pPr>
              <w:spacing w:after="0"/>
              <w:rPr>
                <w:sz w:val="1"/>
                <w:szCs w:val="1"/>
                <w:color w:val="auto"/>
              </w:rPr>
            </w:pPr>
          </w:p>
        </w:tc>
      </w:tr>
      <w:tr>
        <w:trPr>
          <w:trHeight w:val="189"/>
        </w:trPr>
        <w:tc>
          <w:tcPr>
            <w:tcW w:w="1580" w:type="dxa"/>
            <w:vAlign w:val="bottom"/>
            <w:vMerge w:val="continue"/>
            <w:shd w:val="clear" w:color="auto" w:fill="00249C"/>
          </w:tcPr>
          <w:p>
            <w:pPr>
              <w:spacing w:after="0"/>
              <w:rPr>
                <w:sz w:val="16"/>
                <w:szCs w:val="16"/>
                <w:color w:val="auto"/>
              </w:rPr>
            </w:pPr>
          </w:p>
        </w:tc>
        <w:tc>
          <w:tcPr>
            <w:tcW w:w="1240" w:type="dxa"/>
            <w:vAlign w:val="bottom"/>
            <w:vMerge w:val="continue"/>
            <w:shd w:val="clear" w:color="auto" w:fill="00249C"/>
          </w:tcPr>
          <w:p>
            <w:pPr>
              <w:spacing w:after="0"/>
              <w:rPr>
                <w:sz w:val="16"/>
                <w:szCs w:val="16"/>
                <w:color w:val="auto"/>
              </w:rPr>
            </w:pPr>
          </w:p>
        </w:tc>
        <w:tc>
          <w:tcPr>
            <w:tcW w:w="960" w:type="dxa"/>
            <w:vAlign w:val="bottom"/>
            <w:vMerge w:val="continue"/>
            <w:shd w:val="clear" w:color="auto" w:fill="00249C"/>
          </w:tcPr>
          <w:p>
            <w:pPr>
              <w:spacing w:after="0"/>
              <w:rPr>
                <w:sz w:val="16"/>
                <w:szCs w:val="16"/>
                <w:color w:val="auto"/>
              </w:rPr>
            </w:pPr>
          </w:p>
        </w:tc>
        <w:tc>
          <w:tcPr>
            <w:tcW w:w="800" w:type="dxa"/>
            <w:vAlign w:val="bottom"/>
            <w:shd w:val="clear" w:color="auto" w:fill="00249C"/>
          </w:tcPr>
          <w:p>
            <w:pPr>
              <w:jc w:val="center"/>
              <w:ind w:left="8"/>
              <w:spacing w:after="0"/>
              <w:rPr>
                <w:sz w:val="20"/>
                <w:szCs w:val="20"/>
                <w:color w:val="auto"/>
              </w:rPr>
            </w:pPr>
            <w:r>
              <w:rPr>
                <w:rFonts w:ascii="Arial" w:cs="Arial" w:eastAsia="Arial" w:hAnsi="Arial"/>
                <w:sz w:val="14"/>
                <w:szCs w:val="14"/>
                <w:b w:val="1"/>
                <w:bCs w:val="1"/>
                <w:color w:val="FFFFFF"/>
                <w:w w:val="93"/>
              </w:rPr>
              <w:t>($)</w:t>
            </w:r>
          </w:p>
        </w:tc>
        <w:tc>
          <w:tcPr>
            <w:tcW w:w="108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w:t>
            </w:r>
          </w:p>
        </w:tc>
        <w:tc>
          <w:tcPr>
            <w:tcW w:w="840" w:type="dxa"/>
            <w:vAlign w:val="bottom"/>
            <w:shd w:val="clear" w:color="auto" w:fill="00249C"/>
          </w:tcPr>
          <w:p>
            <w:pPr>
              <w:jc w:val="center"/>
              <w:ind w:right="68"/>
              <w:spacing w:after="0"/>
              <w:rPr>
                <w:sz w:val="20"/>
                <w:szCs w:val="20"/>
                <w:color w:val="auto"/>
              </w:rPr>
            </w:pPr>
            <w:r>
              <w:rPr>
                <w:rFonts w:ascii="Arial" w:cs="Arial" w:eastAsia="Arial" w:hAnsi="Arial"/>
                <w:sz w:val="14"/>
                <w:szCs w:val="14"/>
                <w:b w:val="1"/>
                <w:bCs w:val="1"/>
                <w:color w:val="FFFFFF"/>
              </w:rPr>
              <w:t>($)</w:t>
            </w:r>
          </w:p>
        </w:tc>
        <w:tc>
          <w:tcPr>
            <w:tcW w:w="880" w:type="dxa"/>
            <w:vAlign w:val="bottom"/>
            <w:shd w:val="clear" w:color="auto" w:fill="00249C"/>
          </w:tcPr>
          <w:p>
            <w:pPr>
              <w:jc w:val="center"/>
              <w:ind w:left="108"/>
              <w:spacing w:after="0"/>
              <w:rPr>
                <w:sz w:val="20"/>
                <w:szCs w:val="20"/>
                <w:color w:val="auto"/>
              </w:rPr>
            </w:pPr>
            <w:r>
              <w:rPr>
                <w:rFonts w:ascii="Arial" w:cs="Arial" w:eastAsia="Arial" w:hAnsi="Arial"/>
                <w:sz w:val="14"/>
                <w:szCs w:val="14"/>
                <w:b w:val="1"/>
                <w:bCs w:val="1"/>
                <w:color w:val="FFFFFF"/>
              </w:rPr>
              <w:t>(#)</w:t>
            </w:r>
          </w:p>
        </w:tc>
        <w:tc>
          <w:tcPr>
            <w:tcW w:w="108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w w:val="93"/>
              </w:rPr>
              <w:t>(#)</w:t>
            </w:r>
          </w:p>
        </w:tc>
        <w:tc>
          <w:tcPr>
            <w:tcW w:w="800" w:type="dxa"/>
            <w:vAlign w:val="bottom"/>
            <w:shd w:val="clear" w:color="auto" w:fill="00249C"/>
          </w:tcPr>
          <w:p>
            <w:pPr>
              <w:jc w:val="center"/>
              <w:ind w:right="28"/>
              <w:spacing w:after="0"/>
              <w:rPr>
                <w:sz w:val="20"/>
                <w:szCs w:val="20"/>
                <w:color w:val="auto"/>
              </w:rPr>
            </w:pPr>
            <w:r>
              <w:rPr>
                <w:rFonts w:ascii="Arial" w:cs="Arial" w:eastAsia="Arial" w:hAnsi="Arial"/>
                <w:sz w:val="14"/>
                <w:szCs w:val="14"/>
                <w:b w:val="1"/>
                <w:bCs w:val="1"/>
                <w:color w:val="FFFFFF"/>
              </w:rPr>
              <w:t>(#)</w:t>
            </w:r>
          </w:p>
        </w:tc>
        <w:tc>
          <w:tcPr>
            <w:tcW w:w="92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w w:val="93"/>
              </w:rPr>
              <w:t>(#)</w:t>
            </w:r>
          </w:p>
        </w:tc>
        <w:tc>
          <w:tcPr>
            <w:tcW w:w="100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w w:val="93"/>
              </w:rPr>
              <w:t>($)</w:t>
            </w:r>
          </w:p>
        </w:tc>
        <w:tc>
          <w:tcPr>
            <w:tcW w:w="0" w:type="dxa"/>
            <w:vAlign w:val="bottom"/>
          </w:tcPr>
          <w:p>
            <w:pPr>
              <w:spacing w:after="0"/>
              <w:rPr>
                <w:sz w:val="1"/>
                <w:szCs w:val="1"/>
                <w:color w:val="auto"/>
              </w:rPr>
            </w:pPr>
          </w:p>
        </w:tc>
      </w:tr>
      <w:tr>
        <w:trPr>
          <w:trHeight w:val="202"/>
        </w:trPr>
        <w:tc>
          <w:tcPr>
            <w:tcW w:w="1580" w:type="dxa"/>
            <w:vAlign w:val="bottom"/>
          </w:tcPr>
          <w:p>
            <w:pPr>
              <w:spacing w:after="0"/>
              <w:rPr>
                <w:sz w:val="17"/>
                <w:szCs w:val="17"/>
                <w:color w:val="auto"/>
              </w:rPr>
            </w:pPr>
          </w:p>
        </w:tc>
        <w:tc>
          <w:tcPr>
            <w:tcW w:w="1240" w:type="dxa"/>
            <w:vAlign w:val="bottom"/>
            <w:shd w:val="clear" w:color="auto" w:fill="CCD4DB"/>
          </w:tcPr>
          <w:p>
            <w:pPr>
              <w:ind w:left="20"/>
              <w:spacing w:after="0"/>
              <w:rPr>
                <w:sz w:val="20"/>
                <w:szCs w:val="20"/>
                <w:color w:val="auto"/>
              </w:rPr>
            </w:pPr>
            <w:r>
              <w:rPr>
                <w:rFonts w:ascii="Arial" w:cs="Arial" w:eastAsia="Arial" w:hAnsi="Arial"/>
                <w:sz w:val="14"/>
                <w:szCs w:val="14"/>
                <w:color w:val="auto"/>
              </w:rPr>
              <w:t>Incentive Plan</w:t>
            </w:r>
          </w:p>
        </w:tc>
        <w:tc>
          <w:tcPr>
            <w:tcW w:w="960" w:type="dxa"/>
            <w:vAlign w:val="bottom"/>
            <w:shd w:val="clear" w:color="auto" w:fill="CCD4DB"/>
          </w:tcPr>
          <w:p>
            <w:pPr>
              <w:spacing w:after="0"/>
              <w:rPr>
                <w:sz w:val="17"/>
                <w:szCs w:val="17"/>
                <w:color w:val="auto"/>
              </w:rPr>
            </w:pPr>
          </w:p>
        </w:tc>
        <w:tc>
          <w:tcPr>
            <w:tcW w:w="800" w:type="dxa"/>
            <w:vAlign w:val="bottom"/>
            <w:shd w:val="clear" w:color="auto" w:fill="CCD4DB"/>
          </w:tcPr>
          <w:p>
            <w:pPr>
              <w:jc w:val="center"/>
              <w:ind w:lef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2,781,000</w:t>
            </w:r>
          </w:p>
        </w:tc>
        <w:tc>
          <w:tcPr>
            <w:tcW w:w="840" w:type="dxa"/>
            <w:vAlign w:val="bottom"/>
            <w:shd w:val="clear" w:color="auto" w:fill="CCD4DB"/>
          </w:tcPr>
          <w:p>
            <w:pPr>
              <w:jc w:val="center"/>
              <w:ind w:right="88"/>
              <w:spacing w:after="0"/>
              <w:rPr>
                <w:sz w:val="20"/>
                <w:szCs w:val="20"/>
                <w:color w:val="auto"/>
              </w:rPr>
            </w:pPr>
            <w:r>
              <w:rPr>
                <w:rFonts w:ascii="Arial" w:cs="Arial" w:eastAsia="Arial" w:hAnsi="Arial"/>
                <w:sz w:val="14"/>
                <w:szCs w:val="14"/>
                <w:color w:val="auto"/>
              </w:rPr>
              <w:t>5,562,000</w:t>
            </w:r>
          </w:p>
        </w:tc>
        <w:tc>
          <w:tcPr>
            <w:tcW w:w="880" w:type="dxa"/>
            <w:vAlign w:val="bottom"/>
            <w:shd w:val="clear" w:color="auto" w:fill="CCD4DB"/>
          </w:tcPr>
          <w:p>
            <w:pPr>
              <w:spacing w:after="0"/>
              <w:rPr>
                <w:sz w:val="17"/>
                <w:szCs w:val="17"/>
                <w:color w:val="auto"/>
              </w:rPr>
            </w:pPr>
          </w:p>
        </w:tc>
        <w:tc>
          <w:tcPr>
            <w:tcW w:w="1080" w:type="dxa"/>
            <w:vAlign w:val="bottom"/>
            <w:shd w:val="clear" w:color="auto" w:fill="CCD4DB"/>
          </w:tcPr>
          <w:p>
            <w:pPr>
              <w:spacing w:after="0"/>
              <w:rPr>
                <w:sz w:val="17"/>
                <w:szCs w:val="17"/>
                <w:color w:val="auto"/>
              </w:rPr>
            </w:pPr>
          </w:p>
        </w:tc>
        <w:tc>
          <w:tcPr>
            <w:tcW w:w="800" w:type="dxa"/>
            <w:vAlign w:val="bottom"/>
            <w:shd w:val="clear" w:color="auto" w:fill="CCD4DB"/>
          </w:tcPr>
          <w:p>
            <w:pPr>
              <w:spacing w:after="0"/>
              <w:rPr>
                <w:sz w:val="17"/>
                <w:szCs w:val="17"/>
                <w:color w:val="auto"/>
              </w:rPr>
            </w:pPr>
          </w:p>
        </w:tc>
        <w:tc>
          <w:tcPr>
            <w:tcW w:w="920" w:type="dxa"/>
            <w:vAlign w:val="bottom"/>
            <w:shd w:val="clear" w:color="auto" w:fill="CCD4DB"/>
          </w:tcPr>
          <w:p>
            <w:pPr>
              <w:spacing w:after="0"/>
              <w:rPr>
                <w:sz w:val="17"/>
                <w:szCs w:val="17"/>
                <w:color w:val="auto"/>
              </w:rPr>
            </w:pPr>
          </w:p>
        </w:tc>
        <w:tc>
          <w:tcPr>
            <w:tcW w:w="1000" w:type="dxa"/>
            <w:vAlign w:val="bottom"/>
            <w:shd w:val="clear" w:color="auto" w:fill="CCD4DB"/>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580" w:type="dxa"/>
            <w:vAlign w:val="bottom"/>
          </w:tcPr>
          <w:p>
            <w:pPr>
              <w:ind w:left="20"/>
              <w:spacing w:after="0"/>
              <w:rPr>
                <w:sz w:val="20"/>
                <w:szCs w:val="20"/>
                <w:color w:val="auto"/>
              </w:rPr>
            </w:pPr>
            <w:r>
              <w:rPr>
                <w:rFonts w:ascii="Arial" w:cs="Arial" w:eastAsia="Arial" w:hAnsi="Arial"/>
                <w:sz w:val="14"/>
                <w:szCs w:val="14"/>
                <w:color w:val="auto"/>
              </w:rPr>
              <w:t>Kathy J. Warden</w:t>
            </w:r>
          </w:p>
        </w:tc>
        <w:tc>
          <w:tcPr>
            <w:tcW w:w="1240" w:type="dxa"/>
            <w:vAlign w:val="bottom"/>
          </w:tcPr>
          <w:p>
            <w:pPr>
              <w:ind w:left="20"/>
              <w:spacing w:after="0"/>
              <w:rPr>
                <w:sz w:val="20"/>
                <w:szCs w:val="20"/>
                <w:color w:val="auto"/>
              </w:rPr>
            </w:pPr>
            <w:r>
              <w:rPr>
                <w:rFonts w:ascii="Arial" w:cs="Arial" w:eastAsia="Arial" w:hAnsi="Arial"/>
                <w:sz w:val="14"/>
                <w:szCs w:val="14"/>
                <w:color w:val="auto"/>
              </w:rPr>
              <w:t>RPSR</w:t>
            </w:r>
          </w:p>
        </w:tc>
        <w:tc>
          <w:tcPr>
            <w:tcW w:w="960" w:type="dxa"/>
            <w:vAlign w:val="bottom"/>
          </w:tcPr>
          <w:p>
            <w:pPr>
              <w:jc w:val="center"/>
              <w:spacing w:after="0"/>
              <w:rPr>
                <w:sz w:val="20"/>
                <w:szCs w:val="20"/>
                <w:color w:val="auto"/>
              </w:rPr>
            </w:pPr>
            <w:r>
              <w:rPr>
                <w:rFonts w:ascii="Arial" w:cs="Arial" w:eastAsia="Arial" w:hAnsi="Arial"/>
                <w:sz w:val="14"/>
                <w:szCs w:val="14"/>
                <w:color w:val="auto"/>
              </w:rPr>
              <w:t>2/12/2020</w:t>
            </w: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jc w:val="center"/>
              <w:ind w:left="108"/>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spacing w:after="0"/>
              <w:rPr>
                <w:sz w:val="20"/>
                <w:szCs w:val="20"/>
                <w:color w:val="auto"/>
              </w:rPr>
            </w:pPr>
            <w:r>
              <w:rPr>
                <w:rFonts w:ascii="Arial" w:cs="Arial" w:eastAsia="Arial" w:hAnsi="Arial"/>
                <w:sz w:val="14"/>
                <w:szCs w:val="14"/>
                <w:color w:val="auto"/>
              </w:rPr>
              <w:t>27,037</w:t>
            </w:r>
          </w:p>
        </w:tc>
        <w:tc>
          <w:tcPr>
            <w:tcW w:w="800" w:type="dxa"/>
            <w:vAlign w:val="bottom"/>
          </w:tcPr>
          <w:p>
            <w:pPr>
              <w:jc w:val="center"/>
              <w:ind w:right="8"/>
              <w:spacing w:after="0"/>
              <w:rPr>
                <w:sz w:val="20"/>
                <w:szCs w:val="20"/>
                <w:color w:val="auto"/>
              </w:rPr>
            </w:pPr>
            <w:r>
              <w:rPr>
                <w:rFonts w:ascii="Arial" w:cs="Arial" w:eastAsia="Arial" w:hAnsi="Arial"/>
                <w:sz w:val="14"/>
                <w:szCs w:val="14"/>
                <w:color w:val="auto"/>
              </w:rPr>
              <w:t>40,556</w:t>
            </w:r>
          </w:p>
        </w:tc>
        <w:tc>
          <w:tcPr>
            <w:tcW w:w="9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9,449,994</w:t>
            </w:r>
          </w:p>
        </w:tc>
        <w:tc>
          <w:tcPr>
            <w:tcW w:w="0" w:type="dxa"/>
            <w:vAlign w:val="bottom"/>
          </w:tcPr>
          <w:p>
            <w:pPr>
              <w:spacing w:after="0"/>
              <w:rPr>
                <w:sz w:val="1"/>
                <w:szCs w:val="1"/>
                <w:color w:val="auto"/>
              </w:rPr>
            </w:pPr>
          </w:p>
        </w:tc>
      </w:tr>
      <w:tr>
        <w:trPr>
          <w:trHeight w:val="216"/>
        </w:trPr>
        <w:tc>
          <w:tcPr>
            <w:tcW w:w="1580" w:type="dxa"/>
            <w:vAlign w:val="bottom"/>
            <w:tcBorders>
              <w:bottom w:val="single" w:sz="8" w:color="00249C"/>
            </w:tcBorders>
          </w:tcPr>
          <w:p>
            <w:pPr>
              <w:spacing w:after="0"/>
              <w:rPr>
                <w:sz w:val="18"/>
                <w:szCs w:val="18"/>
                <w:color w:val="auto"/>
              </w:rPr>
            </w:pPr>
          </w:p>
        </w:tc>
        <w:tc>
          <w:tcPr>
            <w:tcW w:w="1240" w:type="dxa"/>
            <w:vAlign w:val="bottom"/>
            <w:tcBorders>
              <w:bottom w:val="single" w:sz="8" w:color="00249C"/>
            </w:tcBorders>
            <w:shd w:val="clear" w:color="auto" w:fill="CCD4DB"/>
          </w:tcPr>
          <w:p>
            <w:pPr>
              <w:ind w:left="20"/>
              <w:spacing w:after="0"/>
              <w:rPr>
                <w:sz w:val="20"/>
                <w:szCs w:val="20"/>
                <w:color w:val="auto"/>
              </w:rPr>
            </w:pPr>
            <w:r>
              <w:rPr>
                <w:rFonts w:ascii="Arial" w:cs="Arial" w:eastAsia="Arial" w:hAnsi="Arial"/>
                <w:sz w:val="14"/>
                <w:szCs w:val="14"/>
                <w:color w:val="auto"/>
              </w:rPr>
              <w:t>RSR</w:t>
            </w:r>
          </w:p>
        </w:tc>
        <w:tc>
          <w:tcPr>
            <w:tcW w:w="96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4"/>
                <w:szCs w:val="14"/>
                <w:color w:val="auto"/>
              </w:rPr>
              <w:t>2/12/2020</w:t>
            </w:r>
          </w:p>
        </w:tc>
        <w:tc>
          <w:tcPr>
            <w:tcW w:w="800" w:type="dxa"/>
            <w:vAlign w:val="bottom"/>
            <w:tcBorders>
              <w:bottom w:val="single" w:sz="8" w:color="00249C"/>
            </w:tcBorders>
            <w:shd w:val="clear" w:color="auto" w:fill="CCD4DB"/>
          </w:tcPr>
          <w:p>
            <w:pPr>
              <w:spacing w:after="0"/>
              <w:rPr>
                <w:sz w:val="18"/>
                <w:szCs w:val="18"/>
                <w:color w:val="auto"/>
              </w:rPr>
            </w:pPr>
          </w:p>
        </w:tc>
        <w:tc>
          <w:tcPr>
            <w:tcW w:w="1080" w:type="dxa"/>
            <w:vAlign w:val="bottom"/>
            <w:tcBorders>
              <w:bottom w:val="single" w:sz="8" w:color="00249C"/>
            </w:tcBorders>
            <w:shd w:val="clear" w:color="auto" w:fill="CCD4DB"/>
          </w:tcPr>
          <w:p>
            <w:pPr>
              <w:spacing w:after="0"/>
              <w:rPr>
                <w:sz w:val="18"/>
                <w:szCs w:val="18"/>
                <w:color w:val="auto"/>
              </w:rPr>
            </w:pPr>
          </w:p>
        </w:tc>
        <w:tc>
          <w:tcPr>
            <w:tcW w:w="840" w:type="dxa"/>
            <w:vAlign w:val="bottom"/>
            <w:tcBorders>
              <w:bottom w:val="single" w:sz="8" w:color="00249C"/>
            </w:tcBorders>
            <w:shd w:val="clear" w:color="auto" w:fill="CCD4DB"/>
          </w:tcPr>
          <w:p>
            <w:pPr>
              <w:spacing w:after="0"/>
              <w:rPr>
                <w:sz w:val="18"/>
                <w:szCs w:val="18"/>
                <w:color w:val="auto"/>
              </w:rPr>
            </w:pPr>
          </w:p>
        </w:tc>
        <w:tc>
          <w:tcPr>
            <w:tcW w:w="880" w:type="dxa"/>
            <w:vAlign w:val="bottom"/>
            <w:tcBorders>
              <w:bottom w:val="single" w:sz="8" w:color="00249C"/>
            </w:tcBorders>
            <w:shd w:val="clear" w:color="auto" w:fill="CCD4DB"/>
          </w:tcPr>
          <w:p>
            <w:pPr>
              <w:spacing w:after="0"/>
              <w:rPr>
                <w:sz w:val="18"/>
                <w:szCs w:val="18"/>
                <w:color w:val="auto"/>
              </w:rPr>
            </w:pPr>
          </w:p>
        </w:tc>
        <w:tc>
          <w:tcPr>
            <w:tcW w:w="1080" w:type="dxa"/>
            <w:vAlign w:val="bottom"/>
            <w:tcBorders>
              <w:bottom w:val="single" w:sz="8" w:color="00249C"/>
            </w:tcBorders>
            <w:shd w:val="clear" w:color="auto" w:fill="CCD4DB"/>
          </w:tcPr>
          <w:p>
            <w:pPr>
              <w:spacing w:after="0"/>
              <w:rPr>
                <w:sz w:val="18"/>
                <w:szCs w:val="18"/>
                <w:color w:val="auto"/>
              </w:rPr>
            </w:pPr>
          </w:p>
        </w:tc>
        <w:tc>
          <w:tcPr>
            <w:tcW w:w="800" w:type="dxa"/>
            <w:vAlign w:val="bottom"/>
            <w:tcBorders>
              <w:bottom w:val="single" w:sz="8" w:color="00249C"/>
            </w:tcBorders>
            <w:shd w:val="clear" w:color="auto" w:fill="CCD4DB"/>
          </w:tcPr>
          <w:p>
            <w:pPr>
              <w:spacing w:after="0"/>
              <w:rPr>
                <w:sz w:val="18"/>
                <w:szCs w:val="18"/>
                <w:color w:val="auto"/>
              </w:rPr>
            </w:pPr>
          </w:p>
        </w:tc>
        <w:tc>
          <w:tcPr>
            <w:tcW w:w="92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4"/>
                <w:szCs w:val="14"/>
                <w:color w:val="auto"/>
              </w:rPr>
              <w:t>11,453</w:t>
            </w:r>
          </w:p>
        </w:tc>
        <w:tc>
          <w:tcPr>
            <w:tcW w:w="100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4"/>
                <w:szCs w:val="14"/>
                <w:color w:val="auto"/>
              </w:rPr>
              <w:t>4,049,895</w:t>
            </w: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1240" w:type="dxa"/>
            <w:vAlign w:val="bottom"/>
          </w:tcPr>
          <w:p>
            <w:pPr>
              <w:ind w:left="20"/>
              <w:spacing w:after="0"/>
              <w:rPr>
                <w:sz w:val="20"/>
                <w:szCs w:val="20"/>
                <w:color w:val="auto"/>
              </w:rPr>
            </w:pPr>
            <w:r>
              <w:rPr>
                <w:rFonts w:ascii="Arial" w:cs="Arial" w:eastAsia="Arial" w:hAnsi="Arial"/>
                <w:sz w:val="14"/>
                <w:szCs w:val="14"/>
                <w:color w:val="auto"/>
              </w:rPr>
              <w:t>Incentive Plan</w:t>
            </w:r>
          </w:p>
        </w:tc>
        <w:tc>
          <w:tcPr>
            <w:tcW w:w="960" w:type="dxa"/>
            <w:vAlign w:val="bottom"/>
          </w:tcPr>
          <w:p>
            <w:pPr>
              <w:spacing w:after="0"/>
              <w:rPr>
                <w:sz w:val="17"/>
                <w:szCs w:val="17"/>
                <w:color w:val="auto"/>
              </w:rPr>
            </w:pPr>
          </w:p>
        </w:tc>
        <w:tc>
          <w:tcPr>
            <w:tcW w:w="800" w:type="dxa"/>
            <w:vAlign w:val="bottom"/>
          </w:tcPr>
          <w:p>
            <w:pPr>
              <w:jc w:val="center"/>
              <w:ind w:left="8"/>
              <w:spacing w:after="0"/>
              <w:rPr>
                <w:sz w:val="20"/>
                <w:szCs w:val="20"/>
                <w:color w:val="auto"/>
              </w:rPr>
            </w:pPr>
            <w:r>
              <w:rPr>
                <w:rFonts w:ascii="Arial" w:cs="Arial" w:eastAsia="Arial" w:hAnsi="Arial"/>
                <w:sz w:val="14"/>
                <w:szCs w:val="14"/>
                <w:color w:val="auto"/>
              </w:rPr>
              <w:t>—</w:t>
            </w:r>
          </w:p>
        </w:tc>
        <w:tc>
          <w:tcPr>
            <w:tcW w:w="1080" w:type="dxa"/>
            <w:vAlign w:val="bottom"/>
          </w:tcPr>
          <w:p>
            <w:pPr>
              <w:jc w:val="center"/>
              <w:spacing w:after="0"/>
              <w:rPr>
                <w:sz w:val="20"/>
                <w:szCs w:val="20"/>
                <w:color w:val="auto"/>
              </w:rPr>
            </w:pPr>
            <w:r>
              <w:rPr>
                <w:rFonts w:ascii="Arial" w:cs="Arial" w:eastAsia="Arial" w:hAnsi="Arial"/>
                <w:sz w:val="14"/>
                <w:szCs w:val="14"/>
                <w:color w:val="auto"/>
              </w:rPr>
              <w:t>649,038</w:t>
            </w:r>
          </w:p>
        </w:tc>
        <w:tc>
          <w:tcPr>
            <w:tcW w:w="840" w:type="dxa"/>
            <w:vAlign w:val="bottom"/>
          </w:tcPr>
          <w:p>
            <w:pPr>
              <w:jc w:val="center"/>
              <w:ind w:right="88"/>
              <w:spacing w:after="0"/>
              <w:rPr>
                <w:sz w:val="20"/>
                <w:szCs w:val="20"/>
                <w:color w:val="auto"/>
              </w:rPr>
            </w:pPr>
            <w:r>
              <w:rPr>
                <w:rFonts w:ascii="Arial" w:cs="Arial" w:eastAsia="Arial" w:hAnsi="Arial"/>
                <w:sz w:val="14"/>
                <w:szCs w:val="14"/>
                <w:color w:val="auto"/>
              </w:rPr>
              <w:t>1,298,076</w:t>
            </w: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580" w:type="dxa"/>
            <w:vAlign w:val="bottom"/>
          </w:tcPr>
          <w:p>
            <w:pPr>
              <w:spacing w:after="0"/>
              <w:rPr>
                <w:sz w:val="19"/>
                <w:szCs w:val="19"/>
                <w:color w:val="auto"/>
              </w:rPr>
            </w:pPr>
          </w:p>
        </w:tc>
        <w:tc>
          <w:tcPr>
            <w:tcW w:w="1240" w:type="dxa"/>
            <w:vAlign w:val="bottom"/>
            <w:shd w:val="clear" w:color="auto" w:fill="CCD4DB"/>
          </w:tcPr>
          <w:p>
            <w:pPr>
              <w:ind w:left="20"/>
              <w:spacing w:after="0"/>
              <w:rPr>
                <w:sz w:val="20"/>
                <w:szCs w:val="20"/>
                <w:color w:val="auto"/>
              </w:rPr>
            </w:pPr>
            <w:r>
              <w:rPr>
                <w:rFonts w:ascii="Arial" w:cs="Arial" w:eastAsia="Arial" w:hAnsi="Arial"/>
                <w:sz w:val="14"/>
                <w:szCs w:val="14"/>
                <w:color w:val="auto"/>
              </w:rPr>
              <w:t>RPSR</w:t>
            </w:r>
          </w:p>
        </w:tc>
        <w:tc>
          <w:tcPr>
            <w:tcW w:w="96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5/5/2020</w:t>
            </w:r>
          </w:p>
        </w:tc>
        <w:tc>
          <w:tcPr>
            <w:tcW w:w="800" w:type="dxa"/>
            <w:vAlign w:val="bottom"/>
            <w:shd w:val="clear" w:color="auto" w:fill="CCD4DB"/>
          </w:tcPr>
          <w:p>
            <w:pPr>
              <w:spacing w:after="0"/>
              <w:rPr>
                <w:sz w:val="19"/>
                <w:szCs w:val="19"/>
                <w:color w:val="auto"/>
              </w:rPr>
            </w:pPr>
          </w:p>
        </w:tc>
        <w:tc>
          <w:tcPr>
            <w:tcW w:w="1080" w:type="dxa"/>
            <w:vAlign w:val="bottom"/>
            <w:shd w:val="clear" w:color="auto" w:fill="CCD4DB"/>
          </w:tcPr>
          <w:p>
            <w:pPr>
              <w:spacing w:after="0"/>
              <w:rPr>
                <w:sz w:val="19"/>
                <w:szCs w:val="19"/>
                <w:color w:val="auto"/>
              </w:rPr>
            </w:pPr>
          </w:p>
        </w:tc>
        <w:tc>
          <w:tcPr>
            <w:tcW w:w="840" w:type="dxa"/>
            <w:vAlign w:val="bottom"/>
            <w:shd w:val="clear" w:color="auto" w:fill="CCD4DB"/>
          </w:tcPr>
          <w:p>
            <w:pPr>
              <w:spacing w:after="0"/>
              <w:rPr>
                <w:sz w:val="19"/>
                <w:szCs w:val="19"/>
                <w:color w:val="auto"/>
              </w:rPr>
            </w:pPr>
          </w:p>
        </w:tc>
        <w:tc>
          <w:tcPr>
            <w:tcW w:w="880" w:type="dxa"/>
            <w:vAlign w:val="bottom"/>
            <w:shd w:val="clear" w:color="auto" w:fill="CCD4DB"/>
          </w:tcPr>
          <w:p>
            <w:pPr>
              <w:jc w:val="center"/>
              <w:ind w:left="108"/>
              <w:spacing w:after="0"/>
              <w:rPr>
                <w:sz w:val="20"/>
                <w:szCs w:val="20"/>
                <w:color w:val="auto"/>
              </w:rPr>
            </w:pPr>
            <w:r>
              <w:rPr>
                <w:rFonts w:ascii="Arial" w:cs="Arial" w:eastAsia="Arial" w:hAnsi="Arial"/>
                <w:sz w:val="14"/>
                <w:szCs w:val="14"/>
                <w:color w:val="auto"/>
                <w:w w:val="99"/>
              </w:rPr>
              <w:t>—</w:t>
            </w:r>
          </w:p>
        </w:tc>
        <w:tc>
          <w:tcPr>
            <w:tcW w:w="108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6,565</w:t>
            </w:r>
          </w:p>
        </w:tc>
        <w:tc>
          <w:tcPr>
            <w:tcW w:w="800" w:type="dxa"/>
            <w:vAlign w:val="bottom"/>
            <w:shd w:val="clear" w:color="auto" w:fill="CCD4DB"/>
          </w:tcPr>
          <w:p>
            <w:pPr>
              <w:jc w:val="center"/>
              <w:ind w:right="8"/>
              <w:spacing w:after="0"/>
              <w:rPr>
                <w:sz w:val="20"/>
                <w:szCs w:val="20"/>
                <w:color w:val="auto"/>
              </w:rPr>
            </w:pPr>
            <w:r>
              <w:rPr>
                <w:rFonts w:ascii="Arial" w:cs="Arial" w:eastAsia="Arial" w:hAnsi="Arial"/>
                <w:sz w:val="14"/>
                <w:szCs w:val="14"/>
                <w:color w:val="auto"/>
              </w:rPr>
              <w:t>9,848</w:t>
            </w:r>
          </w:p>
        </w:tc>
        <w:tc>
          <w:tcPr>
            <w:tcW w:w="920" w:type="dxa"/>
            <w:vAlign w:val="bottom"/>
            <w:shd w:val="clear" w:color="auto" w:fill="CCD4DB"/>
          </w:tcPr>
          <w:p>
            <w:pPr>
              <w:spacing w:after="0"/>
              <w:rPr>
                <w:sz w:val="19"/>
                <w:szCs w:val="19"/>
                <w:color w:val="auto"/>
              </w:rPr>
            </w:pPr>
          </w:p>
        </w:tc>
        <w:tc>
          <w:tcPr>
            <w:tcW w:w="100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2,100,050</w:t>
            </w:r>
          </w:p>
        </w:tc>
        <w:tc>
          <w:tcPr>
            <w:tcW w:w="0" w:type="dxa"/>
            <w:vAlign w:val="bottom"/>
          </w:tcPr>
          <w:p>
            <w:pPr>
              <w:spacing w:after="0"/>
              <w:rPr>
                <w:sz w:val="1"/>
                <w:szCs w:val="1"/>
                <w:color w:val="auto"/>
              </w:rPr>
            </w:pPr>
          </w:p>
        </w:tc>
      </w:tr>
      <w:tr>
        <w:trPr>
          <w:trHeight w:val="210"/>
        </w:trPr>
        <w:tc>
          <w:tcPr>
            <w:tcW w:w="1580" w:type="dxa"/>
            <w:vAlign w:val="bottom"/>
            <w:vMerge w:val="restart"/>
          </w:tcPr>
          <w:p>
            <w:pPr>
              <w:ind w:left="20"/>
              <w:spacing w:after="0"/>
              <w:rPr>
                <w:sz w:val="20"/>
                <w:szCs w:val="20"/>
                <w:color w:val="auto"/>
              </w:rPr>
            </w:pPr>
            <w:r>
              <w:rPr>
                <w:rFonts w:ascii="Arial" w:cs="Arial" w:eastAsia="Arial" w:hAnsi="Arial"/>
                <w:sz w:val="14"/>
                <w:szCs w:val="14"/>
                <w:color w:val="auto"/>
              </w:rPr>
              <w:t>David F. Keffer</w:t>
            </w:r>
          </w:p>
        </w:tc>
        <w:tc>
          <w:tcPr>
            <w:tcW w:w="1240" w:type="dxa"/>
            <w:vAlign w:val="bottom"/>
          </w:tcPr>
          <w:p>
            <w:pPr>
              <w:ind w:left="20"/>
              <w:spacing w:after="0"/>
              <w:rPr>
                <w:sz w:val="20"/>
                <w:szCs w:val="20"/>
                <w:color w:val="auto"/>
              </w:rPr>
            </w:pPr>
            <w:r>
              <w:rPr>
                <w:rFonts w:ascii="Arial" w:cs="Arial" w:eastAsia="Arial" w:hAnsi="Arial"/>
                <w:sz w:val="14"/>
                <w:szCs w:val="14"/>
                <w:color w:val="auto"/>
              </w:rPr>
              <w:t>RSR</w:t>
            </w:r>
          </w:p>
        </w:tc>
        <w:tc>
          <w:tcPr>
            <w:tcW w:w="960" w:type="dxa"/>
            <w:vAlign w:val="bottom"/>
          </w:tcPr>
          <w:p>
            <w:pPr>
              <w:jc w:val="center"/>
              <w:spacing w:after="0"/>
              <w:rPr>
                <w:sz w:val="20"/>
                <w:szCs w:val="20"/>
                <w:color w:val="auto"/>
              </w:rPr>
            </w:pPr>
            <w:r>
              <w:rPr>
                <w:rFonts w:ascii="Arial" w:cs="Arial" w:eastAsia="Arial" w:hAnsi="Arial"/>
                <w:sz w:val="14"/>
                <w:szCs w:val="14"/>
                <w:color w:val="auto"/>
              </w:rPr>
              <w:t>5/5/2020</w:t>
            </w: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2,885</w:t>
            </w:r>
          </w:p>
        </w:tc>
        <w:tc>
          <w:tcPr>
            <w:tcW w:w="1000" w:type="dxa"/>
            <w:vAlign w:val="bottom"/>
          </w:tcPr>
          <w:p>
            <w:pPr>
              <w:jc w:val="center"/>
              <w:spacing w:after="0"/>
              <w:rPr>
                <w:sz w:val="20"/>
                <w:szCs w:val="20"/>
                <w:color w:val="auto"/>
              </w:rPr>
            </w:pPr>
            <w:r>
              <w:rPr>
                <w:rFonts w:ascii="Arial" w:cs="Arial" w:eastAsia="Arial" w:hAnsi="Arial"/>
                <w:sz w:val="14"/>
                <w:szCs w:val="14"/>
                <w:color w:val="auto"/>
              </w:rPr>
              <w:t>900,033</w:t>
            </w:r>
          </w:p>
        </w:tc>
        <w:tc>
          <w:tcPr>
            <w:tcW w:w="0" w:type="dxa"/>
            <w:vAlign w:val="bottom"/>
          </w:tcPr>
          <w:p>
            <w:pPr>
              <w:spacing w:after="0"/>
              <w:rPr>
                <w:sz w:val="1"/>
                <w:szCs w:val="1"/>
                <w:color w:val="auto"/>
              </w:rPr>
            </w:pPr>
          </w:p>
        </w:tc>
      </w:tr>
      <w:tr>
        <w:trPr>
          <w:trHeight w:val="75"/>
        </w:trPr>
        <w:tc>
          <w:tcPr>
            <w:tcW w:w="1580" w:type="dxa"/>
            <w:vAlign w:val="bottom"/>
            <w:vMerge w:val="continue"/>
          </w:tcPr>
          <w:p>
            <w:pPr>
              <w:spacing w:after="0"/>
              <w:rPr>
                <w:sz w:val="6"/>
                <w:szCs w:val="6"/>
                <w:color w:val="auto"/>
              </w:rPr>
            </w:pPr>
          </w:p>
        </w:tc>
        <w:tc>
          <w:tcPr>
            <w:tcW w:w="1240" w:type="dxa"/>
            <w:vAlign w:val="bottom"/>
            <w:vMerge w:val="restart"/>
            <w:shd w:val="clear" w:color="auto" w:fill="CCD4DB"/>
          </w:tcPr>
          <w:p>
            <w:pPr>
              <w:ind w:left="20"/>
              <w:spacing w:after="0"/>
              <w:rPr>
                <w:sz w:val="20"/>
                <w:szCs w:val="20"/>
                <w:color w:val="auto"/>
              </w:rPr>
            </w:pPr>
            <w:r>
              <w:rPr>
                <w:rFonts w:ascii="Arial" w:cs="Arial" w:eastAsia="Arial" w:hAnsi="Arial"/>
                <w:sz w:val="14"/>
                <w:szCs w:val="14"/>
                <w:color w:val="auto"/>
              </w:rPr>
              <w:t>RPSR (5)</w:t>
            </w:r>
          </w:p>
        </w:tc>
        <w:tc>
          <w:tcPr>
            <w:tcW w:w="96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5/5/2020</w:t>
            </w:r>
          </w:p>
        </w:tc>
        <w:tc>
          <w:tcPr>
            <w:tcW w:w="800" w:type="dxa"/>
            <w:vAlign w:val="bottom"/>
            <w:shd w:val="clear" w:color="auto" w:fill="CCD4DB"/>
          </w:tcPr>
          <w:p>
            <w:pPr>
              <w:spacing w:after="0"/>
              <w:rPr>
                <w:sz w:val="6"/>
                <w:szCs w:val="6"/>
                <w:color w:val="auto"/>
              </w:rPr>
            </w:pPr>
          </w:p>
        </w:tc>
        <w:tc>
          <w:tcPr>
            <w:tcW w:w="1080" w:type="dxa"/>
            <w:vAlign w:val="bottom"/>
            <w:shd w:val="clear" w:color="auto" w:fill="CCD4DB"/>
          </w:tcPr>
          <w:p>
            <w:pPr>
              <w:spacing w:after="0"/>
              <w:rPr>
                <w:sz w:val="6"/>
                <w:szCs w:val="6"/>
                <w:color w:val="auto"/>
              </w:rPr>
            </w:pPr>
          </w:p>
        </w:tc>
        <w:tc>
          <w:tcPr>
            <w:tcW w:w="840" w:type="dxa"/>
            <w:vAlign w:val="bottom"/>
            <w:shd w:val="clear" w:color="auto" w:fill="CCD4DB"/>
          </w:tcPr>
          <w:p>
            <w:pPr>
              <w:spacing w:after="0"/>
              <w:rPr>
                <w:sz w:val="6"/>
                <w:szCs w:val="6"/>
                <w:color w:val="auto"/>
              </w:rPr>
            </w:pPr>
          </w:p>
        </w:tc>
        <w:tc>
          <w:tcPr>
            <w:tcW w:w="880" w:type="dxa"/>
            <w:vAlign w:val="bottom"/>
            <w:shd w:val="clear" w:color="auto" w:fill="CCD4DB"/>
          </w:tcPr>
          <w:p>
            <w:pPr>
              <w:spacing w:after="0"/>
              <w:rPr>
                <w:sz w:val="6"/>
                <w:szCs w:val="6"/>
                <w:color w:val="auto"/>
              </w:rPr>
            </w:pPr>
          </w:p>
        </w:tc>
        <w:tc>
          <w:tcPr>
            <w:tcW w:w="108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2,188</w:t>
            </w:r>
          </w:p>
        </w:tc>
        <w:tc>
          <w:tcPr>
            <w:tcW w:w="800" w:type="dxa"/>
            <w:vAlign w:val="bottom"/>
            <w:vMerge w:val="restart"/>
            <w:shd w:val="clear" w:color="auto" w:fill="CCD4DB"/>
          </w:tcPr>
          <w:p>
            <w:pPr>
              <w:jc w:val="center"/>
              <w:ind w:right="8"/>
              <w:spacing w:after="0"/>
              <w:rPr>
                <w:sz w:val="20"/>
                <w:szCs w:val="20"/>
                <w:color w:val="auto"/>
              </w:rPr>
            </w:pPr>
            <w:r>
              <w:rPr>
                <w:rFonts w:ascii="Arial" w:cs="Arial" w:eastAsia="Arial" w:hAnsi="Arial"/>
                <w:sz w:val="14"/>
                <w:szCs w:val="14"/>
                <w:color w:val="auto"/>
              </w:rPr>
              <w:t>3,282</w:t>
            </w:r>
          </w:p>
        </w:tc>
        <w:tc>
          <w:tcPr>
            <w:tcW w:w="920" w:type="dxa"/>
            <w:vAlign w:val="bottom"/>
            <w:shd w:val="clear" w:color="auto" w:fill="CCD4DB"/>
          </w:tcPr>
          <w:p>
            <w:pPr>
              <w:spacing w:after="0"/>
              <w:rPr>
                <w:sz w:val="6"/>
                <w:szCs w:val="6"/>
                <w:color w:val="auto"/>
              </w:rPr>
            </w:pPr>
          </w:p>
        </w:tc>
        <w:tc>
          <w:tcPr>
            <w:tcW w:w="100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699,904</w:t>
            </w: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1240" w:type="dxa"/>
            <w:vAlign w:val="bottom"/>
            <w:tcBorders>
              <w:bottom w:val="single" w:sz="8" w:color="CCD4DB"/>
            </w:tcBorders>
            <w:vMerge w:val="continue"/>
            <w:shd w:val="clear" w:color="auto" w:fill="CCD4DB"/>
          </w:tcPr>
          <w:p>
            <w:pPr>
              <w:spacing w:after="0"/>
              <w:rPr>
                <w:sz w:val="15"/>
                <w:szCs w:val="15"/>
                <w:color w:val="auto"/>
              </w:rPr>
            </w:pPr>
          </w:p>
        </w:tc>
        <w:tc>
          <w:tcPr>
            <w:tcW w:w="960" w:type="dxa"/>
            <w:vAlign w:val="bottom"/>
            <w:tcBorders>
              <w:bottom w:val="single" w:sz="8" w:color="CCD4DB"/>
            </w:tcBorders>
            <w:vMerge w:val="continue"/>
            <w:shd w:val="clear" w:color="auto" w:fill="CCD4DB"/>
          </w:tcPr>
          <w:p>
            <w:pPr>
              <w:spacing w:after="0"/>
              <w:rPr>
                <w:sz w:val="15"/>
                <w:szCs w:val="15"/>
                <w:color w:val="auto"/>
              </w:rPr>
            </w:pPr>
          </w:p>
        </w:tc>
        <w:tc>
          <w:tcPr>
            <w:tcW w:w="800" w:type="dxa"/>
            <w:vAlign w:val="bottom"/>
            <w:tcBorders>
              <w:bottom w:val="single" w:sz="8" w:color="CCD4DB"/>
            </w:tcBorders>
            <w:shd w:val="clear" w:color="auto" w:fill="CCD4DB"/>
          </w:tcPr>
          <w:p>
            <w:pPr>
              <w:spacing w:after="0"/>
              <w:rPr>
                <w:sz w:val="15"/>
                <w:szCs w:val="15"/>
                <w:color w:val="auto"/>
              </w:rPr>
            </w:pPr>
          </w:p>
        </w:tc>
        <w:tc>
          <w:tcPr>
            <w:tcW w:w="1080" w:type="dxa"/>
            <w:vAlign w:val="bottom"/>
            <w:tcBorders>
              <w:bottom w:val="single" w:sz="8" w:color="CCD4DB"/>
            </w:tcBorders>
            <w:shd w:val="clear" w:color="auto" w:fill="CCD4DB"/>
          </w:tcPr>
          <w:p>
            <w:pPr>
              <w:spacing w:after="0"/>
              <w:rPr>
                <w:sz w:val="15"/>
                <w:szCs w:val="15"/>
                <w:color w:val="auto"/>
              </w:rPr>
            </w:pPr>
          </w:p>
        </w:tc>
        <w:tc>
          <w:tcPr>
            <w:tcW w:w="840" w:type="dxa"/>
            <w:vAlign w:val="bottom"/>
            <w:tcBorders>
              <w:bottom w:val="single" w:sz="8" w:color="CCD4DB"/>
            </w:tcBorders>
            <w:shd w:val="clear" w:color="auto" w:fill="CCD4DB"/>
          </w:tcPr>
          <w:p>
            <w:pPr>
              <w:spacing w:after="0"/>
              <w:rPr>
                <w:sz w:val="15"/>
                <w:szCs w:val="15"/>
                <w:color w:val="auto"/>
              </w:rPr>
            </w:pPr>
          </w:p>
        </w:tc>
        <w:tc>
          <w:tcPr>
            <w:tcW w:w="880" w:type="dxa"/>
            <w:vAlign w:val="bottom"/>
            <w:tcBorders>
              <w:bottom w:val="single" w:sz="8" w:color="CCD4DB"/>
            </w:tcBorders>
            <w:shd w:val="clear" w:color="auto" w:fill="CCD4DB"/>
          </w:tcPr>
          <w:p>
            <w:pPr>
              <w:spacing w:after="0"/>
              <w:rPr>
                <w:sz w:val="15"/>
                <w:szCs w:val="15"/>
                <w:color w:val="auto"/>
              </w:rPr>
            </w:pPr>
          </w:p>
        </w:tc>
        <w:tc>
          <w:tcPr>
            <w:tcW w:w="1080" w:type="dxa"/>
            <w:vAlign w:val="bottom"/>
            <w:tcBorders>
              <w:bottom w:val="single" w:sz="8" w:color="CCD4DB"/>
            </w:tcBorders>
            <w:vMerge w:val="continue"/>
            <w:shd w:val="clear" w:color="auto" w:fill="CCD4DB"/>
          </w:tcPr>
          <w:p>
            <w:pPr>
              <w:spacing w:after="0"/>
              <w:rPr>
                <w:sz w:val="15"/>
                <w:szCs w:val="15"/>
                <w:color w:val="auto"/>
              </w:rPr>
            </w:pPr>
          </w:p>
        </w:tc>
        <w:tc>
          <w:tcPr>
            <w:tcW w:w="800" w:type="dxa"/>
            <w:vAlign w:val="bottom"/>
            <w:tcBorders>
              <w:bottom w:val="single" w:sz="8" w:color="CCD4DB"/>
            </w:tcBorders>
            <w:vMerge w:val="continue"/>
            <w:shd w:val="clear" w:color="auto" w:fill="CCD4DB"/>
          </w:tcPr>
          <w:p>
            <w:pPr>
              <w:spacing w:after="0"/>
              <w:rPr>
                <w:sz w:val="15"/>
                <w:szCs w:val="15"/>
                <w:color w:val="auto"/>
              </w:rPr>
            </w:pPr>
          </w:p>
        </w:tc>
        <w:tc>
          <w:tcPr>
            <w:tcW w:w="920" w:type="dxa"/>
            <w:vAlign w:val="bottom"/>
            <w:tcBorders>
              <w:bottom w:val="single" w:sz="8" w:color="CCD4DB"/>
            </w:tcBorders>
            <w:shd w:val="clear" w:color="auto" w:fill="CCD4DB"/>
          </w:tcPr>
          <w:p>
            <w:pPr>
              <w:spacing w:after="0"/>
              <w:rPr>
                <w:sz w:val="15"/>
                <w:szCs w:val="15"/>
                <w:color w:val="auto"/>
              </w:rPr>
            </w:pPr>
          </w:p>
        </w:tc>
        <w:tc>
          <w:tcPr>
            <w:tcW w:w="1000" w:type="dxa"/>
            <w:vAlign w:val="bottom"/>
            <w:tcBorders>
              <w:bottom w:val="single" w:sz="8" w:color="CCD4DB"/>
            </w:tcBorders>
            <w:vMerge w:val="continue"/>
            <w:shd w:val="clear" w:color="auto" w:fill="CCD4DB"/>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1580" w:type="dxa"/>
            <w:vAlign w:val="bottom"/>
          </w:tcPr>
          <w:p>
            <w:pPr>
              <w:spacing w:after="0"/>
              <w:rPr>
                <w:sz w:val="21"/>
                <w:szCs w:val="21"/>
                <w:color w:val="auto"/>
              </w:rPr>
            </w:pPr>
          </w:p>
        </w:tc>
        <w:tc>
          <w:tcPr>
            <w:tcW w:w="1240" w:type="dxa"/>
            <w:vAlign w:val="bottom"/>
          </w:tcPr>
          <w:p>
            <w:pPr>
              <w:ind w:left="20"/>
              <w:spacing w:after="0"/>
              <w:rPr>
                <w:sz w:val="20"/>
                <w:szCs w:val="20"/>
                <w:color w:val="auto"/>
              </w:rPr>
            </w:pPr>
            <w:r>
              <w:rPr>
                <w:rFonts w:ascii="Arial" w:cs="Arial" w:eastAsia="Arial" w:hAnsi="Arial"/>
                <w:sz w:val="14"/>
                <w:szCs w:val="14"/>
                <w:color w:val="auto"/>
              </w:rPr>
              <w:t>RSR (5)</w:t>
            </w:r>
          </w:p>
        </w:tc>
        <w:tc>
          <w:tcPr>
            <w:tcW w:w="960" w:type="dxa"/>
            <w:vAlign w:val="bottom"/>
          </w:tcPr>
          <w:p>
            <w:pPr>
              <w:jc w:val="center"/>
              <w:spacing w:after="0"/>
              <w:rPr>
                <w:sz w:val="20"/>
                <w:szCs w:val="20"/>
                <w:color w:val="auto"/>
              </w:rPr>
            </w:pPr>
            <w:r>
              <w:rPr>
                <w:rFonts w:ascii="Arial" w:cs="Arial" w:eastAsia="Arial" w:hAnsi="Arial"/>
                <w:sz w:val="14"/>
                <w:szCs w:val="14"/>
                <w:color w:val="auto"/>
              </w:rPr>
              <w:t>5/5/2020</w:t>
            </w: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962</w:t>
            </w:r>
          </w:p>
        </w:tc>
        <w:tc>
          <w:tcPr>
            <w:tcW w:w="1000" w:type="dxa"/>
            <w:vAlign w:val="bottom"/>
          </w:tcPr>
          <w:p>
            <w:pPr>
              <w:jc w:val="center"/>
              <w:spacing w:after="0"/>
              <w:rPr>
                <w:sz w:val="20"/>
                <w:szCs w:val="20"/>
                <w:color w:val="auto"/>
              </w:rPr>
            </w:pPr>
            <w:r>
              <w:rPr>
                <w:rFonts w:ascii="Arial" w:cs="Arial" w:eastAsia="Arial" w:hAnsi="Arial"/>
                <w:sz w:val="14"/>
                <w:szCs w:val="14"/>
                <w:color w:val="auto"/>
              </w:rPr>
              <w:t>300,115</w:t>
            </w:r>
          </w:p>
        </w:tc>
        <w:tc>
          <w:tcPr>
            <w:tcW w:w="0" w:type="dxa"/>
            <w:vAlign w:val="bottom"/>
          </w:tcPr>
          <w:p>
            <w:pPr>
              <w:spacing w:after="0"/>
              <w:rPr>
                <w:sz w:val="1"/>
                <w:szCs w:val="1"/>
                <w:color w:val="auto"/>
              </w:rPr>
            </w:pPr>
          </w:p>
        </w:tc>
      </w:tr>
      <w:tr>
        <w:trPr>
          <w:trHeight w:val="66"/>
        </w:trPr>
        <w:tc>
          <w:tcPr>
            <w:tcW w:w="1580" w:type="dxa"/>
            <w:vAlign w:val="bottom"/>
            <w:tcBorders>
              <w:bottom w:val="single" w:sz="8" w:color="00249C"/>
            </w:tcBorders>
          </w:tcPr>
          <w:p>
            <w:pPr>
              <w:spacing w:after="0"/>
              <w:rPr>
                <w:sz w:val="5"/>
                <w:szCs w:val="5"/>
                <w:color w:val="auto"/>
              </w:rPr>
            </w:pPr>
          </w:p>
        </w:tc>
        <w:tc>
          <w:tcPr>
            <w:tcW w:w="1240" w:type="dxa"/>
            <w:vAlign w:val="bottom"/>
            <w:tcBorders>
              <w:bottom w:val="single" w:sz="8" w:color="00249C"/>
            </w:tcBorders>
          </w:tcPr>
          <w:p>
            <w:pPr>
              <w:spacing w:after="0"/>
              <w:rPr>
                <w:sz w:val="5"/>
                <w:szCs w:val="5"/>
                <w:color w:val="auto"/>
              </w:rPr>
            </w:pPr>
          </w:p>
        </w:tc>
        <w:tc>
          <w:tcPr>
            <w:tcW w:w="960" w:type="dxa"/>
            <w:vAlign w:val="bottom"/>
            <w:tcBorders>
              <w:bottom w:val="single" w:sz="8" w:color="003595"/>
            </w:tcBorders>
          </w:tcPr>
          <w:p>
            <w:pPr>
              <w:spacing w:after="0"/>
              <w:rPr>
                <w:sz w:val="5"/>
                <w:szCs w:val="5"/>
                <w:color w:val="auto"/>
              </w:rPr>
            </w:pPr>
          </w:p>
        </w:tc>
        <w:tc>
          <w:tcPr>
            <w:tcW w:w="800" w:type="dxa"/>
            <w:vAlign w:val="bottom"/>
            <w:tcBorders>
              <w:bottom w:val="single" w:sz="8" w:color="00249C"/>
            </w:tcBorders>
          </w:tcPr>
          <w:p>
            <w:pPr>
              <w:spacing w:after="0"/>
              <w:rPr>
                <w:sz w:val="5"/>
                <w:szCs w:val="5"/>
                <w:color w:val="auto"/>
              </w:rPr>
            </w:pPr>
          </w:p>
        </w:tc>
        <w:tc>
          <w:tcPr>
            <w:tcW w:w="1080" w:type="dxa"/>
            <w:vAlign w:val="bottom"/>
            <w:tcBorders>
              <w:bottom w:val="single" w:sz="8" w:color="00249C"/>
            </w:tcBorders>
          </w:tcPr>
          <w:p>
            <w:pPr>
              <w:spacing w:after="0"/>
              <w:rPr>
                <w:sz w:val="5"/>
                <w:szCs w:val="5"/>
                <w:color w:val="auto"/>
              </w:rPr>
            </w:pPr>
          </w:p>
        </w:tc>
        <w:tc>
          <w:tcPr>
            <w:tcW w:w="840" w:type="dxa"/>
            <w:vAlign w:val="bottom"/>
            <w:tcBorders>
              <w:bottom w:val="single" w:sz="8" w:color="00249C"/>
            </w:tcBorders>
          </w:tcPr>
          <w:p>
            <w:pPr>
              <w:spacing w:after="0"/>
              <w:rPr>
                <w:sz w:val="5"/>
                <w:szCs w:val="5"/>
                <w:color w:val="auto"/>
              </w:rPr>
            </w:pPr>
          </w:p>
        </w:tc>
        <w:tc>
          <w:tcPr>
            <w:tcW w:w="880" w:type="dxa"/>
            <w:vAlign w:val="bottom"/>
            <w:tcBorders>
              <w:bottom w:val="single" w:sz="8" w:color="00249C"/>
            </w:tcBorders>
          </w:tcPr>
          <w:p>
            <w:pPr>
              <w:spacing w:after="0"/>
              <w:rPr>
                <w:sz w:val="5"/>
                <w:szCs w:val="5"/>
                <w:color w:val="auto"/>
              </w:rPr>
            </w:pPr>
          </w:p>
        </w:tc>
        <w:tc>
          <w:tcPr>
            <w:tcW w:w="1080" w:type="dxa"/>
            <w:vAlign w:val="bottom"/>
            <w:tcBorders>
              <w:bottom w:val="single" w:sz="8" w:color="00249C"/>
            </w:tcBorders>
          </w:tcPr>
          <w:p>
            <w:pPr>
              <w:spacing w:after="0"/>
              <w:rPr>
                <w:sz w:val="5"/>
                <w:szCs w:val="5"/>
                <w:color w:val="auto"/>
              </w:rPr>
            </w:pPr>
          </w:p>
        </w:tc>
        <w:tc>
          <w:tcPr>
            <w:tcW w:w="800" w:type="dxa"/>
            <w:vAlign w:val="bottom"/>
            <w:tcBorders>
              <w:bottom w:val="single" w:sz="8" w:color="00249C"/>
            </w:tcBorders>
          </w:tcPr>
          <w:p>
            <w:pPr>
              <w:spacing w:after="0"/>
              <w:rPr>
                <w:sz w:val="5"/>
                <w:szCs w:val="5"/>
                <w:color w:val="auto"/>
              </w:rPr>
            </w:pPr>
          </w:p>
        </w:tc>
        <w:tc>
          <w:tcPr>
            <w:tcW w:w="920" w:type="dxa"/>
            <w:vAlign w:val="bottom"/>
            <w:tcBorders>
              <w:bottom w:val="single" w:sz="8" w:color="00249C"/>
            </w:tcBorders>
          </w:tcPr>
          <w:p>
            <w:pPr>
              <w:spacing w:after="0"/>
              <w:rPr>
                <w:sz w:val="5"/>
                <w:szCs w:val="5"/>
                <w:color w:val="auto"/>
              </w:rPr>
            </w:pPr>
          </w:p>
        </w:tc>
        <w:tc>
          <w:tcPr>
            <w:tcW w:w="1000" w:type="dxa"/>
            <w:vAlign w:val="bottom"/>
            <w:tcBorders>
              <w:bottom w:val="single" w:sz="8" w:color="00249C"/>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580" w:type="dxa"/>
            <w:vAlign w:val="bottom"/>
          </w:tcPr>
          <w:p>
            <w:pPr>
              <w:spacing w:after="0"/>
              <w:rPr>
                <w:sz w:val="16"/>
                <w:szCs w:val="16"/>
                <w:color w:val="auto"/>
              </w:rPr>
            </w:pPr>
          </w:p>
        </w:tc>
        <w:tc>
          <w:tcPr>
            <w:tcW w:w="1240" w:type="dxa"/>
            <w:vAlign w:val="bottom"/>
          </w:tcPr>
          <w:p>
            <w:pPr>
              <w:ind w:left="20"/>
              <w:spacing w:after="0"/>
              <w:rPr>
                <w:sz w:val="20"/>
                <w:szCs w:val="20"/>
                <w:color w:val="auto"/>
              </w:rPr>
            </w:pPr>
            <w:r>
              <w:rPr>
                <w:rFonts w:ascii="Arial" w:cs="Arial" w:eastAsia="Arial" w:hAnsi="Arial"/>
                <w:sz w:val="14"/>
                <w:szCs w:val="14"/>
                <w:color w:val="auto"/>
              </w:rPr>
              <w:t>Incentive Plan</w:t>
            </w:r>
          </w:p>
        </w:tc>
        <w:tc>
          <w:tcPr>
            <w:tcW w:w="960" w:type="dxa"/>
            <w:vAlign w:val="bottom"/>
          </w:tcPr>
          <w:p>
            <w:pPr>
              <w:spacing w:after="0"/>
              <w:rPr>
                <w:sz w:val="16"/>
                <w:szCs w:val="16"/>
                <w:color w:val="auto"/>
              </w:rPr>
            </w:pPr>
          </w:p>
        </w:tc>
        <w:tc>
          <w:tcPr>
            <w:tcW w:w="800" w:type="dxa"/>
            <w:vAlign w:val="bottom"/>
          </w:tcPr>
          <w:p>
            <w:pPr>
              <w:jc w:val="center"/>
              <w:ind w:left="8"/>
              <w:spacing w:after="0"/>
              <w:rPr>
                <w:sz w:val="20"/>
                <w:szCs w:val="20"/>
                <w:color w:val="auto"/>
              </w:rPr>
            </w:pPr>
            <w:r>
              <w:rPr>
                <w:rFonts w:ascii="Arial" w:cs="Arial" w:eastAsia="Arial" w:hAnsi="Arial"/>
                <w:sz w:val="14"/>
                <w:szCs w:val="14"/>
                <w:color w:val="auto"/>
              </w:rPr>
              <w:t>—</w:t>
            </w:r>
          </w:p>
        </w:tc>
        <w:tc>
          <w:tcPr>
            <w:tcW w:w="1080" w:type="dxa"/>
            <w:vAlign w:val="bottom"/>
          </w:tcPr>
          <w:p>
            <w:pPr>
              <w:jc w:val="center"/>
              <w:spacing w:after="0"/>
              <w:rPr>
                <w:sz w:val="20"/>
                <w:szCs w:val="20"/>
                <w:color w:val="auto"/>
              </w:rPr>
            </w:pPr>
            <w:r>
              <w:rPr>
                <w:rFonts w:ascii="Arial" w:cs="Arial" w:eastAsia="Arial" w:hAnsi="Arial"/>
                <w:sz w:val="14"/>
                <w:szCs w:val="14"/>
                <w:color w:val="auto"/>
              </w:rPr>
              <w:t>855,000</w:t>
            </w:r>
          </w:p>
        </w:tc>
        <w:tc>
          <w:tcPr>
            <w:tcW w:w="840" w:type="dxa"/>
            <w:vAlign w:val="bottom"/>
          </w:tcPr>
          <w:p>
            <w:pPr>
              <w:jc w:val="center"/>
              <w:ind w:right="88"/>
              <w:spacing w:after="0"/>
              <w:rPr>
                <w:sz w:val="20"/>
                <w:szCs w:val="20"/>
                <w:color w:val="auto"/>
              </w:rPr>
            </w:pPr>
            <w:r>
              <w:rPr>
                <w:rFonts w:ascii="Arial" w:cs="Arial" w:eastAsia="Arial" w:hAnsi="Arial"/>
                <w:sz w:val="14"/>
                <w:szCs w:val="14"/>
                <w:color w:val="auto"/>
              </w:rPr>
              <w:t>1,710,000</w:t>
            </w: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580" w:type="dxa"/>
            <w:vAlign w:val="bottom"/>
          </w:tcPr>
          <w:p>
            <w:pPr>
              <w:ind w:left="20"/>
              <w:spacing w:after="0"/>
              <w:rPr>
                <w:sz w:val="20"/>
                <w:szCs w:val="20"/>
                <w:color w:val="auto"/>
              </w:rPr>
            </w:pPr>
            <w:r>
              <w:rPr>
                <w:rFonts w:ascii="Arial" w:cs="Arial" w:eastAsia="Arial" w:hAnsi="Arial"/>
                <w:sz w:val="14"/>
                <w:szCs w:val="14"/>
                <w:color w:val="auto"/>
              </w:rPr>
              <w:t>Mark A. Caylor</w:t>
            </w:r>
          </w:p>
        </w:tc>
        <w:tc>
          <w:tcPr>
            <w:tcW w:w="1240" w:type="dxa"/>
            <w:vAlign w:val="bottom"/>
            <w:shd w:val="clear" w:color="auto" w:fill="CCD4DB"/>
          </w:tcPr>
          <w:p>
            <w:pPr>
              <w:ind w:left="20"/>
              <w:spacing w:after="0"/>
              <w:rPr>
                <w:sz w:val="20"/>
                <w:szCs w:val="20"/>
                <w:color w:val="auto"/>
              </w:rPr>
            </w:pPr>
            <w:r>
              <w:rPr>
                <w:rFonts w:ascii="Arial" w:cs="Arial" w:eastAsia="Arial" w:hAnsi="Arial"/>
                <w:sz w:val="14"/>
                <w:szCs w:val="14"/>
                <w:color w:val="auto"/>
              </w:rPr>
              <w:t>RPSR</w:t>
            </w:r>
          </w:p>
        </w:tc>
        <w:tc>
          <w:tcPr>
            <w:tcW w:w="96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2/12/2020</w:t>
            </w:r>
          </w:p>
        </w:tc>
        <w:tc>
          <w:tcPr>
            <w:tcW w:w="800" w:type="dxa"/>
            <w:vAlign w:val="bottom"/>
            <w:shd w:val="clear" w:color="auto" w:fill="CCD4DB"/>
          </w:tcPr>
          <w:p>
            <w:pPr>
              <w:spacing w:after="0"/>
              <w:rPr>
                <w:sz w:val="19"/>
                <w:szCs w:val="19"/>
                <w:color w:val="auto"/>
              </w:rPr>
            </w:pPr>
          </w:p>
        </w:tc>
        <w:tc>
          <w:tcPr>
            <w:tcW w:w="1080" w:type="dxa"/>
            <w:vAlign w:val="bottom"/>
            <w:shd w:val="clear" w:color="auto" w:fill="CCD4DB"/>
          </w:tcPr>
          <w:p>
            <w:pPr>
              <w:spacing w:after="0"/>
              <w:rPr>
                <w:sz w:val="19"/>
                <w:szCs w:val="19"/>
                <w:color w:val="auto"/>
              </w:rPr>
            </w:pPr>
          </w:p>
        </w:tc>
        <w:tc>
          <w:tcPr>
            <w:tcW w:w="840" w:type="dxa"/>
            <w:vAlign w:val="bottom"/>
            <w:shd w:val="clear" w:color="auto" w:fill="CCD4DB"/>
          </w:tcPr>
          <w:p>
            <w:pPr>
              <w:spacing w:after="0"/>
              <w:rPr>
                <w:sz w:val="19"/>
                <w:szCs w:val="19"/>
                <w:color w:val="auto"/>
              </w:rPr>
            </w:pPr>
          </w:p>
        </w:tc>
        <w:tc>
          <w:tcPr>
            <w:tcW w:w="880" w:type="dxa"/>
            <w:vAlign w:val="bottom"/>
            <w:shd w:val="clear" w:color="auto" w:fill="CCD4DB"/>
          </w:tcPr>
          <w:p>
            <w:pPr>
              <w:jc w:val="center"/>
              <w:ind w:left="108"/>
              <w:spacing w:after="0"/>
              <w:rPr>
                <w:sz w:val="20"/>
                <w:szCs w:val="20"/>
                <w:color w:val="auto"/>
              </w:rPr>
            </w:pPr>
            <w:r>
              <w:rPr>
                <w:rFonts w:ascii="Arial" w:cs="Arial" w:eastAsia="Arial" w:hAnsi="Arial"/>
                <w:sz w:val="14"/>
                <w:szCs w:val="14"/>
                <w:color w:val="auto"/>
                <w:w w:val="99"/>
              </w:rPr>
              <w:t>—</w:t>
            </w:r>
          </w:p>
        </w:tc>
        <w:tc>
          <w:tcPr>
            <w:tcW w:w="108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6,009</w:t>
            </w:r>
          </w:p>
        </w:tc>
        <w:tc>
          <w:tcPr>
            <w:tcW w:w="800" w:type="dxa"/>
            <w:vAlign w:val="bottom"/>
            <w:shd w:val="clear" w:color="auto" w:fill="CCD4DB"/>
          </w:tcPr>
          <w:p>
            <w:pPr>
              <w:jc w:val="center"/>
              <w:ind w:right="8"/>
              <w:spacing w:after="0"/>
              <w:rPr>
                <w:sz w:val="20"/>
                <w:szCs w:val="20"/>
                <w:color w:val="auto"/>
              </w:rPr>
            </w:pPr>
            <w:r>
              <w:rPr>
                <w:rFonts w:ascii="Arial" w:cs="Arial" w:eastAsia="Arial" w:hAnsi="Arial"/>
                <w:sz w:val="14"/>
                <w:szCs w:val="14"/>
                <w:color w:val="auto"/>
              </w:rPr>
              <w:t>9,014</w:t>
            </w:r>
          </w:p>
        </w:tc>
        <w:tc>
          <w:tcPr>
            <w:tcW w:w="920" w:type="dxa"/>
            <w:vAlign w:val="bottom"/>
            <w:shd w:val="clear" w:color="auto" w:fill="CCD4DB"/>
          </w:tcPr>
          <w:p>
            <w:pPr>
              <w:spacing w:after="0"/>
              <w:rPr>
                <w:sz w:val="19"/>
                <w:szCs w:val="19"/>
                <w:color w:val="auto"/>
              </w:rPr>
            </w:pPr>
          </w:p>
        </w:tc>
        <w:tc>
          <w:tcPr>
            <w:tcW w:w="100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2,100,275</w:t>
            </w:r>
          </w:p>
        </w:tc>
        <w:tc>
          <w:tcPr>
            <w:tcW w:w="0" w:type="dxa"/>
            <w:vAlign w:val="bottom"/>
          </w:tcPr>
          <w:p>
            <w:pPr>
              <w:spacing w:after="0"/>
              <w:rPr>
                <w:sz w:val="1"/>
                <w:szCs w:val="1"/>
                <w:color w:val="auto"/>
              </w:rPr>
            </w:pPr>
          </w:p>
        </w:tc>
      </w:tr>
      <w:tr>
        <w:trPr>
          <w:trHeight w:val="210"/>
        </w:trPr>
        <w:tc>
          <w:tcPr>
            <w:tcW w:w="1580" w:type="dxa"/>
            <w:vAlign w:val="bottom"/>
            <w:tcBorders>
              <w:bottom w:val="single" w:sz="8" w:color="00249C"/>
            </w:tcBorders>
          </w:tcPr>
          <w:p>
            <w:pPr>
              <w:spacing w:after="0"/>
              <w:rPr>
                <w:sz w:val="18"/>
                <w:szCs w:val="18"/>
                <w:color w:val="auto"/>
              </w:rPr>
            </w:pPr>
          </w:p>
        </w:tc>
        <w:tc>
          <w:tcPr>
            <w:tcW w:w="1240" w:type="dxa"/>
            <w:vAlign w:val="bottom"/>
            <w:tcBorders>
              <w:bottom w:val="single" w:sz="8" w:color="00249C"/>
            </w:tcBorders>
          </w:tcPr>
          <w:p>
            <w:pPr>
              <w:ind w:left="20"/>
              <w:spacing w:after="0"/>
              <w:rPr>
                <w:sz w:val="20"/>
                <w:szCs w:val="20"/>
                <w:color w:val="auto"/>
              </w:rPr>
            </w:pPr>
            <w:r>
              <w:rPr>
                <w:rFonts w:ascii="Arial" w:cs="Arial" w:eastAsia="Arial" w:hAnsi="Arial"/>
                <w:sz w:val="14"/>
                <w:szCs w:val="14"/>
                <w:color w:val="auto"/>
              </w:rPr>
              <w:t>RSR</w:t>
            </w:r>
          </w:p>
        </w:tc>
        <w:tc>
          <w:tcPr>
            <w:tcW w:w="960" w:type="dxa"/>
            <w:vAlign w:val="bottom"/>
            <w:tcBorders>
              <w:bottom w:val="single" w:sz="8" w:color="00249C"/>
            </w:tcBorders>
          </w:tcPr>
          <w:p>
            <w:pPr>
              <w:jc w:val="center"/>
              <w:spacing w:after="0"/>
              <w:rPr>
                <w:sz w:val="20"/>
                <w:szCs w:val="20"/>
                <w:color w:val="auto"/>
              </w:rPr>
            </w:pPr>
            <w:r>
              <w:rPr>
                <w:rFonts w:ascii="Arial" w:cs="Arial" w:eastAsia="Arial" w:hAnsi="Arial"/>
                <w:sz w:val="14"/>
                <w:szCs w:val="14"/>
                <w:color w:val="auto"/>
              </w:rPr>
              <w:t>2/12/2020</w:t>
            </w:r>
          </w:p>
        </w:tc>
        <w:tc>
          <w:tcPr>
            <w:tcW w:w="800" w:type="dxa"/>
            <w:vAlign w:val="bottom"/>
            <w:tcBorders>
              <w:bottom w:val="single" w:sz="8" w:color="00249C"/>
            </w:tcBorders>
          </w:tcPr>
          <w:p>
            <w:pPr>
              <w:spacing w:after="0"/>
              <w:rPr>
                <w:sz w:val="18"/>
                <w:szCs w:val="18"/>
                <w:color w:val="auto"/>
              </w:rPr>
            </w:pPr>
          </w:p>
        </w:tc>
        <w:tc>
          <w:tcPr>
            <w:tcW w:w="1080" w:type="dxa"/>
            <w:vAlign w:val="bottom"/>
            <w:tcBorders>
              <w:bottom w:val="single" w:sz="8" w:color="00249C"/>
            </w:tcBorders>
          </w:tcPr>
          <w:p>
            <w:pPr>
              <w:spacing w:after="0"/>
              <w:rPr>
                <w:sz w:val="18"/>
                <w:szCs w:val="18"/>
                <w:color w:val="auto"/>
              </w:rPr>
            </w:pPr>
          </w:p>
        </w:tc>
        <w:tc>
          <w:tcPr>
            <w:tcW w:w="840" w:type="dxa"/>
            <w:vAlign w:val="bottom"/>
            <w:tcBorders>
              <w:bottom w:val="single" w:sz="8" w:color="00249C"/>
            </w:tcBorders>
          </w:tcPr>
          <w:p>
            <w:pPr>
              <w:spacing w:after="0"/>
              <w:rPr>
                <w:sz w:val="18"/>
                <w:szCs w:val="18"/>
                <w:color w:val="auto"/>
              </w:rPr>
            </w:pPr>
          </w:p>
        </w:tc>
        <w:tc>
          <w:tcPr>
            <w:tcW w:w="880" w:type="dxa"/>
            <w:vAlign w:val="bottom"/>
            <w:tcBorders>
              <w:bottom w:val="single" w:sz="8" w:color="00249C"/>
            </w:tcBorders>
          </w:tcPr>
          <w:p>
            <w:pPr>
              <w:spacing w:after="0"/>
              <w:rPr>
                <w:sz w:val="18"/>
                <w:szCs w:val="18"/>
                <w:color w:val="auto"/>
              </w:rPr>
            </w:pPr>
          </w:p>
        </w:tc>
        <w:tc>
          <w:tcPr>
            <w:tcW w:w="1080" w:type="dxa"/>
            <w:vAlign w:val="bottom"/>
            <w:tcBorders>
              <w:bottom w:val="single" w:sz="8" w:color="00249C"/>
            </w:tcBorders>
          </w:tcPr>
          <w:p>
            <w:pPr>
              <w:spacing w:after="0"/>
              <w:rPr>
                <w:sz w:val="18"/>
                <w:szCs w:val="18"/>
                <w:color w:val="auto"/>
              </w:rPr>
            </w:pPr>
          </w:p>
        </w:tc>
        <w:tc>
          <w:tcPr>
            <w:tcW w:w="800" w:type="dxa"/>
            <w:vAlign w:val="bottom"/>
            <w:tcBorders>
              <w:bottom w:val="single" w:sz="8" w:color="00249C"/>
            </w:tcBorders>
          </w:tcPr>
          <w:p>
            <w:pPr>
              <w:spacing w:after="0"/>
              <w:rPr>
                <w:sz w:val="18"/>
                <w:szCs w:val="18"/>
                <w:color w:val="auto"/>
              </w:rPr>
            </w:pPr>
          </w:p>
        </w:tc>
        <w:tc>
          <w:tcPr>
            <w:tcW w:w="920" w:type="dxa"/>
            <w:vAlign w:val="bottom"/>
            <w:tcBorders>
              <w:bottom w:val="single" w:sz="8" w:color="00249C"/>
            </w:tcBorders>
          </w:tcPr>
          <w:p>
            <w:pPr>
              <w:jc w:val="center"/>
              <w:spacing w:after="0"/>
              <w:rPr>
                <w:sz w:val="20"/>
                <w:szCs w:val="20"/>
                <w:color w:val="auto"/>
              </w:rPr>
            </w:pPr>
            <w:r>
              <w:rPr>
                <w:rFonts w:ascii="Arial" w:cs="Arial" w:eastAsia="Arial" w:hAnsi="Arial"/>
                <w:sz w:val="14"/>
                <w:szCs w:val="14"/>
                <w:color w:val="auto"/>
              </w:rPr>
              <w:t>2,545</w:t>
            </w:r>
          </w:p>
        </w:tc>
        <w:tc>
          <w:tcPr>
            <w:tcW w:w="1000" w:type="dxa"/>
            <w:vAlign w:val="bottom"/>
            <w:tcBorders>
              <w:bottom w:val="single" w:sz="8" w:color="00249C"/>
            </w:tcBorders>
          </w:tcPr>
          <w:p>
            <w:pPr>
              <w:jc w:val="center"/>
              <w:spacing w:after="0"/>
              <w:rPr>
                <w:sz w:val="20"/>
                <w:szCs w:val="20"/>
                <w:color w:val="auto"/>
              </w:rPr>
            </w:pPr>
            <w:r>
              <w:rPr>
                <w:rFonts w:ascii="Arial" w:cs="Arial" w:eastAsia="Arial" w:hAnsi="Arial"/>
                <w:sz w:val="14"/>
                <w:szCs w:val="14"/>
                <w:color w:val="auto"/>
              </w:rPr>
              <w:t>899,937</w:t>
            </w: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1240" w:type="dxa"/>
            <w:vAlign w:val="bottom"/>
          </w:tcPr>
          <w:p>
            <w:pPr>
              <w:ind w:left="20"/>
              <w:spacing w:after="0"/>
              <w:rPr>
                <w:sz w:val="20"/>
                <w:szCs w:val="20"/>
                <w:color w:val="auto"/>
              </w:rPr>
            </w:pPr>
            <w:r>
              <w:rPr>
                <w:rFonts w:ascii="Arial" w:cs="Arial" w:eastAsia="Arial" w:hAnsi="Arial"/>
                <w:sz w:val="14"/>
                <w:szCs w:val="14"/>
                <w:color w:val="auto"/>
              </w:rPr>
              <w:t>Incentive Plan</w:t>
            </w:r>
          </w:p>
        </w:tc>
        <w:tc>
          <w:tcPr>
            <w:tcW w:w="960" w:type="dxa"/>
            <w:vAlign w:val="bottom"/>
          </w:tcPr>
          <w:p>
            <w:pPr>
              <w:spacing w:after="0"/>
              <w:rPr>
                <w:sz w:val="17"/>
                <w:szCs w:val="17"/>
                <w:color w:val="auto"/>
              </w:rPr>
            </w:pPr>
          </w:p>
        </w:tc>
        <w:tc>
          <w:tcPr>
            <w:tcW w:w="800" w:type="dxa"/>
            <w:vAlign w:val="bottom"/>
          </w:tcPr>
          <w:p>
            <w:pPr>
              <w:jc w:val="center"/>
              <w:ind w:left="8"/>
              <w:spacing w:after="0"/>
              <w:rPr>
                <w:sz w:val="20"/>
                <w:szCs w:val="20"/>
                <w:color w:val="auto"/>
              </w:rPr>
            </w:pPr>
            <w:r>
              <w:rPr>
                <w:rFonts w:ascii="Arial" w:cs="Arial" w:eastAsia="Arial" w:hAnsi="Arial"/>
                <w:sz w:val="14"/>
                <w:szCs w:val="14"/>
                <w:color w:val="auto"/>
              </w:rPr>
              <w:t>—</w:t>
            </w:r>
          </w:p>
        </w:tc>
        <w:tc>
          <w:tcPr>
            <w:tcW w:w="1080" w:type="dxa"/>
            <w:vAlign w:val="bottom"/>
          </w:tcPr>
          <w:p>
            <w:pPr>
              <w:jc w:val="center"/>
              <w:spacing w:after="0"/>
              <w:rPr>
                <w:sz w:val="20"/>
                <w:szCs w:val="20"/>
                <w:color w:val="auto"/>
              </w:rPr>
            </w:pPr>
            <w:r>
              <w:rPr>
                <w:rFonts w:ascii="Arial" w:cs="Arial" w:eastAsia="Arial" w:hAnsi="Arial"/>
                <w:sz w:val="14"/>
                <w:szCs w:val="14"/>
                <w:color w:val="auto"/>
              </w:rPr>
              <w:t>811,000</w:t>
            </w:r>
          </w:p>
        </w:tc>
        <w:tc>
          <w:tcPr>
            <w:tcW w:w="840" w:type="dxa"/>
            <w:vAlign w:val="bottom"/>
          </w:tcPr>
          <w:p>
            <w:pPr>
              <w:jc w:val="center"/>
              <w:ind w:right="88"/>
              <w:spacing w:after="0"/>
              <w:rPr>
                <w:sz w:val="20"/>
                <w:szCs w:val="20"/>
                <w:color w:val="auto"/>
              </w:rPr>
            </w:pPr>
            <w:r>
              <w:rPr>
                <w:rFonts w:ascii="Arial" w:cs="Arial" w:eastAsia="Arial" w:hAnsi="Arial"/>
                <w:sz w:val="14"/>
                <w:szCs w:val="14"/>
                <w:color w:val="auto"/>
              </w:rPr>
              <w:t>1,622,000</w:t>
            </w: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580" w:type="dxa"/>
            <w:vAlign w:val="bottom"/>
            <w:vMerge w:val="restart"/>
          </w:tcPr>
          <w:p>
            <w:pPr>
              <w:ind w:left="20"/>
              <w:spacing w:after="0"/>
              <w:rPr>
                <w:sz w:val="20"/>
                <w:szCs w:val="20"/>
                <w:color w:val="auto"/>
              </w:rPr>
            </w:pPr>
            <w:r>
              <w:rPr>
                <w:rFonts w:ascii="Arial" w:cs="Arial" w:eastAsia="Arial" w:hAnsi="Arial"/>
                <w:sz w:val="14"/>
                <w:szCs w:val="14"/>
                <w:color w:val="auto"/>
              </w:rPr>
              <w:t>Blake E. Larson</w:t>
            </w:r>
          </w:p>
        </w:tc>
        <w:tc>
          <w:tcPr>
            <w:tcW w:w="1240" w:type="dxa"/>
            <w:vAlign w:val="bottom"/>
            <w:shd w:val="clear" w:color="auto" w:fill="CCD4DB"/>
          </w:tcPr>
          <w:p>
            <w:pPr>
              <w:ind w:left="20"/>
              <w:spacing w:after="0"/>
              <w:rPr>
                <w:sz w:val="20"/>
                <w:szCs w:val="20"/>
                <w:color w:val="auto"/>
              </w:rPr>
            </w:pPr>
            <w:r>
              <w:rPr>
                <w:rFonts w:ascii="Arial" w:cs="Arial" w:eastAsia="Arial" w:hAnsi="Arial"/>
                <w:sz w:val="14"/>
                <w:szCs w:val="14"/>
                <w:color w:val="auto"/>
              </w:rPr>
              <w:t>RPSR</w:t>
            </w:r>
          </w:p>
        </w:tc>
        <w:tc>
          <w:tcPr>
            <w:tcW w:w="96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2/12/2020</w:t>
            </w:r>
          </w:p>
        </w:tc>
        <w:tc>
          <w:tcPr>
            <w:tcW w:w="800" w:type="dxa"/>
            <w:vAlign w:val="bottom"/>
            <w:shd w:val="clear" w:color="auto" w:fill="CCD4DB"/>
          </w:tcPr>
          <w:p>
            <w:pPr>
              <w:spacing w:after="0"/>
              <w:rPr>
                <w:sz w:val="19"/>
                <w:szCs w:val="19"/>
                <w:color w:val="auto"/>
              </w:rPr>
            </w:pPr>
          </w:p>
        </w:tc>
        <w:tc>
          <w:tcPr>
            <w:tcW w:w="1080" w:type="dxa"/>
            <w:vAlign w:val="bottom"/>
            <w:shd w:val="clear" w:color="auto" w:fill="CCD4DB"/>
          </w:tcPr>
          <w:p>
            <w:pPr>
              <w:spacing w:after="0"/>
              <w:rPr>
                <w:sz w:val="19"/>
                <w:szCs w:val="19"/>
                <w:color w:val="auto"/>
              </w:rPr>
            </w:pPr>
          </w:p>
        </w:tc>
        <w:tc>
          <w:tcPr>
            <w:tcW w:w="840" w:type="dxa"/>
            <w:vAlign w:val="bottom"/>
            <w:shd w:val="clear" w:color="auto" w:fill="CCD4DB"/>
          </w:tcPr>
          <w:p>
            <w:pPr>
              <w:spacing w:after="0"/>
              <w:rPr>
                <w:sz w:val="19"/>
                <w:szCs w:val="19"/>
                <w:color w:val="auto"/>
              </w:rPr>
            </w:pPr>
          </w:p>
        </w:tc>
        <w:tc>
          <w:tcPr>
            <w:tcW w:w="880" w:type="dxa"/>
            <w:vAlign w:val="bottom"/>
            <w:shd w:val="clear" w:color="auto" w:fill="CCD4DB"/>
          </w:tcPr>
          <w:p>
            <w:pPr>
              <w:jc w:val="center"/>
              <w:ind w:left="108"/>
              <w:spacing w:after="0"/>
              <w:rPr>
                <w:sz w:val="20"/>
                <w:szCs w:val="20"/>
                <w:color w:val="auto"/>
              </w:rPr>
            </w:pPr>
            <w:r>
              <w:rPr>
                <w:rFonts w:ascii="Arial" w:cs="Arial" w:eastAsia="Arial" w:hAnsi="Arial"/>
                <w:sz w:val="14"/>
                <w:szCs w:val="14"/>
                <w:color w:val="auto"/>
                <w:w w:val="99"/>
              </w:rPr>
              <w:t>—</w:t>
            </w:r>
          </w:p>
        </w:tc>
        <w:tc>
          <w:tcPr>
            <w:tcW w:w="108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6,009</w:t>
            </w:r>
          </w:p>
        </w:tc>
        <w:tc>
          <w:tcPr>
            <w:tcW w:w="800" w:type="dxa"/>
            <w:vAlign w:val="bottom"/>
            <w:shd w:val="clear" w:color="auto" w:fill="CCD4DB"/>
          </w:tcPr>
          <w:p>
            <w:pPr>
              <w:jc w:val="center"/>
              <w:ind w:right="8"/>
              <w:spacing w:after="0"/>
              <w:rPr>
                <w:sz w:val="20"/>
                <w:szCs w:val="20"/>
                <w:color w:val="auto"/>
              </w:rPr>
            </w:pPr>
            <w:r>
              <w:rPr>
                <w:rFonts w:ascii="Arial" w:cs="Arial" w:eastAsia="Arial" w:hAnsi="Arial"/>
                <w:sz w:val="14"/>
                <w:szCs w:val="14"/>
                <w:color w:val="auto"/>
              </w:rPr>
              <w:t>9,014</w:t>
            </w:r>
          </w:p>
        </w:tc>
        <w:tc>
          <w:tcPr>
            <w:tcW w:w="920" w:type="dxa"/>
            <w:vAlign w:val="bottom"/>
            <w:shd w:val="clear" w:color="auto" w:fill="CCD4DB"/>
          </w:tcPr>
          <w:p>
            <w:pPr>
              <w:spacing w:after="0"/>
              <w:rPr>
                <w:sz w:val="19"/>
                <w:szCs w:val="19"/>
                <w:color w:val="auto"/>
              </w:rPr>
            </w:pPr>
          </w:p>
        </w:tc>
        <w:tc>
          <w:tcPr>
            <w:tcW w:w="100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2,100,275</w:t>
            </w:r>
          </w:p>
        </w:tc>
        <w:tc>
          <w:tcPr>
            <w:tcW w:w="0" w:type="dxa"/>
            <w:vAlign w:val="bottom"/>
          </w:tcPr>
          <w:p>
            <w:pPr>
              <w:spacing w:after="0"/>
              <w:rPr>
                <w:sz w:val="1"/>
                <w:szCs w:val="1"/>
                <w:color w:val="auto"/>
              </w:rPr>
            </w:pPr>
          </w:p>
        </w:tc>
      </w:tr>
      <w:tr>
        <w:trPr>
          <w:trHeight w:val="96"/>
        </w:trPr>
        <w:tc>
          <w:tcPr>
            <w:tcW w:w="1580" w:type="dxa"/>
            <w:vAlign w:val="bottom"/>
            <w:vMerge w:val="continue"/>
          </w:tcPr>
          <w:p>
            <w:pPr>
              <w:spacing w:after="0"/>
              <w:rPr>
                <w:sz w:val="8"/>
                <w:szCs w:val="8"/>
                <w:color w:val="auto"/>
              </w:rPr>
            </w:pPr>
          </w:p>
        </w:tc>
        <w:tc>
          <w:tcPr>
            <w:tcW w:w="1240" w:type="dxa"/>
            <w:vAlign w:val="bottom"/>
            <w:vMerge w:val="restart"/>
          </w:tcPr>
          <w:p>
            <w:pPr>
              <w:ind w:left="20"/>
              <w:spacing w:after="0"/>
              <w:rPr>
                <w:sz w:val="20"/>
                <w:szCs w:val="20"/>
                <w:color w:val="auto"/>
              </w:rPr>
            </w:pPr>
            <w:r>
              <w:rPr>
                <w:rFonts w:ascii="Arial" w:cs="Arial" w:eastAsia="Arial" w:hAnsi="Arial"/>
                <w:sz w:val="14"/>
                <w:szCs w:val="14"/>
                <w:color w:val="auto"/>
              </w:rPr>
              <w:t>RSR</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rPr>
              <w:t>2/12/2020</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rPr>
              <w:t>2,545</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899,937</w:t>
            </w:r>
          </w:p>
        </w:tc>
        <w:tc>
          <w:tcPr>
            <w:tcW w:w="0" w:type="dxa"/>
            <w:vAlign w:val="bottom"/>
          </w:tcPr>
          <w:p>
            <w:pPr>
              <w:spacing w:after="0"/>
              <w:rPr>
                <w:sz w:val="1"/>
                <w:szCs w:val="1"/>
                <w:color w:val="auto"/>
              </w:rPr>
            </w:pPr>
          </w:p>
        </w:tc>
      </w:tr>
      <w:tr>
        <w:trPr>
          <w:trHeight w:val="114"/>
        </w:trPr>
        <w:tc>
          <w:tcPr>
            <w:tcW w:w="15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580" w:type="dxa"/>
            <w:vAlign w:val="bottom"/>
            <w:tcBorders>
              <w:bottom w:val="single" w:sz="8" w:color="00249C"/>
            </w:tcBorders>
          </w:tcPr>
          <w:p>
            <w:pPr>
              <w:spacing w:after="0"/>
              <w:rPr>
                <w:sz w:val="18"/>
                <w:szCs w:val="18"/>
                <w:color w:val="auto"/>
              </w:rPr>
            </w:pPr>
          </w:p>
        </w:tc>
        <w:tc>
          <w:tcPr>
            <w:tcW w:w="1240" w:type="dxa"/>
            <w:vAlign w:val="bottom"/>
            <w:tcBorders>
              <w:bottom w:val="single" w:sz="8" w:color="00249C"/>
            </w:tcBorders>
            <w:shd w:val="clear" w:color="auto" w:fill="CCD4DB"/>
          </w:tcPr>
          <w:p>
            <w:pPr>
              <w:ind w:left="20"/>
              <w:spacing w:after="0"/>
              <w:rPr>
                <w:sz w:val="20"/>
                <w:szCs w:val="20"/>
                <w:color w:val="auto"/>
              </w:rPr>
            </w:pPr>
            <w:r>
              <w:rPr>
                <w:rFonts w:ascii="Arial" w:cs="Arial" w:eastAsia="Arial" w:hAnsi="Arial"/>
                <w:sz w:val="14"/>
                <w:szCs w:val="14"/>
                <w:color w:val="auto"/>
              </w:rPr>
              <w:t>RSR (6)</w:t>
            </w:r>
          </w:p>
        </w:tc>
        <w:tc>
          <w:tcPr>
            <w:tcW w:w="96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4"/>
                <w:szCs w:val="14"/>
                <w:color w:val="auto"/>
              </w:rPr>
              <w:t>2/12/2020</w:t>
            </w:r>
          </w:p>
        </w:tc>
        <w:tc>
          <w:tcPr>
            <w:tcW w:w="800" w:type="dxa"/>
            <w:vAlign w:val="bottom"/>
            <w:tcBorders>
              <w:bottom w:val="single" w:sz="8" w:color="00249C"/>
            </w:tcBorders>
            <w:shd w:val="clear" w:color="auto" w:fill="CCD4DB"/>
          </w:tcPr>
          <w:p>
            <w:pPr>
              <w:spacing w:after="0"/>
              <w:rPr>
                <w:sz w:val="18"/>
                <w:szCs w:val="18"/>
                <w:color w:val="auto"/>
              </w:rPr>
            </w:pPr>
          </w:p>
        </w:tc>
        <w:tc>
          <w:tcPr>
            <w:tcW w:w="1080" w:type="dxa"/>
            <w:vAlign w:val="bottom"/>
            <w:tcBorders>
              <w:bottom w:val="single" w:sz="8" w:color="00249C"/>
            </w:tcBorders>
            <w:shd w:val="clear" w:color="auto" w:fill="CCD4DB"/>
          </w:tcPr>
          <w:p>
            <w:pPr>
              <w:spacing w:after="0"/>
              <w:rPr>
                <w:sz w:val="18"/>
                <w:szCs w:val="18"/>
                <w:color w:val="auto"/>
              </w:rPr>
            </w:pPr>
          </w:p>
        </w:tc>
        <w:tc>
          <w:tcPr>
            <w:tcW w:w="840" w:type="dxa"/>
            <w:vAlign w:val="bottom"/>
            <w:tcBorders>
              <w:bottom w:val="single" w:sz="8" w:color="00249C"/>
            </w:tcBorders>
            <w:shd w:val="clear" w:color="auto" w:fill="CCD4DB"/>
          </w:tcPr>
          <w:p>
            <w:pPr>
              <w:spacing w:after="0"/>
              <w:rPr>
                <w:sz w:val="18"/>
                <w:szCs w:val="18"/>
                <w:color w:val="auto"/>
              </w:rPr>
            </w:pPr>
          </w:p>
        </w:tc>
        <w:tc>
          <w:tcPr>
            <w:tcW w:w="880" w:type="dxa"/>
            <w:vAlign w:val="bottom"/>
            <w:tcBorders>
              <w:bottom w:val="single" w:sz="8" w:color="00249C"/>
            </w:tcBorders>
            <w:shd w:val="clear" w:color="auto" w:fill="CCD4DB"/>
          </w:tcPr>
          <w:p>
            <w:pPr>
              <w:spacing w:after="0"/>
              <w:rPr>
                <w:sz w:val="18"/>
                <w:szCs w:val="18"/>
                <w:color w:val="auto"/>
              </w:rPr>
            </w:pPr>
          </w:p>
        </w:tc>
        <w:tc>
          <w:tcPr>
            <w:tcW w:w="1080" w:type="dxa"/>
            <w:vAlign w:val="bottom"/>
            <w:tcBorders>
              <w:bottom w:val="single" w:sz="8" w:color="00249C"/>
            </w:tcBorders>
            <w:shd w:val="clear" w:color="auto" w:fill="CCD4DB"/>
          </w:tcPr>
          <w:p>
            <w:pPr>
              <w:spacing w:after="0"/>
              <w:rPr>
                <w:sz w:val="18"/>
                <w:szCs w:val="18"/>
                <w:color w:val="auto"/>
              </w:rPr>
            </w:pPr>
          </w:p>
        </w:tc>
        <w:tc>
          <w:tcPr>
            <w:tcW w:w="800" w:type="dxa"/>
            <w:vAlign w:val="bottom"/>
            <w:tcBorders>
              <w:bottom w:val="single" w:sz="8" w:color="00249C"/>
            </w:tcBorders>
            <w:shd w:val="clear" w:color="auto" w:fill="CCD4DB"/>
          </w:tcPr>
          <w:p>
            <w:pPr>
              <w:spacing w:after="0"/>
              <w:rPr>
                <w:sz w:val="18"/>
                <w:szCs w:val="18"/>
                <w:color w:val="auto"/>
              </w:rPr>
            </w:pPr>
          </w:p>
        </w:tc>
        <w:tc>
          <w:tcPr>
            <w:tcW w:w="92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4"/>
                <w:szCs w:val="14"/>
                <w:color w:val="auto"/>
              </w:rPr>
              <w:t>1,414</w:t>
            </w:r>
          </w:p>
        </w:tc>
        <w:tc>
          <w:tcPr>
            <w:tcW w:w="100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4"/>
                <w:szCs w:val="14"/>
                <w:color w:val="auto"/>
              </w:rPr>
              <w:t>500,005</w:t>
            </w: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1240" w:type="dxa"/>
            <w:vAlign w:val="bottom"/>
          </w:tcPr>
          <w:p>
            <w:pPr>
              <w:ind w:left="20"/>
              <w:spacing w:after="0"/>
              <w:rPr>
                <w:sz w:val="20"/>
                <w:szCs w:val="20"/>
                <w:color w:val="auto"/>
              </w:rPr>
            </w:pPr>
            <w:r>
              <w:rPr>
                <w:rFonts w:ascii="Arial" w:cs="Arial" w:eastAsia="Arial" w:hAnsi="Arial"/>
                <w:sz w:val="14"/>
                <w:szCs w:val="14"/>
                <w:color w:val="auto"/>
              </w:rPr>
              <w:t>Incentive Plan</w:t>
            </w:r>
          </w:p>
        </w:tc>
        <w:tc>
          <w:tcPr>
            <w:tcW w:w="960" w:type="dxa"/>
            <w:vAlign w:val="bottom"/>
          </w:tcPr>
          <w:p>
            <w:pPr>
              <w:spacing w:after="0"/>
              <w:rPr>
                <w:sz w:val="17"/>
                <w:szCs w:val="17"/>
                <w:color w:val="auto"/>
              </w:rPr>
            </w:pPr>
          </w:p>
        </w:tc>
        <w:tc>
          <w:tcPr>
            <w:tcW w:w="800" w:type="dxa"/>
            <w:vAlign w:val="bottom"/>
          </w:tcPr>
          <w:p>
            <w:pPr>
              <w:jc w:val="center"/>
              <w:ind w:left="8"/>
              <w:spacing w:after="0"/>
              <w:rPr>
                <w:sz w:val="20"/>
                <w:szCs w:val="20"/>
                <w:color w:val="auto"/>
              </w:rPr>
            </w:pPr>
            <w:r>
              <w:rPr>
                <w:rFonts w:ascii="Arial" w:cs="Arial" w:eastAsia="Arial" w:hAnsi="Arial"/>
                <w:sz w:val="14"/>
                <w:szCs w:val="14"/>
                <w:color w:val="auto"/>
              </w:rPr>
              <w:t>—</w:t>
            </w:r>
          </w:p>
        </w:tc>
        <w:tc>
          <w:tcPr>
            <w:tcW w:w="1080" w:type="dxa"/>
            <w:vAlign w:val="bottom"/>
          </w:tcPr>
          <w:p>
            <w:pPr>
              <w:jc w:val="center"/>
              <w:spacing w:after="0"/>
              <w:rPr>
                <w:sz w:val="20"/>
                <w:szCs w:val="20"/>
                <w:color w:val="auto"/>
              </w:rPr>
            </w:pPr>
            <w:r>
              <w:rPr>
                <w:rFonts w:ascii="Arial" w:cs="Arial" w:eastAsia="Arial" w:hAnsi="Arial"/>
                <w:sz w:val="14"/>
                <w:szCs w:val="14"/>
                <w:color w:val="auto"/>
              </w:rPr>
              <w:t>855,000</w:t>
            </w:r>
          </w:p>
        </w:tc>
        <w:tc>
          <w:tcPr>
            <w:tcW w:w="840" w:type="dxa"/>
            <w:vAlign w:val="bottom"/>
          </w:tcPr>
          <w:p>
            <w:pPr>
              <w:jc w:val="center"/>
              <w:ind w:right="88"/>
              <w:spacing w:after="0"/>
              <w:rPr>
                <w:sz w:val="20"/>
                <w:szCs w:val="20"/>
                <w:color w:val="auto"/>
              </w:rPr>
            </w:pPr>
            <w:r>
              <w:rPr>
                <w:rFonts w:ascii="Arial" w:cs="Arial" w:eastAsia="Arial" w:hAnsi="Arial"/>
                <w:sz w:val="14"/>
                <w:szCs w:val="14"/>
                <w:color w:val="auto"/>
              </w:rPr>
              <w:t>1,710,000</w:t>
            </w: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580" w:type="dxa"/>
            <w:vAlign w:val="bottom"/>
            <w:vMerge w:val="restart"/>
          </w:tcPr>
          <w:p>
            <w:pPr>
              <w:ind w:left="20"/>
              <w:spacing w:after="0"/>
              <w:rPr>
                <w:sz w:val="20"/>
                <w:szCs w:val="20"/>
                <w:color w:val="auto"/>
              </w:rPr>
            </w:pPr>
            <w:r>
              <w:rPr>
                <w:rFonts w:ascii="Arial" w:cs="Arial" w:eastAsia="Arial" w:hAnsi="Arial"/>
                <w:sz w:val="14"/>
                <w:szCs w:val="14"/>
                <w:color w:val="auto"/>
              </w:rPr>
              <w:t>Janis G. Pamiljans</w:t>
            </w:r>
          </w:p>
        </w:tc>
        <w:tc>
          <w:tcPr>
            <w:tcW w:w="1240" w:type="dxa"/>
            <w:vAlign w:val="bottom"/>
            <w:shd w:val="clear" w:color="auto" w:fill="CCD4DB"/>
          </w:tcPr>
          <w:p>
            <w:pPr>
              <w:ind w:left="20"/>
              <w:spacing w:after="0"/>
              <w:rPr>
                <w:sz w:val="20"/>
                <w:szCs w:val="20"/>
                <w:color w:val="auto"/>
              </w:rPr>
            </w:pPr>
            <w:r>
              <w:rPr>
                <w:rFonts w:ascii="Arial" w:cs="Arial" w:eastAsia="Arial" w:hAnsi="Arial"/>
                <w:sz w:val="14"/>
                <w:szCs w:val="14"/>
                <w:color w:val="auto"/>
              </w:rPr>
              <w:t>RPSR</w:t>
            </w:r>
          </w:p>
        </w:tc>
        <w:tc>
          <w:tcPr>
            <w:tcW w:w="96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2/12/2020</w:t>
            </w:r>
          </w:p>
        </w:tc>
        <w:tc>
          <w:tcPr>
            <w:tcW w:w="800" w:type="dxa"/>
            <w:vAlign w:val="bottom"/>
            <w:shd w:val="clear" w:color="auto" w:fill="CCD4DB"/>
          </w:tcPr>
          <w:p>
            <w:pPr>
              <w:spacing w:after="0"/>
              <w:rPr>
                <w:sz w:val="19"/>
                <w:szCs w:val="19"/>
                <w:color w:val="auto"/>
              </w:rPr>
            </w:pPr>
          </w:p>
        </w:tc>
        <w:tc>
          <w:tcPr>
            <w:tcW w:w="1080" w:type="dxa"/>
            <w:vAlign w:val="bottom"/>
            <w:shd w:val="clear" w:color="auto" w:fill="CCD4DB"/>
          </w:tcPr>
          <w:p>
            <w:pPr>
              <w:spacing w:after="0"/>
              <w:rPr>
                <w:sz w:val="19"/>
                <w:szCs w:val="19"/>
                <w:color w:val="auto"/>
              </w:rPr>
            </w:pPr>
          </w:p>
        </w:tc>
        <w:tc>
          <w:tcPr>
            <w:tcW w:w="840" w:type="dxa"/>
            <w:vAlign w:val="bottom"/>
            <w:shd w:val="clear" w:color="auto" w:fill="CCD4DB"/>
          </w:tcPr>
          <w:p>
            <w:pPr>
              <w:spacing w:after="0"/>
              <w:rPr>
                <w:sz w:val="19"/>
                <w:szCs w:val="19"/>
                <w:color w:val="auto"/>
              </w:rPr>
            </w:pPr>
          </w:p>
        </w:tc>
        <w:tc>
          <w:tcPr>
            <w:tcW w:w="880" w:type="dxa"/>
            <w:vAlign w:val="bottom"/>
            <w:shd w:val="clear" w:color="auto" w:fill="CCD4DB"/>
          </w:tcPr>
          <w:p>
            <w:pPr>
              <w:jc w:val="center"/>
              <w:ind w:left="108"/>
              <w:spacing w:after="0"/>
              <w:rPr>
                <w:sz w:val="20"/>
                <w:szCs w:val="20"/>
                <w:color w:val="auto"/>
              </w:rPr>
            </w:pPr>
            <w:r>
              <w:rPr>
                <w:rFonts w:ascii="Arial" w:cs="Arial" w:eastAsia="Arial" w:hAnsi="Arial"/>
                <w:sz w:val="14"/>
                <w:szCs w:val="14"/>
                <w:color w:val="auto"/>
                <w:w w:val="99"/>
              </w:rPr>
              <w:t>—</w:t>
            </w:r>
          </w:p>
        </w:tc>
        <w:tc>
          <w:tcPr>
            <w:tcW w:w="108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6,009</w:t>
            </w:r>
          </w:p>
        </w:tc>
        <w:tc>
          <w:tcPr>
            <w:tcW w:w="800" w:type="dxa"/>
            <w:vAlign w:val="bottom"/>
            <w:shd w:val="clear" w:color="auto" w:fill="CCD4DB"/>
          </w:tcPr>
          <w:p>
            <w:pPr>
              <w:jc w:val="center"/>
              <w:ind w:right="8"/>
              <w:spacing w:after="0"/>
              <w:rPr>
                <w:sz w:val="20"/>
                <w:szCs w:val="20"/>
                <w:color w:val="auto"/>
              </w:rPr>
            </w:pPr>
            <w:r>
              <w:rPr>
                <w:rFonts w:ascii="Arial" w:cs="Arial" w:eastAsia="Arial" w:hAnsi="Arial"/>
                <w:sz w:val="14"/>
                <w:szCs w:val="14"/>
                <w:color w:val="auto"/>
              </w:rPr>
              <w:t>9,014</w:t>
            </w:r>
          </w:p>
        </w:tc>
        <w:tc>
          <w:tcPr>
            <w:tcW w:w="920" w:type="dxa"/>
            <w:vAlign w:val="bottom"/>
            <w:shd w:val="clear" w:color="auto" w:fill="CCD4DB"/>
          </w:tcPr>
          <w:p>
            <w:pPr>
              <w:spacing w:after="0"/>
              <w:rPr>
                <w:sz w:val="19"/>
                <w:szCs w:val="19"/>
                <w:color w:val="auto"/>
              </w:rPr>
            </w:pPr>
          </w:p>
        </w:tc>
        <w:tc>
          <w:tcPr>
            <w:tcW w:w="100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2,100,275</w:t>
            </w:r>
          </w:p>
        </w:tc>
        <w:tc>
          <w:tcPr>
            <w:tcW w:w="0" w:type="dxa"/>
            <w:vAlign w:val="bottom"/>
          </w:tcPr>
          <w:p>
            <w:pPr>
              <w:spacing w:after="0"/>
              <w:rPr>
                <w:sz w:val="1"/>
                <w:szCs w:val="1"/>
                <w:color w:val="auto"/>
              </w:rPr>
            </w:pPr>
          </w:p>
        </w:tc>
      </w:tr>
      <w:tr>
        <w:trPr>
          <w:trHeight w:val="96"/>
        </w:trPr>
        <w:tc>
          <w:tcPr>
            <w:tcW w:w="1580" w:type="dxa"/>
            <w:vAlign w:val="bottom"/>
            <w:vMerge w:val="continue"/>
          </w:tcPr>
          <w:p>
            <w:pPr>
              <w:spacing w:after="0"/>
              <w:rPr>
                <w:sz w:val="8"/>
                <w:szCs w:val="8"/>
                <w:color w:val="auto"/>
              </w:rPr>
            </w:pPr>
          </w:p>
        </w:tc>
        <w:tc>
          <w:tcPr>
            <w:tcW w:w="1240" w:type="dxa"/>
            <w:vAlign w:val="bottom"/>
            <w:vMerge w:val="restart"/>
          </w:tcPr>
          <w:p>
            <w:pPr>
              <w:ind w:left="20"/>
              <w:spacing w:after="0"/>
              <w:rPr>
                <w:sz w:val="20"/>
                <w:szCs w:val="20"/>
                <w:color w:val="auto"/>
              </w:rPr>
            </w:pPr>
            <w:r>
              <w:rPr>
                <w:rFonts w:ascii="Arial" w:cs="Arial" w:eastAsia="Arial" w:hAnsi="Arial"/>
                <w:sz w:val="14"/>
                <w:szCs w:val="14"/>
                <w:color w:val="auto"/>
              </w:rPr>
              <w:t>RSR</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rPr>
              <w:t>2/12/2020</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rPr>
              <w:t>2,545</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899,937</w:t>
            </w:r>
          </w:p>
        </w:tc>
        <w:tc>
          <w:tcPr>
            <w:tcW w:w="0" w:type="dxa"/>
            <w:vAlign w:val="bottom"/>
          </w:tcPr>
          <w:p>
            <w:pPr>
              <w:spacing w:after="0"/>
              <w:rPr>
                <w:sz w:val="1"/>
                <w:szCs w:val="1"/>
                <w:color w:val="auto"/>
              </w:rPr>
            </w:pPr>
          </w:p>
        </w:tc>
      </w:tr>
      <w:tr>
        <w:trPr>
          <w:trHeight w:val="114"/>
        </w:trPr>
        <w:tc>
          <w:tcPr>
            <w:tcW w:w="15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580" w:type="dxa"/>
            <w:vAlign w:val="bottom"/>
            <w:tcBorders>
              <w:bottom w:val="single" w:sz="8" w:color="00249C"/>
            </w:tcBorders>
          </w:tcPr>
          <w:p>
            <w:pPr>
              <w:spacing w:after="0"/>
              <w:rPr>
                <w:sz w:val="18"/>
                <w:szCs w:val="18"/>
                <w:color w:val="auto"/>
              </w:rPr>
            </w:pPr>
          </w:p>
        </w:tc>
        <w:tc>
          <w:tcPr>
            <w:tcW w:w="1240" w:type="dxa"/>
            <w:vAlign w:val="bottom"/>
            <w:tcBorders>
              <w:bottom w:val="single" w:sz="8" w:color="00249C"/>
            </w:tcBorders>
            <w:shd w:val="clear" w:color="auto" w:fill="CCD4DB"/>
          </w:tcPr>
          <w:p>
            <w:pPr>
              <w:ind w:left="20"/>
              <w:spacing w:after="0"/>
              <w:rPr>
                <w:sz w:val="20"/>
                <w:szCs w:val="20"/>
                <w:color w:val="auto"/>
              </w:rPr>
            </w:pPr>
            <w:r>
              <w:rPr>
                <w:rFonts w:ascii="Arial" w:cs="Arial" w:eastAsia="Arial" w:hAnsi="Arial"/>
                <w:sz w:val="14"/>
                <w:szCs w:val="14"/>
                <w:color w:val="auto"/>
              </w:rPr>
              <w:t>RSR (6)</w:t>
            </w:r>
          </w:p>
        </w:tc>
        <w:tc>
          <w:tcPr>
            <w:tcW w:w="96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4"/>
                <w:szCs w:val="14"/>
                <w:color w:val="auto"/>
              </w:rPr>
              <w:t>2/12/2020</w:t>
            </w:r>
          </w:p>
        </w:tc>
        <w:tc>
          <w:tcPr>
            <w:tcW w:w="800" w:type="dxa"/>
            <w:vAlign w:val="bottom"/>
            <w:tcBorders>
              <w:bottom w:val="single" w:sz="8" w:color="00249C"/>
            </w:tcBorders>
            <w:shd w:val="clear" w:color="auto" w:fill="CCD4DB"/>
          </w:tcPr>
          <w:p>
            <w:pPr>
              <w:spacing w:after="0"/>
              <w:rPr>
                <w:sz w:val="18"/>
                <w:szCs w:val="18"/>
                <w:color w:val="auto"/>
              </w:rPr>
            </w:pPr>
          </w:p>
        </w:tc>
        <w:tc>
          <w:tcPr>
            <w:tcW w:w="1080" w:type="dxa"/>
            <w:vAlign w:val="bottom"/>
            <w:tcBorders>
              <w:bottom w:val="single" w:sz="8" w:color="00249C"/>
            </w:tcBorders>
            <w:shd w:val="clear" w:color="auto" w:fill="CCD4DB"/>
          </w:tcPr>
          <w:p>
            <w:pPr>
              <w:spacing w:after="0"/>
              <w:rPr>
                <w:sz w:val="18"/>
                <w:szCs w:val="18"/>
                <w:color w:val="auto"/>
              </w:rPr>
            </w:pPr>
          </w:p>
        </w:tc>
        <w:tc>
          <w:tcPr>
            <w:tcW w:w="840" w:type="dxa"/>
            <w:vAlign w:val="bottom"/>
            <w:tcBorders>
              <w:bottom w:val="single" w:sz="8" w:color="00249C"/>
            </w:tcBorders>
            <w:shd w:val="clear" w:color="auto" w:fill="CCD4DB"/>
          </w:tcPr>
          <w:p>
            <w:pPr>
              <w:spacing w:after="0"/>
              <w:rPr>
                <w:sz w:val="18"/>
                <w:szCs w:val="18"/>
                <w:color w:val="auto"/>
              </w:rPr>
            </w:pPr>
          </w:p>
        </w:tc>
        <w:tc>
          <w:tcPr>
            <w:tcW w:w="880" w:type="dxa"/>
            <w:vAlign w:val="bottom"/>
            <w:tcBorders>
              <w:bottom w:val="single" w:sz="8" w:color="00249C"/>
            </w:tcBorders>
            <w:shd w:val="clear" w:color="auto" w:fill="CCD4DB"/>
          </w:tcPr>
          <w:p>
            <w:pPr>
              <w:spacing w:after="0"/>
              <w:rPr>
                <w:sz w:val="18"/>
                <w:szCs w:val="18"/>
                <w:color w:val="auto"/>
              </w:rPr>
            </w:pPr>
          </w:p>
        </w:tc>
        <w:tc>
          <w:tcPr>
            <w:tcW w:w="1080" w:type="dxa"/>
            <w:vAlign w:val="bottom"/>
            <w:tcBorders>
              <w:bottom w:val="single" w:sz="8" w:color="00249C"/>
            </w:tcBorders>
            <w:shd w:val="clear" w:color="auto" w:fill="CCD4DB"/>
          </w:tcPr>
          <w:p>
            <w:pPr>
              <w:spacing w:after="0"/>
              <w:rPr>
                <w:sz w:val="18"/>
                <w:szCs w:val="18"/>
                <w:color w:val="auto"/>
              </w:rPr>
            </w:pPr>
          </w:p>
        </w:tc>
        <w:tc>
          <w:tcPr>
            <w:tcW w:w="800" w:type="dxa"/>
            <w:vAlign w:val="bottom"/>
            <w:tcBorders>
              <w:bottom w:val="single" w:sz="8" w:color="00249C"/>
            </w:tcBorders>
            <w:shd w:val="clear" w:color="auto" w:fill="CCD4DB"/>
          </w:tcPr>
          <w:p>
            <w:pPr>
              <w:spacing w:after="0"/>
              <w:rPr>
                <w:sz w:val="18"/>
                <w:szCs w:val="18"/>
                <w:color w:val="auto"/>
              </w:rPr>
            </w:pPr>
          </w:p>
        </w:tc>
        <w:tc>
          <w:tcPr>
            <w:tcW w:w="92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4"/>
                <w:szCs w:val="14"/>
                <w:color w:val="auto"/>
              </w:rPr>
              <w:t>1,414</w:t>
            </w:r>
          </w:p>
        </w:tc>
        <w:tc>
          <w:tcPr>
            <w:tcW w:w="100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4"/>
                <w:szCs w:val="14"/>
                <w:color w:val="auto"/>
              </w:rPr>
              <w:t>500,005</w:t>
            </w: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1240" w:type="dxa"/>
            <w:vAlign w:val="bottom"/>
          </w:tcPr>
          <w:p>
            <w:pPr>
              <w:ind w:left="20"/>
              <w:spacing w:after="0"/>
              <w:rPr>
                <w:sz w:val="20"/>
                <w:szCs w:val="20"/>
                <w:color w:val="auto"/>
              </w:rPr>
            </w:pPr>
            <w:r>
              <w:rPr>
                <w:rFonts w:ascii="Arial" w:cs="Arial" w:eastAsia="Arial" w:hAnsi="Arial"/>
                <w:sz w:val="14"/>
                <w:szCs w:val="14"/>
                <w:color w:val="auto"/>
              </w:rPr>
              <w:t>Incentive Plan (7)</w:t>
            </w:r>
          </w:p>
        </w:tc>
        <w:tc>
          <w:tcPr>
            <w:tcW w:w="960" w:type="dxa"/>
            <w:vAlign w:val="bottom"/>
          </w:tcPr>
          <w:p>
            <w:pPr>
              <w:spacing w:after="0"/>
              <w:rPr>
                <w:sz w:val="17"/>
                <w:szCs w:val="17"/>
                <w:color w:val="auto"/>
              </w:rPr>
            </w:pPr>
          </w:p>
        </w:tc>
        <w:tc>
          <w:tcPr>
            <w:tcW w:w="800" w:type="dxa"/>
            <w:vAlign w:val="bottom"/>
          </w:tcPr>
          <w:p>
            <w:pPr>
              <w:jc w:val="center"/>
              <w:ind w:left="8"/>
              <w:spacing w:after="0"/>
              <w:rPr>
                <w:sz w:val="20"/>
                <w:szCs w:val="20"/>
                <w:color w:val="auto"/>
              </w:rPr>
            </w:pPr>
            <w:r>
              <w:rPr>
                <w:rFonts w:ascii="Arial" w:cs="Arial" w:eastAsia="Arial" w:hAnsi="Arial"/>
                <w:sz w:val="14"/>
                <w:szCs w:val="14"/>
                <w:color w:val="auto"/>
              </w:rPr>
              <w:t>—</w:t>
            </w:r>
          </w:p>
        </w:tc>
        <w:tc>
          <w:tcPr>
            <w:tcW w:w="1080" w:type="dxa"/>
            <w:vAlign w:val="bottom"/>
          </w:tcPr>
          <w:p>
            <w:pPr>
              <w:jc w:val="center"/>
              <w:spacing w:after="0"/>
              <w:rPr>
                <w:sz w:val="20"/>
                <w:szCs w:val="20"/>
                <w:color w:val="auto"/>
              </w:rPr>
            </w:pPr>
            <w:r>
              <w:rPr>
                <w:rFonts w:ascii="Arial" w:cs="Arial" w:eastAsia="Arial" w:hAnsi="Arial"/>
                <w:sz w:val="14"/>
                <w:szCs w:val="14"/>
                <w:color w:val="auto"/>
              </w:rPr>
              <w:t>129,077</w:t>
            </w:r>
          </w:p>
        </w:tc>
        <w:tc>
          <w:tcPr>
            <w:tcW w:w="840" w:type="dxa"/>
            <w:vAlign w:val="bottom"/>
          </w:tcPr>
          <w:p>
            <w:pPr>
              <w:jc w:val="center"/>
              <w:ind w:right="88"/>
              <w:spacing w:after="0"/>
              <w:rPr>
                <w:sz w:val="20"/>
                <w:szCs w:val="20"/>
                <w:color w:val="auto"/>
              </w:rPr>
            </w:pPr>
            <w:r>
              <w:rPr>
                <w:rFonts w:ascii="Arial" w:cs="Arial" w:eastAsia="Arial" w:hAnsi="Arial"/>
                <w:sz w:val="14"/>
                <w:szCs w:val="14"/>
                <w:color w:val="auto"/>
              </w:rPr>
              <w:t>258,154</w:t>
            </w: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580" w:type="dxa"/>
            <w:vAlign w:val="bottom"/>
          </w:tcPr>
          <w:p>
            <w:pPr>
              <w:ind w:left="20"/>
              <w:spacing w:after="0"/>
              <w:rPr>
                <w:sz w:val="20"/>
                <w:szCs w:val="20"/>
                <w:color w:val="auto"/>
              </w:rPr>
            </w:pPr>
            <w:r>
              <w:rPr>
                <w:rFonts w:ascii="Arial" w:cs="Arial" w:eastAsia="Arial" w:hAnsi="Arial"/>
                <w:sz w:val="14"/>
                <w:szCs w:val="14"/>
                <w:color w:val="auto"/>
              </w:rPr>
              <w:t>Kenneth L. Bedingfield</w:t>
            </w:r>
          </w:p>
        </w:tc>
        <w:tc>
          <w:tcPr>
            <w:tcW w:w="1240" w:type="dxa"/>
            <w:vAlign w:val="bottom"/>
            <w:shd w:val="clear" w:color="auto" w:fill="CCD4DB"/>
          </w:tcPr>
          <w:p>
            <w:pPr>
              <w:ind w:left="20"/>
              <w:spacing w:after="0"/>
              <w:rPr>
                <w:sz w:val="20"/>
                <w:szCs w:val="20"/>
                <w:color w:val="auto"/>
              </w:rPr>
            </w:pPr>
            <w:r>
              <w:rPr>
                <w:rFonts w:ascii="Arial" w:cs="Arial" w:eastAsia="Arial" w:hAnsi="Arial"/>
                <w:sz w:val="14"/>
                <w:szCs w:val="14"/>
                <w:color w:val="auto"/>
              </w:rPr>
              <w:t>RPSR</w:t>
            </w:r>
          </w:p>
        </w:tc>
        <w:tc>
          <w:tcPr>
            <w:tcW w:w="96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2/12/2020</w:t>
            </w:r>
          </w:p>
        </w:tc>
        <w:tc>
          <w:tcPr>
            <w:tcW w:w="800" w:type="dxa"/>
            <w:vAlign w:val="bottom"/>
            <w:shd w:val="clear" w:color="auto" w:fill="CCD4DB"/>
          </w:tcPr>
          <w:p>
            <w:pPr>
              <w:spacing w:after="0"/>
              <w:rPr>
                <w:sz w:val="19"/>
                <w:szCs w:val="19"/>
                <w:color w:val="auto"/>
              </w:rPr>
            </w:pPr>
          </w:p>
        </w:tc>
        <w:tc>
          <w:tcPr>
            <w:tcW w:w="1080" w:type="dxa"/>
            <w:vAlign w:val="bottom"/>
            <w:shd w:val="clear" w:color="auto" w:fill="CCD4DB"/>
          </w:tcPr>
          <w:p>
            <w:pPr>
              <w:spacing w:after="0"/>
              <w:rPr>
                <w:sz w:val="19"/>
                <w:szCs w:val="19"/>
                <w:color w:val="auto"/>
              </w:rPr>
            </w:pPr>
          </w:p>
        </w:tc>
        <w:tc>
          <w:tcPr>
            <w:tcW w:w="840" w:type="dxa"/>
            <w:vAlign w:val="bottom"/>
            <w:shd w:val="clear" w:color="auto" w:fill="CCD4DB"/>
          </w:tcPr>
          <w:p>
            <w:pPr>
              <w:spacing w:after="0"/>
              <w:rPr>
                <w:sz w:val="19"/>
                <w:szCs w:val="19"/>
                <w:color w:val="auto"/>
              </w:rPr>
            </w:pPr>
          </w:p>
        </w:tc>
        <w:tc>
          <w:tcPr>
            <w:tcW w:w="880" w:type="dxa"/>
            <w:vAlign w:val="bottom"/>
            <w:shd w:val="clear" w:color="auto" w:fill="CCD4DB"/>
          </w:tcPr>
          <w:p>
            <w:pPr>
              <w:jc w:val="center"/>
              <w:ind w:left="108"/>
              <w:spacing w:after="0"/>
              <w:rPr>
                <w:sz w:val="20"/>
                <w:szCs w:val="20"/>
                <w:color w:val="auto"/>
              </w:rPr>
            </w:pPr>
            <w:r>
              <w:rPr>
                <w:rFonts w:ascii="Arial" w:cs="Arial" w:eastAsia="Arial" w:hAnsi="Arial"/>
                <w:sz w:val="14"/>
                <w:szCs w:val="14"/>
                <w:color w:val="auto"/>
                <w:w w:val="99"/>
              </w:rPr>
              <w:t>—</w:t>
            </w:r>
          </w:p>
        </w:tc>
        <w:tc>
          <w:tcPr>
            <w:tcW w:w="108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w:t>
            </w:r>
          </w:p>
        </w:tc>
        <w:tc>
          <w:tcPr>
            <w:tcW w:w="800" w:type="dxa"/>
            <w:vAlign w:val="bottom"/>
            <w:shd w:val="clear" w:color="auto" w:fill="CCD4DB"/>
          </w:tcPr>
          <w:p>
            <w:pPr>
              <w:jc w:val="center"/>
              <w:ind w:right="28"/>
              <w:spacing w:after="0"/>
              <w:rPr>
                <w:sz w:val="20"/>
                <w:szCs w:val="20"/>
                <w:color w:val="auto"/>
              </w:rPr>
            </w:pPr>
            <w:r>
              <w:rPr>
                <w:rFonts w:ascii="Arial" w:cs="Arial" w:eastAsia="Arial" w:hAnsi="Arial"/>
                <w:sz w:val="14"/>
                <w:szCs w:val="14"/>
                <w:color w:val="auto"/>
                <w:w w:val="99"/>
              </w:rPr>
              <w:t>—</w:t>
            </w:r>
          </w:p>
        </w:tc>
        <w:tc>
          <w:tcPr>
            <w:tcW w:w="920" w:type="dxa"/>
            <w:vAlign w:val="bottom"/>
            <w:shd w:val="clear" w:color="auto" w:fill="CCD4DB"/>
          </w:tcPr>
          <w:p>
            <w:pPr>
              <w:spacing w:after="0"/>
              <w:rPr>
                <w:sz w:val="19"/>
                <w:szCs w:val="19"/>
                <w:color w:val="auto"/>
              </w:rPr>
            </w:pPr>
          </w:p>
        </w:tc>
        <w:tc>
          <w:tcPr>
            <w:tcW w:w="100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1580" w:type="dxa"/>
            <w:vAlign w:val="bottom"/>
            <w:tcBorders>
              <w:bottom w:val="single" w:sz="8" w:color="00249C"/>
            </w:tcBorders>
          </w:tcPr>
          <w:p>
            <w:pPr>
              <w:spacing w:after="0"/>
              <w:rPr>
                <w:sz w:val="18"/>
                <w:szCs w:val="18"/>
                <w:color w:val="auto"/>
              </w:rPr>
            </w:pPr>
          </w:p>
        </w:tc>
        <w:tc>
          <w:tcPr>
            <w:tcW w:w="1240" w:type="dxa"/>
            <w:vAlign w:val="bottom"/>
            <w:tcBorders>
              <w:bottom w:val="single" w:sz="8" w:color="00249C"/>
            </w:tcBorders>
          </w:tcPr>
          <w:p>
            <w:pPr>
              <w:ind w:left="20"/>
              <w:spacing w:after="0"/>
              <w:rPr>
                <w:sz w:val="20"/>
                <w:szCs w:val="20"/>
                <w:color w:val="auto"/>
              </w:rPr>
            </w:pPr>
            <w:r>
              <w:rPr>
                <w:rFonts w:ascii="Arial" w:cs="Arial" w:eastAsia="Arial" w:hAnsi="Arial"/>
                <w:sz w:val="14"/>
                <w:szCs w:val="14"/>
                <w:color w:val="auto"/>
              </w:rPr>
              <w:t>RSR</w:t>
            </w:r>
          </w:p>
        </w:tc>
        <w:tc>
          <w:tcPr>
            <w:tcW w:w="960" w:type="dxa"/>
            <w:vAlign w:val="bottom"/>
            <w:tcBorders>
              <w:bottom w:val="single" w:sz="8" w:color="00249C"/>
            </w:tcBorders>
          </w:tcPr>
          <w:p>
            <w:pPr>
              <w:jc w:val="center"/>
              <w:spacing w:after="0"/>
              <w:rPr>
                <w:sz w:val="20"/>
                <w:szCs w:val="20"/>
                <w:color w:val="auto"/>
              </w:rPr>
            </w:pPr>
            <w:r>
              <w:rPr>
                <w:rFonts w:ascii="Arial" w:cs="Arial" w:eastAsia="Arial" w:hAnsi="Arial"/>
                <w:sz w:val="14"/>
                <w:szCs w:val="14"/>
                <w:color w:val="auto"/>
              </w:rPr>
              <w:t>2/12/2020</w:t>
            </w:r>
          </w:p>
        </w:tc>
        <w:tc>
          <w:tcPr>
            <w:tcW w:w="800" w:type="dxa"/>
            <w:vAlign w:val="bottom"/>
            <w:tcBorders>
              <w:bottom w:val="single" w:sz="8" w:color="00249C"/>
            </w:tcBorders>
          </w:tcPr>
          <w:p>
            <w:pPr>
              <w:spacing w:after="0"/>
              <w:rPr>
                <w:sz w:val="18"/>
                <w:szCs w:val="18"/>
                <w:color w:val="auto"/>
              </w:rPr>
            </w:pPr>
          </w:p>
        </w:tc>
        <w:tc>
          <w:tcPr>
            <w:tcW w:w="1080" w:type="dxa"/>
            <w:vAlign w:val="bottom"/>
            <w:tcBorders>
              <w:bottom w:val="single" w:sz="8" w:color="00249C"/>
            </w:tcBorders>
          </w:tcPr>
          <w:p>
            <w:pPr>
              <w:spacing w:after="0"/>
              <w:rPr>
                <w:sz w:val="18"/>
                <w:szCs w:val="18"/>
                <w:color w:val="auto"/>
              </w:rPr>
            </w:pPr>
          </w:p>
        </w:tc>
        <w:tc>
          <w:tcPr>
            <w:tcW w:w="840" w:type="dxa"/>
            <w:vAlign w:val="bottom"/>
            <w:tcBorders>
              <w:bottom w:val="single" w:sz="8" w:color="00249C"/>
            </w:tcBorders>
          </w:tcPr>
          <w:p>
            <w:pPr>
              <w:spacing w:after="0"/>
              <w:rPr>
                <w:sz w:val="18"/>
                <w:szCs w:val="18"/>
                <w:color w:val="auto"/>
              </w:rPr>
            </w:pPr>
          </w:p>
        </w:tc>
        <w:tc>
          <w:tcPr>
            <w:tcW w:w="880" w:type="dxa"/>
            <w:vAlign w:val="bottom"/>
            <w:tcBorders>
              <w:bottom w:val="single" w:sz="8" w:color="00249C"/>
            </w:tcBorders>
          </w:tcPr>
          <w:p>
            <w:pPr>
              <w:spacing w:after="0"/>
              <w:rPr>
                <w:sz w:val="18"/>
                <w:szCs w:val="18"/>
                <w:color w:val="auto"/>
              </w:rPr>
            </w:pPr>
          </w:p>
        </w:tc>
        <w:tc>
          <w:tcPr>
            <w:tcW w:w="1080" w:type="dxa"/>
            <w:vAlign w:val="bottom"/>
            <w:tcBorders>
              <w:bottom w:val="single" w:sz="8" w:color="00249C"/>
            </w:tcBorders>
          </w:tcPr>
          <w:p>
            <w:pPr>
              <w:spacing w:after="0"/>
              <w:rPr>
                <w:sz w:val="18"/>
                <w:szCs w:val="18"/>
                <w:color w:val="auto"/>
              </w:rPr>
            </w:pPr>
          </w:p>
        </w:tc>
        <w:tc>
          <w:tcPr>
            <w:tcW w:w="800" w:type="dxa"/>
            <w:vAlign w:val="bottom"/>
            <w:tcBorders>
              <w:bottom w:val="single" w:sz="8" w:color="00249C"/>
            </w:tcBorders>
          </w:tcPr>
          <w:p>
            <w:pPr>
              <w:spacing w:after="0"/>
              <w:rPr>
                <w:sz w:val="18"/>
                <w:szCs w:val="18"/>
                <w:color w:val="auto"/>
              </w:rPr>
            </w:pPr>
          </w:p>
        </w:tc>
        <w:tc>
          <w:tcPr>
            <w:tcW w:w="920" w:type="dxa"/>
            <w:vAlign w:val="bottom"/>
            <w:tcBorders>
              <w:bottom w:val="single" w:sz="8" w:color="00249C"/>
            </w:tcBorders>
          </w:tcPr>
          <w:p>
            <w:pPr>
              <w:jc w:val="center"/>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00249C"/>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20" w:right="220" w:hanging="412"/>
        <w:spacing w:after="0" w:line="261" w:lineRule="auto"/>
        <w:tabs>
          <w:tab w:leader="none" w:pos="437"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Represents the potential range of payouts under the Company's AIP. Actual payouts are shown in the Summary Compensation Table column entitled "Non-Equity Incentive Plan Compensation" on page 58.</w:t>
      </w:r>
    </w:p>
    <w:p>
      <w:pPr>
        <w:spacing w:after="0" w:line="76" w:lineRule="exact"/>
        <w:rPr>
          <w:rFonts w:ascii="Arial" w:cs="Arial" w:eastAsia="Arial" w:hAnsi="Arial"/>
          <w:sz w:val="18"/>
          <w:szCs w:val="18"/>
          <w:color w:val="auto"/>
        </w:rPr>
      </w:pPr>
    </w:p>
    <w:p>
      <w:pPr>
        <w:ind w:left="420" w:right="120" w:hanging="412"/>
        <w:spacing w:after="0" w:line="261" w:lineRule="auto"/>
        <w:tabs>
          <w:tab w:leader="none" w:pos="437"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These amounts relate to RPSRs granted in 2020 under the 2011 Plan. For additional details on our RPSRs, refer to "Key Components of Our Programs - Long-Term Incentive Compensation" on page 52.</w:t>
      </w:r>
    </w:p>
    <w:p>
      <w:pPr>
        <w:spacing w:after="0" w:line="76" w:lineRule="exact"/>
        <w:rPr>
          <w:rFonts w:ascii="Arial" w:cs="Arial" w:eastAsia="Arial" w:hAnsi="Arial"/>
          <w:sz w:val="18"/>
          <w:szCs w:val="18"/>
          <w:color w:val="auto"/>
        </w:rPr>
      </w:pPr>
    </w:p>
    <w:p>
      <w:pPr>
        <w:ind w:left="420" w:right="160" w:hanging="412"/>
        <w:spacing w:after="0" w:line="261" w:lineRule="auto"/>
        <w:tabs>
          <w:tab w:leader="none" w:pos="437"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These amounts relate to RSRs granted in 2020 under the 2011 Plan. For additional details on our RSRs, refer to "Key Components of Our Programs - Long-Term Incentive Compensation" on page 52.</w:t>
      </w:r>
    </w:p>
    <w:p>
      <w:pPr>
        <w:spacing w:after="0" w:line="62" w:lineRule="exact"/>
        <w:rPr>
          <w:rFonts w:ascii="Arial" w:cs="Arial" w:eastAsia="Arial" w:hAnsi="Arial"/>
          <w:sz w:val="18"/>
          <w:szCs w:val="18"/>
          <w:color w:val="auto"/>
        </w:rPr>
      </w:pPr>
    </w:p>
    <w:p>
      <w:pPr>
        <w:ind w:left="440" w:hanging="432"/>
        <w:spacing w:after="0"/>
        <w:tabs>
          <w:tab w:leader="none" w:pos="4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fair value of awards was computed in accordance with FASB ASC Topic 718.</w:t>
      </w:r>
    </w:p>
    <w:p>
      <w:pPr>
        <w:spacing w:after="0" w:line="103" w:lineRule="exact"/>
        <w:rPr>
          <w:rFonts w:ascii="Arial" w:cs="Arial" w:eastAsia="Arial" w:hAnsi="Arial"/>
          <w:sz w:val="18"/>
          <w:szCs w:val="18"/>
          <w:color w:val="auto"/>
        </w:rPr>
      </w:pPr>
    </w:p>
    <w:p>
      <w:pPr>
        <w:ind w:left="420" w:right="220" w:hanging="412"/>
        <w:spacing w:after="0" w:line="256" w:lineRule="auto"/>
        <w:tabs>
          <w:tab w:leader="none" w:pos="437" w:val="left"/>
        </w:tabs>
        <w:numPr>
          <w:ilvl w:val="0"/>
          <w:numId w:val="70"/>
        </w:numPr>
        <w:rPr>
          <w:rFonts w:ascii="Arial" w:cs="Arial" w:eastAsia="Arial" w:hAnsi="Arial"/>
          <w:sz w:val="18"/>
          <w:szCs w:val="18"/>
          <w:color w:val="auto"/>
        </w:rPr>
      </w:pPr>
      <w:r>
        <w:rPr>
          <w:rFonts w:ascii="Arial" w:cs="Arial" w:eastAsia="Arial" w:hAnsi="Arial"/>
          <w:sz w:val="18"/>
          <w:szCs w:val="18"/>
          <w:color w:val="auto"/>
        </w:rPr>
        <w:t>Mr. Keffer was granted a sign-on RPSR and RSR award on May 5, 2020. The RPSR grant vests based on performance for the three-year performance period ending on December 31, 2022. The RSR grant vests three years from the date of grant. Mr. Keffer must remain employed through the vesting period to earn the awards.</w:t>
      </w:r>
    </w:p>
    <w:p>
      <w:pPr>
        <w:spacing w:after="0" w:line="80" w:lineRule="exact"/>
        <w:rPr>
          <w:rFonts w:ascii="Arial" w:cs="Arial" w:eastAsia="Arial" w:hAnsi="Arial"/>
          <w:sz w:val="18"/>
          <w:szCs w:val="18"/>
          <w:color w:val="auto"/>
        </w:rPr>
      </w:pPr>
    </w:p>
    <w:p>
      <w:pPr>
        <w:ind w:left="420" w:right="80" w:hanging="412"/>
        <w:spacing w:after="0" w:line="291" w:lineRule="auto"/>
        <w:tabs>
          <w:tab w:leader="none" w:pos="437" w:val="left"/>
        </w:tabs>
        <w:numPr>
          <w:ilvl w:val="0"/>
          <w:numId w:val="70"/>
        </w:numPr>
        <w:rPr>
          <w:rFonts w:ascii="Arial" w:cs="Arial" w:eastAsia="Arial" w:hAnsi="Arial"/>
          <w:sz w:val="17"/>
          <w:szCs w:val="17"/>
          <w:color w:val="auto"/>
        </w:rPr>
      </w:pPr>
      <w:r>
        <w:rPr>
          <w:rFonts w:ascii="Arial" w:cs="Arial" w:eastAsia="Arial" w:hAnsi="Arial"/>
          <w:sz w:val="17"/>
          <w:szCs w:val="17"/>
          <w:color w:val="auto"/>
        </w:rPr>
        <w:t>Mr. Larson and Mr. Pamiljans were granted retention RSR awards on February 12, 2020. The awards do not include retirement provisions and will vest on December 31, 2021. However, Mr. Pamiljans retired on February 26, 2021 and forfeited the retention award.</w:t>
      </w:r>
    </w:p>
    <w:p>
      <w:pPr>
        <w:spacing w:after="0" w:line="38" w:lineRule="exact"/>
        <w:rPr>
          <w:rFonts w:ascii="Arial" w:cs="Arial" w:eastAsia="Arial" w:hAnsi="Arial"/>
          <w:sz w:val="17"/>
          <w:szCs w:val="17"/>
          <w:color w:val="auto"/>
        </w:rPr>
      </w:pPr>
    </w:p>
    <w:p>
      <w:pPr>
        <w:ind w:left="420" w:right="500" w:hanging="412"/>
        <w:spacing w:after="0" w:line="261" w:lineRule="auto"/>
        <w:tabs>
          <w:tab w:leader="none" w:pos="437" w:val="left"/>
        </w:tabs>
        <w:numPr>
          <w:ilvl w:val="0"/>
          <w:numId w:val="70"/>
        </w:numPr>
        <w:rPr>
          <w:rFonts w:ascii="Arial" w:cs="Arial" w:eastAsia="Arial" w:hAnsi="Arial"/>
          <w:sz w:val="18"/>
          <w:szCs w:val="18"/>
          <w:color w:val="auto"/>
        </w:rPr>
      </w:pPr>
      <w:r>
        <w:rPr>
          <w:rFonts w:ascii="Arial" w:cs="Arial" w:eastAsia="Arial" w:hAnsi="Arial"/>
          <w:sz w:val="18"/>
          <w:szCs w:val="18"/>
          <w:color w:val="auto"/>
        </w:rPr>
        <w:t>Mr. Bedingfield's non-equity incentive plan award represents the portion of his severance payment equal to the prorated bonus he would have received under the Company's AIP.</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1220"/>
          </w:cols>
          <w:pgMar w:left="320" w:top="607" w:right="359" w:bottom="1440" w:gutter="0" w:footer="0" w:header="0"/>
        </w:sectPr>
      </w:pPr>
    </w:p>
    <w:bookmarkStart w:id="66" w:name="page67"/>
    <w:bookmarkEnd w:id="66"/>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5314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 xml:space="preserve">COMPENSATION TABLES | </w:t>
      </w:r>
      <w:r>
        <w:rPr>
          <w:rFonts w:ascii="Arial" w:cs="Arial" w:eastAsia="Arial" w:hAnsi="Arial"/>
          <w:sz w:val="17"/>
          <w:szCs w:val="17"/>
          <w:b w:val="1"/>
          <w:bCs w:val="1"/>
          <w:color w:val="FFFFFF"/>
        </w:rPr>
        <w:t>OUTSTANDING EQUITY AWARDS TABLE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Outstanding Equity Awards at 2020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00" w:type="dxa"/>
            <w:vAlign w:val="bottom"/>
            <w:shd w:val="clear" w:color="auto" w:fill="00249C"/>
          </w:tcPr>
          <w:p>
            <w:pPr>
              <w:spacing w:after="0"/>
              <w:rPr>
                <w:sz w:val="13"/>
                <w:szCs w:val="13"/>
                <w:color w:val="auto"/>
              </w:rPr>
            </w:pPr>
          </w:p>
        </w:tc>
        <w:tc>
          <w:tcPr>
            <w:tcW w:w="1040" w:type="dxa"/>
            <w:vAlign w:val="bottom"/>
            <w:shd w:val="clear" w:color="auto" w:fill="00249C"/>
          </w:tcPr>
          <w:p>
            <w:pPr>
              <w:spacing w:after="0"/>
              <w:rPr>
                <w:sz w:val="13"/>
                <w:szCs w:val="13"/>
                <w:color w:val="auto"/>
              </w:rPr>
            </w:pPr>
          </w:p>
        </w:tc>
        <w:tc>
          <w:tcPr>
            <w:tcW w:w="1320" w:type="dxa"/>
            <w:vAlign w:val="bottom"/>
            <w:shd w:val="clear" w:color="auto" w:fill="00249C"/>
          </w:tcPr>
          <w:p>
            <w:pPr>
              <w:spacing w:after="0"/>
              <w:rPr>
                <w:sz w:val="13"/>
                <w:szCs w:val="13"/>
                <w:color w:val="auto"/>
              </w:rPr>
            </w:pPr>
          </w:p>
        </w:tc>
        <w:tc>
          <w:tcPr>
            <w:tcW w:w="1760" w:type="dxa"/>
            <w:vAlign w:val="bottom"/>
            <w:shd w:val="clear" w:color="auto" w:fill="00249C"/>
          </w:tcPr>
          <w:p>
            <w:pPr>
              <w:spacing w:after="0"/>
              <w:rPr>
                <w:sz w:val="13"/>
                <w:szCs w:val="13"/>
                <w:color w:val="auto"/>
              </w:rPr>
            </w:pPr>
          </w:p>
        </w:tc>
        <w:tc>
          <w:tcPr>
            <w:tcW w:w="1400" w:type="dxa"/>
            <w:vAlign w:val="bottom"/>
            <w:shd w:val="clear" w:color="auto" w:fill="00249C"/>
          </w:tcPr>
          <w:p>
            <w:pPr>
              <w:jc w:val="center"/>
              <w:spacing w:after="0"/>
              <w:rPr>
                <w:sz w:val="20"/>
                <w:szCs w:val="20"/>
                <w:color w:val="auto"/>
              </w:rPr>
            </w:pPr>
            <w:r>
              <w:rPr>
                <w:rFonts w:ascii="Arial" w:cs="Arial" w:eastAsia="Arial" w:hAnsi="Arial"/>
                <w:sz w:val="13"/>
                <w:szCs w:val="13"/>
                <w:b w:val="1"/>
                <w:bCs w:val="1"/>
                <w:color w:val="FFFFFF"/>
                <w:w w:val="96"/>
              </w:rPr>
              <w:t>Equity Incentive</w:t>
            </w:r>
          </w:p>
        </w:tc>
        <w:tc>
          <w:tcPr>
            <w:tcW w:w="1520" w:type="dxa"/>
            <w:vAlign w:val="bottom"/>
            <w:vMerge w:val="restart"/>
            <w:shd w:val="clear" w:color="auto" w:fill="00249C"/>
          </w:tcPr>
          <w:p>
            <w:pPr>
              <w:jc w:val="center"/>
              <w:ind w:left="91"/>
              <w:spacing w:after="0"/>
              <w:rPr>
                <w:sz w:val="20"/>
                <w:szCs w:val="20"/>
                <w:color w:val="auto"/>
              </w:rPr>
            </w:pPr>
            <w:r>
              <w:rPr>
                <w:rFonts w:ascii="Arial" w:cs="Arial" w:eastAsia="Arial" w:hAnsi="Arial"/>
                <w:sz w:val="13"/>
                <w:szCs w:val="13"/>
                <w:b w:val="1"/>
                <w:bCs w:val="1"/>
                <w:color w:val="FFFFFF"/>
                <w:w w:val="97"/>
              </w:rPr>
              <w:t>Equity Incentive Plan</w:t>
            </w:r>
          </w:p>
        </w:tc>
        <w:tc>
          <w:tcPr>
            <w:tcW w:w="0" w:type="dxa"/>
            <w:vAlign w:val="bottom"/>
          </w:tcPr>
          <w:p>
            <w:pPr>
              <w:spacing w:after="0"/>
              <w:rPr>
                <w:sz w:val="1"/>
                <w:szCs w:val="1"/>
                <w:color w:val="auto"/>
              </w:rPr>
            </w:pPr>
          </w:p>
        </w:tc>
      </w:tr>
      <w:tr>
        <w:trPr>
          <w:trHeight w:val="121"/>
        </w:trPr>
        <w:tc>
          <w:tcPr>
            <w:tcW w:w="4200" w:type="dxa"/>
            <w:vAlign w:val="bottom"/>
            <w:shd w:val="clear" w:color="auto" w:fill="00249C"/>
          </w:tcPr>
          <w:p>
            <w:pPr>
              <w:spacing w:after="0"/>
              <w:rPr>
                <w:sz w:val="10"/>
                <w:szCs w:val="10"/>
                <w:color w:val="auto"/>
              </w:rPr>
            </w:pPr>
          </w:p>
        </w:tc>
        <w:tc>
          <w:tcPr>
            <w:tcW w:w="1040" w:type="dxa"/>
            <w:vAlign w:val="bottom"/>
            <w:shd w:val="clear" w:color="auto" w:fill="00249C"/>
          </w:tcPr>
          <w:p>
            <w:pPr>
              <w:spacing w:after="0"/>
              <w:rPr>
                <w:sz w:val="10"/>
                <w:szCs w:val="10"/>
                <w:color w:val="auto"/>
              </w:rPr>
            </w:pPr>
          </w:p>
        </w:tc>
        <w:tc>
          <w:tcPr>
            <w:tcW w:w="1320" w:type="dxa"/>
            <w:vAlign w:val="bottom"/>
            <w:shd w:val="clear" w:color="auto" w:fill="00249C"/>
          </w:tcPr>
          <w:p>
            <w:pPr>
              <w:spacing w:after="0"/>
              <w:rPr>
                <w:sz w:val="10"/>
                <w:szCs w:val="10"/>
                <w:color w:val="auto"/>
              </w:rPr>
            </w:pPr>
          </w:p>
        </w:tc>
        <w:tc>
          <w:tcPr>
            <w:tcW w:w="1760" w:type="dxa"/>
            <w:vAlign w:val="bottom"/>
            <w:shd w:val="clear" w:color="auto" w:fill="00249C"/>
          </w:tcPr>
          <w:p>
            <w:pPr>
              <w:spacing w:after="0"/>
              <w:rPr>
                <w:sz w:val="10"/>
                <w:szCs w:val="10"/>
                <w:color w:val="auto"/>
              </w:rPr>
            </w:pPr>
          </w:p>
        </w:tc>
        <w:tc>
          <w:tcPr>
            <w:tcW w:w="1400" w:type="dxa"/>
            <w:vAlign w:val="bottom"/>
            <w:shd w:val="clear" w:color="auto" w:fill="00249C"/>
          </w:tcPr>
          <w:p>
            <w:pPr>
              <w:jc w:val="center"/>
              <w:spacing w:after="0" w:line="122" w:lineRule="exact"/>
              <w:rPr>
                <w:sz w:val="20"/>
                <w:szCs w:val="20"/>
                <w:color w:val="auto"/>
              </w:rPr>
            </w:pPr>
            <w:r>
              <w:rPr>
                <w:rFonts w:ascii="Arial" w:cs="Arial" w:eastAsia="Arial" w:hAnsi="Arial"/>
                <w:sz w:val="13"/>
                <w:szCs w:val="13"/>
                <w:b w:val="1"/>
                <w:bCs w:val="1"/>
                <w:color w:val="FFFFFF"/>
                <w:w w:val="97"/>
              </w:rPr>
              <w:t>Plan Awards:</w:t>
            </w:r>
          </w:p>
        </w:tc>
        <w:tc>
          <w:tcPr>
            <w:tcW w:w="1520" w:type="dxa"/>
            <w:vAlign w:val="bottom"/>
            <w:vMerge w:val="continue"/>
            <w:shd w:val="clear" w:color="auto" w:fill="00249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200" w:type="dxa"/>
            <w:vAlign w:val="bottom"/>
            <w:shd w:val="clear" w:color="auto" w:fill="00249C"/>
          </w:tcPr>
          <w:p>
            <w:pPr>
              <w:spacing w:after="0"/>
              <w:rPr>
                <w:sz w:val="10"/>
                <w:szCs w:val="10"/>
                <w:color w:val="auto"/>
              </w:rPr>
            </w:pPr>
          </w:p>
        </w:tc>
        <w:tc>
          <w:tcPr>
            <w:tcW w:w="1040" w:type="dxa"/>
            <w:vAlign w:val="bottom"/>
            <w:shd w:val="clear" w:color="auto" w:fill="00249C"/>
          </w:tcPr>
          <w:p>
            <w:pPr>
              <w:spacing w:after="0"/>
              <w:rPr>
                <w:sz w:val="10"/>
                <w:szCs w:val="10"/>
                <w:color w:val="auto"/>
              </w:rPr>
            </w:pPr>
          </w:p>
        </w:tc>
        <w:tc>
          <w:tcPr>
            <w:tcW w:w="1320" w:type="dxa"/>
            <w:vAlign w:val="bottom"/>
            <w:shd w:val="clear" w:color="auto" w:fill="00249C"/>
          </w:tcPr>
          <w:p>
            <w:pPr>
              <w:spacing w:after="0"/>
              <w:rPr>
                <w:sz w:val="10"/>
                <w:szCs w:val="10"/>
                <w:color w:val="auto"/>
              </w:rPr>
            </w:pPr>
          </w:p>
        </w:tc>
        <w:tc>
          <w:tcPr>
            <w:tcW w:w="1760" w:type="dxa"/>
            <w:vAlign w:val="bottom"/>
            <w:shd w:val="clear" w:color="auto" w:fill="00249C"/>
          </w:tcPr>
          <w:p>
            <w:pPr>
              <w:spacing w:after="0"/>
              <w:rPr>
                <w:sz w:val="10"/>
                <w:szCs w:val="10"/>
                <w:color w:val="auto"/>
              </w:rPr>
            </w:pPr>
          </w:p>
        </w:tc>
        <w:tc>
          <w:tcPr>
            <w:tcW w:w="1400" w:type="dxa"/>
            <w:vAlign w:val="bottom"/>
            <w:shd w:val="clear" w:color="auto" w:fill="00249C"/>
          </w:tcPr>
          <w:p>
            <w:pPr>
              <w:jc w:val="center"/>
              <w:spacing w:after="0" w:line="122" w:lineRule="exact"/>
              <w:rPr>
                <w:sz w:val="20"/>
                <w:szCs w:val="20"/>
                <w:color w:val="auto"/>
              </w:rPr>
            </w:pPr>
            <w:r>
              <w:rPr>
                <w:rFonts w:ascii="Arial" w:cs="Arial" w:eastAsia="Arial" w:hAnsi="Arial"/>
                <w:sz w:val="13"/>
                <w:szCs w:val="13"/>
                <w:b w:val="1"/>
                <w:bCs w:val="1"/>
                <w:color w:val="FFFFFF"/>
                <w:w w:val="95"/>
              </w:rPr>
              <w:t>Number of</w:t>
            </w:r>
          </w:p>
        </w:tc>
        <w:tc>
          <w:tcPr>
            <w:tcW w:w="1520" w:type="dxa"/>
            <w:vAlign w:val="bottom"/>
            <w:shd w:val="clear" w:color="auto" w:fill="00249C"/>
          </w:tcPr>
          <w:p>
            <w:pPr>
              <w:jc w:val="center"/>
              <w:ind w:left="91"/>
              <w:spacing w:after="0" w:line="122" w:lineRule="exact"/>
              <w:rPr>
                <w:sz w:val="20"/>
                <w:szCs w:val="20"/>
                <w:color w:val="auto"/>
              </w:rPr>
            </w:pPr>
            <w:r>
              <w:rPr>
                <w:rFonts w:ascii="Arial" w:cs="Arial" w:eastAsia="Arial" w:hAnsi="Arial"/>
                <w:sz w:val="13"/>
                <w:szCs w:val="13"/>
                <w:b w:val="1"/>
                <w:bCs w:val="1"/>
                <w:color w:val="FFFFFF"/>
                <w:w w:val="95"/>
              </w:rPr>
              <w:t>Awards: Market or</w:t>
            </w:r>
          </w:p>
        </w:tc>
        <w:tc>
          <w:tcPr>
            <w:tcW w:w="0" w:type="dxa"/>
            <w:vAlign w:val="bottom"/>
          </w:tcPr>
          <w:p>
            <w:pPr>
              <w:spacing w:after="0"/>
              <w:rPr>
                <w:sz w:val="1"/>
                <w:szCs w:val="1"/>
                <w:color w:val="auto"/>
              </w:rPr>
            </w:pPr>
          </w:p>
        </w:tc>
      </w:tr>
      <w:tr>
        <w:trPr>
          <w:trHeight w:val="122"/>
        </w:trPr>
        <w:tc>
          <w:tcPr>
            <w:tcW w:w="4200" w:type="dxa"/>
            <w:vAlign w:val="bottom"/>
            <w:shd w:val="clear" w:color="auto" w:fill="00249C"/>
          </w:tcPr>
          <w:p>
            <w:pPr>
              <w:spacing w:after="0"/>
              <w:rPr>
                <w:sz w:val="10"/>
                <w:szCs w:val="10"/>
                <w:color w:val="auto"/>
              </w:rPr>
            </w:pPr>
          </w:p>
        </w:tc>
        <w:tc>
          <w:tcPr>
            <w:tcW w:w="1040" w:type="dxa"/>
            <w:vAlign w:val="bottom"/>
            <w:shd w:val="clear" w:color="auto" w:fill="00249C"/>
          </w:tcPr>
          <w:p>
            <w:pPr>
              <w:spacing w:after="0"/>
              <w:rPr>
                <w:sz w:val="10"/>
                <w:szCs w:val="10"/>
                <w:color w:val="auto"/>
              </w:rPr>
            </w:pPr>
          </w:p>
        </w:tc>
        <w:tc>
          <w:tcPr>
            <w:tcW w:w="1320" w:type="dxa"/>
            <w:vAlign w:val="bottom"/>
            <w:vMerge w:val="restart"/>
            <w:shd w:val="clear" w:color="auto" w:fill="00249C"/>
          </w:tcPr>
          <w:p>
            <w:pPr>
              <w:jc w:val="center"/>
              <w:ind w:right="50"/>
              <w:spacing w:after="0"/>
              <w:rPr>
                <w:sz w:val="20"/>
                <w:szCs w:val="20"/>
                <w:color w:val="auto"/>
              </w:rPr>
            </w:pPr>
            <w:r>
              <w:rPr>
                <w:rFonts w:ascii="Arial" w:cs="Arial" w:eastAsia="Arial" w:hAnsi="Arial"/>
                <w:sz w:val="13"/>
                <w:szCs w:val="13"/>
                <w:b w:val="1"/>
                <w:bCs w:val="1"/>
                <w:color w:val="FFFFFF"/>
                <w:w w:val="96"/>
              </w:rPr>
              <w:t>Number of Shares</w:t>
            </w:r>
          </w:p>
        </w:tc>
        <w:tc>
          <w:tcPr>
            <w:tcW w:w="1760" w:type="dxa"/>
            <w:vAlign w:val="bottom"/>
            <w:shd w:val="clear" w:color="auto" w:fill="00249C"/>
          </w:tcPr>
          <w:p>
            <w:pPr>
              <w:spacing w:after="0"/>
              <w:rPr>
                <w:sz w:val="10"/>
                <w:szCs w:val="10"/>
                <w:color w:val="auto"/>
              </w:rPr>
            </w:pPr>
          </w:p>
        </w:tc>
        <w:tc>
          <w:tcPr>
            <w:tcW w:w="1400" w:type="dxa"/>
            <w:vAlign w:val="bottom"/>
            <w:shd w:val="clear" w:color="auto" w:fill="00249C"/>
          </w:tcPr>
          <w:p>
            <w:pPr>
              <w:jc w:val="center"/>
              <w:spacing w:after="0" w:line="122" w:lineRule="exact"/>
              <w:rPr>
                <w:sz w:val="20"/>
                <w:szCs w:val="20"/>
                <w:color w:val="auto"/>
              </w:rPr>
            </w:pPr>
            <w:r>
              <w:rPr>
                <w:rFonts w:ascii="Arial" w:cs="Arial" w:eastAsia="Arial" w:hAnsi="Arial"/>
                <w:sz w:val="13"/>
                <w:szCs w:val="13"/>
                <w:b w:val="1"/>
                <w:bCs w:val="1"/>
                <w:color w:val="FFFFFF"/>
                <w:w w:val="96"/>
              </w:rPr>
              <w:t>Unearned</w:t>
            </w:r>
          </w:p>
        </w:tc>
        <w:tc>
          <w:tcPr>
            <w:tcW w:w="1520" w:type="dxa"/>
            <w:vAlign w:val="bottom"/>
            <w:shd w:val="clear" w:color="auto" w:fill="00249C"/>
          </w:tcPr>
          <w:p>
            <w:pPr>
              <w:jc w:val="center"/>
              <w:ind w:left="71"/>
              <w:spacing w:after="0" w:line="122" w:lineRule="exact"/>
              <w:rPr>
                <w:sz w:val="20"/>
                <w:szCs w:val="20"/>
                <w:color w:val="auto"/>
              </w:rPr>
            </w:pPr>
            <w:r>
              <w:rPr>
                <w:rFonts w:ascii="Arial" w:cs="Arial" w:eastAsia="Arial" w:hAnsi="Arial"/>
                <w:sz w:val="13"/>
                <w:szCs w:val="13"/>
                <w:b w:val="1"/>
                <w:bCs w:val="1"/>
                <w:color w:val="FFFFFF"/>
                <w:w w:val="96"/>
              </w:rPr>
              <w:t>Payout Value of</w:t>
            </w:r>
          </w:p>
        </w:tc>
        <w:tc>
          <w:tcPr>
            <w:tcW w:w="0" w:type="dxa"/>
            <w:vAlign w:val="bottom"/>
          </w:tcPr>
          <w:p>
            <w:pPr>
              <w:spacing w:after="0"/>
              <w:rPr>
                <w:sz w:val="1"/>
                <w:szCs w:val="1"/>
                <w:color w:val="auto"/>
              </w:rPr>
            </w:pPr>
          </w:p>
        </w:tc>
      </w:tr>
      <w:tr>
        <w:trPr>
          <w:trHeight w:val="122"/>
        </w:trPr>
        <w:tc>
          <w:tcPr>
            <w:tcW w:w="4200" w:type="dxa"/>
            <w:vAlign w:val="bottom"/>
            <w:shd w:val="clear" w:color="auto" w:fill="00249C"/>
          </w:tcPr>
          <w:p>
            <w:pPr>
              <w:spacing w:after="0"/>
              <w:rPr>
                <w:sz w:val="10"/>
                <w:szCs w:val="10"/>
                <w:color w:val="auto"/>
              </w:rPr>
            </w:pPr>
          </w:p>
        </w:tc>
        <w:tc>
          <w:tcPr>
            <w:tcW w:w="1040" w:type="dxa"/>
            <w:vAlign w:val="bottom"/>
            <w:shd w:val="clear" w:color="auto" w:fill="00249C"/>
          </w:tcPr>
          <w:p>
            <w:pPr>
              <w:spacing w:after="0"/>
              <w:rPr>
                <w:sz w:val="10"/>
                <w:szCs w:val="10"/>
                <w:color w:val="auto"/>
              </w:rPr>
            </w:pPr>
          </w:p>
        </w:tc>
        <w:tc>
          <w:tcPr>
            <w:tcW w:w="1320" w:type="dxa"/>
            <w:vAlign w:val="bottom"/>
            <w:vMerge w:val="continue"/>
            <w:shd w:val="clear" w:color="auto" w:fill="00249C"/>
          </w:tcPr>
          <w:p>
            <w:pPr>
              <w:spacing w:after="0"/>
              <w:rPr>
                <w:sz w:val="10"/>
                <w:szCs w:val="10"/>
                <w:color w:val="auto"/>
              </w:rPr>
            </w:pPr>
          </w:p>
        </w:tc>
        <w:tc>
          <w:tcPr>
            <w:tcW w:w="1760" w:type="dxa"/>
            <w:vAlign w:val="bottom"/>
            <w:vMerge w:val="restart"/>
            <w:shd w:val="clear" w:color="auto" w:fill="00249C"/>
          </w:tcPr>
          <w:p>
            <w:pPr>
              <w:jc w:val="center"/>
              <w:spacing w:after="0"/>
              <w:rPr>
                <w:sz w:val="20"/>
                <w:szCs w:val="20"/>
                <w:color w:val="auto"/>
              </w:rPr>
            </w:pPr>
            <w:r>
              <w:rPr>
                <w:rFonts w:ascii="Arial" w:cs="Arial" w:eastAsia="Arial" w:hAnsi="Arial"/>
                <w:sz w:val="13"/>
                <w:szCs w:val="13"/>
                <w:b w:val="1"/>
                <w:bCs w:val="1"/>
                <w:color w:val="FFFFFF"/>
                <w:w w:val="96"/>
              </w:rPr>
              <w:t>Market Value of Shares</w:t>
            </w:r>
          </w:p>
        </w:tc>
        <w:tc>
          <w:tcPr>
            <w:tcW w:w="1400" w:type="dxa"/>
            <w:vAlign w:val="bottom"/>
            <w:shd w:val="clear" w:color="auto" w:fill="00249C"/>
          </w:tcPr>
          <w:p>
            <w:pPr>
              <w:jc w:val="center"/>
              <w:spacing w:after="0" w:line="122" w:lineRule="exact"/>
              <w:rPr>
                <w:sz w:val="20"/>
                <w:szCs w:val="20"/>
                <w:color w:val="auto"/>
              </w:rPr>
            </w:pPr>
            <w:r>
              <w:rPr>
                <w:rFonts w:ascii="Arial" w:cs="Arial" w:eastAsia="Arial" w:hAnsi="Arial"/>
                <w:sz w:val="13"/>
                <w:szCs w:val="13"/>
                <w:b w:val="1"/>
                <w:bCs w:val="1"/>
                <w:color w:val="FFFFFF"/>
                <w:w w:val="97"/>
              </w:rPr>
              <w:t>Shares,</w:t>
            </w:r>
          </w:p>
        </w:tc>
        <w:tc>
          <w:tcPr>
            <w:tcW w:w="1520" w:type="dxa"/>
            <w:vAlign w:val="bottom"/>
            <w:shd w:val="clear" w:color="auto" w:fill="00249C"/>
          </w:tcPr>
          <w:p>
            <w:pPr>
              <w:jc w:val="center"/>
              <w:ind w:left="91"/>
              <w:spacing w:after="0" w:line="122" w:lineRule="exact"/>
              <w:rPr>
                <w:sz w:val="20"/>
                <w:szCs w:val="20"/>
                <w:color w:val="auto"/>
              </w:rPr>
            </w:pPr>
            <w:r>
              <w:rPr>
                <w:rFonts w:ascii="Arial" w:cs="Arial" w:eastAsia="Arial" w:hAnsi="Arial"/>
                <w:sz w:val="13"/>
                <w:szCs w:val="13"/>
                <w:b w:val="1"/>
                <w:bCs w:val="1"/>
                <w:color w:val="FFFFFF"/>
                <w:w w:val="97"/>
              </w:rPr>
              <w:t>Unearned Shares,</w:t>
            </w:r>
          </w:p>
        </w:tc>
        <w:tc>
          <w:tcPr>
            <w:tcW w:w="0" w:type="dxa"/>
            <w:vAlign w:val="bottom"/>
          </w:tcPr>
          <w:p>
            <w:pPr>
              <w:spacing w:after="0"/>
              <w:rPr>
                <w:sz w:val="1"/>
                <w:szCs w:val="1"/>
                <w:color w:val="auto"/>
              </w:rPr>
            </w:pPr>
          </w:p>
        </w:tc>
      </w:tr>
      <w:tr>
        <w:trPr>
          <w:trHeight w:val="122"/>
        </w:trPr>
        <w:tc>
          <w:tcPr>
            <w:tcW w:w="4200" w:type="dxa"/>
            <w:vAlign w:val="bottom"/>
            <w:shd w:val="clear" w:color="auto" w:fill="00249C"/>
          </w:tcPr>
          <w:p>
            <w:pPr>
              <w:spacing w:after="0"/>
              <w:rPr>
                <w:sz w:val="10"/>
                <w:szCs w:val="10"/>
                <w:color w:val="auto"/>
              </w:rPr>
            </w:pPr>
          </w:p>
        </w:tc>
        <w:tc>
          <w:tcPr>
            <w:tcW w:w="1040" w:type="dxa"/>
            <w:vAlign w:val="bottom"/>
            <w:shd w:val="clear" w:color="auto" w:fill="00249C"/>
          </w:tcPr>
          <w:p>
            <w:pPr>
              <w:spacing w:after="0"/>
              <w:rPr>
                <w:sz w:val="10"/>
                <w:szCs w:val="10"/>
                <w:color w:val="auto"/>
              </w:rPr>
            </w:pPr>
          </w:p>
        </w:tc>
        <w:tc>
          <w:tcPr>
            <w:tcW w:w="1320" w:type="dxa"/>
            <w:vAlign w:val="bottom"/>
            <w:shd w:val="clear" w:color="auto" w:fill="00249C"/>
          </w:tcPr>
          <w:p>
            <w:pPr>
              <w:jc w:val="center"/>
              <w:ind w:right="30"/>
              <w:spacing w:after="0" w:line="122" w:lineRule="exact"/>
              <w:rPr>
                <w:sz w:val="20"/>
                <w:szCs w:val="20"/>
                <w:color w:val="auto"/>
              </w:rPr>
            </w:pPr>
            <w:r>
              <w:rPr>
                <w:rFonts w:ascii="Arial" w:cs="Arial" w:eastAsia="Arial" w:hAnsi="Arial"/>
                <w:sz w:val="13"/>
                <w:szCs w:val="13"/>
                <w:b w:val="1"/>
                <w:bCs w:val="1"/>
                <w:color w:val="FFFFFF"/>
                <w:w w:val="98"/>
              </w:rPr>
              <w:t>or Units of Stock</w:t>
            </w:r>
          </w:p>
        </w:tc>
        <w:tc>
          <w:tcPr>
            <w:tcW w:w="1760" w:type="dxa"/>
            <w:vAlign w:val="bottom"/>
            <w:vMerge w:val="continue"/>
            <w:shd w:val="clear" w:color="auto" w:fill="00249C"/>
          </w:tcPr>
          <w:p>
            <w:pPr>
              <w:spacing w:after="0"/>
              <w:rPr>
                <w:sz w:val="10"/>
                <w:szCs w:val="10"/>
                <w:color w:val="auto"/>
              </w:rPr>
            </w:pPr>
          </w:p>
        </w:tc>
        <w:tc>
          <w:tcPr>
            <w:tcW w:w="1400" w:type="dxa"/>
            <w:vAlign w:val="bottom"/>
            <w:shd w:val="clear" w:color="auto" w:fill="00249C"/>
          </w:tcPr>
          <w:p>
            <w:pPr>
              <w:jc w:val="center"/>
              <w:spacing w:after="0" w:line="122" w:lineRule="exact"/>
              <w:rPr>
                <w:sz w:val="20"/>
                <w:szCs w:val="20"/>
                <w:color w:val="auto"/>
              </w:rPr>
            </w:pPr>
            <w:r>
              <w:rPr>
                <w:rFonts w:ascii="Arial" w:cs="Arial" w:eastAsia="Arial" w:hAnsi="Arial"/>
                <w:sz w:val="13"/>
                <w:szCs w:val="13"/>
                <w:b w:val="1"/>
                <w:bCs w:val="1"/>
                <w:color w:val="FFFFFF"/>
                <w:w w:val="96"/>
              </w:rPr>
              <w:t>Units or Other</w:t>
            </w:r>
          </w:p>
        </w:tc>
        <w:tc>
          <w:tcPr>
            <w:tcW w:w="1520" w:type="dxa"/>
            <w:vAlign w:val="bottom"/>
            <w:shd w:val="clear" w:color="auto" w:fill="00249C"/>
          </w:tcPr>
          <w:p>
            <w:pPr>
              <w:jc w:val="center"/>
              <w:ind w:left="91"/>
              <w:spacing w:after="0" w:line="122" w:lineRule="exact"/>
              <w:rPr>
                <w:sz w:val="20"/>
                <w:szCs w:val="20"/>
                <w:color w:val="auto"/>
              </w:rPr>
            </w:pPr>
            <w:r>
              <w:rPr>
                <w:rFonts w:ascii="Arial" w:cs="Arial" w:eastAsia="Arial" w:hAnsi="Arial"/>
                <w:sz w:val="13"/>
                <w:szCs w:val="13"/>
                <w:b w:val="1"/>
                <w:bCs w:val="1"/>
                <w:color w:val="FFFFFF"/>
                <w:w w:val="97"/>
              </w:rPr>
              <w:t>Units or Other Rights</w:t>
            </w:r>
          </w:p>
        </w:tc>
        <w:tc>
          <w:tcPr>
            <w:tcW w:w="0" w:type="dxa"/>
            <w:vAlign w:val="bottom"/>
          </w:tcPr>
          <w:p>
            <w:pPr>
              <w:spacing w:after="0"/>
              <w:rPr>
                <w:sz w:val="1"/>
                <w:szCs w:val="1"/>
                <w:color w:val="auto"/>
              </w:rPr>
            </w:pPr>
          </w:p>
        </w:tc>
      </w:tr>
      <w:tr>
        <w:trPr>
          <w:trHeight w:val="121"/>
        </w:trPr>
        <w:tc>
          <w:tcPr>
            <w:tcW w:w="4200" w:type="dxa"/>
            <w:vAlign w:val="bottom"/>
            <w:shd w:val="clear" w:color="auto" w:fill="00249C"/>
          </w:tcPr>
          <w:p>
            <w:pPr>
              <w:spacing w:after="0"/>
              <w:rPr>
                <w:sz w:val="10"/>
                <w:szCs w:val="10"/>
                <w:color w:val="auto"/>
              </w:rPr>
            </w:pPr>
          </w:p>
        </w:tc>
        <w:tc>
          <w:tcPr>
            <w:tcW w:w="1040" w:type="dxa"/>
            <w:vAlign w:val="bottom"/>
            <w:shd w:val="clear" w:color="auto" w:fill="00249C"/>
          </w:tcPr>
          <w:p>
            <w:pPr>
              <w:spacing w:after="0"/>
              <w:rPr>
                <w:sz w:val="10"/>
                <w:szCs w:val="10"/>
                <w:color w:val="auto"/>
              </w:rPr>
            </w:pPr>
          </w:p>
        </w:tc>
        <w:tc>
          <w:tcPr>
            <w:tcW w:w="1320" w:type="dxa"/>
            <w:vAlign w:val="bottom"/>
            <w:shd w:val="clear" w:color="auto" w:fill="00249C"/>
          </w:tcPr>
          <w:p>
            <w:pPr>
              <w:jc w:val="center"/>
              <w:ind w:right="30"/>
              <w:spacing w:after="0" w:line="122" w:lineRule="exact"/>
              <w:rPr>
                <w:sz w:val="20"/>
                <w:szCs w:val="20"/>
                <w:color w:val="auto"/>
              </w:rPr>
            </w:pPr>
            <w:r>
              <w:rPr>
                <w:rFonts w:ascii="Arial" w:cs="Arial" w:eastAsia="Arial" w:hAnsi="Arial"/>
                <w:sz w:val="13"/>
                <w:szCs w:val="13"/>
                <w:b w:val="1"/>
                <w:bCs w:val="1"/>
                <w:color w:val="FFFFFF"/>
                <w:w w:val="97"/>
              </w:rPr>
              <w:t>that Have Not</w:t>
            </w:r>
          </w:p>
        </w:tc>
        <w:tc>
          <w:tcPr>
            <w:tcW w:w="1760" w:type="dxa"/>
            <w:vAlign w:val="bottom"/>
            <w:shd w:val="clear" w:color="auto" w:fill="00249C"/>
          </w:tcPr>
          <w:p>
            <w:pPr>
              <w:jc w:val="center"/>
              <w:spacing w:after="0" w:line="122" w:lineRule="exact"/>
              <w:rPr>
                <w:sz w:val="20"/>
                <w:szCs w:val="20"/>
                <w:color w:val="auto"/>
              </w:rPr>
            </w:pPr>
            <w:r>
              <w:rPr>
                <w:rFonts w:ascii="Arial" w:cs="Arial" w:eastAsia="Arial" w:hAnsi="Arial"/>
                <w:sz w:val="13"/>
                <w:szCs w:val="13"/>
                <w:b w:val="1"/>
                <w:bCs w:val="1"/>
                <w:color w:val="FFFFFF"/>
                <w:w w:val="97"/>
              </w:rPr>
              <w:t>or Units of Stock that</w:t>
            </w:r>
          </w:p>
        </w:tc>
        <w:tc>
          <w:tcPr>
            <w:tcW w:w="1400" w:type="dxa"/>
            <w:vAlign w:val="bottom"/>
            <w:shd w:val="clear" w:color="auto" w:fill="00249C"/>
          </w:tcPr>
          <w:p>
            <w:pPr>
              <w:jc w:val="center"/>
              <w:spacing w:after="0" w:line="122" w:lineRule="exact"/>
              <w:rPr>
                <w:sz w:val="20"/>
                <w:szCs w:val="20"/>
                <w:color w:val="auto"/>
              </w:rPr>
            </w:pPr>
            <w:r>
              <w:rPr>
                <w:rFonts w:ascii="Arial" w:cs="Arial" w:eastAsia="Arial" w:hAnsi="Arial"/>
                <w:sz w:val="13"/>
                <w:szCs w:val="13"/>
                <w:b w:val="1"/>
                <w:bCs w:val="1"/>
                <w:color w:val="FFFFFF"/>
                <w:w w:val="97"/>
              </w:rPr>
              <w:t>Rights that Have</w:t>
            </w:r>
          </w:p>
        </w:tc>
        <w:tc>
          <w:tcPr>
            <w:tcW w:w="1520" w:type="dxa"/>
            <w:vAlign w:val="bottom"/>
            <w:shd w:val="clear" w:color="auto" w:fill="00249C"/>
          </w:tcPr>
          <w:p>
            <w:pPr>
              <w:jc w:val="center"/>
              <w:ind w:left="91"/>
              <w:spacing w:after="0" w:line="122" w:lineRule="exact"/>
              <w:rPr>
                <w:sz w:val="20"/>
                <w:szCs w:val="20"/>
                <w:color w:val="auto"/>
              </w:rPr>
            </w:pPr>
            <w:r>
              <w:rPr>
                <w:rFonts w:ascii="Arial" w:cs="Arial" w:eastAsia="Arial" w:hAnsi="Arial"/>
                <w:sz w:val="13"/>
                <w:szCs w:val="13"/>
                <w:b w:val="1"/>
                <w:bCs w:val="1"/>
                <w:color w:val="FFFFFF"/>
                <w:w w:val="95"/>
              </w:rPr>
              <w:t>that Have Not Vested</w:t>
            </w:r>
          </w:p>
        </w:tc>
        <w:tc>
          <w:tcPr>
            <w:tcW w:w="0" w:type="dxa"/>
            <w:vAlign w:val="bottom"/>
          </w:tcPr>
          <w:p>
            <w:pPr>
              <w:spacing w:after="0"/>
              <w:rPr>
                <w:sz w:val="1"/>
                <w:szCs w:val="1"/>
                <w:color w:val="auto"/>
              </w:rPr>
            </w:pPr>
          </w:p>
        </w:tc>
      </w:tr>
      <w:tr>
        <w:trPr>
          <w:trHeight w:val="122"/>
        </w:trPr>
        <w:tc>
          <w:tcPr>
            <w:tcW w:w="4200" w:type="dxa"/>
            <w:vAlign w:val="bottom"/>
            <w:vMerge w:val="restart"/>
            <w:shd w:val="clear" w:color="auto" w:fill="00249C"/>
          </w:tcPr>
          <w:p>
            <w:pPr>
              <w:ind w:left="60"/>
              <w:spacing w:after="0"/>
              <w:rPr>
                <w:sz w:val="20"/>
                <w:szCs w:val="20"/>
                <w:color w:val="auto"/>
              </w:rPr>
            </w:pPr>
            <w:r>
              <w:rPr>
                <w:rFonts w:ascii="Arial" w:cs="Arial" w:eastAsia="Arial" w:hAnsi="Arial"/>
                <w:sz w:val="13"/>
                <w:szCs w:val="13"/>
                <w:b w:val="1"/>
                <w:bCs w:val="1"/>
                <w:color w:val="FFFFFF"/>
              </w:rPr>
              <w:t>Name</w:t>
            </w:r>
          </w:p>
        </w:tc>
        <w:tc>
          <w:tcPr>
            <w:tcW w:w="1040" w:type="dxa"/>
            <w:vAlign w:val="bottom"/>
            <w:vMerge w:val="restart"/>
            <w:shd w:val="clear" w:color="auto" w:fill="00249C"/>
          </w:tcPr>
          <w:p>
            <w:pPr>
              <w:ind w:left="200"/>
              <w:spacing w:after="0"/>
              <w:rPr>
                <w:sz w:val="20"/>
                <w:szCs w:val="20"/>
                <w:color w:val="auto"/>
              </w:rPr>
            </w:pPr>
            <w:r>
              <w:rPr>
                <w:rFonts w:ascii="Arial" w:cs="Arial" w:eastAsia="Arial" w:hAnsi="Arial"/>
                <w:sz w:val="13"/>
                <w:szCs w:val="13"/>
                <w:b w:val="1"/>
                <w:bCs w:val="1"/>
                <w:color w:val="FFFFFF"/>
              </w:rPr>
              <w:t>Grant Date</w:t>
            </w:r>
          </w:p>
        </w:tc>
        <w:tc>
          <w:tcPr>
            <w:tcW w:w="1320" w:type="dxa"/>
            <w:vAlign w:val="bottom"/>
            <w:shd w:val="clear" w:color="auto" w:fill="00249C"/>
          </w:tcPr>
          <w:p>
            <w:pPr>
              <w:jc w:val="center"/>
              <w:ind w:right="50"/>
              <w:spacing w:after="0" w:line="122" w:lineRule="exact"/>
              <w:rPr>
                <w:sz w:val="20"/>
                <w:szCs w:val="20"/>
                <w:color w:val="auto"/>
              </w:rPr>
            </w:pPr>
            <w:r>
              <w:rPr>
                <w:rFonts w:ascii="Arial" w:cs="Arial" w:eastAsia="Arial" w:hAnsi="Arial"/>
                <w:sz w:val="13"/>
                <w:szCs w:val="13"/>
                <w:b w:val="1"/>
                <w:bCs w:val="1"/>
                <w:color w:val="FFFFFF"/>
                <w:w w:val="96"/>
              </w:rPr>
              <w:t>Vested (1)</w:t>
            </w:r>
          </w:p>
        </w:tc>
        <w:tc>
          <w:tcPr>
            <w:tcW w:w="1760" w:type="dxa"/>
            <w:vAlign w:val="bottom"/>
            <w:shd w:val="clear" w:color="auto" w:fill="00249C"/>
          </w:tcPr>
          <w:p>
            <w:pPr>
              <w:jc w:val="center"/>
              <w:spacing w:after="0" w:line="122" w:lineRule="exact"/>
              <w:rPr>
                <w:sz w:val="20"/>
                <w:szCs w:val="20"/>
                <w:color w:val="auto"/>
              </w:rPr>
            </w:pPr>
            <w:r>
              <w:rPr>
                <w:rFonts w:ascii="Arial" w:cs="Arial" w:eastAsia="Arial" w:hAnsi="Arial"/>
                <w:sz w:val="13"/>
                <w:szCs w:val="13"/>
                <w:b w:val="1"/>
                <w:bCs w:val="1"/>
                <w:color w:val="FFFFFF"/>
                <w:w w:val="96"/>
              </w:rPr>
              <w:t>Have Not Vested (2)</w:t>
            </w:r>
          </w:p>
        </w:tc>
        <w:tc>
          <w:tcPr>
            <w:tcW w:w="1400" w:type="dxa"/>
            <w:vAlign w:val="bottom"/>
            <w:shd w:val="clear" w:color="auto" w:fill="00249C"/>
          </w:tcPr>
          <w:p>
            <w:pPr>
              <w:jc w:val="center"/>
              <w:spacing w:after="0" w:line="122" w:lineRule="exact"/>
              <w:rPr>
                <w:sz w:val="20"/>
                <w:szCs w:val="20"/>
                <w:color w:val="auto"/>
              </w:rPr>
            </w:pPr>
            <w:r>
              <w:rPr>
                <w:rFonts w:ascii="Arial" w:cs="Arial" w:eastAsia="Arial" w:hAnsi="Arial"/>
                <w:sz w:val="13"/>
                <w:szCs w:val="13"/>
                <w:b w:val="1"/>
                <w:bCs w:val="1"/>
                <w:color w:val="FFFFFF"/>
                <w:w w:val="96"/>
              </w:rPr>
              <w:t>Not Vested (3)</w:t>
            </w:r>
          </w:p>
        </w:tc>
        <w:tc>
          <w:tcPr>
            <w:tcW w:w="1520" w:type="dxa"/>
            <w:vAlign w:val="bottom"/>
            <w:shd w:val="clear" w:color="auto" w:fill="00249C"/>
          </w:tcPr>
          <w:p>
            <w:pPr>
              <w:jc w:val="center"/>
              <w:ind w:left="91"/>
              <w:spacing w:after="0" w:line="122" w:lineRule="exact"/>
              <w:rPr>
                <w:sz w:val="20"/>
                <w:szCs w:val="20"/>
                <w:color w:val="auto"/>
              </w:rPr>
            </w:pPr>
            <w:r>
              <w:rPr>
                <w:rFonts w:ascii="Arial" w:cs="Arial" w:eastAsia="Arial" w:hAnsi="Arial"/>
                <w:sz w:val="13"/>
                <w:szCs w:val="13"/>
                <w:b w:val="1"/>
                <w:bCs w:val="1"/>
                <w:color w:val="FFFFFF"/>
              </w:rPr>
              <w:t>(2)</w:t>
            </w:r>
          </w:p>
        </w:tc>
        <w:tc>
          <w:tcPr>
            <w:tcW w:w="0" w:type="dxa"/>
            <w:vAlign w:val="bottom"/>
          </w:tcPr>
          <w:p>
            <w:pPr>
              <w:spacing w:after="0"/>
              <w:rPr>
                <w:sz w:val="1"/>
                <w:szCs w:val="1"/>
                <w:color w:val="auto"/>
              </w:rPr>
            </w:pPr>
          </w:p>
        </w:tc>
      </w:tr>
      <w:tr>
        <w:trPr>
          <w:trHeight w:val="169"/>
        </w:trPr>
        <w:tc>
          <w:tcPr>
            <w:tcW w:w="4200" w:type="dxa"/>
            <w:vAlign w:val="bottom"/>
            <w:tcBorders>
              <w:bottom w:val="single" w:sz="8" w:color="00249C"/>
            </w:tcBorders>
            <w:vMerge w:val="continue"/>
            <w:shd w:val="clear" w:color="auto" w:fill="00249C"/>
          </w:tcPr>
          <w:p>
            <w:pPr>
              <w:spacing w:after="0"/>
              <w:rPr>
                <w:sz w:val="14"/>
                <w:szCs w:val="14"/>
                <w:color w:val="auto"/>
              </w:rPr>
            </w:pPr>
          </w:p>
        </w:tc>
        <w:tc>
          <w:tcPr>
            <w:tcW w:w="1040" w:type="dxa"/>
            <w:vAlign w:val="bottom"/>
            <w:tcBorders>
              <w:bottom w:val="single" w:sz="8" w:color="00249C"/>
            </w:tcBorders>
            <w:vMerge w:val="continue"/>
            <w:shd w:val="clear" w:color="auto" w:fill="00249C"/>
          </w:tcPr>
          <w:p>
            <w:pPr>
              <w:spacing w:after="0"/>
              <w:rPr>
                <w:sz w:val="14"/>
                <w:szCs w:val="14"/>
                <w:color w:val="auto"/>
              </w:rPr>
            </w:pPr>
          </w:p>
        </w:tc>
        <w:tc>
          <w:tcPr>
            <w:tcW w:w="1320" w:type="dxa"/>
            <w:vAlign w:val="bottom"/>
            <w:tcBorders>
              <w:bottom w:val="single" w:sz="8" w:color="00249C"/>
            </w:tcBorders>
            <w:shd w:val="clear" w:color="auto" w:fill="00249C"/>
          </w:tcPr>
          <w:p>
            <w:pPr>
              <w:jc w:val="center"/>
              <w:ind w:right="50"/>
              <w:spacing w:after="0"/>
              <w:rPr>
                <w:sz w:val="20"/>
                <w:szCs w:val="20"/>
                <w:color w:val="auto"/>
              </w:rPr>
            </w:pPr>
            <w:r>
              <w:rPr>
                <w:rFonts w:ascii="Arial" w:cs="Arial" w:eastAsia="Arial" w:hAnsi="Arial"/>
                <w:sz w:val="13"/>
                <w:szCs w:val="13"/>
                <w:b w:val="1"/>
                <w:bCs w:val="1"/>
                <w:color w:val="FFFFFF"/>
              </w:rPr>
              <w:t>(#)</w:t>
            </w:r>
          </w:p>
        </w:tc>
        <w:tc>
          <w:tcPr>
            <w:tcW w:w="1760" w:type="dxa"/>
            <w:vAlign w:val="bottom"/>
            <w:tcBorders>
              <w:bottom w:val="single" w:sz="8" w:color="00249C"/>
            </w:tcBorders>
            <w:shd w:val="clear" w:color="auto" w:fill="00249C"/>
          </w:tcPr>
          <w:p>
            <w:pPr>
              <w:jc w:val="center"/>
              <w:spacing w:after="0"/>
              <w:rPr>
                <w:sz w:val="20"/>
                <w:szCs w:val="20"/>
                <w:color w:val="auto"/>
              </w:rPr>
            </w:pPr>
            <w:r>
              <w:rPr>
                <w:rFonts w:ascii="Arial" w:cs="Arial" w:eastAsia="Arial" w:hAnsi="Arial"/>
                <w:sz w:val="13"/>
                <w:szCs w:val="13"/>
                <w:b w:val="1"/>
                <w:bCs w:val="1"/>
                <w:color w:val="FFFFFF"/>
              </w:rPr>
              <w:t>($)</w:t>
            </w:r>
          </w:p>
        </w:tc>
        <w:tc>
          <w:tcPr>
            <w:tcW w:w="1400" w:type="dxa"/>
            <w:vAlign w:val="bottom"/>
            <w:tcBorders>
              <w:bottom w:val="single" w:sz="8" w:color="00249C"/>
            </w:tcBorders>
            <w:shd w:val="clear" w:color="auto" w:fill="00249C"/>
          </w:tcPr>
          <w:p>
            <w:pPr>
              <w:jc w:val="center"/>
              <w:spacing w:after="0"/>
              <w:rPr>
                <w:sz w:val="20"/>
                <w:szCs w:val="20"/>
                <w:color w:val="auto"/>
              </w:rPr>
            </w:pPr>
            <w:r>
              <w:rPr>
                <w:rFonts w:ascii="Arial" w:cs="Arial" w:eastAsia="Arial" w:hAnsi="Arial"/>
                <w:sz w:val="13"/>
                <w:szCs w:val="13"/>
                <w:b w:val="1"/>
                <w:bCs w:val="1"/>
                <w:color w:val="FFFFFF"/>
              </w:rPr>
              <w:t>(#)</w:t>
            </w:r>
          </w:p>
        </w:tc>
        <w:tc>
          <w:tcPr>
            <w:tcW w:w="1520" w:type="dxa"/>
            <w:vAlign w:val="bottom"/>
            <w:tcBorders>
              <w:bottom w:val="single" w:sz="8" w:color="00249C"/>
            </w:tcBorders>
            <w:shd w:val="clear" w:color="auto" w:fill="00249C"/>
          </w:tcPr>
          <w:p>
            <w:pPr>
              <w:jc w:val="center"/>
              <w:ind w:left="91"/>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104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2/12/2020</w:t>
            </w:r>
          </w:p>
        </w:tc>
        <w:tc>
          <w:tcPr>
            <w:tcW w:w="1320" w:type="dxa"/>
            <w:vAlign w:val="bottom"/>
            <w:shd w:val="clear" w:color="auto" w:fill="CCD4DB"/>
          </w:tcPr>
          <w:p>
            <w:pPr>
              <w:jc w:val="center"/>
              <w:ind w:right="50"/>
              <w:spacing w:after="0"/>
              <w:rPr>
                <w:sz w:val="20"/>
                <w:szCs w:val="20"/>
                <w:color w:val="auto"/>
              </w:rPr>
            </w:pPr>
            <w:r>
              <w:rPr>
                <w:rFonts w:ascii="Arial" w:cs="Arial" w:eastAsia="Arial" w:hAnsi="Arial"/>
                <w:sz w:val="14"/>
                <w:szCs w:val="14"/>
                <w:color w:val="auto"/>
              </w:rPr>
              <w:t>11,453</w:t>
            </w:r>
          </w:p>
        </w:tc>
        <w:tc>
          <w:tcPr>
            <w:tcW w:w="176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3,489,958</w:t>
            </w:r>
          </w:p>
        </w:tc>
        <w:tc>
          <w:tcPr>
            <w:tcW w:w="140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27,037</w:t>
            </w:r>
          </w:p>
        </w:tc>
        <w:tc>
          <w:tcPr>
            <w:tcW w:w="1520" w:type="dxa"/>
            <w:vAlign w:val="bottom"/>
            <w:shd w:val="clear" w:color="auto" w:fill="CCD4DB"/>
          </w:tcPr>
          <w:p>
            <w:pPr>
              <w:jc w:val="center"/>
              <w:ind w:left="91"/>
              <w:spacing w:after="0"/>
              <w:rPr>
                <w:sz w:val="20"/>
                <w:szCs w:val="20"/>
                <w:color w:val="auto"/>
              </w:rPr>
            </w:pPr>
            <w:r>
              <w:rPr>
                <w:rFonts w:ascii="Arial" w:cs="Arial" w:eastAsia="Arial" w:hAnsi="Arial"/>
                <w:sz w:val="14"/>
                <w:szCs w:val="14"/>
                <w:color w:val="auto"/>
              </w:rPr>
              <w:t>8,238,715</w:t>
            </w:r>
          </w:p>
        </w:tc>
        <w:tc>
          <w:tcPr>
            <w:tcW w:w="0" w:type="dxa"/>
            <w:vAlign w:val="bottom"/>
          </w:tcPr>
          <w:p>
            <w:pPr>
              <w:spacing w:after="0"/>
              <w:rPr>
                <w:sz w:val="1"/>
                <w:szCs w:val="1"/>
                <w:color w:val="auto"/>
              </w:rPr>
            </w:pPr>
          </w:p>
        </w:tc>
      </w:tr>
      <w:tr>
        <w:trPr>
          <w:trHeight w:val="210"/>
        </w:trPr>
        <w:tc>
          <w:tcPr>
            <w:tcW w:w="4200" w:type="dxa"/>
            <w:vAlign w:val="bottom"/>
            <w:vMerge w:val="restart"/>
          </w:tcPr>
          <w:p>
            <w:pPr>
              <w:ind w:left="20"/>
              <w:spacing w:after="0"/>
              <w:rPr>
                <w:sz w:val="20"/>
                <w:szCs w:val="20"/>
                <w:color w:val="auto"/>
              </w:rPr>
            </w:pPr>
            <w:r>
              <w:rPr>
                <w:rFonts w:ascii="Arial" w:cs="Arial" w:eastAsia="Arial" w:hAnsi="Arial"/>
                <w:sz w:val="14"/>
                <w:szCs w:val="14"/>
                <w:color w:val="auto"/>
              </w:rPr>
              <w:t>Kathy J. Warden</w:t>
            </w:r>
          </w:p>
        </w:tc>
        <w:tc>
          <w:tcPr>
            <w:tcW w:w="1040" w:type="dxa"/>
            <w:vAlign w:val="bottom"/>
          </w:tcPr>
          <w:p>
            <w:pPr>
              <w:jc w:val="center"/>
              <w:spacing w:after="0"/>
              <w:rPr>
                <w:sz w:val="20"/>
                <w:szCs w:val="20"/>
                <w:color w:val="auto"/>
              </w:rPr>
            </w:pPr>
            <w:r>
              <w:rPr>
                <w:rFonts w:ascii="Arial" w:cs="Arial" w:eastAsia="Arial" w:hAnsi="Arial"/>
                <w:sz w:val="14"/>
                <w:szCs w:val="14"/>
                <w:color w:val="auto"/>
              </w:rPr>
              <w:t>2/13/2019</w:t>
            </w:r>
          </w:p>
        </w:tc>
        <w:tc>
          <w:tcPr>
            <w:tcW w:w="1320" w:type="dxa"/>
            <w:vAlign w:val="bottom"/>
          </w:tcPr>
          <w:p>
            <w:pPr>
              <w:jc w:val="center"/>
              <w:ind w:right="50"/>
              <w:spacing w:after="0"/>
              <w:rPr>
                <w:sz w:val="20"/>
                <w:szCs w:val="20"/>
                <w:color w:val="auto"/>
              </w:rPr>
            </w:pPr>
            <w:r>
              <w:rPr>
                <w:rFonts w:ascii="Arial" w:cs="Arial" w:eastAsia="Arial" w:hAnsi="Arial"/>
                <w:sz w:val="14"/>
                <w:szCs w:val="14"/>
                <w:color w:val="auto"/>
              </w:rPr>
              <w:t>14,227</w:t>
            </w:r>
          </w:p>
        </w:tc>
        <w:tc>
          <w:tcPr>
            <w:tcW w:w="1760" w:type="dxa"/>
            <w:vAlign w:val="bottom"/>
          </w:tcPr>
          <w:p>
            <w:pPr>
              <w:jc w:val="center"/>
              <w:spacing w:after="0"/>
              <w:rPr>
                <w:sz w:val="20"/>
                <w:szCs w:val="20"/>
                <w:color w:val="auto"/>
              </w:rPr>
            </w:pPr>
            <w:r>
              <w:rPr>
                <w:rFonts w:ascii="Arial" w:cs="Arial" w:eastAsia="Arial" w:hAnsi="Arial"/>
                <w:sz w:val="14"/>
                <w:szCs w:val="14"/>
                <w:color w:val="auto"/>
              </w:rPr>
              <w:t>4,335,251</w:t>
            </w:r>
          </w:p>
        </w:tc>
        <w:tc>
          <w:tcPr>
            <w:tcW w:w="1400" w:type="dxa"/>
            <w:vAlign w:val="bottom"/>
          </w:tcPr>
          <w:p>
            <w:pPr>
              <w:jc w:val="center"/>
              <w:spacing w:after="0"/>
              <w:rPr>
                <w:sz w:val="20"/>
                <w:szCs w:val="20"/>
                <w:color w:val="auto"/>
              </w:rPr>
            </w:pPr>
            <w:r>
              <w:rPr>
                <w:rFonts w:ascii="Arial" w:cs="Arial" w:eastAsia="Arial" w:hAnsi="Arial"/>
                <w:sz w:val="14"/>
                <w:szCs w:val="14"/>
                <w:color w:val="auto"/>
              </w:rPr>
              <w:t>33,572</w:t>
            </w:r>
          </w:p>
        </w:tc>
        <w:tc>
          <w:tcPr>
            <w:tcW w:w="1520" w:type="dxa"/>
            <w:vAlign w:val="bottom"/>
          </w:tcPr>
          <w:p>
            <w:pPr>
              <w:jc w:val="center"/>
              <w:ind w:left="91"/>
              <w:spacing w:after="0"/>
              <w:rPr>
                <w:sz w:val="20"/>
                <w:szCs w:val="20"/>
                <w:color w:val="auto"/>
              </w:rPr>
            </w:pPr>
            <w:r>
              <w:rPr>
                <w:rFonts w:ascii="Arial" w:cs="Arial" w:eastAsia="Arial" w:hAnsi="Arial"/>
                <w:sz w:val="14"/>
                <w:szCs w:val="14"/>
                <w:color w:val="auto"/>
              </w:rPr>
              <w:t>10,230,060</w:t>
            </w:r>
          </w:p>
        </w:tc>
        <w:tc>
          <w:tcPr>
            <w:tcW w:w="0" w:type="dxa"/>
            <w:vAlign w:val="bottom"/>
          </w:tcPr>
          <w:p>
            <w:pPr>
              <w:spacing w:after="0"/>
              <w:rPr>
                <w:sz w:val="1"/>
                <w:szCs w:val="1"/>
                <w:color w:val="auto"/>
              </w:rPr>
            </w:pPr>
          </w:p>
        </w:tc>
      </w:tr>
      <w:tr>
        <w:trPr>
          <w:trHeight w:val="102"/>
        </w:trPr>
        <w:tc>
          <w:tcPr>
            <w:tcW w:w="4200" w:type="dxa"/>
            <w:vAlign w:val="bottom"/>
            <w:vMerge w:val="continue"/>
          </w:tcPr>
          <w:p>
            <w:pPr>
              <w:spacing w:after="0"/>
              <w:rPr>
                <w:sz w:val="8"/>
                <w:szCs w:val="8"/>
                <w:color w:val="auto"/>
              </w:rPr>
            </w:pPr>
          </w:p>
        </w:tc>
        <w:tc>
          <w:tcPr>
            <w:tcW w:w="104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9/19/2018</w:t>
            </w:r>
          </w:p>
        </w:tc>
        <w:tc>
          <w:tcPr>
            <w:tcW w:w="1320" w:type="dxa"/>
            <w:vAlign w:val="bottom"/>
            <w:vMerge w:val="restart"/>
            <w:shd w:val="clear" w:color="auto" w:fill="CCD4DB"/>
          </w:tcPr>
          <w:p>
            <w:pPr>
              <w:jc w:val="center"/>
              <w:ind w:right="50"/>
              <w:spacing w:after="0"/>
              <w:rPr>
                <w:sz w:val="20"/>
                <w:szCs w:val="20"/>
                <w:color w:val="auto"/>
              </w:rPr>
            </w:pPr>
            <w:r>
              <w:rPr>
                <w:rFonts w:ascii="Arial" w:cs="Arial" w:eastAsia="Arial" w:hAnsi="Arial"/>
                <w:sz w:val="14"/>
                <w:szCs w:val="14"/>
                <w:color w:val="auto"/>
              </w:rPr>
              <w:t>4,943</w:t>
            </w:r>
          </w:p>
        </w:tc>
        <w:tc>
          <w:tcPr>
            <w:tcW w:w="176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1,506,231</w:t>
            </w:r>
          </w:p>
        </w:tc>
        <w:tc>
          <w:tcPr>
            <w:tcW w:w="140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13,016</w:t>
            </w:r>
          </w:p>
        </w:tc>
        <w:tc>
          <w:tcPr>
            <w:tcW w:w="1520" w:type="dxa"/>
            <w:vAlign w:val="bottom"/>
            <w:vMerge w:val="restart"/>
            <w:shd w:val="clear" w:color="auto" w:fill="CCD4DB"/>
          </w:tcPr>
          <w:p>
            <w:pPr>
              <w:jc w:val="center"/>
              <w:ind w:left="91"/>
              <w:spacing w:after="0"/>
              <w:rPr>
                <w:sz w:val="20"/>
                <w:szCs w:val="20"/>
                <w:color w:val="auto"/>
              </w:rPr>
            </w:pPr>
            <w:r>
              <w:rPr>
                <w:rFonts w:ascii="Arial" w:cs="Arial" w:eastAsia="Arial" w:hAnsi="Arial"/>
                <w:sz w:val="14"/>
                <w:szCs w:val="14"/>
                <w:color w:val="auto"/>
              </w:rPr>
              <w:t>3,966,236</w:t>
            </w:r>
          </w:p>
        </w:tc>
        <w:tc>
          <w:tcPr>
            <w:tcW w:w="0" w:type="dxa"/>
            <w:vAlign w:val="bottom"/>
          </w:tcPr>
          <w:p>
            <w:pPr>
              <w:spacing w:after="0"/>
              <w:rPr>
                <w:sz w:val="1"/>
                <w:szCs w:val="1"/>
                <w:color w:val="auto"/>
              </w:rPr>
            </w:pPr>
          </w:p>
        </w:tc>
      </w:tr>
      <w:tr>
        <w:trPr>
          <w:trHeight w:val="120"/>
        </w:trPr>
        <w:tc>
          <w:tcPr>
            <w:tcW w:w="4200" w:type="dxa"/>
            <w:vAlign w:val="bottom"/>
          </w:tcPr>
          <w:p>
            <w:pPr>
              <w:spacing w:after="0"/>
              <w:rPr>
                <w:sz w:val="10"/>
                <w:szCs w:val="10"/>
                <w:color w:val="auto"/>
              </w:rPr>
            </w:pPr>
          </w:p>
        </w:tc>
        <w:tc>
          <w:tcPr>
            <w:tcW w:w="1040" w:type="dxa"/>
            <w:vAlign w:val="bottom"/>
            <w:vMerge w:val="continue"/>
            <w:shd w:val="clear" w:color="auto" w:fill="CCD4DB"/>
          </w:tcPr>
          <w:p>
            <w:pPr>
              <w:spacing w:after="0"/>
              <w:rPr>
                <w:sz w:val="10"/>
                <w:szCs w:val="10"/>
                <w:color w:val="auto"/>
              </w:rPr>
            </w:pPr>
          </w:p>
        </w:tc>
        <w:tc>
          <w:tcPr>
            <w:tcW w:w="1320" w:type="dxa"/>
            <w:vAlign w:val="bottom"/>
            <w:vMerge w:val="continue"/>
            <w:shd w:val="clear" w:color="auto" w:fill="CCD4DB"/>
          </w:tcPr>
          <w:p>
            <w:pPr>
              <w:spacing w:after="0"/>
              <w:rPr>
                <w:sz w:val="10"/>
                <w:szCs w:val="10"/>
                <w:color w:val="auto"/>
              </w:rPr>
            </w:pPr>
          </w:p>
        </w:tc>
        <w:tc>
          <w:tcPr>
            <w:tcW w:w="1760" w:type="dxa"/>
            <w:vAlign w:val="bottom"/>
            <w:vMerge w:val="continue"/>
            <w:shd w:val="clear" w:color="auto" w:fill="CCD4DB"/>
          </w:tcPr>
          <w:p>
            <w:pPr>
              <w:spacing w:after="0"/>
              <w:rPr>
                <w:sz w:val="10"/>
                <w:szCs w:val="10"/>
                <w:color w:val="auto"/>
              </w:rPr>
            </w:pPr>
          </w:p>
        </w:tc>
        <w:tc>
          <w:tcPr>
            <w:tcW w:w="1400" w:type="dxa"/>
            <w:vAlign w:val="bottom"/>
            <w:vMerge w:val="continue"/>
            <w:shd w:val="clear" w:color="auto" w:fill="CCD4DB"/>
          </w:tcPr>
          <w:p>
            <w:pPr>
              <w:spacing w:after="0"/>
              <w:rPr>
                <w:sz w:val="10"/>
                <w:szCs w:val="10"/>
                <w:color w:val="auto"/>
              </w:rPr>
            </w:pPr>
          </w:p>
        </w:tc>
        <w:tc>
          <w:tcPr>
            <w:tcW w:w="1520" w:type="dxa"/>
            <w:vAlign w:val="bottom"/>
            <w:vMerge w:val="continue"/>
            <w:shd w:val="clear" w:color="auto" w:fill="CCD4DB"/>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4200" w:type="dxa"/>
            <w:vAlign w:val="bottom"/>
            <w:tcBorders>
              <w:bottom w:val="single" w:sz="8" w:color="00249C"/>
            </w:tcBorders>
          </w:tcPr>
          <w:p>
            <w:pPr>
              <w:spacing w:after="0"/>
              <w:rPr>
                <w:sz w:val="18"/>
                <w:szCs w:val="18"/>
                <w:color w:val="auto"/>
              </w:rPr>
            </w:pPr>
          </w:p>
        </w:tc>
        <w:tc>
          <w:tcPr>
            <w:tcW w:w="1040" w:type="dxa"/>
            <w:vAlign w:val="bottom"/>
            <w:tcBorders>
              <w:bottom w:val="single" w:sz="8" w:color="00249C"/>
            </w:tcBorders>
          </w:tcPr>
          <w:p>
            <w:pPr>
              <w:jc w:val="center"/>
              <w:spacing w:after="0"/>
              <w:rPr>
                <w:sz w:val="20"/>
                <w:szCs w:val="20"/>
                <w:color w:val="auto"/>
              </w:rPr>
            </w:pPr>
            <w:r>
              <w:rPr>
                <w:rFonts w:ascii="Arial" w:cs="Arial" w:eastAsia="Arial" w:hAnsi="Arial"/>
                <w:sz w:val="14"/>
                <w:szCs w:val="14"/>
                <w:color w:val="auto"/>
              </w:rPr>
              <w:t>2/13/2018</w:t>
            </w:r>
          </w:p>
        </w:tc>
        <w:tc>
          <w:tcPr>
            <w:tcW w:w="1320" w:type="dxa"/>
            <w:vAlign w:val="bottom"/>
            <w:tcBorders>
              <w:bottom w:val="single" w:sz="8" w:color="00249C"/>
            </w:tcBorders>
          </w:tcPr>
          <w:p>
            <w:pPr>
              <w:jc w:val="center"/>
              <w:ind w:right="50"/>
              <w:spacing w:after="0"/>
              <w:rPr>
                <w:sz w:val="20"/>
                <w:szCs w:val="20"/>
                <w:color w:val="auto"/>
              </w:rPr>
            </w:pPr>
            <w:r>
              <w:rPr>
                <w:rFonts w:ascii="Arial" w:cs="Arial" w:eastAsia="Arial" w:hAnsi="Arial"/>
                <w:sz w:val="14"/>
                <w:szCs w:val="14"/>
                <w:color w:val="auto"/>
              </w:rPr>
              <w:t>4,516</w:t>
            </w:r>
          </w:p>
        </w:tc>
        <w:tc>
          <w:tcPr>
            <w:tcW w:w="1760" w:type="dxa"/>
            <w:vAlign w:val="bottom"/>
            <w:tcBorders>
              <w:bottom w:val="single" w:sz="8" w:color="00249C"/>
            </w:tcBorders>
          </w:tcPr>
          <w:p>
            <w:pPr>
              <w:jc w:val="center"/>
              <w:spacing w:after="0"/>
              <w:rPr>
                <w:sz w:val="20"/>
                <w:szCs w:val="20"/>
                <w:color w:val="auto"/>
              </w:rPr>
            </w:pPr>
            <w:r>
              <w:rPr>
                <w:rFonts w:ascii="Arial" w:cs="Arial" w:eastAsia="Arial" w:hAnsi="Arial"/>
                <w:sz w:val="14"/>
                <w:szCs w:val="14"/>
                <w:color w:val="auto"/>
              </w:rPr>
              <w:t>1,376,116</w:t>
            </w:r>
          </w:p>
        </w:tc>
        <w:tc>
          <w:tcPr>
            <w:tcW w:w="1400" w:type="dxa"/>
            <w:vAlign w:val="bottom"/>
            <w:tcBorders>
              <w:bottom w:val="single" w:sz="8" w:color="00249C"/>
            </w:tcBorders>
          </w:tcPr>
          <w:p>
            <w:pPr>
              <w:jc w:val="center"/>
              <w:spacing w:after="0"/>
              <w:rPr>
                <w:sz w:val="20"/>
                <w:szCs w:val="20"/>
                <w:color w:val="auto"/>
              </w:rPr>
            </w:pPr>
            <w:r>
              <w:rPr>
                <w:rFonts w:ascii="Arial" w:cs="Arial" w:eastAsia="Arial" w:hAnsi="Arial"/>
                <w:sz w:val="14"/>
                <w:szCs w:val="14"/>
                <w:color w:val="auto"/>
              </w:rPr>
              <w:t>9,944</w:t>
            </w:r>
          </w:p>
        </w:tc>
        <w:tc>
          <w:tcPr>
            <w:tcW w:w="1520" w:type="dxa"/>
            <w:vAlign w:val="bottom"/>
            <w:tcBorders>
              <w:bottom w:val="single" w:sz="8" w:color="00249C"/>
            </w:tcBorders>
          </w:tcPr>
          <w:p>
            <w:pPr>
              <w:jc w:val="center"/>
              <w:ind w:left="91"/>
              <w:spacing w:after="0"/>
              <w:rPr>
                <w:sz w:val="20"/>
                <w:szCs w:val="20"/>
                <w:color w:val="auto"/>
              </w:rPr>
            </w:pPr>
            <w:r>
              <w:rPr>
                <w:rFonts w:ascii="Arial" w:cs="Arial" w:eastAsia="Arial" w:hAnsi="Arial"/>
                <w:sz w:val="14"/>
                <w:szCs w:val="14"/>
                <w:color w:val="auto"/>
              </w:rPr>
              <w:t>3,030,136</w:t>
            </w:r>
          </w:p>
        </w:tc>
        <w:tc>
          <w:tcPr>
            <w:tcW w:w="0" w:type="dxa"/>
            <w:vAlign w:val="bottom"/>
          </w:tcPr>
          <w:p>
            <w:pPr>
              <w:spacing w:after="0"/>
              <w:rPr>
                <w:sz w:val="1"/>
                <w:szCs w:val="1"/>
                <w:color w:val="auto"/>
              </w:rPr>
            </w:pPr>
          </w:p>
        </w:tc>
      </w:tr>
      <w:tr>
        <w:trPr>
          <w:trHeight w:val="188"/>
        </w:trPr>
        <w:tc>
          <w:tcPr>
            <w:tcW w:w="4200" w:type="dxa"/>
            <w:vAlign w:val="bottom"/>
            <w:tcBorders>
              <w:bottom w:val="single" w:sz="8" w:color="00249C"/>
            </w:tcBorders>
          </w:tcPr>
          <w:p>
            <w:pPr>
              <w:ind w:left="20"/>
              <w:spacing w:after="0"/>
              <w:rPr>
                <w:sz w:val="20"/>
                <w:szCs w:val="20"/>
                <w:color w:val="auto"/>
              </w:rPr>
            </w:pPr>
            <w:r>
              <w:rPr>
                <w:rFonts w:ascii="Arial" w:cs="Arial" w:eastAsia="Arial" w:hAnsi="Arial"/>
                <w:sz w:val="14"/>
                <w:szCs w:val="14"/>
                <w:color w:val="auto"/>
              </w:rPr>
              <w:t>David F. Keffer</w:t>
            </w:r>
          </w:p>
        </w:tc>
        <w:tc>
          <w:tcPr>
            <w:tcW w:w="104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4"/>
                <w:szCs w:val="14"/>
                <w:color w:val="auto"/>
              </w:rPr>
              <w:t>5/5/2020</w:t>
            </w:r>
          </w:p>
        </w:tc>
        <w:tc>
          <w:tcPr>
            <w:tcW w:w="1320" w:type="dxa"/>
            <w:vAlign w:val="bottom"/>
            <w:tcBorders>
              <w:bottom w:val="single" w:sz="8" w:color="00249C"/>
            </w:tcBorders>
            <w:shd w:val="clear" w:color="auto" w:fill="CCD4DB"/>
          </w:tcPr>
          <w:p>
            <w:pPr>
              <w:jc w:val="center"/>
              <w:ind w:right="50"/>
              <w:spacing w:after="0"/>
              <w:rPr>
                <w:sz w:val="20"/>
                <w:szCs w:val="20"/>
                <w:color w:val="auto"/>
              </w:rPr>
            </w:pPr>
            <w:r>
              <w:rPr>
                <w:rFonts w:ascii="Arial" w:cs="Arial" w:eastAsia="Arial" w:hAnsi="Arial"/>
                <w:sz w:val="14"/>
                <w:szCs w:val="14"/>
                <w:color w:val="auto"/>
              </w:rPr>
              <w:t>3,847</w:t>
            </w:r>
          </w:p>
        </w:tc>
        <w:tc>
          <w:tcPr>
            <w:tcW w:w="176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4"/>
                <w:szCs w:val="14"/>
                <w:color w:val="auto"/>
              </w:rPr>
              <w:t>1,172,258</w:t>
            </w:r>
          </w:p>
        </w:tc>
        <w:tc>
          <w:tcPr>
            <w:tcW w:w="140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4"/>
                <w:szCs w:val="14"/>
                <w:color w:val="auto"/>
              </w:rPr>
              <w:t>8,753</w:t>
            </w:r>
          </w:p>
        </w:tc>
        <w:tc>
          <w:tcPr>
            <w:tcW w:w="1520" w:type="dxa"/>
            <w:vAlign w:val="bottom"/>
            <w:tcBorders>
              <w:bottom w:val="single" w:sz="8" w:color="00249C"/>
            </w:tcBorders>
            <w:shd w:val="clear" w:color="auto" w:fill="CCD4DB"/>
          </w:tcPr>
          <w:p>
            <w:pPr>
              <w:jc w:val="center"/>
              <w:ind w:left="91"/>
              <w:spacing w:after="0"/>
              <w:rPr>
                <w:sz w:val="20"/>
                <w:szCs w:val="20"/>
                <w:color w:val="auto"/>
              </w:rPr>
            </w:pPr>
            <w:r>
              <w:rPr>
                <w:rFonts w:ascii="Arial" w:cs="Arial" w:eastAsia="Arial" w:hAnsi="Arial"/>
                <w:sz w:val="14"/>
                <w:szCs w:val="14"/>
                <w:color w:val="auto"/>
              </w:rPr>
              <w:t>2,667,214</w:t>
            </w:r>
          </w:p>
        </w:tc>
        <w:tc>
          <w:tcPr>
            <w:tcW w:w="0" w:type="dxa"/>
            <w:vAlign w:val="bottom"/>
          </w:tcPr>
          <w:p>
            <w:pPr>
              <w:spacing w:after="0"/>
              <w:rPr>
                <w:sz w:val="1"/>
                <w:szCs w:val="1"/>
                <w:color w:val="auto"/>
              </w:rPr>
            </w:pPr>
          </w:p>
        </w:tc>
      </w:tr>
      <w:tr>
        <w:trPr>
          <w:trHeight w:val="190"/>
        </w:trPr>
        <w:tc>
          <w:tcPr>
            <w:tcW w:w="42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2/12/2020</w:t>
            </w:r>
          </w:p>
        </w:tc>
        <w:tc>
          <w:tcPr>
            <w:tcW w:w="1320" w:type="dxa"/>
            <w:vAlign w:val="bottom"/>
          </w:tcPr>
          <w:p>
            <w:pPr>
              <w:jc w:val="center"/>
              <w:ind w:right="50"/>
              <w:spacing w:after="0"/>
              <w:rPr>
                <w:sz w:val="20"/>
                <w:szCs w:val="20"/>
                <w:color w:val="auto"/>
              </w:rPr>
            </w:pPr>
            <w:r>
              <w:rPr>
                <w:rFonts w:ascii="Arial" w:cs="Arial" w:eastAsia="Arial" w:hAnsi="Arial"/>
                <w:sz w:val="14"/>
                <w:szCs w:val="14"/>
                <w:color w:val="auto"/>
              </w:rPr>
              <w:t>2,545</w:t>
            </w:r>
          </w:p>
        </w:tc>
        <w:tc>
          <w:tcPr>
            <w:tcW w:w="1760" w:type="dxa"/>
            <w:vAlign w:val="bottom"/>
          </w:tcPr>
          <w:p>
            <w:pPr>
              <w:jc w:val="center"/>
              <w:spacing w:after="0"/>
              <w:rPr>
                <w:sz w:val="20"/>
                <w:szCs w:val="20"/>
                <w:color w:val="auto"/>
              </w:rPr>
            </w:pPr>
            <w:r>
              <w:rPr>
                <w:rFonts w:ascii="Arial" w:cs="Arial" w:eastAsia="Arial" w:hAnsi="Arial"/>
                <w:sz w:val="14"/>
                <w:szCs w:val="14"/>
                <w:color w:val="auto"/>
              </w:rPr>
              <w:t>775,512</w:t>
            </w:r>
          </w:p>
        </w:tc>
        <w:tc>
          <w:tcPr>
            <w:tcW w:w="1400" w:type="dxa"/>
            <w:vAlign w:val="bottom"/>
          </w:tcPr>
          <w:p>
            <w:pPr>
              <w:jc w:val="center"/>
              <w:spacing w:after="0"/>
              <w:rPr>
                <w:sz w:val="20"/>
                <w:szCs w:val="20"/>
                <w:color w:val="auto"/>
              </w:rPr>
            </w:pPr>
            <w:r>
              <w:rPr>
                <w:rFonts w:ascii="Arial" w:cs="Arial" w:eastAsia="Arial" w:hAnsi="Arial"/>
                <w:sz w:val="14"/>
                <w:szCs w:val="14"/>
                <w:color w:val="auto"/>
              </w:rPr>
              <w:t>6,009</w:t>
            </w:r>
          </w:p>
        </w:tc>
        <w:tc>
          <w:tcPr>
            <w:tcW w:w="1520" w:type="dxa"/>
            <w:vAlign w:val="bottom"/>
          </w:tcPr>
          <w:p>
            <w:pPr>
              <w:jc w:val="center"/>
              <w:ind w:left="91"/>
              <w:spacing w:after="0"/>
              <w:rPr>
                <w:sz w:val="20"/>
                <w:szCs w:val="20"/>
                <w:color w:val="auto"/>
              </w:rPr>
            </w:pPr>
            <w:r>
              <w:rPr>
                <w:rFonts w:ascii="Arial" w:cs="Arial" w:eastAsia="Arial" w:hAnsi="Arial"/>
                <w:sz w:val="14"/>
                <w:szCs w:val="14"/>
                <w:color w:val="auto"/>
              </w:rPr>
              <w:t>1,831,062</w:t>
            </w:r>
          </w:p>
        </w:tc>
        <w:tc>
          <w:tcPr>
            <w:tcW w:w="0" w:type="dxa"/>
            <w:vAlign w:val="bottom"/>
          </w:tcPr>
          <w:p>
            <w:pPr>
              <w:spacing w:after="0"/>
              <w:rPr>
                <w:sz w:val="1"/>
                <w:szCs w:val="1"/>
                <w:color w:val="auto"/>
              </w:rPr>
            </w:pPr>
          </w:p>
        </w:tc>
      </w:tr>
      <w:tr>
        <w:trPr>
          <w:trHeight w:val="222"/>
        </w:trPr>
        <w:tc>
          <w:tcPr>
            <w:tcW w:w="4200" w:type="dxa"/>
            <w:vAlign w:val="bottom"/>
            <w:vMerge w:val="restart"/>
          </w:tcPr>
          <w:p>
            <w:pPr>
              <w:ind w:left="20"/>
              <w:spacing w:after="0"/>
              <w:rPr>
                <w:sz w:val="20"/>
                <w:szCs w:val="20"/>
                <w:color w:val="auto"/>
              </w:rPr>
            </w:pPr>
            <w:r>
              <w:rPr>
                <w:rFonts w:ascii="Arial" w:cs="Arial" w:eastAsia="Arial" w:hAnsi="Arial"/>
                <w:sz w:val="14"/>
                <w:szCs w:val="14"/>
                <w:color w:val="auto"/>
              </w:rPr>
              <w:t>Mark A. Caylor</w:t>
            </w:r>
          </w:p>
        </w:tc>
        <w:tc>
          <w:tcPr>
            <w:tcW w:w="104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2/13/2019</w:t>
            </w:r>
          </w:p>
        </w:tc>
        <w:tc>
          <w:tcPr>
            <w:tcW w:w="1320" w:type="dxa"/>
            <w:vAlign w:val="bottom"/>
            <w:shd w:val="clear" w:color="auto" w:fill="CCD4DB"/>
          </w:tcPr>
          <w:p>
            <w:pPr>
              <w:jc w:val="center"/>
              <w:ind w:right="50"/>
              <w:spacing w:after="0"/>
              <w:rPr>
                <w:sz w:val="20"/>
                <w:szCs w:val="20"/>
                <w:color w:val="auto"/>
              </w:rPr>
            </w:pPr>
            <w:r>
              <w:rPr>
                <w:rFonts w:ascii="Arial" w:cs="Arial" w:eastAsia="Arial" w:hAnsi="Arial"/>
                <w:sz w:val="14"/>
                <w:szCs w:val="14"/>
                <w:color w:val="auto"/>
              </w:rPr>
              <w:t>3,830</w:t>
            </w:r>
          </w:p>
        </w:tc>
        <w:tc>
          <w:tcPr>
            <w:tcW w:w="176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1,167,078</w:t>
            </w:r>
          </w:p>
        </w:tc>
        <w:tc>
          <w:tcPr>
            <w:tcW w:w="140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9,038</w:t>
            </w:r>
          </w:p>
        </w:tc>
        <w:tc>
          <w:tcPr>
            <w:tcW w:w="1520" w:type="dxa"/>
            <w:vAlign w:val="bottom"/>
            <w:shd w:val="clear" w:color="auto" w:fill="CCD4DB"/>
          </w:tcPr>
          <w:p>
            <w:pPr>
              <w:jc w:val="center"/>
              <w:ind w:left="91"/>
              <w:spacing w:after="0"/>
              <w:rPr>
                <w:sz w:val="20"/>
                <w:szCs w:val="20"/>
                <w:color w:val="auto"/>
              </w:rPr>
            </w:pPr>
            <w:r>
              <w:rPr>
                <w:rFonts w:ascii="Arial" w:cs="Arial" w:eastAsia="Arial" w:hAnsi="Arial"/>
                <w:sz w:val="14"/>
                <w:szCs w:val="14"/>
                <w:color w:val="auto"/>
              </w:rPr>
              <w:t>2,754,059</w:t>
            </w:r>
          </w:p>
        </w:tc>
        <w:tc>
          <w:tcPr>
            <w:tcW w:w="0" w:type="dxa"/>
            <w:vAlign w:val="bottom"/>
          </w:tcPr>
          <w:p>
            <w:pPr>
              <w:spacing w:after="0"/>
              <w:rPr>
                <w:sz w:val="1"/>
                <w:szCs w:val="1"/>
                <w:color w:val="auto"/>
              </w:rPr>
            </w:pPr>
          </w:p>
        </w:tc>
      </w:tr>
      <w:tr>
        <w:trPr>
          <w:trHeight w:val="96"/>
        </w:trPr>
        <w:tc>
          <w:tcPr>
            <w:tcW w:w="4200" w:type="dxa"/>
            <w:vAlign w:val="bottom"/>
            <w:vMerge w:val="continue"/>
          </w:tcPr>
          <w:p>
            <w:pPr>
              <w:spacing w:after="0"/>
              <w:rPr>
                <w:sz w:val="8"/>
                <w:szCs w:val="8"/>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rPr>
              <w:t>12/4/2018</w:t>
            </w:r>
          </w:p>
        </w:tc>
        <w:tc>
          <w:tcPr>
            <w:tcW w:w="1320" w:type="dxa"/>
            <w:vAlign w:val="bottom"/>
            <w:vMerge w:val="restart"/>
          </w:tcPr>
          <w:p>
            <w:pPr>
              <w:jc w:val="center"/>
              <w:ind w:right="50"/>
              <w:spacing w:after="0"/>
              <w:rPr>
                <w:sz w:val="20"/>
                <w:szCs w:val="20"/>
                <w:color w:val="auto"/>
              </w:rPr>
            </w:pPr>
            <w:r>
              <w:rPr>
                <w:rFonts w:ascii="Arial" w:cs="Arial" w:eastAsia="Arial" w:hAnsi="Arial"/>
                <w:sz w:val="14"/>
                <w:szCs w:val="14"/>
                <w:color w:val="auto"/>
              </w:rPr>
              <w:t>1,655</w:t>
            </w:r>
          </w:p>
        </w:tc>
        <w:tc>
          <w:tcPr>
            <w:tcW w:w="1760" w:type="dxa"/>
            <w:vAlign w:val="bottom"/>
            <w:vMerge w:val="restart"/>
          </w:tcPr>
          <w:p>
            <w:pPr>
              <w:jc w:val="center"/>
              <w:spacing w:after="0"/>
              <w:rPr>
                <w:sz w:val="20"/>
                <w:szCs w:val="20"/>
                <w:color w:val="auto"/>
              </w:rPr>
            </w:pPr>
            <w:r>
              <w:rPr>
                <w:rFonts w:ascii="Arial" w:cs="Arial" w:eastAsia="Arial" w:hAnsi="Arial"/>
                <w:sz w:val="14"/>
                <w:szCs w:val="14"/>
                <w:color w:val="auto"/>
              </w:rPr>
              <w:t>504,312</w:t>
            </w:r>
          </w:p>
        </w:tc>
        <w:tc>
          <w:tcPr>
            <w:tcW w:w="14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520" w:type="dxa"/>
            <w:vAlign w:val="bottom"/>
            <w:vMerge w:val="restart"/>
          </w:tcPr>
          <w:p>
            <w:pPr>
              <w:jc w:val="center"/>
              <w:ind w:left="9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4"/>
        </w:trPr>
        <w:tc>
          <w:tcPr>
            <w:tcW w:w="42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200" w:type="dxa"/>
            <w:vAlign w:val="bottom"/>
            <w:tcBorders>
              <w:bottom w:val="single" w:sz="8" w:color="00249C"/>
            </w:tcBorders>
          </w:tcPr>
          <w:p>
            <w:pPr>
              <w:spacing w:after="0"/>
              <w:rPr>
                <w:sz w:val="18"/>
                <w:szCs w:val="18"/>
                <w:color w:val="auto"/>
              </w:rPr>
            </w:pPr>
          </w:p>
        </w:tc>
        <w:tc>
          <w:tcPr>
            <w:tcW w:w="104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4"/>
                <w:szCs w:val="14"/>
                <w:color w:val="auto"/>
              </w:rPr>
              <w:t>2/13/2018</w:t>
            </w:r>
          </w:p>
        </w:tc>
        <w:tc>
          <w:tcPr>
            <w:tcW w:w="1320" w:type="dxa"/>
            <w:vAlign w:val="bottom"/>
            <w:tcBorders>
              <w:bottom w:val="single" w:sz="8" w:color="00249C"/>
            </w:tcBorders>
            <w:shd w:val="clear" w:color="auto" w:fill="CCD4DB"/>
          </w:tcPr>
          <w:p>
            <w:pPr>
              <w:jc w:val="center"/>
              <w:ind w:right="50"/>
              <w:spacing w:after="0"/>
              <w:rPr>
                <w:sz w:val="20"/>
                <w:szCs w:val="20"/>
                <w:color w:val="auto"/>
              </w:rPr>
            </w:pPr>
            <w:r>
              <w:rPr>
                <w:rFonts w:ascii="Arial" w:cs="Arial" w:eastAsia="Arial" w:hAnsi="Arial"/>
                <w:sz w:val="14"/>
                <w:szCs w:val="14"/>
                <w:color w:val="auto"/>
              </w:rPr>
              <w:t>3,161</w:t>
            </w:r>
          </w:p>
        </w:tc>
        <w:tc>
          <w:tcPr>
            <w:tcW w:w="176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4"/>
                <w:szCs w:val="14"/>
                <w:color w:val="auto"/>
              </w:rPr>
              <w:t>963,220</w:t>
            </w:r>
          </w:p>
        </w:tc>
        <w:tc>
          <w:tcPr>
            <w:tcW w:w="140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4"/>
                <w:szCs w:val="14"/>
                <w:color w:val="auto"/>
              </w:rPr>
              <w:t>6,961</w:t>
            </w:r>
          </w:p>
        </w:tc>
        <w:tc>
          <w:tcPr>
            <w:tcW w:w="1520" w:type="dxa"/>
            <w:vAlign w:val="bottom"/>
            <w:tcBorders>
              <w:bottom w:val="single" w:sz="8" w:color="00249C"/>
            </w:tcBorders>
            <w:shd w:val="clear" w:color="auto" w:fill="CCD4DB"/>
          </w:tcPr>
          <w:p>
            <w:pPr>
              <w:jc w:val="center"/>
              <w:ind w:left="91"/>
              <w:spacing w:after="0"/>
              <w:rPr>
                <w:sz w:val="20"/>
                <w:szCs w:val="20"/>
                <w:color w:val="auto"/>
              </w:rPr>
            </w:pPr>
            <w:r>
              <w:rPr>
                <w:rFonts w:ascii="Arial" w:cs="Arial" w:eastAsia="Arial" w:hAnsi="Arial"/>
                <w:sz w:val="14"/>
                <w:szCs w:val="14"/>
                <w:color w:val="auto"/>
              </w:rPr>
              <w:t>2,121,156</w:t>
            </w: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2/12/2020</w:t>
            </w:r>
          </w:p>
        </w:tc>
        <w:tc>
          <w:tcPr>
            <w:tcW w:w="1320" w:type="dxa"/>
            <w:vAlign w:val="bottom"/>
          </w:tcPr>
          <w:p>
            <w:pPr>
              <w:jc w:val="center"/>
              <w:ind w:right="50"/>
              <w:spacing w:after="0"/>
              <w:rPr>
                <w:sz w:val="20"/>
                <w:szCs w:val="20"/>
                <w:color w:val="auto"/>
              </w:rPr>
            </w:pPr>
            <w:r>
              <w:rPr>
                <w:rFonts w:ascii="Arial" w:cs="Arial" w:eastAsia="Arial" w:hAnsi="Arial"/>
                <w:sz w:val="14"/>
                <w:szCs w:val="14"/>
                <w:color w:val="auto"/>
              </w:rPr>
              <w:t>3,959</w:t>
            </w:r>
          </w:p>
        </w:tc>
        <w:tc>
          <w:tcPr>
            <w:tcW w:w="1760" w:type="dxa"/>
            <w:vAlign w:val="bottom"/>
          </w:tcPr>
          <w:p>
            <w:pPr>
              <w:jc w:val="center"/>
              <w:spacing w:after="0"/>
              <w:rPr>
                <w:sz w:val="20"/>
                <w:szCs w:val="20"/>
                <w:color w:val="auto"/>
              </w:rPr>
            </w:pPr>
            <w:r>
              <w:rPr>
                <w:rFonts w:ascii="Arial" w:cs="Arial" w:eastAsia="Arial" w:hAnsi="Arial"/>
                <w:sz w:val="14"/>
                <w:szCs w:val="14"/>
                <w:color w:val="auto"/>
              </w:rPr>
              <w:t>1,206,386</w:t>
            </w:r>
          </w:p>
        </w:tc>
        <w:tc>
          <w:tcPr>
            <w:tcW w:w="1400" w:type="dxa"/>
            <w:vAlign w:val="bottom"/>
          </w:tcPr>
          <w:p>
            <w:pPr>
              <w:jc w:val="center"/>
              <w:spacing w:after="0"/>
              <w:rPr>
                <w:sz w:val="20"/>
                <w:szCs w:val="20"/>
                <w:color w:val="auto"/>
              </w:rPr>
            </w:pPr>
            <w:r>
              <w:rPr>
                <w:rFonts w:ascii="Arial" w:cs="Arial" w:eastAsia="Arial" w:hAnsi="Arial"/>
                <w:sz w:val="14"/>
                <w:szCs w:val="14"/>
                <w:color w:val="auto"/>
              </w:rPr>
              <w:t>6,009</w:t>
            </w:r>
          </w:p>
        </w:tc>
        <w:tc>
          <w:tcPr>
            <w:tcW w:w="1520" w:type="dxa"/>
            <w:vAlign w:val="bottom"/>
          </w:tcPr>
          <w:p>
            <w:pPr>
              <w:jc w:val="center"/>
              <w:ind w:left="91"/>
              <w:spacing w:after="0"/>
              <w:rPr>
                <w:sz w:val="20"/>
                <w:szCs w:val="20"/>
                <w:color w:val="auto"/>
              </w:rPr>
            </w:pPr>
            <w:r>
              <w:rPr>
                <w:rFonts w:ascii="Arial" w:cs="Arial" w:eastAsia="Arial" w:hAnsi="Arial"/>
                <w:sz w:val="14"/>
                <w:szCs w:val="14"/>
                <w:color w:val="auto"/>
              </w:rPr>
              <w:t>1,831,062</w:t>
            </w:r>
          </w:p>
        </w:tc>
        <w:tc>
          <w:tcPr>
            <w:tcW w:w="0" w:type="dxa"/>
            <w:vAlign w:val="bottom"/>
          </w:tcPr>
          <w:p>
            <w:pPr>
              <w:spacing w:after="0"/>
              <w:rPr>
                <w:sz w:val="1"/>
                <w:szCs w:val="1"/>
                <w:color w:val="auto"/>
              </w:rPr>
            </w:pPr>
          </w:p>
        </w:tc>
      </w:tr>
      <w:tr>
        <w:trPr>
          <w:trHeight w:val="222"/>
        </w:trPr>
        <w:tc>
          <w:tcPr>
            <w:tcW w:w="4200" w:type="dxa"/>
            <w:vAlign w:val="bottom"/>
          </w:tcPr>
          <w:p>
            <w:pPr>
              <w:ind w:left="20"/>
              <w:spacing w:after="0"/>
              <w:rPr>
                <w:sz w:val="20"/>
                <w:szCs w:val="20"/>
                <w:color w:val="auto"/>
              </w:rPr>
            </w:pPr>
            <w:r>
              <w:rPr>
                <w:rFonts w:ascii="Arial" w:cs="Arial" w:eastAsia="Arial" w:hAnsi="Arial"/>
                <w:sz w:val="14"/>
                <w:szCs w:val="14"/>
                <w:color w:val="auto"/>
              </w:rPr>
              <w:t>Blake E. Larson</w:t>
            </w:r>
          </w:p>
        </w:tc>
        <w:tc>
          <w:tcPr>
            <w:tcW w:w="104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2/13/2019</w:t>
            </w:r>
          </w:p>
        </w:tc>
        <w:tc>
          <w:tcPr>
            <w:tcW w:w="1320" w:type="dxa"/>
            <w:vAlign w:val="bottom"/>
            <w:shd w:val="clear" w:color="auto" w:fill="CCD4DB"/>
          </w:tcPr>
          <w:p>
            <w:pPr>
              <w:jc w:val="center"/>
              <w:ind w:right="50"/>
              <w:spacing w:after="0"/>
              <w:rPr>
                <w:sz w:val="20"/>
                <w:szCs w:val="20"/>
                <w:color w:val="auto"/>
              </w:rPr>
            </w:pPr>
            <w:r>
              <w:rPr>
                <w:rFonts w:ascii="Arial" w:cs="Arial" w:eastAsia="Arial" w:hAnsi="Arial"/>
                <w:sz w:val="14"/>
                <w:szCs w:val="14"/>
                <w:color w:val="auto"/>
              </w:rPr>
              <w:t>3,283</w:t>
            </w:r>
          </w:p>
        </w:tc>
        <w:tc>
          <w:tcPr>
            <w:tcW w:w="176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1,000,396</w:t>
            </w:r>
          </w:p>
        </w:tc>
        <w:tc>
          <w:tcPr>
            <w:tcW w:w="140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7,748</w:t>
            </w:r>
          </w:p>
        </w:tc>
        <w:tc>
          <w:tcPr>
            <w:tcW w:w="1520" w:type="dxa"/>
            <w:vAlign w:val="bottom"/>
            <w:shd w:val="clear" w:color="auto" w:fill="CCD4DB"/>
          </w:tcPr>
          <w:p>
            <w:pPr>
              <w:jc w:val="center"/>
              <w:ind w:left="91"/>
              <w:spacing w:after="0"/>
              <w:rPr>
                <w:sz w:val="20"/>
                <w:szCs w:val="20"/>
                <w:color w:val="auto"/>
              </w:rPr>
            </w:pPr>
            <w:r>
              <w:rPr>
                <w:rFonts w:ascii="Arial" w:cs="Arial" w:eastAsia="Arial" w:hAnsi="Arial"/>
                <w:sz w:val="14"/>
                <w:szCs w:val="14"/>
                <w:color w:val="auto"/>
              </w:rPr>
              <w:t>2,360,971</w:t>
            </w:r>
          </w:p>
        </w:tc>
        <w:tc>
          <w:tcPr>
            <w:tcW w:w="0" w:type="dxa"/>
            <w:vAlign w:val="bottom"/>
          </w:tcPr>
          <w:p>
            <w:pPr>
              <w:spacing w:after="0"/>
              <w:rPr>
                <w:sz w:val="1"/>
                <w:szCs w:val="1"/>
                <w:color w:val="auto"/>
              </w:rPr>
            </w:pPr>
          </w:p>
        </w:tc>
      </w:tr>
      <w:tr>
        <w:trPr>
          <w:trHeight w:val="210"/>
        </w:trPr>
        <w:tc>
          <w:tcPr>
            <w:tcW w:w="4200" w:type="dxa"/>
            <w:vAlign w:val="bottom"/>
            <w:tcBorders>
              <w:bottom w:val="single" w:sz="8" w:color="00249C"/>
            </w:tcBorders>
          </w:tcPr>
          <w:p>
            <w:pPr>
              <w:spacing w:after="0"/>
              <w:rPr>
                <w:sz w:val="18"/>
                <w:szCs w:val="18"/>
                <w:color w:val="auto"/>
              </w:rPr>
            </w:pPr>
          </w:p>
        </w:tc>
        <w:tc>
          <w:tcPr>
            <w:tcW w:w="1040" w:type="dxa"/>
            <w:vAlign w:val="bottom"/>
            <w:tcBorders>
              <w:bottom w:val="single" w:sz="8" w:color="00249C"/>
            </w:tcBorders>
          </w:tcPr>
          <w:p>
            <w:pPr>
              <w:jc w:val="center"/>
              <w:spacing w:after="0"/>
              <w:rPr>
                <w:sz w:val="20"/>
                <w:szCs w:val="20"/>
                <w:color w:val="auto"/>
              </w:rPr>
            </w:pPr>
            <w:r>
              <w:rPr>
                <w:rFonts w:ascii="Arial" w:cs="Arial" w:eastAsia="Arial" w:hAnsi="Arial"/>
                <w:sz w:val="14"/>
                <w:szCs w:val="14"/>
                <w:color w:val="auto"/>
              </w:rPr>
              <w:t>6/13/2018</w:t>
            </w:r>
          </w:p>
        </w:tc>
        <w:tc>
          <w:tcPr>
            <w:tcW w:w="1320" w:type="dxa"/>
            <w:vAlign w:val="bottom"/>
            <w:tcBorders>
              <w:bottom w:val="single" w:sz="8" w:color="00249C"/>
            </w:tcBorders>
          </w:tcPr>
          <w:p>
            <w:pPr>
              <w:jc w:val="center"/>
              <w:ind w:right="50"/>
              <w:spacing w:after="0"/>
              <w:rPr>
                <w:sz w:val="20"/>
                <w:szCs w:val="20"/>
                <w:color w:val="auto"/>
              </w:rPr>
            </w:pPr>
            <w:r>
              <w:rPr>
                <w:rFonts w:ascii="Arial" w:cs="Arial" w:eastAsia="Arial" w:hAnsi="Arial"/>
                <w:sz w:val="14"/>
                <w:szCs w:val="14"/>
                <w:color w:val="auto"/>
              </w:rPr>
              <w:t>2,831</w:t>
            </w:r>
          </w:p>
        </w:tc>
        <w:tc>
          <w:tcPr>
            <w:tcW w:w="1760" w:type="dxa"/>
            <w:vAlign w:val="bottom"/>
            <w:tcBorders>
              <w:bottom w:val="single" w:sz="8" w:color="00249C"/>
            </w:tcBorders>
          </w:tcPr>
          <w:p>
            <w:pPr>
              <w:jc w:val="center"/>
              <w:spacing w:after="0"/>
              <w:rPr>
                <w:sz w:val="20"/>
                <w:szCs w:val="20"/>
                <w:color w:val="auto"/>
              </w:rPr>
            </w:pPr>
            <w:r>
              <w:rPr>
                <w:rFonts w:ascii="Arial" w:cs="Arial" w:eastAsia="Arial" w:hAnsi="Arial"/>
                <w:sz w:val="14"/>
                <w:szCs w:val="14"/>
                <w:color w:val="auto"/>
              </w:rPr>
              <w:t>862,662</w:t>
            </w:r>
          </w:p>
        </w:tc>
        <w:tc>
          <w:tcPr>
            <w:tcW w:w="1400" w:type="dxa"/>
            <w:vAlign w:val="bottom"/>
            <w:tcBorders>
              <w:bottom w:val="single" w:sz="8" w:color="00249C"/>
            </w:tcBorders>
          </w:tcPr>
          <w:p>
            <w:pPr>
              <w:jc w:val="center"/>
              <w:spacing w:after="0"/>
              <w:rPr>
                <w:sz w:val="20"/>
                <w:szCs w:val="20"/>
                <w:color w:val="auto"/>
              </w:rPr>
            </w:pPr>
            <w:r>
              <w:rPr>
                <w:rFonts w:ascii="Arial" w:cs="Arial" w:eastAsia="Arial" w:hAnsi="Arial"/>
                <w:sz w:val="14"/>
                <w:szCs w:val="14"/>
                <w:color w:val="auto"/>
              </w:rPr>
              <w:t>6,642</w:t>
            </w:r>
          </w:p>
        </w:tc>
        <w:tc>
          <w:tcPr>
            <w:tcW w:w="1520" w:type="dxa"/>
            <w:vAlign w:val="bottom"/>
            <w:tcBorders>
              <w:bottom w:val="single" w:sz="8" w:color="00249C"/>
            </w:tcBorders>
          </w:tcPr>
          <w:p>
            <w:pPr>
              <w:jc w:val="center"/>
              <w:ind w:left="91"/>
              <w:spacing w:after="0"/>
              <w:rPr>
                <w:sz w:val="20"/>
                <w:szCs w:val="20"/>
                <w:color w:val="auto"/>
              </w:rPr>
            </w:pPr>
            <w:r>
              <w:rPr>
                <w:rFonts w:ascii="Arial" w:cs="Arial" w:eastAsia="Arial" w:hAnsi="Arial"/>
                <w:sz w:val="14"/>
                <w:szCs w:val="14"/>
                <w:color w:val="auto"/>
              </w:rPr>
              <w:t>2,023,950</w:t>
            </w:r>
          </w:p>
        </w:tc>
        <w:tc>
          <w:tcPr>
            <w:tcW w:w="0" w:type="dxa"/>
            <w:vAlign w:val="bottom"/>
          </w:tcPr>
          <w:p>
            <w:pPr>
              <w:spacing w:after="0"/>
              <w:rPr>
                <w:sz w:val="1"/>
                <w:szCs w:val="1"/>
                <w:color w:val="auto"/>
              </w:rPr>
            </w:pPr>
          </w:p>
        </w:tc>
      </w:tr>
      <w:tr>
        <w:trPr>
          <w:trHeight w:val="202"/>
        </w:trPr>
        <w:tc>
          <w:tcPr>
            <w:tcW w:w="4200" w:type="dxa"/>
            <w:vAlign w:val="bottom"/>
          </w:tcPr>
          <w:p>
            <w:pPr>
              <w:spacing w:after="0"/>
              <w:rPr>
                <w:sz w:val="17"/>
                <w:szCs w:val="17"/>
                <w:color w:val="auto"/>
              </w:rPr>
            </w:pPr>
          </w:p>
        </w:tc>
        <w:tc>
          <w:tcPr>
            <w:tcW w:w="104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2/12/2020</w:t>
            </w:r>
          </w:p>
        </w:tc>
        <w:tc>
          <w:tcPr>
            <w:tcW w:w="1320" w:type="dxa"/>
            <w:vAlign w:val="bottom"/>
            <w:shd w:val="clear" w:color="auto" w:fill="CCD4DB"/>
          </w:tcPr>
          <w:p>
            <w:pPr>
              <w:jc w:val="center"/>
              <w:ind w:right="50"/>
              <w:spacing w:after="0"/>
              <w:rPr>
                <w:sz w:val="20"/>
                <w:szCs w:val="20"/>
                <w:color w:val="auto"/>
              </w:rPr>
            </w:pPr>
            <w:r>
              <w:rPr>
                <w:rFonts w:ascii="Arial" w:cs="Arial" w:eastAsia="Arial" w:hAnsi="Arial"/>
                <w:sz w:val="14"/>
                <w:szCs w:val="14"/>
                <w:color w:val="auto"/>
              </w:rPr>
              <w:t>3,959</w:t>
            </w:r>
          </w:p>
        </w:tc>
        <w:tc>
          <w:tcPr>
            <w:tcW w:w="176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1,206,386</w:t>
            </w:r>
          </w:p>
        </w:tc>
        <w:tc>
          <w:tcPr>
            <w:tcW w:w="140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6,009</w:t>
            </w:r>
          </w:p>
        </w:tc>
        <w:tc>
          <w:tcPr>
            <w:tcW w:w="1520" w:type="dxa"/>
            <w:vAlign w:val="bottom"/>
            <w:shd w:val="clear" w:color="auto" w:fill="CCD4DB"/>
          </w:tcPr>
          <w:p>
            <w:pPr>
              <w:jc w:val="center"/>
              <w:ind w:left="91"/>
              <w:spacing w:after="0"/>
              <w:rPr>
                <w:sz w:val="20"/>
                <w:szCs w:val="20"/>
                <w:color w:val="auto"/>
              </w:rPr>
            </w:pPr>
            <w:r>
              <w:rPr>
                <w:rFonts w:ascii="Arial" w:cs="Arial" w:eastAsia="Arial" w:hAnsi="Arial"/>
                <w:sz w:val="14"/>
                <w:szCs w:val="14"/>
                <w:color w:val="auto"/>
              </w:rPr>
              <w:t>1,831,062</w:t>
            </w:r>
          </w:p>
        </w:tc>
        <w:tc>
          <w:tcPr>
            <w:tcW w:w="0" w:type="dxa"/>
            <w:vAlign w:val="bottom"/>
          </w:tcPr>
          <w:p>
            <w:pPr>
              <w:spacing w:after="0"/>
              <w:rPr>
                <w:sz w:val="1"/>
                <w:szCs w:val="1"/>
                <w:color w:val="auto"/>
              </w:rPr>
            </w:pPr>
          </w:p>
        </w:tc>
      </w:tr>
      <w:tr>
        <w:trPr>
          <w:trHeight w:val="210"/>
        </w:trPr>
        <w:tc>
          <w:tcPr>
            <w:tcW w:w="4200" w:type="dxa"/>
            <w:vAlign w:val="bottom"/>
          </w:tcPr>
          <w:p>
            <w:pPr>
              <w:ind w:left="20"/>
              <w:spacing w:after="0"/>
              <w:rPr>
                <w:sz w:val="20"/>
                <w:szCs w:val="20"/>
                <w:color w:val="auto"/>
              </w:rPr>
            </w:pPr>
            <w:r>
              <w:rPr>
                <w:rFonts w:ascii="Arial" w:cs="Arial" w:eastAsia="Arial" w:hAnsi="Arial"/>
                <w:sz w:val="14"/>
                <w:szCs w:val="14"/>
                <w:color w:val="auto"/>
              </w:rPr>
              <w:t>Janis G. Pamiljans</w:t>
            </w:r>
          </w:p>
        </w:tc>
        <w:tc>
          <w:tcPr>
            <w:tcW w:w="1040" w:type="dxa"/>
            <w:vAlign w:val="bottom"/>
          </w:tcPr>
          <w:p>
            <w:pPr>
              <w:jc w:val="center"/>
              <w:spacing w:after="0"/>
              <w:rPr>
                <w:sz w:val="20"/>
                <w:szCs w:val="20"/>
                <w:color w:val="auto"/>
              </w:rPr>
            </w:pPr>
            <w:r>
              <w:rPr>
                <w:rFonts w:ascii="Arial" w:cs="Arial" w:eastAsia="Arial" w:hAnsi="Arial"/>
                <w:sz w:val="14"/>
                <w:szCs w:val="14"/>
                <w:color w:val="auto"/>
              </w:rPr>
              <w:t>2/13/2019</w:t>
            </w:r>
          </w:p>
        </w:tc>
        <w:tc>
          <w:tcPr>
            <w:tcW w:w="1320" w:type="dxa"/>
            <w:vAlign w:val="bottom"/>
          </w:tcPr>
          <w:p>
            <w:pPr>
              <w:jc w:val="center"/>
              <w:ind w:right="50"/>
              <w:spacing w:after="0"/>
              <w:rPr>
                <w:sz w:val="20"/>
                <w:szCs w:val="20"/>
                <w:color w:val="auto"/>
              </w:rPr>
            </w:pPr>
            <w:r>
              <w:rPr>
                <w:rFonts w:ascii="Arial" w:cs="Arial" w:eastAsia="Arial" w:hAnsi="Arial"/>
                <w:sz w:val="14"/>
                <w:szCs w:val="14"/>
                <w:color w:val="auto"/>
              </w:rPr>
              <w:t>3,830</w:t>
            </w:r>
          </w:p>
        </w:tc>
        <w:tc>
          <w:tcPr>
            <w:tcW w:w="1760" w:type="dxa"/>
            <w:vAlign w:val="bottom"/>
          </w:tcPr>
          <w:p>
            <w:pPr>
              <w:jc w:val="center"/>
              <w:spacing w:after="0"/>
              <w:rPr>
                <w:sz w:val="20"/>
                <w:szCs w:val="20"/>
                <w:color w:val="auto"/>
              </w:rPr>
            </w:pPr>
            <w:r>
              <w:rPr>
                <w:rFonts w:ascii="Arial" w:cs="Arial" w:eastAsia="Arial" w:hAnsi="Arial"/>
                <w:sz w:val="14"/>
                <w:szCs w:val="14"/>
                <w:color w:val="auto"/>
              </w:rPr>
              <w:t>1,167,078</w:t>
            </w:r>
          </w:p>
        </w:tc>
        <w:tc>
          <w:tcPr>
            <w:tcW w:w="1400" w:type="dxa"/>
            <w:vAlign w:val="bottom"/>
          </w:tcPr>
          <w:p>
            <w:pPr>
              <w:jc w:val="center"/>
              <w:spacing w:after="0"/>
              <w:rPr>
                <w:sz w:val="20"/>
                <w:szCs w:val="20"/>
                <w:color w:val="auto"/>
              </w:rPr>
            </w:pPr>
            <w:r>
              <w:rPr>
                <w:rFonts w:ascii="Arial" w:cs="Arial" w:eastAsia="Arial" w:hAnsi="Arial"/>
                <w:sz w:val="14"/>
                <w:szCs w:val="14"/>
                <w:color w:val="auto"/>
              </w:rPr>
              <w:t>9,038</w:t>
            </w:r>
          </w:p>
        </w:tc>
        <w:tc>
          <w:tcPr>
            <w:tcW w:w="1520" w:type="dxa"/>
            <w:vAlign w:val="bottom"/>
          </w:tcPr>
          <w:p>
            <w:pPr>
              <w:jc w:val="center"/>
              <w:ind w:left="91"/>
              <w:spacing w:after="0"/>
              <w:rPr>
                <w:sz w:val="20"/>
                <w:szCs w:val="20"/>
                <w:color w:val="auto"/>
              </w:rPr>
            </w:pPr>
            <w:r>
              <w:rPr>
                <w:rFonts w:ascii="Arial" w:cs="Arial" w:eastAsia="Arial" w:hAnsi="Arial"/>
                <w:sz w:val="14"/>
                <w:szCs w:val="14"/>
                <w:color w:val="auto"/>
              </w:rPr>
              <w:t>2,754,059</w:t>
            </w:r>
          </w:p>
        </w:tc>
        <w:tc>
          <w:tcPr>
            <w:tcW w:w="0" w:type="dxa"/>
            <w:vAlign w:val="bottom"/>
          </w:tcPr>
          <w:p>
            <w:pPr>
              <w:spacing w:after="0"/>
              <w:rPr>
                <w:sz w:val="1"/>
                <w:szCs w:val="1"/>
                <w:color w:val="auto"/>
              </w:rPr>
            </w:pPr>
          </w:p>
        </w:tc>
      </w:tr>
      <w:tr>
        <w:trPr>
          <w:trHeight w:val="222"/>
        </w:trPr>
        <w:tc>
          <w:tcPr>
            <w:tcW w:w="4200" w:type="dxa"/>
            <w:vAlign w:val="bottom"/>
            <w:tcBorders>
              <w:bottom w:val="single" w:sz="8" w:color="007398"/>
            </w:tcBorders>
          </w:tcPr>
          <w:p>
            <w:pPr>
              <w:spacing w:after="0"/>
              <w:rPr>
                <w:sz w:val="19"/>
                <w:szCs w:val="19"/>
                <w:color w:val="auto"/>
              </w:rPr>
            </w:pPr>
          </w:p>
        </w:tc>
        <w:tc>
          <w:tcPr>
            <w:tcW w:w="1040" w:type="dxa"/>
            <w:vAlign w:val="bottom"/>
            <w:tcBorders>
              <w:bottom w:val="single" w:sz="8" w:color="0E32E1"/>
            </w:tcBorders>
            <w:shd w:val="clear" w:color="auto" w:fill="CCD4DB"/>
          </w:tcPr>
          <w:p>
            <w:pPr>
              <w:jc w:val="center"/>
              <w:spacing w:after="0"/>
              <w:rPr>
                <w:sz w:val="20"/>
                <w:szCs w:val="20"/>
                <w:color w:val="auto"/>
              </w:rPr>
            </w:pPr>
            <w:r>
              <w:rPr>
                <w:rFonts w:ascii="Arial" w:cs="Arial" w:eastAsia="Arial" w:hAnsi="Arial"/>
                <w:sz w:val="14"/>
                <w:szCs w:val="14"/>
                <w:color w:val="auto"/>
              </w:rPr>
              <w:t>2/13/2018</w:t>
            </w:r>
          </w:p>
        </w:tc>
        <w:tc>
          <w:tcPr>
            <w:tcW w:w="1320" w:type="dxa"/>
            <w:vAlign w:val="bottom"/>
            <w:tcBorders>
              <w:bottom w:val="single" w:sz="8" w:color="00249C"/>
            </w:tcBorders>
            <w:shd w:val="clear" w:color="auto" w:fill="CCD4DB"/>
          </w:tcPr>
          <w:p>
            <w:pPr>
              <w:jc w:val="center"/>
              <w:ind w:right="50"/>
              <w:spacing w:after="0"/>
              <w:rPr>
                <w:sz w:val="20"/>
                <w:szCs w:val="20"/>
                <w:color w:val="auto"/>
              </w:rPr>
            </w:pPr>
            <w:r>
              <w:rPr>
                <w:rFonts w:ascii="Arial" w:cs="Arial" w:eastAsia="Arial" w:hAnsi="Arial"/>
                <w:sz w:val="14"/>
                <w:szCs w:val="14"/>
                <w:color w:val="auto"/>
              </w:rPr>
              <w:t>3,161</w:t>
            </w:r>
          </w:p>
        </w:tc>
        <w:tc>
          <w:tcPr>
            <w:tcW w:w="176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4"/>
                <w:szCs w:val="14"/>
                <w:color w:val="auto"/>
              </w:rPr>
              <w:t>963,220</w:t>
            </w:r>
          </w:p>
        </w:tc>
        <w:tc>
          <w:tcPr>
            <w:tcW w:w="140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4"/>
                <w:szCs w:val="14"/>
                <w:color w:val="auto"/>
              </w:rPr>
              <w:t>6,961</w:t>
            </w:r>
          </w:p>
        </w:tc>
        <w:tc>
          <w:tcPr>
            <w:tcW w:w="1520" w:type="dxa"/>
            <w:vAlign w:val="bottom"/>
            <w:tcBorders>
              <w:bottom w:val="single" w:sz="8" w:color="00249C"/>
            </w:tcBorders>
            <w:shd w:val="clear" w:color="auto" w:fill="CCD4DB"/>
          </w:tcPr>
          <w:p>
            <w:pPr>
              <w:jc w:val="center"/>
              <w:ind w:left="91"/>
              <w:spacing w:after="0"/>
              <w:rPr>
                <w:sz w:val="20"/>
                <w:szCs w:val="20"/>
                <w:color w:val="auto"/>
              </w:rPr>
            </w:pPr>
            <w:r>
              <w:rPr>
                <w:rFonts w:ascii="Arial" w:cs="Arial" w:eastAsia="Arial" w:hAnsi="Arial"/>
                <w:sz w:val="14"/>
                <w:szCs w:val="14"/>
                <w:color w:val="auto"/>
              </w:rPr>
              <w:t>2,121,156</w:t>
            </w: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2/12/2020</w:t>
            </w:r>
          </w:p>
        </w:tc>
        <w:tc>
          <w:tcPr>
            <w:tcW w:w="1320" w:type="dxa"/>
            <w:vAlign w:val="bottom"/>
          </w:tcPr>
          <w:p>
            <w:pPr>
              <w:jc w:val="center"/>
              <w:ind w:right="30"/>
              <w:spacing w:after="0"/>
              <w:rPr>
                <w:sz w:val="20"/>
                <w:szCs w:val="20"/>
                <w:color w:val="auto"/>
              </w:rPr>
            </w:pPr>
            <w:r>
              <w:rPr>
                <w:rFonts w:ascii="Arial" w:cs="Arial" w:eastAsia="Arial" w:hAnsi="Arial"/>
                <w:sz w:val="14"/>
                <w:szCs w:val="14"/>
                <w:color w:val="auto"/>
                <w:w w:val="99"/>
              </w:rPr>
              <w:t>—</w:t>
            </w:r>
          </w:p>
        </w:tc>
        <w:tc>
          <w:tcPr>
            <w:tcW w:w="17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ind w:left="9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4200" w:type="dxa"/>
            <w:vAlign w:val="bottom"/>
          </w:tcPr>
          <w:p>
            <w:pPr>
              <w:ind w:left="20"/>
              <w:spacing w:after="0"/>
              <w:rPr>
                <w:sz w:val="20"/>
                <w:szCs w:val="20"/>
                <w:color w:val="auto"/>
              </w:rPr>
            </w:pPr>
            <w:r>
              <w:rPr>
                <w:rFonts w:ascii="Arial" w:cs="Arial" w:eastAsia="Arial" w:hAnsi="Arial"/>
                <w:sz w:val="14"/>
                <w:szCs w:val="14"/>
                <w:color w:val="auto"/>
              </w:rPr>
              <w:t>Kenneth L. Bedingfield</w:t>
            </w:r>
          </w:p>
        </w:tc>
        <w:tc>
          <w:tcPr>
            <w:tcW w:w="104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2/13/2019</w:t>
            </w:r>
          </w:p>
        </w:tc>
        <w:tc>
          <w:tcPr>
            <w:tcW w:w="1320" w:type="dxa"/>
            <w:vAlign w:val="bottom"/>
            <w:shd w:val="clear" w:color="auto" w:fill="CCD4DB"/>
          </w:tcPr>
          <w:p>
            <w:pPr>
              <w:jc w:val="center"/>
              <w:ind w:right="30"/>
              <w:spacing w:after="0"/>
              <w:rPr>
                <w:sz w:val="20"/>
                <w:szCs w:val="20"/>
                <w:color w:val="auto"/>
              </w:rPr>
            </w:pPr>
            <w:r>
              <w:rPr>
                <w:rFonts w:ascii="Arial" w:cs="Arial" w:eastAsia="Arial" w:hAnsi="Arial"/>
                <w:sz w:val="14"/>
                <w:szCs w:val="14"/>
                <w:color w:val="auto"/>
                <w:w w:val="99"/>
              </w:rPr>
              <w:t>—</w:t>
            </w:r>
          </w:p>
        </w:tc>
        <w:tc>
          <w:tcPr>
            <w:tcW w:w="1760" w:type="dxa"/>
            <w:vAlign w:val="bottom"/>
            <w:shd w:val="clear" w:color="auto" w:fill="CCD4DB"/>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shd w:val="clear" w:color="auto" w:fill="CCD4DB"/>
          </w:tcPr>
          <w:p>
            <w:pPr>
              <w:jc w:val="center"/>
              <w:spacing w:after="0"/>
              <w:rPr>
                <w:sz w:val="20"/>
                <w:szCs w:val="20"/>
                <w:color w:val="auto"/>
              </w:rPr>
            </w:pPr>
            <w:r>
              <w:rPr>
                <w:rFonts w:ascii="Arial" w:cs="Arial" w:eastAsia="Arial" w:hAnsi="Arial"/>
                <w:sz w:val="14"/>
                <w:szCs w:val="14"/>
                <w:color w:val="auto"/>
                <w:w w:val="99"/>
              </w:rPr>
              <w:t>—</w:t>
            </w:r>
          </w:p>
        </w:tc>
        <w:tc>
          <w:tcPr>
            <w:tcW w:w="1520" w:type="dxa"/>
            <w:vAlign w:val="bottom"/>
            <w:shd w:val="clear" w:color="auto" w:fill="CCD4DB"/>
          </w:tcPr>
          <w:p>
            <w:pPr>
              <w:jc w:val="center"/>
              <w:ind w:left="9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00249C"/>
            </w:tcBorders>
          </w:tcPr>
          <w:p>
            <w:pPr>
              <w:spacing w:after="0"/>
              <w:rPr>
                <w:sz w:val="18"/>
                <w:szCs w:val="18"/>
                <w:color w:val="auto"/>
              </w:rPr>
            </w:pPr>
          </w:p>
        </w:tc>
        <w:tc>
          <w:tcPr>
            <w:tcW w:w="1040" w:type="dxa"/>
            <w:vAlign w:val="bottom"/>
            <w:tcBorders>
              <w:bottom w:val="single" w:sz="8" w:color="00249C"/>
            </w:tcBorders>
          </w:tcPr>
          <w:p>
            <w:pPr>
              <w:jc w:val="center"/>
              <w:spacing w:after="0"/>
              <w:rPr>
                <w:sz w:val="20"/>
                <w:szCs w:val="20"/>
                <w:color w:val="auto"/>
              </w:rPr>
            </w:pPr>
            <w:r>
              <w:rPr>
                <w:rFonts w:ascii="Arial" w:cs="Arial" w:eastAsia="Arial" w:hAnsi="Arial"/>
                <w:sz w:val="14"/>
                <w:szCs w:val="14"/>
                <w:color w:val="auto"/>
              </w:rPr>
              <w:t>2/13/2018</w:t>
            </w:r>
          </w:p>
        </w:tc>
        <w:tc>
          <w:tcPr>
            <w:tcW w:w="1320" w:type="dxa"/>
            <w:vAlign w:val="bottom"/>
            <w:tcBorders>
              <w:bottom w:val="single" w:sz="8" w:color="00249C"/>
            </w:tcBorders>
          </w:tcPr>
          <w:p>
            <w:pPr>
              <w:jc w:val="center"/>
              <w:ind w:right="30"/>
              <w:spacing w:after="0"/>
              <w:rPr>
                <w:sz w:val="20"/>
                <w:szCs w:val="20"/>
                <w:color w:val="auto"/>
              </w:rPr>
            </w:pPr>
            <w:r>
              <w:rPr>
                <w:rFonts w:ascii="Arial" w:cs="Arial" w:eastAsia="Arial" w:hAnsi="Arial"/>
                <w:sz w:val="14"/>
                <w:szCs w:val="14"/>
                <w:color w:val="auto"/>
                <w:w w:val="99"/>
              </w:rPr>
              <w:t>—</w:t>
            </w:r>
          </w:p>
        </w:tc>
        <w:tc>
          <w:tcPr>
            <w:tcW w:w="1760" w:type="dxa"/>
            <w:vAlign w:val="bottom"/>
            <w:tcBorders>
              <w:bottom w:val="single" w:sz="8" w:color="00249C"/>
            </w:tcBorders>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Borders>
              <w:bottom w:val="single" w:sz="8" w:color="00249C"/>
            </w:tcBorders>
          </w:tcPr>
          <w:p>
            <w:pPr>
              <w:jc w:val="center"/>
              <w:spacing w:after="0"/>
              <w:rPr>
                <w:sz w:val="20"/>
                <w:szCs w:val="20"/>
                <w:color w:val="auto"/>
              </w:rPr>
            </w:pPr>
            <w:r>
              <w:rPr>
                <w:rFonts w:ascii="Arial" w:cs="Arial" w:eastAsia="Arial" w:hAnsi="Arial"/>
                <w:sz w:val="14"/>
                <w:szCs w:val="14"/>
                <w:color w:val="auto"/>
                <w:w w:val="99"/>
              </w:rPr>
              <w:t>—</w:t>
            </w:r>
          </w:p>
        </w:tc>
        <w:tc>
          <w:tcPr>
            <w:tcW w:w="1520" w:type="dxa"/>
            <w:vAlign w:val="bottom"/>
            <w:tcBorders>
              <w:bottom w:val="single" w:sz="8" w:color="00249C"/>
            </w:tcBorders>
          </w:tcPr>
          <w:p>
            <w:pPr>
              <w:jc w:val="center"/>
              <w:ind w:left="9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20" w:right="480" w:hanging="412"/>
        <w:spacing w:after="0" w:line="256" w:lineRule="auto"/>
        <w:tabs>
          <w:tab w:leader="none" w:pos="437"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Outstanding RSRs generally vest three years from date of grant. Mr. Larson's and Mr. Pamiljans's February 12, 2020 RSR grants include a retention award in the amount of 1,414 shares for each executive. The retention awards will vest on December 31, 2021. However, Mr. Pamiljans retired on February 26, 2021 and forfeited the retention award.</w:t>
      </w:r>
    </w:p>
    <w:p>
      <w:pPr>
        <w:spacing w:after="0" w:line="80" w:lineRule="exact"/>
        <w:rPr>
          <w:rFonts w:ascii="Arial" w:cs="Arial" w:eastAsia="Arial" w:hAnsi="Arial"/>
          <w:sz w:val="18"/>
          <w:szCs w:val="18"/>
          <w:color w:val="auto"/>
        </w:rPr>
      </w:pPr>
    </w:p>
    <w:p>
      <w:pPr>
        <w:ind w:left="420" w:right="420" w:hanging="412"/>
        <w:spacing w:after="0" w:line="261" w:lineRule="auto"/>
        <w:tabs>
          <w:tab w:leader="none" w:pos="437"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value listed is based on the closing price of the Company's stock of $304.72 on December 31, 2020, the last trading day of the year.</w:t>
      </w:r>
    </w:p>
    <w:p>
      <w:pPr>
        <w:spacing w:after="0" w:line="76" w:lineRule="exact"/>
        <w:rPr>
          <w:rFonts w:ascii="Arial" w:cs="Arial" w:eastAsia="Arial" w:hAnsi="Arial"/>
          <w:sz w:val="18"/>
          <w:szCs w:val="18"/>
          <w:color w:val="auto"/>
        </w:rPr>
      </w:pPr>
    </w:p>
    <w:p>
      <w:pPr>
        <w:ind w:left="420" w:right="40" w:hanging="412"/>
        <w:spacing w:after="0" w:line="253" w:lineRule="auto"/>
        <w:tabs>
          <w:tab w:leader="none" w:pos="437"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Outstanding RPSRs granted in 2020, 2019 and 2018 generally vest based on performance for the three-year performance period ending on December 31, 2022, 2021 and 2020, respectively. All RPSR grants are subject to the Compensation Committee's approval of the performance-based earnout percentage applicable to the grant following the end of the performance period. Amounts presented assume target level performance. The 2018 RPSRs were distributed in February 2021 upon the Compensation Committee's approval. The actual number of shares distributed to the NEOs in February 2021 as a result of the vesting RPSRs was as follows:</w:t>
      </w:r>
    </w:p>
    <w:p>
      <w:pPr>
        <w:spacing w:after="0" w:line="98" w:lineRule="exact"/>
        <w:rPr>
          <w:sz w:val="20"/>
          <w:szCs w:val="20"/>
          <w:color w:val="auto"/>
        </w:rPr>
      </w:pPr>
    </w:p>
    <w:tbl>
      <w:tblPr>
        <w:tblLayout w:type="fixed"/>
        <w:tblInd w:w="420" w:type="dxa"/>
        <w:tblCellMar>
          <w:top w:w="0" w:type="dxa"/>
          <w:left w:w="0" w:type="dxa"/>
          <w:bottom w:w="0" w:type="dxa"/>
          <w:right w:w="0" w:type="dxa"/>
        </w:tblCellMar>
      </w:tblPr>
      <w:tr>
        <w:trPr>
          <w:trHeight w:val="162"/>
        </w:trPr>
        <w:tc>
          <w:tcPr>
            <w:tcW w:w="3420" w:type="dxa"/>
            <w:vAlign w:val="bottom"/>
            <w:vMerge w:val="restart"/>
            <w:shd w:val="clear" w:color="auto" w:fill="00249C"/>
          </w:tcPr>
          <w:p>
            <w:pPr>
              <w:ind w:left="20"/>
              <w:spacing w:after="0"/>
              <w:rPr>
                <w:sz w:val="20"/>
                <w:szCs w:val="20"/>
                <w:color w:val="auto"/>
              </w:rPr>
            </w:pPr>
            <w:r>
              <w:rPr>
                <w:rFonts w:ascii="Arial" w:cs="Arial" w:eastAsia="Arial" w:hAnsi="Arial"/>
                <w:sz w:val="14"/>
                <w:szCs w:val="14"/>
                <w:b w:val="1"/>
                <w:bCs w:val="1"/>
                <w:color w:val="FFFFFF"/>
              </w:rPr>
              <w:t>Name</w:t>
            </w:r>
          </w:p>
        </w:tc>
        <w:tc>
          <w:tcPr>
            <w:tcW w:w="3480" w:type="dxa"/>
            <w:vAlign w:val="bottom"/>
            <w:shd w:val="clear" w:color="auto" w:fill="00249C"/>
          </w:tcPr>
          <w:p>
            <w:pPr>
              <w:ind w:left="840"/>
              <w:spacing w:after="0"/>
              <w:rPr>
                <w:sz w:val="20"/>
                <w:szCs w:val="20"/>
                <w:color w:val="auto"/>
              </w:rPr>
            </w:pPr>
            <w:r>
              <w:rPr>
                <w:rFonts w:ascii="Arial" w:cs="Arial" w:eastAsia="Arial" w:hAnsi="Arial"/>
                <w:sz w:val="14"/>
                <w:szCs w:val="14"/>
                <w:b w:val="1"/>
                <w:bCs w:val="1"/>
                <w:color w:val="FFFFFF"/>
              </w:rPr>
              <w:t>Actual Shares Distributed</w:t>
            </w:r>
          </w:p>
        </w:tc>
        <w:tc>
          <w:tcPr>
            <w:tcW w:w="3920" w:type="dxa"/>
            <w:vAlign w:val="bottom"/>
            <w:tcBorders>
              <w:left w:val="single" w:sz="8" w:color="00249C"/>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20" w:type="dxa"/>
            <w:vAlign w:val="bottom"/>
            <w:vMerge w:val="continue"/>
            <w:shd w:val="clear" w:color="auto" w:fill="00249C"/>
          </w:tcPr>
          <w:p>
            <w:pPr>
              <w:spacing w:after="0"/>
              <w:rPr>
                <w:sz w:val="16"/>
                <w:szCs w:val="16"/>
                <w:color w:val="auto"/>
              </w:rPr>
            </w:pPr>
          </w:p>
        </w:tc>
        <w:tc>
          <w:tcPr>
            <w:tcW w:w="348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w:t>
            </w:r>
          </w:p>
        </w:tc>
        <w:tc>
          <w:tcPr>
            <w:tcW w:w="3920" w:type="dxa"/>
            <w:vAlign w:val="bottom"/>
            <w:tcBorders>
              <w:left w:val="single" w:sz="8" w:color="00249C"/>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CD4DB"/>
          </w:tcPr>
          <w:p>
            <w:pPr>
              <w:ind w:left="20"/>
              <w:spacing w:after="0"/>
              <w:rPr>
                <w:sz w:val="20"/>
                <w:szCs w:val="20"/>
                <w:color w:val="auto"/>
              </w:rPr>
            </w:pPr>
            <w:r>
              <w:rPr>
                <w:rFonts w:ascii="Arial" w:cs="Arial" w:eastAsia="Arial" w:hAnsi="Arial"/>
                <w:sz w:val="14"/>
                <w:szCs w:val="14"/>
                <w:color w:val="auto"/>
              </w:rPr>
              <w:t>Ms. Warden</w:t>
            </w:r>
          </w:p>
        </w:tc>
        <w:tc>
          <w:tcPr>
            <w:tcW w:w="348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24,108</w:t>
            </w: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20"/>
              <w:spacing w:after="0"/>
              <w:rPr>
                <w:sz w:val="20"/>
                <w:szCs w:val="20"/>
                <w:color w:val="auto"/>
              </w:rPr>
            </w:pPr>
            <w:r>
              <w:rPr>
                <w:rFonts w:ascii="Arial" w:cs="Arial" w:eastAsia="Arial" w:hAnsi="Arial"/>
                <w:sz w:val="14"/>
                <w:szCs w:val="14"/>
                <w:color w:val="auto"/>
              </w:rPr>
              <w:t>Mr. Keffer</w:t>
            </w:r>
          </w:p>
        </w:tc>
        <w:tc>
          <w:tcPr>
            <w:tcW w:w="7400" w:type="dxa"/>
            <w:vAlign w:val="bottom"/>
            <w:gridSpan w:val="2"/>
          </w:tcPr>
          <w:p>
            <w:pPr>
              <w:jc w:val="center"/>
              <w:ind w:right="390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9"/>
        </w:trPr>
        <w:tc>
          <w:tcPr>
            <w:tcW w:w="3420" w:type="dxa"/>
            <w:vAlign w:val="bottom"/>
            <w:shd w:val="clear" w:color="auto" w:fill="CCD4DB"/>
          </w:tcPr>
          <w:p>
            <w:pPr>
              <w:ind w:left="20"/>
              <w:spacing w:after="0"/>
              <w:rPr>
                <w:sz w:val="20"/>
                <w:szCs w:val="20"/>
                <w:color w:val="auto"/>
              </w:rPr>
            </w:pPr>
            <w:r>
              <w:rPr>
                <w:rFonts w:ascii="Arial" w:cs="Arial" w:eastAsia="Arial" w:hAnsi="Arial"/>
                <w:sz w:val="14"/>
                <w:szCs w:val="14"/>
                <w:color w:val="auto"/>
              </w:rPr>
              <w:t>Mr. Caylor</w:t>
            </w:r>
          </w:p>
        </w:tc>
        <w:tc>
          <w:tcPr>
            <w:tcW w:w="348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7,309</w:t>
            </w: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20"/>
              <w:spacing w:after="0"/>
              <w:rPr>
                <w:sz w:val="20"/>
                <w:szCs w:val="20"/>
                <w:color w:val="auto"/>
              </w:rPr>
            </w:pPr>
            <w:r>
              <w:rPr>
                <w:rFonts w:ascii="Arial" w:cs="Arial" w:eastAsia="Arial" w:hAnsi="Arial"/>
                <w:sz w:val="14"/>
                <w:szCs w:val="14"/>
                <w:color w:val="auto"/>
              </w:rPr>
              <w:t>Mr. Larson</w:t>
            </w:r>
          </w:p>
        </w:tc>
        <w:tc>
          <w:tcPr>
            <w:tcW w:w="3480" w:type="dxa"/>
            <w:vAlign w:val="bottom"/>
          </w:tcPr>
          <w:p>
            <w:pPr>
              <w:jc w:val="center"/>
              <w:spacing w:after="0"/>
              <w:rPr>
                <w:sz w:val="20"/>
                <w:szCs w:val="20"/>
                <w:color w:val="auto"/>
              </w:rPr>
            </w:pPr>
            <w:r>
              <w:rPr>
                <w:rFonts w:ascii="Arial" w:cs="Arial" w:eastAsia="Arial" w:hAnsi="Arial"/>
                <w:sz w:val="14"/>
                <w:szCs w:val="14"/>
                <w:color w:val="auto"/>
              </w:rPr>
              <w:t>6,974</w:t>
            </w: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CD4DB"/>
          </w:tcPr>
          <w:p>
            <w:pPr>
              <w:ind w:left="20"/>
              <w:spacing w:after="0"/>
              <w:rPr>
                <w:sz w:val="20"/>
                <w:szCs w:val="20"/>
                <w:color w:val="auto"/>
              </w:rPr>
            </w:pPr>
            <w:r>
              <w:rPr>
                <w:rFonts w:ascii="Arial" w:cs="Arial" w:eastAsia="Arial" w:hAnsi="Arial"/>
                <w:sz w:val="14"/>
                <w:szCs w:val="14"/>
                <w:color w:val="auto"/>
              </w:rPr>
              <w:t>Mr. Pamiljans</w:t>
            </w:r>
          </w:p>
        </w:tc>
        <w:tc>
          <w:tcPr>
            <w:tcW w:w="348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7,309</w:t>
            </w: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tcBorders>
              <w:bottom w:val="single" w:sz="8" w:color="00249C"/>
            </w:tcBorders>
          </w:tcPr>
          <w:p>
            <w:pPr>
              <w:ind w:left="20"/>
              <w:spacing w:after="0"/>
              <w:rPr>
                <w:sz w:val="20"/>
                <w:szCs w:val="20"/>
                <w:color w:val="auto"/>
              </w:rPr>
            </w:pPr>
            <w:r>
              <w:rPr>
                <w:rFonts w:ascii="Arial" w:cs="Arial" w:eastAsia="Arial" w:hAnsi="Arial"/>
                <w:sz w:val="14"/>
                <w:szCs w:val="14"/>
                <w:color w:val="auto"/>
              </w:rPr>
              <w:t>Mr. Bedingfield</w:t>
            </w:r>
          </w:p>
        </w:tc>
        <w:tc>
          <w:tcPr>
            <w:tcW w:w="3480" w:type="dxa"/>
            <w:vAlign w:val="bottom"/>
            <w:tcBorders>
              <w:bottom w:val="single" w:sz="8" w:color="00249C"/>
            </w:tcBorders>
          </w:tcPr>
          <w:p>
            <w:pPr>
              <w:jc w:val="center"/>
              <w:spacing w:after="0"/>
              <w:rPr>
                <w:sz w:val="20"/>
                <w:szCs w:val="20"/>
                <w:color w:val="auto"/>
              </w:rPr>
            </w:pPr>
            <w:r>
              <w:rPr>
                <w:rFonts w:ascii="Arial" w:cs="Arial" w:eastAsia="Arial" w:hAnsi="Arial"/>
                <w:sz w:val="14"/>
                <w:szCs w:val="14"/>
                <w:color w:val="auto"/>
                <w:w w:val="99"/>
              </w:rPr>
              <w:t>—</w:t>
            </w: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5"/>
        </w:trPr>
        <w:tc>
          <w:tcPr>
            <w:tcW w:w="3420" w:type="dxa"/>
            <w:vAlign w:val="bottom"/>
          </w:tcPr>
          <w:p>
            <w:pPr>
              <w:spacing w:after="0"/>
              <w:rPr>
                <w:sz w:val="24"/>
                <w:szCs w:val="24"/>
                <w:color w:val="auto"/>
              </w:rPr>
            </w:pPr>
          </w:p>
        </w:tc>
        <w:tc>
          <w:tcPr>
            <w:tcW w:w="7400" w:type="dxa"/>
            <w:vAlign w:val="bottom"/>
            <w:gridSpan w:val="2"/>
          </w:tcPr>
          <w:p>
            <w:pPr>
              <w:ind w:left="1380"/>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61</w:t>
            </w:r>
          </w:p>
        </w:tc>
        <w:tc>
          <w:tcPr>
            <w:tcW w:w="0" w:type="dxa"/>
            <w:vAlign w:val="bottom"/>
          </w:tcPr>
          <w:p>
            <w:pPr>
              <w:spacing w:after="0"/>
              <w:rPr>
                <w:sz w:val="1"/>
                <w:szCs w:val="1"/>
                <w:color w:val="auto"/>
              </w:rPr>
            </w:pPr>
          </w:p>
        </w:tc>
      </w:tr>
    </w:tbl>
    <w:p>
      <w:pPr>
        <w:sectPr>
          <w:pgSz w:w="11900" w:h="16838" w:orient="portrait"/>
          <w:cols w:equalWidth="0" w:num="1">
            <w:col w:w="11240"/>
          </w:cols>
          <w:pgMar w:left="320" w:top="607" w:right="339" w:bottom="1440" w:gutter="0" w:footer="0" w:header="0"/>
        </w:sectPr>
      </w:pPr>
    </w:p>
    <w:bookmarkStart w:id="67" w:name="page68"/>
    <w:bookmarkEnd w:id="67"/>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53149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 xml:space="preserve">COMPENSATION TABLES | </w:t>
      </w:r>
      <w:r>
        <w:rPr>
          <w:rFonts w:ascii="Arial" w:cs="Arial" w:eastAsia="Arial" w:hAnsi="Arial"/>
          <w:sz w:val="17"/>
          <w:szCs w:val="17"/>
          <w:b w:val="1"/>
          <w:bCs w:val="1"/>
          <w:color w:val="FFFFFF"/>
        </w:rPr>
        <w:t>STOCK VESTED TABLE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2020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00" w:type="dxa"/>
            <w:vAlign w:val="bottom"/>
            <w:shd w:val="clear" w:color="auto" w:fill="00249C"/>
          </w:tcPr>
          <w:p>
            <w:pPr>
              <w:spacing w:after="0"/>
              <w:rPr>
                <w:sz w:val="16"/>
                <w:szCs w:val="16"/>
                <w:color w:val="auto"/>
              </w:rPr>
            </w:pPr>
          </w:p>
        </w:tc>
        <w:tc>
          <w:tcPr>
            <w:tcW w:w="1780" w:type="dxa"/>
            <w:vAlign w:val="bottom"/>
            <w:shd w:val="clear" w:color="auto" w:fill="00249C"/>
          </w:tcPr>
          <w:p>
            <w:pPr>
              <w:spacing w:after="0"/>
              <w:rPr>
                <w:sz w:val="16"/>
                <w:szCs w:val="16"/>
                <w:color w:val="auto"/>
              </w:rPr>
            </w:pPr>
          </w:p>
        </w:tc>
        <w:tc>
          <w:tcPr>
            <w:tcW w:w="3260" w:type="dxa"/>
            <w:vAlign w:val="bottom"/>
            <w:shd w:val="clear" w:color="auto" w:fill="00249C"/>
          </w:tcPr>
          <w:p>
            <w:pPr>
              <w:ind w:left="100"/>
              <w:spacing w:after="0"/>
              <w:rPr>
                <w:sz w:val="20"/>
                <w:szCs w:val="20"/>
                <w:color w:val="auto"/>
              </w:rPr>
            </w:pPr>
            <w:r>
              <w:rPr>
                <w:rFonts w:ascii="Arial" w:cs="Arial" w:eastAsia="Arial" w:hAnsi="Arial"/>
                <w:sz w:val="14"/>
                <w:szCs w:val="14"/>
                <w:b w:val="1"/>
                <w:bCs w:val="1"/>
                <w:color w:val="FFFFFF"/>
              </w:rPr>
              <w:t>Stock Awards (1) (2)</w:t>
            </w:r>
          </w:p>
        </w:tc>
        <w:tc>
          <w:tcPr>
            <w:tcW w:w="0" w:type="dxa"/>
            <w:vAlign w:val="bottom"/>
          </w:tcPr>
          <w:p>
            <w:pPr>
              <w:spacing w:after="0"/>
              <w:rPr>
                <w:sz w:val="1"/>
                <w:szCs w:val="1"/>
                <w:color w:val="auto"/>
              </w:rPr>
            </w:pPr>
          </w:p>
        </w:tc>
      </w:tr>
      <w:tr>
        <w:trPr>
          <w:trHeight w:val="148"/>
        </w:trPr>
        <w:tc>
          <w:tcPr>
            <w:tcW w:w="6200" w:type="dxa"/>
            <w:vAlign w:val="bottom"/>
            <w:shd w:val="clear" w:color="auto" w:fill="00249C"/>
          </w:tcPr>
          <w:p>
            <w:pPr>
              <w:spacing w:after="0"/>
              <w:rPr>
                <w:sz w:val="12"/>
                <w:szCs w:val="12"/>
                <w:color w:val="auto"/>
              </w:rPr>
            </w:pPr>
          </w:p>
        </w:tc>
        <w:tc>
          <w:tcPr>
            <w:tcW w:w="5040" w:type="dxa"/>
            <w:vAlign w:val="bottom"/>
            <w:gridSpan w:val="2"/>
            <w:shd w:val="clear" w:color="auto" w:fill="00249C"/>
          </w:tcPr>
          <w:p>
            <w:pPr>
              <w:jc w:val="center"/>
              <w:ind w:right="2348"/>
              <w:spacing w:after="0" w:line="149" w:lineRule="exact"/>
              <w:rPr>
                <w:sz w:val="20"/>
                <w:szCs w:val="20"/>
                <w:color w:val="auto"/>
              </w:rPr>
            </w:pPr>
            <w:r>
              <w:rPr>
                <w:rFonts w:ascii="Arial" w:cs="Arial" w:eastAsia="Arial" w:hAnsi="Arial"/>
                <w:sz w:val="14"/>
                <w:szCs w:val="14"/>
                <w:b w:val="1"/>
                <w:bCs w:val="1"/>
                <w:color w:val="FFFFFF"/>
              </w:rPr>
              <w:t>Number of Shares Acquired</w:t>
            </w:r>
          </w:p>
        </w:tc>
        <w:tc>
          <w:tcPr>
            <w:tcW w:w="0" w:type="dxa"/>
            <w:vAlign w:val="bottom"/>
          </w:tcPr>
          <w:p>
            <w:pPr>
              <w:spacing w:after="0"/>
              <w:rPr>
                <w:sz w:val="1"/>
                <w:szCs w:val="1"/>
                <w:color w:val="auto"/>
              </w:rPr>
            </w:pPr>
          </w:p>
        </w:tc>
      </w:tr>
      <w:tr>
        <w:trPr>
          <w:trHeight w:val="135"/>
        </w:trPr>
        <w:tc>
          <w:tcPr>
            <w:tcW w:w="6200" w:type="dxa"/>
            <w:vAlign w:val="bottom"/>
            <w:vMerge w:val="restart"/>
            <w:shd w:val="clear" w:color="auto" w:fill="00249C"/>
          </w:tcPr>
          <w:p>
            <w:pPr>
              <w:ind w:left="20"/>
              <w:spacing w:after="0"/>
              <w:rPr>
                <w:sz w:val="20"/>
                <w:szCs w:val="20"/>
                <w:color w:val="auto"/>
              </w:rPr>
            </w:pPr>
            <w:r>
              <w:rPr>
                <w:rFonts w:ascii="Arial" w:cs="Arial" w:eastAsia="Arial" w:hAnsi="Arial"/>
                <w:sz w:val="14"/>
                <w:szCs w:val="14"/>
                <w:b w:val="1"/>
                <w:bCs w:val="1"/>
                <w:color w:val="FFFFFF"/>
              </w:rPr>
              <w:t>Name</w:t>
            </w:r>
          </w:p>
        </w:tc>
        <w:tc>
          <w:tcPr>
            <w:tcW w:w="1780" w:type="dxa"/>
            <w:vAlign w:val="bottom"/>
            <w:shd w:val="clear" w:color="auto" w:fill="00249C"/>
          </w:tcPr>
          <w:p>
            <w:pPr>
              <w:jc w:val="center"/>
              <w:ind w:left="788"/>
              <w:spacing w:after="0" w:line="135" w:lineRule="exact"/>
              <w:rPr>
                <w:sz w:val="20"/>
                <w:szCs w:val="20"/>
                <w:color w:val="auto"/>
              </w:rPr>
            </w:pPr>
            <w:r>
              <w:rPr>
                <w:rFonts w:ascii="Arial" w:cs="Arial" w:eastAsia="Arial" w:hAnsi="Arial"/>
                <w:sz w:val="14"/>
                <w:szCs w:val="14"/>
                <w:b w:val="1"/>
                <w:bCs w:val="1"/>
                <w:color w:val="FFFFFF"/>
              </w:rPr>
              <w:t>on Vesting</w:t>
            </w:r>
          </w:p>
        </w:tc>
        <w:tc>
          <w:tcPr>
            <w:tcW w:w="3260" w:type="dxa"/>
            <w:vAlign w:val="bottom"/>
            <w:shd w:val="clear" w:color="auto" w:fill="00249C"/>
          </w:tcPr>
          <w:p>
            <w:pPr>
              <w:ind w:left="1160"/>
              <w:spacing w:after="0" w:line="135" w:lineRule="exact"/>
              <w:rPr>
                <w:sz w:val="20"/>
                <w:szCs w:val="20"/>
                <w:color w:val="auto"/>
              </w:rPr>
            </w:pPr>
            <w:r>
              <w:rPr>
                <w:rFonts w:ascii="Arial" w:cs="Arial" w:eastAsia="Arial" w:hAnsi="Arial"/>
                <w:sz w:val="14"/>
                <w:szCs w:val="14"/>
                <w:b w:val="1"/>
                <w:bCs w:val="1"/>
                <w:color w:val="FFFFFF"/>
              </w:rPr>
              <w:t>Value Realized on Vesting</w:t>
            </w:r>
          </w:p>
        </w:tc>
        <w:tc>
          <w:tcPr>
            <w:tcW w:w="0" w:type="dxa"/>
            <w:vAlign w:val="bottom"/>
          </w:tcPr>
          <w:p>
            <w:pPr>
              <w:spacing w:after="0"/>
              <w:rPr>
                <w:sz w:val="1"/>
                <w:szCs w:val="1"/>
                <w:color w:val="auto"/>
              </w:rPr>
            </w:pPr>
          </w:p>
        </w:tc>
      </w:tr>
      <w:tr>
        <w:trPr>
          <w:trHeight w:val="189"/>
        </w:trPr>
        <w:tc>
          <w:tcPr>
            <w:tcW w:w="6200" w:type="dxa"/>
            <w:vAlign w:val="bottom"/>
            <w:vMerge w:val="continue"/>
            <w:shd w:val="clear" w:color="auto" w:fill="00249C"/>
          </w:tcPr>
          <w:p>
            <w:pPr>
              <w:spacing w:after="0"/>
              <w:rPr>
                <w:sz w:val="16"/>
                <w:szCs w:val="16"/>
                <w:color w:val="auto"/>
              </w:rPr>
            </w:pPr>
          </w:p>
        </w:tc>
        <w:tc>
          <w:tcPr>
            <w:tcW w:w="1780" w:type="dxa"/>
            <w:vAlign w:val="bottom"/>
            <w:shd w:val="clear" w:color="auto" w:fill="00249C"/>
          </w:tcPr>
          <w:p>
            <w:pPr>
              <w:jc w:val="center"/>
              <w:ind w:left="768"/>
              <w:spacing w:after="0"/>
              <w:rPr>
                <w:sz w:val="20"/>
                <w:szCs w:val="20"/>
                <w:color w:val="auto"/>
              </w:rPr>
            </w:pPr>
            <w:r>
              <w:rPr>
                <w:rFonts w:ascii="Arial" w:cs="Arial" w:eastAsia="Arial" w:hAnsi="Arial"/>
                <w:sz w:val="14"/>
                <w:szCs w:val="14"/>
                <w:b w:val="1"/>
                <w:bCs w:val="1"/>
                <w:color w:val="FFFFFF"/>
              </w:rPr>
              <w:t>(#)</w:t>
            </w:r>
          </w:p>
        </w:tc>
        <w:tc>
          <w:tcPr>
            <w:tcW w:w="3260" w:type="dxa"/>
            <w:vAlign w:val="bottom"/>
            <w:shd w:val="clear" w:color="auto" w:fill="00249C"/>
          </w:tcPr>
          <w:p>
            <w:pPr>
              <w:jc w:val="center"/>
              <w:ind w:left="76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9"/>
        </w:trPr>
        <w:tc>
          <w:tcPr>
            <w:tcW w:w="6200" w:type="dxa"/>
            <w:vAlign w:val="bottom"/>
            <w:shd w:val="clear" w:color="auto" w:fill="CCD4DB"/>
          </w:tcPr>
          <w:p>
            <w:pPr>
              <w:ind w:left="20"/>
              <w:spacing w:after="0"/>
              <w:rPr>
                <w:sz w:val="20"/>
                <w:szCs w:val="20"/>
                <w:color w:val="auto"/>
              </w:rPr>
            </w:pPr>
            <w:r>
              <w:rPr>
                <w:rFonts w:ascii="Arial" w:cs="Arial" w:eastAsia="Arial" w:hAnsi="Arial"/>
                <w:sz w:val="14"/>
                <w:szCs w:val="14"/>
                <w:color w:val="auto"/>
              </w:rPr>
              <w:t>Kathy J. Warden</w:t>
            </w:r>
          </w:p>
        </w:tc>
        <w:tc>
          <w:tcPr>
            <w:tcW w:w="1780" w:type="dxa"/>
            <w:vAlign w:val="bottom"/>
            <w:shd w:val="clear" w:color="auto" w:fill="CCD4DB"/>
          </w:tcPr>
          <w:p>
            <w:pPr>
              <w:jc w:val="center"/>
              <w:ind w:left="788"/>
              <w:spacing w:after="0"/>
              <w:rPr>
                <w:sz w:val="20"/>
                <w:szCs w:val="20"/>
                <w:color w:val="auto"/>
              </w:rPr>
            </w:pPr>
            <w:r>
              <w:rPr>
                <w:rFonts w:ascii="Arial" w:cs="Arial" w:eastAsia="Arial" w:hAnsi="Arial"/>
                <w:sz w:val="14"/>
                <w:szCs w:val="14"/>
                <w:color w:val="auto"/>
              </w:rPr>
              <w:t>17,169</w:t>
            </w:r>
          </w:p>
        </w:tc>
        <w:tc>
          <w:tcPr>
            <w:tcW w:w="3260" w:type="dxa"/>
            <w:vAlign w:val="bottom"/>
            <w:shd w:val="clear" w:color="auto" w:fill="CCD4DB"/>
          </w:tcPr>
          <w:p>
            <w:pPr>
              <w:jc w:val="center"/>
              <w:ind w:left="788"/>
              <w:spacing w:after="0"/>
              <w:rPr>
                <w:sz w:val="20"/>
                <w:szCs w:val="20"/>
                <w:color w:val="auto"/>
              </w:rPr>
            </w:pPr>
            <w:r>
              <w:rPr>
                <w:rFonts w:ascii="Arial" w:cs="Arial" w:eastAsia="Arial" w:hAnsi="Arial"/>
                <w:sz w:val="14"/>
                <w:szCs w:val="14"/>
                <w:color w:val="auto"/>
              </w:rPr>
              <w:t>6,334,659</w:t>
            </w:r>
          </w:p>
        </w:tc>
        <w:tc>
          <w:tcPr>
            <w:tcW w:w="0" w:type="dxa"/>
            <w:vAlign w:val="bottom"/>
          </w:tcPr>
          <w:p>
            <w:pPr>
              <w:spacing w:after="0"/>
              <w:rPr>
                <w:sz w:val="1"/>
                <w:szCs w:val="1"/>
                <w:color w:val="auto"/>
              </w:rPr>
            </w:pPr>
          </w:p>
        </w:tc>
      </w:tr>
      <w:tr>
        <w:trPr>
          <w:trHeight w:val="189"/>
        </w:trPr>
        <w:tc>
          <w:tcPr>
            <w:tcW w:w="6200" w:type="dxa"/>
            <w:vAlign w:val="bottom"/>
          </w:tcPr>
          <w:p>
            <w:pPr>
              <w:ind w:left="20"/>
              <w:spacing w:after="0"/>
              <w:rPr>
                <w:sz w:val="20"/>
                <w:szCs w:val="20"/>
                <w:color w:val="auto"/>
              </w:rPr>
            </w:pPr>
            <w:r>
              <w:rPr>
                <w:rFonts w:ascii="Arial" w:cs="Arial" w:eastAsia="Arial" w:hAnsi="Arial"/>
                <w:sz w:val="14"/>
                <w:szCs w:val="14"/>
                <w:color w:val="auto"/>
              </w:rPr>
              <w:t>David F. Keffer</w:t>
            </w:r>
          </w:p>
        </w:tc>
        <w:tc>
          <w:tcPr>
            <w:tcW w:w="178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326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9"/>
        </w:trPr>
        <w:tc>
          <w:tcPr>
            <w:tcW w:w="6200" w:type="dxa"/>
            <w:vAlign w:val="bottom"/>
            <w:shd w:val="clear" w:color="auto" w:fill="CCD4DB"/>
          </w:tcPr>
          <w:p>
            <w:pPr>
              <w:ind w:left="20"/>
              <w:spacing w:after="0"/>
              <w:rPr>
                <w:sz w:val="20"/>
                <w:szCs w:val="20"/>
                <w:color w:val="auto"/>
              </w:rPr>
            </w:pPr>
            <w:r>
              <w:rPr>
                <w:rFonts w:ascii="Arial" w:cs="Arial" w:eastAsia="Arial" w:hAnsi="Arial"/>
                <w:sz w:val="14"/>
                <w:szCs w:val="14"/>
                <w:color w:val="auto"/>
              </w:rPr>
              <w:t>Mark A. Caylor</w:t>
            </w:r>
          </w:p>
        </w:tc>
        <w:tc>
          <w:tcPr>
            <w:tcW w:w="1780" w:type="dxa"/>
            <w:vAlign w:val="bottom"/>
            <w:shd w:val="clear" w:color="auto" w:fill="CCD4DB"/>
          </w:tcPr>
          <w:p>
            <w:pPr>
              <w:jc w:val="center"/>
              <w:ind w:left="788"/>
              <w:spacing w:after="0"/>
              <w:rPr>
                <w:sz w:val="20"/>
                <w:szCs w:val="20"/>
                <w:color w:val="auto"/>
              </w:rPr>
            </w:pPr>
            <w:r>
              <w:rPr>
                <w:rFonts w:ascii="Arial" w:cs="Arial" w:eastAsia="Arial" w:hAnsi="Arial"/>
                <w:sz w:val="14"/>
                <w:szCs w:val="14"/>
                <w:color w:val="auto"/>
              </w:rPr>
              <w:t>12,264</w:t>
            </w:r>
          </w:p>
        </w:tc>
        <w:tc>
          <w:tcPr>
            <w:tcW w:w="3260" w:type="dxa"/>
            <w:vAlign w:val="bottom"/>
            <w:shd w:val="clear" w:color="auto" w:fill="CCD4DB"/>
          </w:tcPr>
          <w:p>
            <w:pPr>
              <w:jc w:val="center"/>
              <w:ind w:left="788"/>
              <w:spacing w:after="0"/>
              <w:rPr>
                <w:sz w:val="20"/>
                <w:szCs w:val="20"/>
                <w:color w:val="auto"/>
              </w:rPr>
            </w:pPr>
            <w:r>
              <w:rPr>
                <w:rFonts w:ascii="Arial" w:cs="Arial" w:eastAsia="Arial" w:hAnsi="Arial"/>
                <w:sz w:val="14"/>
                <w:szCs w:val="14"/>
                <w:color w:val="auto"/>
              </w:rPr>
              <w:t>4,524,775</w:t>
            </w:r>
          </w:p>
        </w:tc>
        <w:tc>
          <w:tcPr>
            <w:tcW w:w="0" w:type="dxa"/>
            <w:vAlign w:val="bottom"/>
          </w:tcPr>
          <w:p>
            <w:pPr>
              <w:spacing w:after="0"/>
              <w:rPr>
                <w:sz w:val="1"/>
                <w:szCs w:val="1"/>
                <w:color w:val="auto"/>
              </w:rPr>
            </w:pPr>
          </w:p>
        </w:tc>
      </w:tr>
      <w:tr>
        <w:trPr>
          <w:trHeight w:val="189"/>
        </w:trPr>
        <w:tc>
          <w:tcPr>
            <w:tcW w:w="6200" w:type="dxa"/>
            <w:vAlign w:val="bottom"/>
          </w:tcPr>
          <w:p>
            <w:pPr>
              <w:ind w:left="20"/>
              <w:spacing w:after="0"/>
              <w:rPr>
                <w:sz w:val="20"/>
                <w:szCs w:val="20"/>
                <w:color w:val="auto"/>
              </w:rPr>
            </w:pPr>
            <w:r>
              <w:rPr>
                <w:rFonts w:ascii="Arial" w:cs="Arial" w:eastAsia="Arial" w:hAnsi="Arial"/>
                <w:sz w:val="14"/>
                <w:szCs w:val="14"/>
                <w:color w:val="auto"/>
              </w:rPr>
              <w:t>Blake E. Larson</w:t>
            </w:r>
          </w:p>
        </w:tc>
        <w:tc>
          <w:tcPr>
            <w:tcW w:w="178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326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9"/>
        </w:trPr>
        <w:tc>
          <w:tcPr>
            <w:tcW w:w="6200" w:type="dxa"/>
            <w:vAlign w:val="bottom"/>
            <w:shd w:val="clear" w:color="auto" w:fill="CCD4DB"/>
          </w:tcPr>
          <w:p>
            <w:pPr>
              <w:ind w:left="20"/>
              <w:spacing w:after="0"/>
              <w:rPr>
                <w:sz w:val="20"/>
                <w:szCs w:val="20"/>
                <w:color w:val="auto"/>
              </w:rPr>
            </w:pPr>
            <w:r>
              <w:rPr>
                <w:rFonts w:ascii="Arial" w:cs="Arial" w:eastAsia="Arial" w:hAnsi="Arial"/>
                <w:sz w:val="14"/>
                <w:szCs w:val="14"/>
                <w:color w:val="auto"/>
              </w:rPr>
              <w:t>Janis G. Pamiljans</w:t>
            </w:r>
          </w:p>
        </w:tc>
        <w:tc>
          <w:tcPr>
            <w:tcW w:w="1780" w:type="dxa"/>
            <w:vAlign w:val="bottom"/>
            <w:shd w:val="clear" w:color="auto" w:fill="CCD4DB"/>
          </w:tcPr>
          <w:p>
            <w:pPr>
              <w:jc w:val="center"/>
              <w:ind w:left="788"/>
              <w:spacing w:after="0"/>
              <w:rPr>
                <w:sz w:val="20"/>
                <w:szCs w:val="20"/>
                <w:color w:val="auto"/>
              </w:rPr>
            </w:pPr>
            <w:r>
              <w:rPr>
                <w:rFonts w:ascii="Arial" w:cs="Arial" w:eastAsia="Arial" w:hAnsi="Arial"/>
                <w:sz w:val="14"/>
                <w:szCs w:val="14"/>
                <w:color w:val="auto"/>
              </w:rPr>
              <w:t>15,517</w:t>
            </w:r>
          </w:p>
        </w:tc>
        <w:tc>
          <w:tcPr>
            <w:tcW w:w="3260" w:type="dxa"/>
            <w:vAlign w:val="bottom"/>
            <w:shd w:val="clear" w:color="auto" w:fill="CCD4DB"/>
          </w:tcPr>
          <w:p>
            <w:pPr>
              <w:jc w:val="center"/>
              <w:ind w:left="788"/>
              <w:spacing w:after="0"/>
              <w:rPr>
                <w:sz w:val="20"/>
                <w:szCs w:val="20"/>
                <w:color w:val="auto"/>
              </w:rPr>
            </w:pPr>
            <w:r>
              <w:rPr>
                <w:rFonts w:ascii="Arial" w:cs="Arial" w:eastAsia="Arial" w:hAnsi="Arial"/>
                <w:sz w:val="14"/>
                <w:szCs w:val="14"/>
                <w:color w:val="auto"/>
              </w:rPr>
              <w:t>5,709,673</w:t>
            </w:r>
          </w:p>
        </w:tc>
        <w:tc>
          <w:tcPr>
            <w:tcW w:w="0" w:type="dxa"/>
            <w:vAlign w:val="bottom"/>
          </w:tcPr>
          <w:p>
            <w:pPr>
              <w:spacing w:after="0"/>
              <w:rPr>
                <w:sz w:val="1"/>
                <w:szCs w:val="1"/>
                <w:color w:val="auto"/>
              </w:rPr>
            </w:pPr>
          </w:p>
        </w:tc>
      </w:tr>
      <w:tr>
        <w:trPr>
          <w:trHeight w:val="189"/>
        </w:trPr>
        <w:tc>
          <w:tcPr>
            <w:tcW w:w="6200" w:type="dxa"/>
            <w:vAlign w:val="bottom"/>
            <w:tcBorders>
              <w:bottom w:val="single" w:sz="8" w:color="00249C"/>
            </w:tcBorders>
          </w:tcPr>
          <w:p>
            <w:pPr>
              <w:ind w:left="20"/>
              <w:spacing w:after="0"/>
              <w:rPr>
                <w:sz w:val="20"/>
                <w:szCs w:val="20"/>
                <w:color w:val="auto"/>
              </w:rPr>
            </w:pPr>
            <w:r>
              <w:rPr>
                <w:rFonts w:ascii="Arial" w:cs="Arial" w:eastAsia="Arial" w:hAnsi="Arial"/>
                <w:sz w:val="14"/>
                <w:szCs w:val="14"/>
                <w:color w:val="auto"/>
              </w:rPr>
              <w:t>Kenneth L. Bedingfield</w:t>
            </w:r>
          </w:p>
        </w:tc>
        <w:tc>
          <w:tcPr>
            <w:tcW w:w="1780" w:type="dxa"/>
            <w:vAlign w:val="bottom"/>
            <w:tcBorders>
              <w:bottom w:val="single" w:sz="8" w:color="00249C"/>
            </w:tcBorders>
          </w:tcPr>
          <w:p>
            <w:pPr>
              <w:jc w:val="center"/>
              <w:ind w:left="788"/>
              <w:spacing w:after="0"/>
              <w:rPr>
                <w:sz w:val="20"/>
                <w:szCs w:val="20"/>
                <w:color w:val="auto"/>
              </w:rPr>
            </w:pPr>
            <w:r>
              <w:rPr>
                <w:rFonts w:ascii="Arial" w:cs="Arial" w:eastAsia="Arial" w:hAnsi="Arial"/>
                <w:sz w:val="14"/>
                <w:szCs w:val="14"/>
                <w:color w:val="auto"/>
              </w:rPr>
              <w:t>15,944</w:t>
            </w:r>
          </w:p>
        </w:tc>
        <w:tc>
          <w:tcPr>
            <w:tcW w:w="3260" w:type="dxa"/>
            <w:vAlign w:val="bottom"/>
            <w:tcBorders>
              <w:bottom w:val="single" w:sz="8" w:color="00249C"/>
            </w:tcBorders>
          </w:tcPr>
          <w:p>
            <w:pPr>
              <w:jc w:val="center"/>
              <w:ind w:left="788"/>
              <w:spacing w:after="0"/>
              <w:rPr>
                <w:sz w:val="20"/>
                <w:szCs w:val="20"/>
                <w:color w:val="auto"/>
              </w:rPr>
            </w:pPr>
            <w:r>
              <w:rPr>
                <w:rFonts w:ascii="Arial" w:cs="Arial" w:eastAsia="Arial" w:hAnsi="Arial"/>
                <w:sz w:val="14"/>
                <w:szCs w:val="14"/>
                <w:color w:val="auto"/>
              </w:rPr>
              <w:t>5,882,407</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20" w:right="500" w:hanging="412"/>
        <w:spacing w:after="0" w:line="261" w:lineRule="auto"/>
        <w:tabs>
          <w:tab w:leader="none" w:pos="437"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number of shares and the amounts reflected in the table are reported on an aggregate basis and do not reflect shares sold or withheld to pay withholding taxes.</w:t>
      </w:r>
    </w:p>
    <w:p>
      <w:pPr>
        <w:spacing w:after="0" w:line="76" w:lineRule="exact"/>
        <w:rPr>
          <w:rFonts w:ascii="Arial" w:cs="Arial" w:eastAsia="Arial" w:hAnsi="Arial"/>
          <w:sz w:val="18"/>
          <w:szCs w:val="18"/>
          <w:color w:val="auto"/>
        </w:rPr>
      </w:pPr>
    </w:p>
    <w:p>
      <w:pPr>
        <w:ind w:left="420" w:right="80" w:hanging="412"/>
        <w:spacing w:after="0" w:line="256" w:lineRule="auto"/>
        <w:tabs>
          <w:tab w:leader="none" w:pos="437"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Consists of RPSRs and RSRs granted in 2017. The RPSRs vested based on the three-year performance period which ended on December 31, 2019 and were distributed in February 2020. The RSRs vested three years from the date of grant and were distributed in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1240"/>
          </w:cols>
          <w:pgMar w:left="320" w:top="607" w:right="339" w:bottom="1440" w:gutter="0" w:footer="0" w:header="0"/>
        </w:sectPr>
      </w:pPr>
    </w:p>
    <w:bookmarkStart w:id="68" w:name="page69"/>
    <w:bookmarkEnd w:id="68"/>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53149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 xml:space="preserve">COMPENSATION TABLES | </w:t>
      </w:r>
      <w:r>
        <w:rPr>
          <w:rFonts w:ascii="Arial" w:cs="Arial" w:eastAsia="Arial" w:hAnsi="Arial"/>
          <w:sz w:val="17"/>
          <w:szCs w:val="17"/>
          <w:b w:val="1"/>
          <w:bCs w:val="1"/>
          <w:color w:val="FFFFFF"/>
        </w:rPr>
        <w:t>PENSION BENEFITS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2020 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following table provides information about the pension plans in which the NEOs participate (described in more detail on the following pages), including the present value of each NEO's accumulated benefits as of December 31, 2020, calculated pursuant to SEC specifications for this table. Our policy generally limits an executive's total benefit under these plans to be no more than 60% of final average pay.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80" w:type="dxa"/>
            <w:vAlign w:val="bottom"/>
            <w:shd w:val="clear" w:color="auto" w:fill="00249C"/>
          </w:tcPr>
          <w:p>
            <w:pPr>
              <w:spacing w:after="0"/>
              <w:rPr>
                <w:sz w:val="14"/>
                <w:szCs w:val="14"/>
                <w:color w:val="auto"/>
              </w:rPr>
            </w:pPr>
          </w:p>
        </w:tc>
        <w:tc>
          <w:tcPr>
            <w:tcW w:w="1900" w:type="dxa"/>
            <w:vAlign w:val="bottom"/>
            <w:shd w:val="clear" w:color="auto" w:fill="00249C"/>
          </w:tcPr>
          <w:p>
            <w:pPr>
              <w:spacing w:after="0"/>
              <w:rPr>
                <w:sz w:val="14"/>
                <w:szCs w:val="14"/>
                <w:color w:val="auto"/>
              </w:rPr>
            </w:pPr>
          </w:p>
        </w:tc>
        <w:tc>
          <w:tcPr>
            <w:tcW w:w="2700" w:type="dxa"/>
            <w:vAlign w:val="bottom"/>
            <w:vMerge w:val="restart"/>
            <w:shd w:val="clear" w:color="auto" w:fill="00249C"/>
          </w:tcPr>
          <w:p>
            <w:pPr>
              <w:jc w:val="center"/>
              <w:ind w:left="168"/>
              <w:spacing w:after="0"/>
              <w:rPr>
                <w:sz w:val="20"/>
                <w:szCs w:val="20"/>
                <w:color w:val="auto"/>
              </w:rPr>
            </w:pPr>
            <w:r>
              <w:rPr>
                <w:rFonts w:ascii="Arial" w:cs="Arial" w:eastAsia="Arial" w:hAnsi="Arial"/>
                <w:sz w:val="14"/>
                <w:szCs w:val="14"/>
                <w:b w:val="1"/>
                <w:bCs w:val="1"/>
                <w:color w:val="FFFFFF"/>
              </w:rPr>
              <w:t>Number of Years Credited</w:t>
            </w:r>
          </w:p>
        </w:tc>
        <w:tc>
          <w:tcPr>
            <w:tcW w:w="2080" w:type="dxa"/>
            <w:vAlign w:val="bottom"/>
            <w:shd w:val="clear" w:color="auto" w:fill="00249C"/>
          </w:tcPr>
          <w:p>
            <w:pPr>
              <w:jc w:val="center"/>
              <w:ind w:right="168"/>
              <w:spacing w:after="0"/>
              <w:rPr>
                <w:sz w:val="20"/>
                <w:szCs w:val="20"/>
                <w:color w:val="auto"/>
              </w:rPr>
            </w:pPr>
            <w:r>
              <w:rPr>
                <w:rFonts w:ascii="Arial" w:cs="Arial" w:eastAsia="Arial" w:hAnsi="Arial"/>
                <w:sz w:val="14"/>
                <w:szCs w:val="14"/>
                <w:b w:val="1"/>
                <w:bCs w:val="1"/>
                <w:color w:val="FFFFFF"/>
              </w:rPr>
              <w:t>Present Value of</w:t>
            </w:r>
          </w:p>
        </w:tc>
        <w:tc>
          <w:tcPr>
            <w:tcW w:w="2080" w:type="dxa"/>
            <w:vAlign w:val="bottom"/>
            <w:shd w:val="clear" w:color="auto" w:fill="00249C"/>
          </w:tcPr>
          <w:p>
            <w:pPr>
              <w:jc w:val="center"/>
              <w:ind w:right="8"/>
              <w:spacing w:after="0"/>
              <w:rPr>
                <w:sz w:val="20"/>
                <w:szCs w:val="20"/>
                <w:color w:val="auto"/>
              </w:rPr>
            </w:pPr>
            <w:r>
              <w:rPr>
                <w:rFonts w:ascii="Arial" w:cs="Arial" w:eastAsia="Arial" w:hAnsi="Arial"/>
                <w:sz w:val="14"/>
                <w:szCs w:val="14"/>
                <w:b w:val="1"/>
                <w:bCs w:val="1"/>
                <w:color w:val="FFFFFF"/>
              </w:rPr>
              <w:t>Payments</w:t>
            </w:r>
          </w:p>
        </w:tc>
        <w:tc>
          <w:tcPr>
            <w:tcW w:w="20" w:type="dxa"/>
            <w:vAlign w:val="bottom"/>
            <w:shd w:val="clear" w:color="auto" w:fill="00249C"/>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80" w:type="dxa"/>
            <w:vAlign w:val="bottom"/>
            <w:shd w:val="clear" w:color="auto" w:fill="00249C"/>
          </w:tcPr>
          <w:p>
            <w:pPr>
              <w:spacing w:after="0"/>
              <w:rPr>
                <w:sz w:val="11"/>
                <w:szCs w:val="11"/>
                <w:color w:val="auto"/>
              </w:rPr>
            </w:pPr>
          </w:p>
        </w:tc>
        <w:tc>
          <w:tcPr>
            <w:tcW w:w="1900" w:type="dxa"/>
            <w:vAlign w:val="bottom"/>
            <w:shd w:val="clear" w:color="auto" w:fill="00249C"/>
          </w:tcPr>
          <w:p>
            <w:pPr>
              <w:spacing w:after="0"/>
              <w:rPr>
                <w:sz w:val="11"/>
                <w:szCs w:val="11"/>
                <w:color w:val="auto"/>
              </w:rPr>
            </w:pPr>
          </w:p>
        </w:tc>
        <w:tc>
          <w:tcPr>
            <w:tcW w:w="2700" w:type="dxa"/>
            <w:vAlign w:val="bottom"/>
            <w:vMerge w:val="continue"/>
            <w:shd w:val="clear" w:color="auto" w:fill="00249C"/>
          </w:tcPr>
          <w:p>
            <w:pPr>
              <w:spacing w:after="0"/>
              <w:rPr>
                <w:sz w:val="11"/>
                <w:szCs w:val="11"/>
                <w:color w:val="auto"/>
              </w:rPr>
            </w:pPr>
          </w:p>
        </w:tc>
        <w:tc>
          <w:tcPr>
            <w:tcW w:w="2080" w:type="dxa"/>
            <w:vAlign w:val="bottom"/>
            <w:shd w:val="clear" w:color="auto" w:fill="00249C"/>
          </w:tcPr>
          <w:p>
            <w:pPr>
              <w:jc w:val="center"/>
              <w:ind w:right="148"/>
              <w:spacing w:after="0" w:line="135" w:lineRule="exact"/>
              <w:rPr>
                <w:sz w:val="20"/>
                <w:szCs w:val="20"/>
                <w:color w:val="auto"/>
              </w:rPr>
            </w:pPr>
            <w:r>
              <w:rPr>
                <w:rFonts w:ascii="Arial" w:cs="Arial" w:eastAsia="Arial" w:hAnsi="Arial"/>
                <w:sz w:val="14"/>
                <w:szCs w:val="14"/>
                <w:b w:val="1"/>
                <w:bCs w:val="1"/>
                <w:color w:val="FFFFFF"/>
              </w:rPr>
              <w:t>Accumulated</w:t>
            </w:r>
          </w:p>
        </w:tc>
        <w:tc>
          <w:tcPr>
            <w:tcW w:w="2080" w:type="dxa"/>
            <w:vAlign w:val="bottom"/>
            <w:shd w:val="clear" w:color="auto" w:fill="00249C"/>
          </w:tcPr>
          <w:p>
            <w:pPr>
              <w:jc w:val="center"/>
              <w:ind w:right="8"/>
              <w:spacing w:after="0" w:line="135" w:lineRule="exact"/>
              <w:rPr>
                <w:sz w:val="20"/>
                <w:szCs w:val="20"/>
                <w:color w:val="auto"/>
              </w:rPr>
            </w:pPr>
            <w:r>
              <w:rPr>
                <w:rFonts w:ascii="Arial" w:cs="Arial" w:eastAsia="Arial" w:hAnsi="Arial"/>
                <w:sz w:val="14"/>
                <w:szCs w:val="14"/>
                <w:b w:val="1"/>
                <w:bCs w:val="1"/>
                <w:color w:val="FFFFFF"/>
              </w:rPr>
              <w:t>During Last</w:t>
            </w:r>
          </w:p>
        </w:tc>
        <w:tc>
          <w:tcPr>
            <w:tcW w:w="20" w:type="dxa"/>
            <w:vAlign w:val="bottom"/>
            <w:shd w:val="clear" w:color="auto" w:fill="00249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vMerge w:val="restart"/>
            <w:shd w:val="clear" w:color="auto" w:fill="00249C"/>
          </w:tcPr>
          <w:p>
            <w:pPr>
              <w:ind w:left="40"/>
              <w:spacing w:after="0"/>
              <w:rPr>
                <w:sz w:val="20"/>
                <w:szCs w:val="20"/>
                <w:color w:val="auto"/>
              </w:rPr>
            </w:pPr>
            <w:r>
              <w:rPr>
                <w:rFonts w:ascii="Arial" w:cs="Arial" w:eastAsia="Arial" w:hAnsi="Arial"/>
                <w:sz w:val="14"/>
                <w:szCs w:val="14"/>
                <w:b w:val="1"/>
                <w:bCs w:val="1"/>
                <w:color w:val="FFFFFF"/>
              </w:rPr>
              <w:t>Name (1)</w:t>
            </w:r>
          </w:p>
        </w:tc>
        <w:tc>
          <w:tcPr>
            <w:tcW w:w="1900" w:type="dxa"/>
            <w:vAlign w:val="bottom"/>
            <w:vMerge w:val="restart"/>
            <w:shd w:val="clear" w:color="auto" w:fill="00249C"/>
          </w:tcPr>
          <w:p>
            <w:pPr>
              <w:ind w:left="20"/>
              <w:spacing w:after="0"/>
              <w:rPr>
                <w:sz w:val="20"/>
                <w:szCs w:val="20"/>
                <w:color w:val="auto"/>
              </w:rPr>
            </w:pPr>
            <w:r>
              <w:rPr>
                <w:rFonts w:ascii="Arial" w:cs="Arial" w:eastAsia="Arial" w:hAnsi="Arial"/>
                <w:sz w:val="14"/>
                <w:szCs w:val="14"/>
                <w:b w:val="1"/>
                <w:bCs w:val="1"/>
                <w:color w:val="FFFFFF"/>
              </w:rPr>
              <w:t>Plan Name</w:t>
            </w:r>
          </w:p>
        </w:tc>
        <w:tc>
          <w:tcPr>
            <w:tcW w:w="2700" w:type="dxa"/>
            <w:vAlign w:val="bottom"/>
            <w:shd w:val="clear" w:color="auto" w:fill="00249C"/>
          </w:tcPr>
          <w:p>
            <w:pPr>
              <w:jc w:val="center"/>
              <w:ind w:left="168"/>
              <w:spacing w:after="0" w:line="135" w:lineRule="exact"/>
              <w:rPr>
                <w:sz w:val="20"/>
                <w:szCs w:val="20"/>
                <w:color w:val="auto"/>
              </w:rPr>
            </w:pPr>
            <w:r>
              <w:rPr>
                <w:rFonts w:ascii="Arial" w:cs="Arial" w:eastAsia="Arial" w:hAnsi="Arial"/>
                <w:sz w:val="14"/>
                <w:szCs w:val="14"/>
                <w:b w:val="1"/>
                <w:bCs w:val="1"/>
                <w:color w:val="FFFFFF"/>
              </w:rPr>
              <w:t>Service (2)</w:t>
            </w:r>
          </w:p>
        </w:tc>
        <w:tc>
          <w:tcPr>
            <w:tcW w:w="2080" w:type="dxa"/>
            <w:vAlign w:val="bottom"/>
            <w:shd w:val="clear" w:color="auto" w:fill="00249C"/>
          </w:tcPr>
          <w:p>
            <w:pPr>
              <w:jc w:val="center"/>
              <w:ind w:right="148"/>
              <w:spacing w:after="0" w:line="135" w:lineRule="exact"/>
              <w:rPr>
                <w:sz w:val="20"/>
                <w:szCs w:val="20"/>
                <w:color w:val="auto"/>
              </w:rPr>
            </w:pPr>
            <w:r>
              <w:rPr>
                <w:rFonts w:ascii="Arial" w:cs="Arial" w:eastAsia="Arial" w:hAnsi="Arial"/>
                <w:sz w:val="14"/>
                <w:szCs w:val="14"/>
                <w:b w:val="1"/>
                <w:bCs w:val="1"/>
                <w:color w:val="FFFFFF"/>
              </w:rPr>
              <w:t>Benefit (3)</w:t>
            </w:r>
          </w:p>
        </w:tc>
        <w:tc>
          <w:tcPr>
            <w:tcW w:w="2080" w:type="dxa"/>
            <w:vAlign w:val="bottom"/>
            <w:shd w:val="clear" w:color="auto" w:fill="00249C"/>
          </w:tcPr>
          <w:p>
            <w:pPr>
              <w:jc w:val="center"/>
              <w:spacing w:after="0" w:line="135" w:lineRule="exact"/>
              <w:rPr>
                <w:sz w:val="20"/>
                <w:szCs w:val="20"/>
                <w:color w:val="auto"/>
              </w:rPr>
            </w:pPr>
            <w:r>
              <w:rPr>
                <w:rFonts w:ascii="Arial" w:cs="Arial" w:eastAsia="Arial" w:hAnsi="Arial"/>
                <w:sz w:val="14"/>
                <w:szCs w:val="14"/>
                <w:b w:val="1"/>
                <w:bCs w:val="1"/>
                <w:color w:val="FFFFFF"/>
              </w:rPr>
              <w:t>Fiscal Year</w:t>
            </w:r>
          </w:p>
        </w:tc>
        <w:tc>
          <w:tcPr>
            <w:tcW w:w="20" w:type="dxa"/>
            <w:vAlign w:val="bottom"/>
            <w:shd w:val="clear" w:color="auto" w:fill="00249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480" w:type="dxa"/>
            <w:vAlign w:val="bottom"/>
            <w:vMerge w:val="continue"/>
            <w:shd w:val="clear" w:color="auto" w:fill="00249C"/>
          </w:tcPr>
          <w:p>
            <w:pPr>
              <w:spacing w:after="0"/>
              <w:rPr>
                <w:sz w:val="16"/>
                <w:szCs w:val="16"/>
                <w:color w:val="auto"/>
              </w:rPr>
            </w:pPr>
          </w:p>
        </w:tc>
        <w:tc>
          <w:tcPr>
            <w:tcW w:w="1900" w:type="dxa"/>
            <w:vAlign w:val="bottom"/>
            <w:vMerge w:val="continue"/>
            <w:shd w:val="clear" w:color="auto" w:fill="00249C"/>
          </w:tcPr>
          <w:p>
            <w:pPr>
              <w:spacing w:after="0"/>
              <w:rPr>
                <w:sz w:val="16"/>
                <w:szCs w:val="16"/>
                <w:color w:val="auto"/>
              </w:rPr>
            </w:pPr>
          </w:p>
        </w:tc>
        <w:tc>
          <w:tcPr>
            <w:tcW w:w="2700" w:type="dxa"/>
            <w:vAlign w:val="bottom"/>
            <w:shd w:val="clear" w:color="auto" w:fill="00249C"/>
          </w:tcPr>
          <w:p>
            <w:pPr>
              <w:jc w:val="center"/>
              <w:ind w:left="168"/>
              <w:spacing w:after="0"/>
              <w:rPr>
                <w:sz w:val="20"/>
                <w:szCs w:val="20"/>
                <w:color w:val="auto"/>
              </w:rPr>
            </w:pPr>
            <w:r>
              <w:rPr>
                <w:rFonts w:ascii="Arial" w:cs="Arial" w:eastAsia="Arial" w:hAnsi="Arial"/>
                <w:sz w:val="14"/>
                <w:szCs w:val="14"/>
                <w:b w:val="1"/>
                <w:bCs w:val="1"/>
                <w:color w:val="FFFFFF"/>
              </w:rPr>
              <w:t>(#)</w:t>
            </w:r>
          </w:p>
        </w:tc>
        <w:tc>
          <w:tcPr>
            <w:tcW w:w="2080" w:type="dxa"/>
            <w:vAlign w:val="bottom"/>
            <w:shd w:val="clear" w:color="auto" w:fill="00249C"/>
          </w:tcPr>
          <w:p>
            <w:pPr>
              <w:jc w:val="center"/>
              <w:ind w:right="148"/>
              <w:spacing w:after="0"/>
              <w:rPr>
                <w:sz w:val="20"/>
                <w:szCs w:val="20"/>
                <w:color w:val="auto"/>
              </w:rPr>
            </w:pPr>
            <w:r>
              <w:rPr>
                <w:rFonts w:ascii="Arial" w:cs="Arial" w:eastAsia="Arial" w:hAnsi="Arial"/>
                <w:sz w:val="14"/>
                <w:szCs w:val="14"/>
                <w:b w:val="1"/>
                <w:bCs w:val="1"/>
                <w:color w:val="FFFFFF"/>
              </w:rPr>
              <w:t>($)</w:t>
            </w:r>
          </w:p>
        </w:tc>
        <w:tc>
          <w:tcPr>
            <w:tcW w:w="208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w:t>
            </w:r>
          </w:p>
        </w:tc>
        <w:tc>
          <w:tcPr>
            <w:tcW w:w="20" w:type="dxa"/>
            <w:vAlign w:val="bottom"/>
            <w:shd w:val="clear" w:color="auto" w:fill="00249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tcBorders>
              <w:bottom w:val="single" w:sz="8" w:color="00249C"/>
            </w:tcBorders>
          </w:tcPr>
          <w:p>
            <w:pPr>
              <w:ind w:left="20"/>
              <w:spacing w:after="0"/>
              <w:rPr>
                <w:sz w:val="20"/>
                <w:szCs w:val="20"/>
                <w:color w:val="auto"/>
              </w:rPr>
            </w:pPr>
            <w:r>
              <w:rPr>
                <w:rFonts w:ascii="Arial" w:cs="Arial" w:eastAsia="Arial" w:hAnsi="Arial"/>
                <w:sz w:val="14"/>
                <w:szCs w:val="14"/>
                <w:color w:val="auto"/>
              </w:rPr>
              <w:t>Kathy J. Warden</w:t>
            </w:r>
          </w:p>
        </w:tc>
        <w:tc>
          <w:tcPr>
            <w:tcW w:w="1900" w:type="dxa"/>
            <w:vAlign w:val="bottom"/>
            <w:tcBorders>
              <w:bottom w:val="single" w:sz="8" w:color="00249C"/>
            </w:tcBorders>
            <w:shd w:val="clear" w:color="auto" w:fill="CCD4DB"/>
          </w:tcPr>
          <w:p>
            <w:pPr>
              <w:ind w:left="20"/>
              <w:spacing w:after="0"/>
              <w:rPr>
                <w:sz w:val="20"/>
                <w:szCs w:val="20"/>
                <w:color w:val="auto"/>
              </w:rPr>
            </w:pPr>
            <w:r>
              <w:rPr>
                <w:rFonts w:ascii="Arial" w:cs="Arial" w:eastAsia="Arial" w:hAnsi="Arial"/>
                <w:sz w:val="14"/>
                <w:szCs w:val="14"/>
                <w:color w:val="auto"/>
              </w:rPr>
              <w:t>OSERP II</w:t>
            </w:r>
          </w:p>
        </w:tc>
        <w:tc>
          <w:tcPr>
            <w:tcW w:w="2700" w:type="dxa"/>
            <w:vAlign w:val="bottom"/>
            <w:tcBorders>
              <w:bottom w:val="single" w:sz="8" w:color="00249C"/>
            </w:tcBorders>
            <w:shd w:val="clear" w:color="auto" w:fill="CCD4DB"/>
          </w:tcPr>
          <w:p>
            <w:pPr>
              <w:jc w:val="center"/>
              <w:ind w:left="148"/>
              <w:spacing w:after="0"/>
              <w:rPr>
                <w:sz w:val="20"/>
                <w:szCs w:val="20"/>
                <w:color w:val="auto"/>
              </w:rPr>
            </w:pPr>
            <w:r>
              <w:rPr>
                <w:rFonts w:ascii="Arial" w:cs="Arial" w:eastAsia="Arial" w:hAnsi="Arial"/>
                <w:sz w:val="14"/>
                <w:szCs w:val="14"/>
                <w:color w:val="auto"/>
              </w:rPr>
              <w:t>12.33</w:t>
            </w:r>
          </w:p>
        </w:tc>
        <w:tc>
          <w:tcPr>
            <w:tcW w:w="2080" w:type="dxa"/>
            <w:vAlign w:val="bottom"/>
            <w:tcBorders>
              <w:bottom w:val="single" w:sz="8" w:color="00249C"/>
            </w:tcBorders>
            <w:shd w:val="clear" w:color="auto" w:fill="CCD4DB"/>
          </w:tcPr>
          <w:p>
            <w:pPr>
              <w:jc w:val="center"/>
              <w:ind w:right="168"/>
              <w:spacing w:after="0"/>
              <w:rPr>
                <w:sz w:val="20"/>
                <w:szCs w:val="20"/>
                <w:color w:val="auto"/>
              </w:rPr>
            </w:pPr>
            <w:r>
              <w:rPr>
                <w:rFonts w:ascii="Arial" w:cs="Arial" w:eastAsia="Arial" w:hAnsi="Arial"/>
                <w:sz w:val="14"/>
                <w:szCs w:val="14"/>
                <w:color w:val="auto"/>
              </w:rPr>
              <w:t>3,259,999</w:t>
            </w:r>
          </w:p>
        </w:tc>
        <w:tc>
          <w:tcPr>
            <w:tcW w:w="208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480" w:type="dxa"/>
            <w:vAlign w:val="bottom"/>
          </w:tcPr>
          <w:p>
            <w:pPr>
              <w:spacing w:after="0"/>
              <w:rPr>
                <w:sz w:val="16"/>
                <w:szCs w:val="16"/>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S&amp;MS Pension Plan</w:t>
            </w:r>
          </w:p>
        </w:tc>
        <w:tc>
          <w:tcPr>
            <w:tcW w:w="2700" w:type="dxa"/>
            <w:vAlign w:val="bottom"/>
          </w:tcPr>
          <w:p>
            <w:pPr>
              <w:jc w:val="center"/>
              <w:ind w:left="148"/>
              <w:spacing w:after="0"/>
              <w:rPr>
                <w:sz w:val="20"/>
                <w:szCs w:val="20"/>
                <w:color w:val="auto"/>
              </w:rPr>
            </w:pPr>
            <w:r>
              <w:rPr>
                <w:rFonts w:ascii="Arial" w:cs="Arial" w:eastAsia="Arial" w:hAnsi="Arial"/>
                <w:sz w:val="14"/>
                <w:szCs w:val="14"/>
                <w:color w:val="auto"/>
              </w:rPr>
              <w:t>18.50</w:t>
            </w:r>
          </w:p>
        </w:tc>
        <w:tc>
          <w:tcPr>
            <w:tcW w:w="2080" w:type="dxa"/>
            <w:vAlign w:val="bottom"/>
          </w:tcPr>
          <w:p>
            <w:pPr>
              <w:jc w:val="center"/>
              <w:ind w:right="168"/>
              <w:spacing w:after="0"/>
              <w:rPr>
                <w:sz w:val="20"/>
                <w:szCs w:val="20"/>
                <w:color w:val="auto"/>
              </w:rPr>
            </w:pPr>
            <w:r>
              <w:rPr>
                <w:rFonts w:ascii="Arial" w:cs="Arial" w:eastAsia="Arial" w:hAnsi="Arial"/>
                <w:sz w:val="14"/>
                <w:szCs w:val="14"/>
                <w:color w:val="auto"/>
              </w:rPr>
              <w:t>833,672</w:t>
            </w:r>
          </w:p>
        </w:tc>
        <w:tc>
          <w:tcPr>
            <w:tcW w:w="2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480" w:type="dxa"/>
            <w:vAlign w:val="bottom"/>
          </w:tcPr>
          <w:p>
            <w:pPr>
              <w:ind w:left="20"/>
              <w:spacing w:after="0"/>
              <w:rPr>
                <w:sz w:val="20"/>
                <w:szCs w:val="20"/>
                <w:color w:val="auto"/>
              </w:rPr>
            </w:pPr>
            <w:r>
              <w:rPr>
                <w:rFonts w:ascii="Arial" w:cs="Arial" w:eastAsia="Arial" w:hAnsi="Arial"/>
                <w:sz w:val="14"/>
                <w:szCs w:val="14"/>
                <w:color w:val="auto"/>
              </w:rPr>
              <w:t>Mark A. Caylor</w:t>
            </w:r>
          </w:p>
        </w:tc>
        <w:tc>
          <w:tcPr>
            <w:tcW w:w="1900" w:type="dxa"/>
            <w:vAlign w:val="bottom"/>
            <w:shd w:val="clear" w:color="auto" w:fill="CCD4DB"/>
          </w:tcPr>
          <w:p>
            <w:pPr>
              <w:ind w:left="20"/>
              <w:spacing w:after="0"/>
              <w:rPr>
                <w:sz w:val="20"/>
                <w:szCs w:val="20"/>
                <w:color w:val="auto"/>
              </w:rPr>
            </w:pPr>
            <w:r>
              <w:rPr>
                <w:rFonts w:ascii="Arial" w:cs="Arial" w:eastAsia="Arial" w:hAnsi="Arial"/>
                <w:sz w:val="14"/>
                <w:szCs w:val="14"/>
                <w:color w:val="auto"/>
              </w:rPr>
              <w:t>SRIP</w:t>
            </w:r>
          </w:p>
        </w:tc>
        <w:tc>
          <w:tcPr>
            <w:tcW w:w="2700" w:type="dxa"/>
            <w:vAlign w:val="bottom"/>
            <w:shd w:val="clear" w:color="auto" w:fill="CCD4DB"/>
          </w:tcPr>
          <w:p>
            <w:pPr>
              <w:jc w:val="center"/>
              <w:ind w:left="148"/>
              <w:spacing w:after="0"/>
              <w:rPr>
                <w:sz w:val="20"/>
                <w:szCs w:val="20"/>
                <w:color w:val="auto"/>
              </w:rPr>
            </w:pPr>
            <w:r>
              <w:rPr>
                <w:rFonts w:ascii="Arial" w:cs="Arial" w:eastAsia="Arial" w:hAnsi="Arial"/>
                <w:sz w:val="14"/>
                <w:szCs w:val="14"/>
                <w:color w:val="auto"/>
              </w:rPr>
              <w:t>18.50</w:t>
            </w:r>
          </w:p>
        </w:tc>
        <w:tc>
          <w:tcPr>
            <w:tcW w:w="2080" w:type="dxa"/>
            <w:vAlign w:val="bottom"/>
            <w:shd w:val="clear" w:color="auto" w:fill="CCD4DB"/>
          </w:tcPr>
          <w:p>
            <w:pPr>
              <w:jc w:val="center"/>
              <w:ind w:right="168"/>
              <w:spacing w:after="0"/>
              <w:rPr>
                <w:sz w:val="20"/>
                <w:szCs w:val="20"/>
                <w:color w:val="auto"/>
              </w:rPr>
            </w:pPr>
            <w:r>
              <w:rPr>
                <w:rFonts w:ascii="Arial" w:cs="Arial" w:eastAsia="Arial" w:hAnsi="Arial"/>
                <w:sz w:val="14"/>
                <w:szCs w:val="14"/>
                <w:color w:val="auto"/>
              </w:rPr>
              <w:t>2,105,472</w:t>
            </w:r>
          </w:p>
        </w:tc>
        <w:tc>
          <w:tcPr>
            <w:tcW w:w="2080" w:type="dxa"/>
            <w:vAlign w:val="bottom"/>
            <w:shd w:val="clear" w:color="auto" w:fill="CCD4DB"/>
          </w:tcPr>
          <w:p>
            <w:pPr>
              <w:jc w:val="center"/>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80" w:type="dxa"/>
            <w:vAlign w:val="bottom"/>
            <w:tcBorders>
              <w:bottom w:val="single" w:sz="8" w:color="00249C"/>
            </w:tcBorders>
          </w:tcPr>
          <w:p>
            <w:pPr>
              <w:spacing w:after="0"/>
              <w:rPr>
                <w:sz w:val="18"/>
                <w:szCs w:val="18"/>
                <w:color w:val="auto"/>
              </w:rPr>
            </w:pPr>
          </w:p>
        </w:tc>
        <w:tc>
          <w:tcPr>
            <w:tcW w:w="1900" w:type="dxa"/>
            <w:vAlign w:val="bottom"/>
            <w:tcBorders>
              <w:bottom w:val="single" w:sz="8" w:color="00249C"/>
            </w:tcBorders>
          </w:tcPr>
          <w:p>
            <w:pPr>
              <w:ind w:left="20"/>
              <w:spacing w:after="0"/>
              <w:rPr>
                <w:sz w:val="20"/>
                <w:szCs w:val="20"/>
                <w:color w:val="auto"/>
              </w:rPr>
            </w:pPr>
            <w:r>
              <w:rPr>
                <w:rFonts w:ascii="Arial" w:cs="Arial" w:eastAsia="Arial" w:hAnsi="Arial"/>
                <w:sz w:val="14"/>
                <w:szCs w:val="14"/>
                <w:color w:val="auto"/>
              </w:rPr>
              <w:t>OSERP</w:t>
            </w:r>
          </w:p>
        </w:tc>
        <w:tc>
          <w:tcPr>
            <w:tcW w:w="2700" w:type="dxa"/>
            <w:vAlign w:val="bottom"/>
            <w:tcBorders>
              <w:bottom w:val="single" w:sz="8" w:color="00249C"/>
            </w:tcBorders>
          </w:tcPr>
          <w:p>
            <w:pPr>
              <w:jc w:val="center"/>
              <w:ind w:left="148"/>
              <w:spacing w:after="0"/>
              <w:rPr>
                <w:sz w:val="20"/>
                <w:szCs w:val="20"/>
                <w:color w:val="auto"/>
              </w:rPr>
            </w:pPr>
            <w:r>
              <w:rPr>
                <w:rFonts w:ascii="Arial" w:cs="Arial" w:eastAsia="Arial" w:hAnsi="Arial"/>
                <w:sz w:val="14"/>
                <w:szCs w:val="14"/>
                <w:color w:val="auto"/>
              </w:rPr>
              <w:t>12.50</w:t>
            </w:r>
          </w:p>
        </w:tc>
        <w:tc>
          <w:tcPr>
            <w:tcW w:w="2080" w:type="dxa"/>
            <w:vAlign w:val="bottom"/>
            <w:tcBorders>
              <w:bottom w:val="single" w:sz="8" w:color="00249C"/>
            </w:tcBorders>
          </w:tcPr>
          <w:p>
            <w:pPr>
              <w:jc w:val="center"/>
              <w:ind w:right="168"/>
              <w:spacing w:after="0"/>
              <w:rPr>
                <w:sz w:val="20"/>
                <w:szCs w:val="20"/>
                <w:color w:val="auto"/>
              </w:rPr>
            </w:pPr>
            <w:r>
              <w:rPr>
                <w:rFonts w:ascii="Arial" w:cs="Arial" w:eastAsia="Arial" w:hAnsi="Arial"/>
                <w:sz w:val="14"/>
                <w:szCs w:val="14"/>
                <w:color w:val="auto"/>
              </w:rPr>
              <w:t>1,354,541</w:t>
            </w:r>
          </w:p>
        </w:tc>
        <w:tc>
          <w:tcPr>
            <w:tcW w:w="2080" w:type="dxa"/>
            <w:vAlign w:val="bottom"/>
            <w:tcBorders>
              <w:bottom w:val="single" w:sz="8" w:color="00249C"/>
            </w:tcBorders>
          </w:tcPr>
          <w:p>
            <w:pPr>
              <w:jc w:val="center"/>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80" w:type="dxa"/>
            <w:vAlign w:val="bottom"/>
            <w:vMerge w:val="restart"/>
          </w:tcPr>
          <w:p>
            <w:pPr>
              <w:ind w:left="20"/>
              <w:spacing w:after="0"/>
              <w:rPr>
                <w:sz w:val="20"/>
                <w:szCs w:val="20"/>
                <w:color w:val="auto"/>
              </w:rPr>
            </w:pPr>
            <w:r>
              <w:rPr>
                <w:rFonts w:ascii="Arial" w:cs="Arial" w:eastAsia="Arial" w:hAnsi="Arial"/>
                <w:sz w:val="14"/>
                <w:szCs w:val="14"/>
                <w:color w:val="auto"/>
              </w:rPr>
              <w:t>Blake E. Larson</w:t>
            </w:r>
          </w:p>
        </w:tc>
        <w:tc>
          <w:tcPr>
            <w:tcW w:w="1900" w:type="dxa"/>
            <w:vAlign w:val="bottom"/>
            <w:shd w:val="clear" w:color="auto" w:fill="CCD4DB"/>
          </w:tcPr>
          <w:p>
            <w:pPr>
              <w:ind w:left="20"/>
              <w:spacing w:after="0"/>
              <w:rPr>
                <w:sz w:val="20"/>
                <w:szCs w:val="20"/>
                <w:color w:val="auto"/>
              </w:rPr>
            </w:pPr>
            <w:r>
              <w:rPr>
                <w:rFonts w:ascii="Arial" w:cs="Arial" w:eastAsia="Arial" w:hAnsi="Arial"/>
                <w:sz w:val="14"/>
                <w:szCs w:val="14"/>
                <w:color w:val="auto"/>
              </w:rPr>
              <w:t>Pension Plan</w:t>
            </w:r>
          </w:p>
        </w:tc>
        <w:tc>
          <w:tcPr>
            <w:tcW w:w="2700" w:type="dxa"/>
            <w:vAlign w:val="bottom"/>
            <w:shd w:val="clear" w:color="auto" w:fill="CCD4DB"/>
          </w:tcPr>
          <w:p>
            <w:pPr>
              <w:jc w:val="center"/>
              <w:ind w:left="148"/>
              <w:spacing w:after="0"/>
              <w:rPr>
                <w:sz w:val="20"/>
                <w:szCs w:val="20"/>
                <w:color w:val="auto"/>
              </w:rPr>
            </w:pPr>
            <w:r>
              <w:rPr>
                <w:rFonts w:ascii="Arial" w:cs="Arial" w:eastAsia="Arial" w:hAnsi="Arial"/>
                <w:sz w:val="14"/>
                <w:szCs w:val="14"/>
                <w:color w:val="auto"/>
              </w:rPr>
              <w:t>39.50</w:t>
            </w:r>
          </w:p>
        </w:tc>
        <w:tc>
          <w:tcPr>
            <w:tcW w:w="2080" w:type="dxa"/>
            <w:vAlign w:val="bottom"/>
            <w:shd w:val="clear" w:color="auto" w:fill="CCD4DB"/>
          </w:tcPr>
          <w:p>
            <w:pPr>
              <w:jc w:val="center"/>
              <w:ind w:right="168"/>
              <w:spacing w:after="0"/>
              <w:rPr>
                <w:sz w:val="20"/>
                <w:szCs w:val="20"/>
                <w:color w:val="auto"/>
              </w:rPr>
            </w:pPr>
            <w:r>
              <w:rPr>
                <w:rFonts w:ascii="Arial" w:cs="Arial" w:eastAsia="Arial" w:hAnsi="Arial"/>
                <w:sz w:val="14"/>
                <w:szCs w:val="14"/>
                <w:color w:val="auto"/>
              </w:rPr>
              <w:t>814,875</w:t>
            </w:r>
          </w:p>
        </w:tc>
        <w:tc>
          <w:tcPr>
            <w:tcW w:w="2080" w:type="dxa"/>
            <w:vAlign w:val="bottom"/>
            <w:shd w:val="clear" w:color="auto" w:fill="CCD4DB"/>
          </w:tcPr>
          <w:p>
            <w:pPr>
              <w:jc w:val="center"/>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480" w:type="dxa"/>
            <w:vAlign w:val="bottom"/>
            <w:vMerge w:val="continue"/>
          </w:tcPr>
          <w:p>
            <w:pPr>
              <w:spacing w:after="0"/>
              <w:rPr>
                <w:sz w:val="8"/>
                <w:szCs w:val="8"/>
                <w:color w:val="auto"/>
              </w:rPr>
            </w:pPr>
          </w:p>
        </w:tc>
        <w:tc>
          <w:tcPr>
            <w:tcW w:w="1900" w:type="dxa"/>
            <w:vAlign w:val="bottom"/>
            <w:vMerge w:val="restart"/>
          </w:tcPr>
          <w:p>
            <w:pPr>
              <w:ind w:left="20"/>
              <w:spacing w:after="0"/>
              <w:rPr>
                <w:sz w:val="20"/>
                <w:szCs w:val="20"/>
                <w:color w:val="auto"/>
              </w:rPr>
            </w:pPr>
            <w:r>
              <w:rPr>
                <w:rFonts w:ascii="Arial" w:cs="Arial" w:eastAsia="Arial" w:hAnsi="Arial"/>
                <w:sz w:val="14"/>
                <w:szCs w:val="14"/>
                <w:color w:val="auto"/>
              </w:rPr>
              <w:t>NGIS DB SERP</w:t>
            </w:r>
          </w:p>
        </w:tc>
        <w:tc>
          <w:tcPr>
            <w:tcW w:w="2700" w:type="dxa"/>
            <w:vAlign w:val="bottom"/>
            <w:vMerge w:val="restart"/>
          </w:tcPr>
          <w:p>
            <w:pPr>
              <w:jc w:val="center"/>
              <w:ind w:left="148"/>
              <w:spacing w:after="0"/>
              <w:rPr>
                <w:sz w:val="20"/>
                <w:szCs w:val="20"/>
                <w:color w:val="auto"/>
              </w:rPr>
            </w:pPr>
            <w:r>
              <w:rPr>
                <w:rFonts w:ascii="Arial" w:cs="Arial" w:eastAsia="Arial" w:hAnsi="Arial"/>
                <w:sz w:val="14"/>
                <w:szCs w:val="14"/>
                <w:color w:val="auto"/>
              </w:rPr>
              <w:t>39.50</w:t>
            </w:r>
          </w:p>
        </w:tc>
        <w:tc>
          <w:tcPr>
            <w:tcW w:w="2080" w:type="dxa"/>
            <w:vAlign w:val="bottom"/>
            <w:vMerge w:val="restart"/>
          </w:tcPr>
          <w:p>
            <w:pPr>
              <w:jc w:val="center"/>
              <w:ind w:right="168"/>
              <w:spacing w:after="0"/>
              <w:rPr>
                <w:sz w:val="20"/>
                <w:szCs w:val="20"/>
                <w:color w:val="auto"/>
              </w:rPr>
            </w:pPr>
            <w:r>
              <w:rPr>
                <w:rFonts w:ascii="Arial" w:cs="Arial" w:eastAsia="Arial" w:hAnsi="Arial"/>
                <w:sz w:val="14"/>
                <w:szCs w:val="14"/>
                <w:color w:val="auto"/>
              </w:rPr>
              <w:t>3,424,149</w:t>
            </w:r>
          </w:p>
        </w:tc>
        <w:tc>
          <w:tcPr>
            <w:tcW w:w="20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480" w:type="dxa"/>
            <w:vAlign w:val="bottom"/>
            <w:tcBorders>
              <w:bottom w:val="single" w:sz="8" w:color="00249C"/>
            </w:tcBorders>
          </w:tcPr>
          <w:p>
            <w:pPr>
              <w:spacing w:after="0"/>
              <w:rPr>
                <w:sz w:val="9"/>
                <w:szCs w:val="9"/>
                <w:color w:val="auto"/>
              </w:rPr>
            </w:pPr>
          </w:p>
        </w:tc>
        <w:tc>
          <w:tcPr>
            <w:tcW w:w="1900" w:type="dxa"/>
            <w:vAlign w:val="bottom"/>
            <w:tcBorders>
              <w:bottom w:val="single" w:sz="8" w:color="00249C"/>
            </w:tcBorders>
            <w:vMerge w:val="continue"/>
          </w:tcPr>
          <w:p>
            <w:pPr>
              <w:spacing w:after="0"/>
              <w:rPr>
                <w:sz w:val="9"/>
                <w:szCs w:val="9"/>
                <w:color w:val="auto"/>
              </w:rPr>
            </w:pPr>
          </w:p>
        </w:tc>
        <w:tc>
          <w:tcPr>
            <w:tcW w:w="2700" w:type="dxa"/>
            <w:vAlign w:val="bottom"/>
            <w:tcBorders>
              <w:bottom w:val="single" w:sz="8" w:color="00249C"/>
            </w:tcBorders>
            <w:vMerge w:val="continue"/>
          </w:tcPr>
          <w:p>
            <w:pPr>
              <w:spacing w:after="0"/>
              <w:rPr>
                <w:sz w:val="9"/>
                <w:szCs w:val="9"/>
                <w:color w:val="auto"/>
              </w:rPr>
            </w:pPr>
          </w:p>
        </w:tc>
        <w:tc>
          <w:tcPr>
            <w:tcW w:w="2080" w:type="dxa"/>
            <w:vAlign w:val="bottom"/>
            <w:tcBorders>
              <w:bottom w:val="single" w:sz="8" w:color="00249C"/>
            </w:tcBorders>
            <w:vMerge w:val="continue"/>
          </w:tcPr>
          <w:p>
            <w:pPr>
              <w:spacing w:after="0"/>
              <w:rPr>
                <w:sz w:val="9"/>
                <w:szCs w:val="9"/>
                <w:color w:val="auto"/>
              </w:rPr>
            </w:pPr>
          </w:p>
        </w:tc>
        <w:tc>
          <w:tcPr>
            <w:tcW w:w="2080" w:type="dxa"/>
            <w:vAlign w:val="bottom"/>
            <w:tcBorders>
              <w:bottom w:val="single" w:sz="8" w:color="00249C"/>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480" w:type="dxa"/>
            <w:vAlign w:val="bottom"/>
          </w:tcPr>
          <w:p>
            <w:pPr>
              <w:spacing w:after="0"/>
              <w:rPr>
                <w:sz w:val="17"/>
                <w:szCs w:val="17"/>
                <w:color w:val="auto"/>
              </w:rPr>
            </w:pPr>
          </w:p>
        </w:tc>
        <w:tc>
          <w:tcPr>
            <w:tcW w:w="1900" w:type="dxa"/>
            <w:vAlign w:val="bottom"/>
          </w:tcPr>
          <w:p>
            <w:pPr>
              <w:ind w:left="20"/>
              <w:spacing w:after="0"/>
              <w:rPr>
                <w:sz w:val="20"/>
                <w:szCs w:val="20"/>
                <w:color w:val="auto"/>
              </w:rPr>
            </w:pPr>
            <w:r>
              <w:rPr>
                <w:rFonts w:ascii="Arial" w:cs="Arial" w:eastAsia="Arial" w:hAnsi="Arial"/>
                <w:sz w:val="14"/>
                <w:szCs w:val="14"/>
                <w:color w:val="auto"/>
              </w:rPr>
              <w:t>Pension Plan</w:t>
            </w:r>
          </w:p>
        </w:tc>
        <w:tc>
          <w:tcPr>
            <w:tcW w:w="2700" w:type="dxa"/>
            <w:vAlign w:val="bottom"/>
          </w:tcPr>
          <w:p>
            <w:pPr>
              <w:jc w:val="center"/>
              <w:ind w:left="148"/>
              <w:spacing w:after="0"/>
              <w:rPr>
                <w:sz w:val="20"/>
                <w:szCs w:val="20"/>
                <w:color w:val="auto"/>
              </w:rPr>
            </w:pPr>
            <w:r>
              <w:rPr>
                <w:rFonts w:ascii="Arial" w:cs="Arial" w:eastAsia="Arial" w:hAnsi="Arial"/>
                <w:sz w:val="14"/>
                <w:szCs w:val="14"/>
                <w:color w:val="auto"/>
              </w:rPr>
              <w:t>34.00</w:t>
            </w:r>
          </w:p>
        </w:tc>
        <w:tc>
          <w:tcPr>
            <w:tcW w:w="2080" w:type="dxa"/>
            <w:vAlign w:val="bottom"/>
          </w:tcPr>
          <w:p>
            <w:pPr>
              <w:jc w:val="center"/>
              <w:ind w:right="168"/>
              <w:spacing w:after="0"/>
              <w:rPr>
                <w:sz w:val="20"/>
                <w:szCs w:val="20"/>
                <w:color w:val="auto"/>
              </w:rPr>
            </w:pPr>
            <w:r>
              <w:rPr>
                <w:rFonts w:ascii="Arial" w:cs="Arial" w:eastAsia="Arial" w:hAnsi="Arial"/>
                <w:sz w:val="14"/>
                <w:szCs w:val="14"/>
                <w:color w:val="auto"/>
              </w:rPr>
              <w:t>2,356,168</w:t>
            </w:r>
          </w:p>
        </w:tc>
        <w:tc>
          <w:tcPr>
            <w:tcW w:w="2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480" w:type="dxa"/>
            <w:vAlign w:val="bottom"/>
          </w:tcPr>
          <w:p>
            <w:pPr>
              <w:ind w:left="20"/>
              <w:spacing w:after="0"/>
              <w:rPr>
                <w:sz w:val="20"/>
                <w:szCs w:val="20"/>
                <w:color w:val="auto"/>
              </w:rPr>
            </w:pPr>
            <w:r>
              <w:rPr>
                <w:rFonts w:ascii="Arial" w:cs="Arial" w:eastAsia="Arial" w:hAnsi="Arial"/>
                <w:sz w:val="14"/>
                <w:szCs w:val="14"/>
                <w:color w:val="auto"/>
              </w:rPr>
              <w:t>Janis G. Pamiljans</w:t>
            </w:r>
          </w:p>
        </w:tc>
        <w:tc>
          <w:tcPr>
            <w:tcW w:w="1900" w:type="dxa"/>
            <w:vAlign w:val="bottom"/>
            <w:shd w:val="clear" w:color="auto" w:fill="CCD4DB"/>
          </w:tcPr>
          <w:p>
            <w:pPr>
              <w:ind w:left="20"/>
              <w:spacing w:after="0"/>
              <w:rPr>
                <w:sz w:val="20"/>
                <w:szCs w:val="20"/>
                <w:color w:val="auto"/>
              </w:rPr>
            </w:pPr>
            <w:r>
              <w:rPr>
                <w:rFonts w:ascii="Arial" w:cs="Arial" w:eastAsia="Arial" w:hAnsi="Arial"/>
                <w:sz w:val="14"/>
                <w:szCs w:val="14"/>
                <w:color w:val="auto"/>
              </w:rPr>
              <w:t>ERISA 2</w:t>
            </w:r>
          </w:p>
        </w:tc>
        <w:tc>
          <w:tcPr>
            <w:tcW w:w="2700" w:type="dxa"/>
            <w:vAlign w:val="bottom"/>
            <w:shd w:val="clear" w:color="auto" w:fill="CCD4DB"/>
          </w:tcPr>
          <w:p>
            <w:pPr>
              <w:jc w:val="center"/>
              <w:ind w:left="148"/>
              <w:spacing w:after="0"/>
              <w:rPr>
                <w:sz w:val="20"/>
                <w:szCs w:val="20"/>
                <w:color w:val="auto"/>
              </w:rPr>
            </w:pPr>
            <w:r>
              <w:rPr>
                <w:rFonts w:ascii="Arial" w:cs="Arial" w:eastAsia="Arial" w:hAnsi="Arial"/>
                <w:sz w:val="14"/>
                <w:szCs w:val="14"/>
                <w:color w:val="auto"/>
              </w:rPr>
              <w:t>34.00</w:t>
            </w:r>
          </w:p>
        </w:tc>
        <w:tc>
          <w:tcPr>
            <w:tcW w:w="2080" w:type="dxa"/>
            <w:vAlign w:val="bottom"/>
            <w:shd w:val="clear" w:color="auto" w:fill="CCD4DB"/>
          </w:tcPr>
          <w:p>
            <w:pPr>
              <w:jc w:val="center"/>
              <w:ind w:right="168"/>
              <w:spacing w:after="0"/>
              <w:rPr>
                <w:sz w:val="20"/>
                <w:szCs w:val="20"/>
                <w:color w:val="auto"/>
              </w:rPr>
            </w:pPr>
            <w:r>
              <w:rPr>
                <w:rFonts w:ascii="Arial" w:cs="Arial" w:eastAsia="Arial" w:hAnsi="Arial"/>
                <w:sz w:val="14"/>
                <w:szCs w:val="14"/>
                <w:color w:val="auto"/>
              </w:rPr>
              <w:t>4,800,140</w:t>
            </w:r>
          </w:p>
        </w:tc>
        <w:tc>
          <w:tcPr>
            <w:tcW w:w="2080" w:type="dxa"/>
            <w:vAlign w:val="bottom"/>
            <w:shd w:val="clear" w:color="auto" w:fill="CCD4DB"/>
          </w:tcPr>
          <w:p>
            <w:pPr>
              <w:jc w:val="center"/>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80" w:type="dxa"/>
            <w:vAlign w:val="bottom"/>
            <w:tcBorders>
              <w:bottom w:val="single" w:sz="8" w:color="00249C"/>
            </w:tcBorders>
          </w:tcPr>
          <w:p>
            <w:pPr>
              <w:spacing w:after="0"/>
              <w:rPr>
                <w:sz w:val="18"/>
                <w:szCs w:val="18"/>
                <w:color w:val="auto"/>
              </w:rPr>
            </w:pPr>
          </w:p>
        </w:tc>
        <w:tc>
          <w:tcPr>
            <w:tcW w:w="1900" w:type="dxa"/>
            <w:vAlign w:val="bottom"/>
            <w:tcBorders>
              <w:bottom w:val="single" w:sz="8" w:color="00249C"/>
            </w:tcBorders>
          </w:tcPr>
          <w:p>
            <w:pPr>
              <w:ind w:left="20"/>
              <w:spacing w:after="0"/>
              <w:rPr>
                <w:sz w:val="20"/>
                <w:szCs w:val="20"/>
                <w:color w:val="auto"/>
              </w:rPr>
            </w:pPr>
            <w:r>
              <w:rPr>
                <w:rFonts w:ascii="Arial" w:cs="Arial" w:eastAsia="Arial" w:hAnsi="Arial"/>
                <w:sz w:val="14"/>
                <w:szCs w:val="14"/>
                <w:color w:val="auto"/>
              </w:rPr>
              <w:t>OSERP</w:t>
            </w:r>
          </w:p>
        </w:tc>
        <w:tc>
          <w:tcPr>
            <w:tcW w:w="2700" w:type="dxa"/>
            <w:vAlign w:val="bottom"/>
            <w:tcBorders>
              <w:bottom w:val="single" w:sz="8" w:color="00249C"/>
            </w:tcBorders>
          </w:tcPr>
          <w:p>
            <w:pPr>
              <w:jc w:val="center"/>
              <w:ind w:left="148"/>
              <w:spacing w:after="0"/>
              <w:rPr>
                <w:sz w:val="20"/>
                <w:szCs w:val="20"/>
                <w:color w:val="auto"/>
              </w:rPr>
            </w:pPr>
            <w:r>
              <w:rPr>
                <w:rFonts w:ascii="Arial" w:cs="Arial" w:eastAsia="Arial" w:hAnsi="Arial"/>
                <w:sz w:val="14"/>
                <w:szCs w:val="14"/>
                <w:color w:val="auto"/>
              </w:rPr>
              <w:t>28.00</w:t>
            </w:r>
          </w:p>
        </w:tc>
        <w:tc>
          <w:tcPr>
            <w:tcW w:w="2080" w:type="dxa"/>
            <w:vAlign w:val="bottom"/>
            <w:tcBorders>
              <w:bottom w:val="single" w:sz="8" w:color="00249C"/>
            </w:tcBorders>
          </w:tcPr>
          <w:p>
            <w:pPr>
              <w:jc w:val="center"/>
              <w:ind w:right="168"/>
              <w:spacing w:after="0"/>
              <w:rPr>
                <w:sz w:val="20"/>
                <w:szCs w:val="20"/>
                <w:color w:val="auto"/>
              </w:rPr>
            </w:pPr>
            <w:r>
              <w:rPr>
                <w:rFonts w:ascii="Arial" w:cs="Arial" w:eastAsia="Arial" w:hAnsi="Arial"/>
                <w:sz w:val="14"/>
                <w:szCs w:val="14"/>
                <w:color w:val="auto"/>
              </w:rPr>
              <w:t>19,986</w:t>
            </w:r>
          </w:p>
        </w:tc>
        <w:tc>
          <w:tcPr>
            <w:tcW w:w="2080" w:type="dxa"/>
            <w:vAlign w:val="bottom"/>
            <w:tcBorders>
              <w:bottom w:val="single" w:sz="8" w:color="00249C"/>
            </w:tcBorders>
          </w:tcPr>
          <w:p>
            <w:pPr>
              <w:jc w:val="center"/>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20" w:right="500" w:hanging="412"/>
        <w:spacing w:after="0" w:line="261" w:lineRule="auto"/>
        <w:tabs>
          <w:tab w:leader="none" w:pos="437" w:val="left"/>
        </w:tabs>
        <w:numPr>
          <w:ilvl w:val="0"/>
          <w:numId w:val="73"/>
        </w:numPr>
        <w:rPr>
          <w:rFonts w:ascii="Arial" w:cs="Arial" w:eastAsia="Arial" w:hAnsi="Arial"/>
          <w:sz w:val="18"/>
          <w:szCs w:val="18"/>
          <w:color w:val="auto"/>
        </w:rPr>
      </w:pPr>
      <w:r>
        <w:rPr>
          <w:rFonts w:ascii="Arial" w:cs="Arial" w:eastAsia="Arial" w:hAnsi="Arial"/>
          <w:sz w:val="18"/>
          <w:szCs w:val="18"/>
          <w:color w:val="auto"/>
        </w:rPr>
        <w:t>Mr. Bedingfield and Mr. Keffer were hired after the Company's defined benefit pension plans were closed to new entrants and as a result, they do not participate in any defined benefit pension plans.</w:t>
      </w:r>
    </w:p>
    <w:p>
      <w:pPr>
        <w:spacing w:after="0" w:line="76" w:lineRule="exact"/>
        <w:rPr>
          <w:rFonts w:ascii="Arial" w:cs="Arial" w:eastAsia="Arial" w:hAnsi="Arial"/>
          <w:sz w:val="18"/>
          <w:szCs w:val="18"/>
          <w:color w:val="auto"/>
        </w:rPr>
      </w:pPr>
    </w:p>
    <w:p>
      <w:pPr>
        <w:ind w:left="420" w:right="260" w:hanging="412"/>
        <w:spacing w:after="0" w:line="256" w:lineRule="auto"/>
        <w:tabs>
          <w:tab w:leader="none" w:pos="437" w:val="left"/>
        </w:tabs>
        <w:numPr>
          <w:ilvl w:val="0"/>
          <w:numId w:val="73"/>
        </w:numPr>
        <w:rPr>
          <w:rFonts w:ascii="Arial" w:cs="Arial" w:eastAsia="Arial" w:hAnsi="Arial"/>
          <w:sz w:val="18"/>
          <w:szCs w:val="18"/>
          <w:color w:val="auto"/>
        </w:rPr>
      </w:pPr>
      <w:r>
        <w:rPr>
          <w:rFonts w:ascii="Arial" w:cs="Arial" w:eastAsia="Arial" w:hAnsi="Arial"/>
          <w:sz w:val="18"/>
          <w:szCs w:val="18"/>
          <w:color w:val="auto"/>
        </w:rPr>
        <w:t>Credited service under OSERP for Mr. Caylor and Mr. Pamiljans is less than actual service because credited service under this plan stopped as of December 31, 2014. Each NEO's actual service is as follows: Ms. Warden: 12.33; Mr. Caylor: 18.50; Mr. Larson: 39.50; Mr. Pamiljans: 33.92.</w:t>
      </w:r>
    </w:p>
    <w:p>
      <w:pPr>
        <w:spacing w:after="0" w:line="80" w:lineRule="exact"/>
        <w:rPr>
          <w:rFonts w:ascii="Arial" w:cs="Arial" w:eastAsia="Arial" w:hAnsi="Arial"/>
          <w:sz w:val="18"/>
          <w:szCs w:val="18"/>
          <w:color w:val="auto"/>
        </w:rPr>
      </w:pPr>
    </w:p>
    <w:p>
      <w:pPr>
        <w:ind w:left="440" w:hanging="432"/>
        <w:spacing w:after="0"/>
        <w:tabs>
          <w:tab w:leader="none" w:pos="4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Amounts are calculated using the following assumptions:</w:t>
      </w:r>
    </w:p>
    <w:p>
      <w:pPr>
        <w:spacing w:after="0" w:line="94" w:lineRule="exact"/>
        <w:rPr>
          <w:rFonts w:ascii="Arial" w:cs="Arial" w:eastAsia="Arial" w:hAnsi="Arial"/>
          <w:sz w:val="18"/>
          <w:szCs w:val="18"/>
          <w:color w:val="auto"/>
        </w:rPr>
      </w:pPr>
    </w:p>
    <w:p>
      <w:pPr>
        <w:ind w:left="700" w:hanging="287"/>
        <w:spacing w:after="0"/>
        <w:tabs>
          <w:tab w:leader="none" w:pos="700" w:val="left"/>
        </w:tabs>
        <w:numPr>
          <w:ilvl w:val="1"/>
          <w:numId w:val="73"/>
        </w:numPr>
        <w:rPr>
          <w:rFonts w:ascii="Arial" w:cs="Arial" w:eastAsia="Arial" w:hAnsi="Arial"/>
          <w:sz w:val="22"/>
          <w:szCs w:val="22"/>
          <w:color w:val="00249C"/>
        </w:rPr>
      </w:pPr>
      <w:r>
        <w:rPr>
          <w:rFonts w:ascii="Arial" w:cs="Arial" w:eastAsia="Arial" w:hAnsi="Arial"/>
          <w:sz w:val="18"/>
          <w:szCs w:val="18"/>
          <w:color w:val="auto"/>
        </w:rPr>
        <w:t>The NEO retires on the earliest date he/she could receive an unreduced benefit under each plan;</w:t>
      </w:r>
    </w:p>
    <w:p>
      <w:pPr>
        <w:spacing w:after="0" w:line="98" w:lineRule="exact"/>
        <w:rPr>
          <w:rFonts w:ascii="Arial" w:cs="Arial" w:eastAsia="Arial" w:hAnsi="Arial"/>
          <w:sz w:val="22"/>
          <w:szCs w:val="22"/>
          <w:color w:val="00249C"/>
        </w:rPr>
      </w:pPr>
    </w:p>
    <w:p>
      <w:pPr>
        <w:ind w:left="700" w:hanging="287"/>
        <w:spacing w:after="0"/>
        <w:tabs>
          <w:tab w:leader="none" w:pos="700" w:val="left"/>
        </w:tabs>
        <w:numPr>
          <w:ilvl w:val="1"/>
          <w:numId w:val="73"/>
        </w:numPr>
        <w:rPr>
          <w:rFonts w:ascii="Arial" w:cs="Arial" w:eastAsia="Arial" w:hAnsi="Arial"/>
          <w:sz w:val="22"/>
          <w:szCs w:val="22"/>
          <w:color w:val="00249C"/>
        </w:rPr>
      </w:pPr>
      <w:r>
        <w:rPr>
          <w:rFonts w:ascii="Arial" w:cs="Arial" w:eastAsia="Arial" w:hAnsi="Arial"/>
          <w:sz w:val="18"/>
          <w:szCs w:val="18"/>
          <w:color w:val="auto"/>
        </w:rPr>
        <w:t>The form of payment is a single life annuity except for Mr. Larson whose NGIS DB SERP benefit is paid as a lump sum; and</w:t>
      </w:r>
    </w:p>
    <w:p>
      <w:pPr>
        <w:spacing w:after="0" w:line="134" w:lineRule="exact"/>
        <w:rPr>
          <w:rFonts w:ascii="Arial" w:cs="Arial" w:eastAsia="Arial" w:hAnsi="Arial"/>
          <w:sz w:val="22"/>
          <w:szCs w:val="22"/>
          <w:color w:val="00249C"/>
        </w:rPr>
      </w:pPr>
    </w:p>
    <w:p>
      <w:pPr>
        <w:ind w:left="740" w:right="40" w:hanging="327"/>
        <w:spacing w:after="0" w:line="237" w:lineRule="auto"/>
        <w:tabs>
          <w:tab w:leader="none" w:pos="708" w:val="left"/>
        </w:tabs>
        <w:numPr>
          <w:ilvl w:val="1"/>
          <w:numId w:val="73"/>
        </w:numPr>
        <w:rPr>
          <w:rFonts w:ascii="Arial" w:cs="Arial" w:eastAsia="Arial" w:hAnsi="Arial"/>
          <w:sz w:val="22"/>
          <w:szCs w:val="22"/>
          <w:color w:val="00249C"/>
        </w:rPr>
      </w:pPr>
      <w:r>
        <w:rPr>
          <w:rFonts w:ascii="Arial" w:cs="Arial" w:eastAsia="Arial" w:hAnsi="Arial"/>
          <w:sz w:val="18"/>
          <w:szCs w:val="18"/>
          <w:color w:val="auto"/>
        </w:rPr>
        <w:t>The discount rate is 2.65% for the Pension Plan, 2.73% for the S&amp;MS Pension Plan and 2.68% for all other plans. The mortality table is the Pri-2012 White Collar mortality table projected generationally with Scale MP-2020 for all plans except the NGIS DB SERP which uses no mortality because the form of payment is a lump sum. These are the same assumptions used for the valuation of benefits in the Company's financial statements.</w:t>
      </w:r>
    </w:p>
    <w:p>
      <w:pPr>
        <w:spacing w:after="0" w:line="200" w:lineRule="exact"/>
        <w:rPr>
          <w:sz w:val="20"/>
          <w:szCs w:val="20"/>
          <w:color w:val="auto"/>
        </w:rPr>
      </w:pPr>
    </w:p>
    <w:p>
      <w:pPr>
        <w:spacing w:after="0" w:line="233" w:lineRule="exact"/>
        <w:rPr>
          <w:sz w:val="20"/>
          <w:szCs w:val="20"/>
          <w:color w:val="auto"/>
        </w:rPr>
      </w:pPr>
    </w:p>
    <w:p>
      <w:pPr>
        <w:ind w:left="5220"/>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63</w:t>
      </w:r>
    </w:p>
    <w:p>
      <w:pPr>
        <w:sectPr>
          <w:pgSz w:w="11900" w:h="16838" w:orient="portrait"/>
          <w:cols w:equalWidth="0" w:num="1">
            <w:col w:w="11260"/>
          </w:cols>
          <w:pgMar w:left="320" w:top="607" w:right="319" w:bottom="1440" w:gutter="0" w:footer="0" w:header="0"/>
        </w:sectPr>
      </w:pPr>
    </w:p>
    <w:bookmarkStart w:id="69" w:name="page70"/>
    <w:bookmarkEnd w:id="69"/>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5314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 xml:space="preserve">COMPENSATION TABLES | </w:t>
      </w:r>
      <w:r>
        <w:rPr>
          <w:rFonts w:ascii="Arial" w:cs="Arial" w:eastAsia="Arial" w:hAnsi="Arial"/>
          <w:sz w:val="17"/>
          <w:szCs w:val="17"/>
          <w:b w:val="1"/>
          <w:bCs w:val="1"/>
          <w:color w:val="FFFFFF"/>
        </w:rPr>
        <w:t>PENSION BENEFITS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Pension Plans and Descriptions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Most of the pension plans were closed to new hires in 2008 or earlier. Prior to that time, the Company consolidated the pension plan provisions from diverse Heritage Formulas to various Cash Balance Formulas. Over time, the Company also transitioned officers, including NEOs, from SERPs to a deferred compensation plan, called the Officers Retirement Account Contribution Plan. In addition, all final average pay formulas were frozen as of December 31, 2014 or earlier.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pension plans in which NEOs participate are listed below in alphabetical order.</w:t>
      </w:r>
    </w:p>
    <w:p>
      <w:pPr>
        <w:spacing w:after="0" w:line="122" w:lineRule="exact"/>
        <w:rPr>
          <w:sz w:val="20"/>
          <w:szCs w:val="20"/>
          <w:color w:val="auto"/>
        </w:rPr>
      </w:pPr>
    </w:p>
    <w:p>
      <w:pPr>
        <w:jc w:val="both"/>
        <w:ind w:left="340" w:right="520" w:hanging="332"/>
        <w:spacing w:after="0" w:line="242" w:lineRule="auto"/>
        <w:tabs>
          <w:tab w:leader="none" w:pos="308" w:val="left"/>
        </w:tabs>
        <w:numPr>
          <w:ilvl w:val="0"/>
          <w:numId w:val="74"/>
        </w:numPr>
        <w:rPr>
          <w:rFonts w:ascii="Arial" w:cs="Arial" w:eastAsia="Arial" w:hAnsi="Arial"/>
          <w:sz w:val="22"/>
          <w:szCs w:val="22"/>
          <w:color w:val="00249C"/>
        </w:rPr>
      </w:pPr>
      <w:r>
        <w:rPr>
          <w:rFonts w:ascii="Arial" w:cs="Arial" w:eastAsia="Arial" w:hAnsi="Arial"/>
          <w:sz w:val="18"/>
          <w:szCs w:val="18"/>
          <w:b w:val="1"/>
          <w:bCs w:val="1"/>
          <w:color w:val="auto"/>
        </w:rPr>
        <w:t xml:space="preserve">ERISA 2 </w:t>
      </w:r>
      <w:r>
        <w:rPr>
          <w:rFonts w:ascii="Arial" w:cs="Arial" w:eastAsia="Arial" w:hAnsi="Arial"/>
          <w:sz w:val="18"/>
          <w:szCs w:val="18"/>
          <w:color w:val="auto"/>
        </w:rPr>
        <w:t>is the ERISA Supplemental Program 2. This plan makes participants whole for benefits they lose under the Pension Plan</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the Northrop Grumman Innovation Systems Pension and Retirement Plan (NGIS P&amp;R Plan) participants) due to certain Internal Revenue Code limits.</w:t>
      </w:r>
    </w:p>
    <w:p>
      <w:pPr>
        <w:spacing w:after="0" w:line="83" w:lineRule="exact"/>
        <w:rPr>
          <w:rFonts w:ascii="Arial" w:cs="Arial" w:eastAsia="Arial" w:hAnsi="Arial"/>
          <w:sz w:val="22"/>
          <w:szCs w:val="22"/>
          <w:color w:val="00249C"/>
        </w:rPr>
      </w:pPr>
    </w:p>
    <w:p>
      <w:pPr>
        <w:ind w:left="340" w:right="20" w:hanging="332"/>
        <w:spacing w:after="0" w:line="231" w:lineRule="auto"/>
        <w:tabs>
          <w:tab w:leader="none" w:pos="308" w:val="left"/>
        </w:tabs>
        <w:numPr>
          <w:ilvl w:val="0"/>
          <w:numId w:val="74"/>
        </w:numPr>
        <w:rPr>
          <w:rFonts w:ascii="Arial" w:cs="Arial" w:eastAsia="Arial" w:hAnsi="Arial"/>
          <w:sz w:val="22"/>
          <w:szCs w:val="22"/>
          <w:color w:val="00249C"/>
        </w:rPr>
      </w:pPr>
      <w:r>
        <w:rPr>
          <w:rFonts w:ascii="Arial" w:cs="Arial" w:eastAsia="Arial" w:hAnsi="Arial"/>
          <w:sz w:val="18"/>
          <w:szCs w:val="18"/>
          <w:b w:val="1"/>
          <w:bCs w:val="1"/>
          <w:color w:val="auto"/>
        </w:rPr>
        <w:t xml:space="preserve">NGIS DB SERP </w:t>
      </w:r>
      <w:r>
        <w:rPr>
          <w:rFonts w:ascii="Arial" w:cs="Arial" w:eastAsia="Arial" w:hAnsi="Arial"/>
          <w:sz w:val="18"/>
          <w:szCs w:val="18"/>
          <w:color w:val="auto"/>
        </w:rPr>
        <w:t>is the Northrop Grumman Innovation Systems Defined Benefit Supplemental Executive Retirement Plan. This plan</w:t>
      </w:r>
      <w:r>
        <w:rPr>
          <w:rFonts w:ascii="Arial" w:cs="Arial" w:eastAsia="Arial" w:hAnsi="Arial"/>
          <w:sz w:val="18"/>
          <w:szCs w:val="18"/>
          <w:b w:val="1"/>
          <w:bCs w:val="1"/>
          <w:color w:val="auto"/>
        </w:rPr>
        <w:t xml:space="preserve"> </w:t>
      </w:r>
      <w:r>
        <w:rPr>
          <w:rFonts w:ascii="Arial" w:cs="Arial" w:eastAsia="Arial" w:hAnsi="Arial"/>
          <w:sz w:val="18"/>
          <w:szCs w:val="18"/>
          <w:color w:val="auto"/>
        </w:rPr>
        <w:t>provides a supplemental pension benefit for certain heritage NGIS executives. In addition, the plan makes participants whole for benefits they lose under the NGIS P&amp;R Plan due to certain Internal Revenue Code limits.</w:t>
      </w:r>
    </w:p>
    <w:p>
      <w:pPr>
        <w:spacing w:after="0" w:line="73" w:lineRule="exact"/>
        <w:rPr>
          <w:rFonts w:ascii="Arial" w:cs="Arial" w:eastAsia="Arial" w:hAnsi="Arial"/>
          <w:sz w:val="22"/>
          <w:szCs w:val="22"/>
          <w:color w:val="00249C"/>
        </w:rPr>
      </w:pPr>
    </w:p>
    <w:p>
      <w:pPr>
        <w:ind w:left="340" w:right="520" w:hanging="332"/>
        <w:spacing w:after="0" w:line="237" w:lineRule="auto"/>
        <w:tabs>
          <w:tab w:leader="none" w:pos="308" w:val="left"/>
        </w:tabs>
        <w:numPr>
          <w:ilvl w:val="0"/>
          <w:numId w:val="74"/>
        </w:numPr>
        <w:rPr>
          <w:rFonts w:ascii="Arial" w:cs="Arial" w:eastAsia="Arial" w:hAnsi="Arial"/>
          <w:sz w:val="22"/>
          <w:szCs w:val="22"/>
          <w:color w:val="00249C"/>
        </w:rPr>
      </w:pPr>
      <w:r>
        <w:rPr>
          <w:rFonts w:ascii="Arial" w:cs="Arial" w:eastAsia="Arial" w:hAnsi="Arial"/>
          <w:sz w:val="18"/>
          <w:szCs w:val="18"/>
          <w:b w:val="1"/>
          <w:bCs w:val="1"/>
          <w:color w:val="auto"/>
        </w:rPr>
        <w:t xml:space="preserve">OSERP </w:t>
      </w:r>
      <w:r>
        <w:rPr>
          <w:rFonts w:ascii="Arial" w:cs="Arial" w:eastAsia="Arial" w:hAnsi="Arial"/>
          <w:sz w:val="18"/>
          <w:szCs w:val="18"/>
          <w:color w:val="auto"/>
        </w:rPr>
        <w:t>is the Officers Supplemental Executive Retirement Program. This plan provides a supplemental pension benefit for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officers.</w:t>
      </w:r>
    </w:p>
    <w:p>
      <w:pPr>
        <w:spacing w:after="0" w:line="112" w:lineRule="exact"/>
        <w:rPr>
          <w:rFonts w:ascii="Arial" w:cs="Arial" w:eastAsia="Arial" w:hAnsi="Arial"/>
          <w:sz w:val="22"/>
          <w:szCs w:val="22"/>
          <w:color w:val="00249C"/>
        </w:rPr>
      </w:pPr>
    </w:p>
    <w:p>
      <w:pPr>
        <w:ind w:left="340" w:right="520" w:hanging="332"/>
        <w:spacing w:after="0" w:line="237" w:lineRule="auto"/>
        <w:tabs>
          <w:tab w:leader="none" w:pos="308" w:val="left"/>
        </w:tabs>
        <w:numPr>
          <w:ilvl w:val="0"/>
          <w:numId w:val="74"/>
        </w:numPr>
        <w:rPr>
          <w:rFonts w:ascii="Arial" w:cs="Arial" w:eastAsia="Arial" w:hAnsi="Arial"/>
          <w:sz w:val="22"/>
          <w:szCs w:val="22"/>
          <w:color w:val="00249C"/>
        </w:rPr>
      </w:pPr>
      <w:r>
        <w:rPr>
          <w:rFonts w:ascii="Arial" w:cs="Arial" w:eastAsia="Arial" w:hAnsi="Arial"/>
          <w:sz w:val="18"/>
          <w:szCs w:val="18"/>
          <w:b w:val="1"/>
          <w:bCs w:val="1"/>
          <w:color w:val="auto"/>
        </w:rPr>
        <w:t xml:space="preserve">OSERP II </w:t>
      </w:r>
      <w:r>
        <w:rPr>
          <w:rFonts w:ascii="Arial" w:cs="Arial" w:eastAsia="Arial" w:hAnsi="Arial"/>
          <w:sz w:val="18"/>
          <w:szCs w:val="18"/>
          <w:color w:val="auto"/>
        </w:rPr>
        <w:t>is the Officers Supplemental Executive Retirement Program II. This plan provides a pension benefit for certain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w:t>
      </w:r>
    </w:p>
    <w:p>
      <w:pPr>
        <w:spacing w:after="0" w:line="112" w:lineRule="exact"/>
        <w:rPr>
          <w:rFonts w:ascii="Arial" w:cs="Arial" w:eastAsia="Arial" w:hAnsi="Arial"/>
          <w:sz w:val="22"/>
          <w:szCs w:val="22"/>
          <w:color w:val="00249C"/>
        </w:rPr>
      </w:pPr>
    </w:p>
    <w:p>
      <w:pPr>
        <w:ind w:left="340" w:right="880" w:hanging="332"/>
        <w:spacing w:after="0" w:line="237" w:lineRule="auto"/>
        <w:tabs>
          <w:tab w:leader="none" w:pos="308" w:val="left"/>
        </w:tabs>
        <w:numPr>
          <w:ilvl w:val="0"/>
          <w:numId w:val="74"/>
        </w:numPr>
        <w:rPr>
          <w:rFonts w:ascii="Arial" w:cs="Arial" w:eastAsia="Arial" w:hAnsi="Arial"/>
          <w:sz w:val="22"/>
          <w:szCs w:val="22"/>
          <w:color w:val="00249C"/>
        </w:rPr>
      </w:pPr>
      <w:r>
        <w:rPr>
          <w:rFonts w:ascii="Arial" w:cs="Arial" w:eastAsia="Arial" w:hAnsi="Arial"/>
          <w:sz w:val="18"/>
          <w:szCs w:val="18"/>
          <w:b w:val="1"/>
          <w:bCs w:val="1"/>
          <w:color w:val="auto"/>
        </w:rPr>
        <w:t xml:space="preserve">Pension Plan </w:t>
      </w:r>
      <w:r>
        <w:rPr>
          <w:rFonts w:ascii="Arial" w:cs="Arial" w:eastAsia="Arial" w:hAnsi="Arial"/>
          <w:sz w:val="18"/>
          <w:szCs w:val="18"/>
          <w:color w:val="auto"/>
        </w:rPr>
        <w:t>is the Northrop Grumman Pension Plan. This is a tax qualified pension plan covering a broad base of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w:t>
      </w:r>
    </w:p>
    <w:p>
      <w:pPr>
        <w:spacing w:after="0" w:line="99" w:lineRule="exact"/>
        <w:rPr>
          <w:rFonts w:ascii="Arial" w:cs="Arial" w:eastAsia="Arial" w:hAnsi="Arial"/>
          <w:sz w:val="22"/>
          <w:szCs w:val="22"/>
          <w:color w:val="00249C"/>
        </w:rPr>
      </w:pPr>
    </w:p>
    <w:p>
      <w:pPr>
        <w:ind w:left="340" w:right="320" w:hanging="332"/>
        <w:spacing w:after="0" w:line="237" w:lineRule="auto"/>
        <w:tabs>
          <w:tab w:leader="none" w:pos="308" w:val="left"/>
        </w:tabs>
        <w:numPr>
          <w:ilvl w:val="0"/>
          <w:numId w:val="74"/>
        </w:numPr>
        <w:rPr>
          <w:rFonts w:ascii="Arial" w:cs="Arial" w:eastAsia="Arial" w:hAnsi="Arial"/>
          <w:sz w:val="22"/>
          <w:szCs w:val="22"/>
          <w:color w:val="00249C"/>
        </w:rPr>
      </w:pPr>
      <w:r>
        <w:rPr>
          <w:rFonts w:ascii="Arial" w:cs="Arial" w:eastAsia="Arial" w:hAnsi="Arial"/>
          <w:sz w:val="18"/>
          <w:szCs w:val="18"/>
          <w:b w:val="1"/>
          <w:bCs w:val="1"/>
          <w:color w:val="auto"/>
        </w:rPr>
        <w:t xml:space="preserve">S&amp;MS Pension Plan </w:t>
      </w:r>
      <w:r>
        <w:rPr>
          <w:rFonts w:ascii="Arial" w:cs="Arial" w:eastAsia="Arial" w:hAnsi="Arial"/>
          <w:sz w:val="18"/>
          <w:szCs w:val="18"/>
          <w:color w:val="auto"/>
        </w:rPr>
        <w:t>is the Northrop Grumman Space &amp; Mission Systems Salaried Pension Plan. This is a tax qualified pension plan</w:t>
      </w:r>
      <w:r>
        <w:rPr>
          <w:rFonts w:ascii="Arial" w:cs="Arial" w:eastAsia="Arial" w:hAnsi="Arial"/>
          <w:sz w:val="18"/>
          <w:szCs w:val="18"/>
          <w:b w:val="1"/>
          <w:bCs w:val="1"/>
          <w:color w:val="auto"/>
        </w:rPr>
        <w:t xml:space="preserve"> </w:t>
      </w:r>
      <w:r>
        <w:rPr>
          <w:rFonts w:ascii="Arial" w:cs="Arial" w:eastAsia="Arial" w:hAnsi="Arial"/>
          <w:sz w:val="18"/>
          <w:szCs w:val="18"/>
          <w:color w:val="auto"/>
        </w:rPr>
        <w:t>covering a broad base of Company employees.</w:t>
      </w:r>
    </w:p>
    <w:p>
      <w:pPr>
        <w:spacing w:after="0" w:line="112" w:lineRule="exact"/>
        <w:rPr>
          <w:rFonts w:ascii="Arial" w:cs="Arial" w:eastAsia="Arial" w:hAnsi="Arial"/>
          <w:sz w:val="22"/>
          <w:szCs w:val="22"/>
          <w:color w:val="00249C"/>
        </w:rPr>
      </w:pPr>
    </w:p>
    <w:p>
      <w:pPr>
        <w:ind w:left="340" w:right="40" w:hanging="332"/>
        <w:spacing w:after="0" w:line="237" w:lineRule="auto"/>
        <w:tabs>
          <w:tab w:leader="none" w:pos="308" w:val="left"/>
        </w:tabs>
        <w:numPr>
          <w:ilvl w:val="0"/>
          <w:numId w:val="74"/>
        </w:numPr>
        <w:rPr>
          <w:rFonts w:ascii="Arial" w:cs="Arial" w:eastAsia="Arial" w:hAnsi="Arial"/>
          <w:sz w:val="22"/>
          <w:szCs w:val="22"/>
          <w:color w:val="00249C"/>
        </w:rPr>
      </w:pPr>
      <w:r>
        <w:rPr>
          <w:rFonts w:ascii="Arial" w:cs="Arial" w:eastAsia="Arial" w:hAnsi="Arial"/>
          <w:sz w:val="18"/>
          <w:szCs w:val="18"/>
          <w:b w:val="1"/>
          <w:bCs w:val="1"/>
          <w:color w:val="auto"/>
        </w:rPr>
        <w:t xml:space="preserve">SRIP </w:t>
      </w:r>
      <w:r>
        <w:rPr>
          <w:rFonts w:ascii="Arial" w:cs="Arial" w:eastAsia="Arial" w:hAnsi="Arial"/>
          <w:sz w:val="18"/>
          <w:szCs w:val="18"/>
          <w:color w:val="auto"/>
        </w:rPr>
        <w:t>is the Northrop Grumman Supplementary Retirement Income Plan. This plan makes participants whole for benefits they lose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S&amp;MS Pension Plan due to certain Internal Revenue Code limits.</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Pension Plan and S&amp;MS Pension Plan (Tax Qualified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Pension Plan (excluding NGIS P&amp;R Plan) and the S&amp;MS Pension Plan have heritage (non-cash balance) pension formulas (Heritage Formulas). These are described in detail in the Heritage Formulas table that follows. Prior to 2005, the Company transitioned the Heritage Formulas in these plans to a Cash Balance Formula. The Cash Balance Formula is a percentage of pay credited to a hypothetical account, which grows with interest. At retirement, the Cash Balance Account is converted to a monthly pension benefit (further information is included in the Cash Balance Formula section below). Except as provided below, the final benefit from each plan is the sum of the two formulas: the Heritage Formula benefit plus the Cash Balance Formula benefit.</w:t>
      </w:r>
    </w:p>
    <w:p>
      <w:pPr>
        <w:spacing w:after="0" w:line="86"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The NGIS P&amp;R Plan merged into the Pension Plan, effective January 1, 2020. Provisions and features of the NGIS P&amp;R Plan were preserved upon the merger. Thus, the provisions of the NGIS P&amp;R Plan in this section are noted separately from the Pension Plan. The NGIS P&amp;R Plan also transitioned to the Cash Balance formulas, details of which are noted in the Cash Balance Formulas section.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explains the formulas applicable to each NEO:</w:t>
      </w:r>
    </w:p>
    <w:p>
      <w:pPr>
        <w:spacing w:after="0" w:line="94" w:lineRule="exact"/>
        <w:rPr>
          <w:sz w:val="20"/>
          <w:szCs w:val="20"/>
          <w:color w:val="auto"/>
        </w:rPr>
      </w:pPr>
    </w:p>
    <w:p>
      <w:pPr>
        <w:ind w:left="300" w:hanging="292"/>
        <w:spacing w:after="0"/>
        <w:tabs>
          <w:tab w:leader="none" w:pos="300" w:val="left"/>
        </w:tabs>
        <w:numPr>
          <w:ilvl w:val="0"/>
          <w:numId w:val="75"/>
        </w:numPr>
        <w:rPr>
          <w:rFonts w:ascii="Arial" w:cs="Arial" w:eastAsia="Arial" w:hAnsi="Arial"/>
          <w:sz w:val="22"/>
          <w:szCs w:val="22"/>
          <w:color w:val="00249C"/>
        </w:rPr>
      </w:pPr>
      <w:r>
        <w:rPr>
          <w:rFonts w:ascii="Arial" w:cs="Arial" w:eastAsia="Arial" w:hAnsi="Arial"/>
          <w:sz w:val="18"/>
          <w:szCs w:val="18"/>
          <w:color w:val="auto"/>
        </w:rPr>
        <w:t>Mr. Caylor receives a benefit under a Heritage Formula and a Cash Balance Formula in the S&amp;MS Pension Plan.</w:t>
      </w:r>
    </w:p>
    <w:p>
      <w:pPr>
        <w:spacing w:after="0" w:line="98" w:lineRule="exact"/>
        <w:rPr>
          <w:rFonts w:ascii="Arial" w:cs="Arial" w:eastAsia="Arial" w:hAnsi="Arial"/>
          <w:sz w:val="22"/>
          <w:szCs w:val="22"/>
          <w:color w:val="00249C"/>
        </w:rPr>
      </w:pPr>
    </w:p>
    <w:p>
      <w:pPr>
        <w:ind w:left="300" w:hanging="292"/>
        <w:spacing w:after="0"/>
        <w:tabs>
          <w:tab w:leader="none" w:pos="300" w:val="left"/>
        </w:tabs>
        <w:numPr>
          <w:ilvl w:val="0"/>
          <w:numId w:val="75"/>
        </w:numPr>
        <w:rPr>
          <w:rFonts w:ascii="Arial" w:cs="Arial" w:eastAsia="Arial" w:hAnsi="Arial"/>
          <w:sz w:val="22"/>
          <w:szCs w:val="22"/>
          <w:color w:val="00249C"/>
        </w:rPr>
      </w:pPr>
      <w:r>
        <w:rPr>
          <w:rFonts w:ascii="Arial" w:cs="Arial" w:eastAsia="Arial" w:hAnsi="Arial"/>
          <w:sz w:val="18"/>
          <w:szCs w:val="18"/>
          <w:color w:val="auto"/>
        </w:rPr>
        <w:t>Mr. Pamiljans receives a benefit under a Heritage Formula and a Cash Balance Formula in the Pension Plan.</w:t>
      </w:r>
    </w:p>
    <w:p>
      <w:pPr>
        <w:spacing w:after="0" w:line="120" w:lineRule="exact"/>
        <w:rPr>
          <w:rFonts w:ascii="Arial" w:cs="Arial" w:eastAsia="Arial" w:hAnsi="Arial"/>
          <w:sz w:val="22"/>
          <w:szCs w:val="22"/>
          <w:color w:val="00249C"/>
        </w:rPr>
      </w:pPr>
    </w:p>
    <w:p>
      <w:pPr>
        <w:ind w:left="340" w:hanging="332"/>
        <w:spacing w:after="0" w:line="241" w:lineRule="auto"/>
        <w:tabs>
          <w:tab w:leader="none" w:pos="308" w:val="left"/>
        </w:tabs>
        <w:numPr>
          <w:ilvl w:val="0"/>
          <w:numId w:val="75"/>
        </w:numPr>
        <w:rPr>
          <w:rFonts w:ascii="Arial" w:cs="Arial" w:eastAsia="Arial" w:hAnsi="Arial"/>
          <w:sz w:val="22"/>
          <w:szCs w:val="22"/>
          <w:color w:val="00249C"/>
        </w:rPr>
      </w:pPr>
      <w:r>
        <w:rPr>
          <w:rFonts w:ascii="Arial" w:cs="Arial" w:eastAsia="Arial" w:hAnsi="Arial"/>
          <w:sz w:val="18"/>
          <w:szCs w:val="18"/>
          <w:color w:val="auto"/>
        </w:rPr>
        <w:t>Mr. Larson does not have a Heritage Formula benefit. He receives benefits from two distinct Cash Balance Formulas: the Old NGIS Cash Balance Formula which includes pay-based credits from April 1, 1992 through June 30, 2013 and the New NGIS Cash Balance Formula from July 1, 2013. The value of his pension benefit accrued prior to April 1, 1992 was converted to an opening balance in the Old NGIS Cash Balance Formula</w:t>
      </w:r>
      <w:r>
        <w:rPr>
          <w:rFonts w:ascii="Arial" w:cs="Arial" w:eastAsia="Arial" w:hAnsi="Arial"/>
          <w:sz w:val="18"/>
          <w:szCs w:val="18"/>
          <w:color w:val="00249C"/>
        </w:rPr>
        <w: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1200"/>
          </w:cols>
          <w:pgMar w:left="320" w:top="607" w:right="379" w:bottom="1440" w:gutter="0" w:footer="0" w:header="0"/>
        </w:sectPr>
      </w:pPr>
    </w:p>
    <w:bookmarkStart w:id="70" w:name="page71"/>
    <w:bookmarkEnd w:id="70"/>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5314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 xml:space="preserve">COMPENSATION TABLES | </w:t>
      </w:r>
      <w:r>
        <w:rPr>
          <w:rFonts w:ascii="Arial" w:cs="Arial" w:eastAsia="Arial" w:hAnsi="Arial"/>
          <w:sz w:val="17"/>
          <w:szCs w:val="17"/>
          <w:b w:val="1"/>
          <w:bCs w:val="1"/>
          <w:color w:val="FFFFFF"/>
        </w:rPr>
        <w:t>PENSION BENEFITS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Heritage Formulas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key features of the Heritage Formulas applicable to the eligible NEOs.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shd w:val="clear" w:color="auto" w:fill="00249C"/>
          </w:tcPr>
          <w:p>
            <w:pPr>
              <w:ind w:left="40"/>
              <w:spacing w:after="0"/>
              <w:rPr>
                <w:sz w:val="20"/>
                <w:szCs w:val="20"/>
                <w:color w:val="auto"/>
              </w:rPr>
            </w:pPr>
            <w:r>
              <w:rPr>
                <w:rFonts w:ascii="Arial" w:cs="Arial" w:eastAsia="Arial" w:hAnsi="Arial"/>
                <w:sz w:val="14"/>
                <w:szCs w:val="14"/>
                <w:b w:val="1"/>
                <w:bCs w:val="1"/>
                <w:color w:val="FFFFFF"/>
              </w:rPr>
              <w:t>Feature</w:t>
            </w:r>
          </w:p>
        </w:tc>
        <w:tc>
          <w:tcPr>
            <w:tcW w:w="388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Pension Plan (excluding NGIS P&amp;R Plan)</w:t>
            </w:r>
          </w:p>
        </w:tc>
        <w:tc>
          <w:tcPr>
            <w:tcW w:w="368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S&amp;MS Pension Plan</w:t>
            </w:r>
          </w:p>
        </w:tc>
        <w:tc>
          <w:tcPr>
            <w:tcW w:w="0" w:type="dxa"/>
            <w:vAlign w:val="bottom"/>
          </w:tcPr>
          <w:p>
            <w:pPr>
              <w:spacing w:after="0"/>
              <w:rPr>
                <w:sz w:val="1"/>
                <w:szCs w:val="1"/>
                <w:color w:val="auto"/>
              </w:rPr>
            </w:pPr>
          </w:p>
        </w:tc>
      </w:tr>
      <w:tr>
        <w:trPr>
          <w:trHeight w:val="153"/>
        </w:trPr>
        <w:tc>
          <w:tcPr>
            <w:tcW w:w="3660" w:type="dxa"/>
            <w:vAlign w:val="bottom"/>
            <w:shd w:val="clear" w:color="auto" w:fill="CCD4DB"/>
          </w:tcPr>
          <w:p>
            <w:pPr>
              <w:spacing w:after="0"/>
              <w:rPr>
                <w:sz w:val="13"/>
                <w:szCs w:val="13"/>
                <w:color w:val="auto"/>
              </w:rPr>
            </w:pPr>
          </w:p>
        </w:tc>
        <w:tc>
          <w:tcPr>
            <w:tcW w:w="388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Final Average Pay x 1.6667% times Pre-July 1, 2003</w:t>
            </w:r>
          </w:p>
        </w:tc>
        <w:tc>
          <w:tcPr>
            <w:tcW w:w="3680" w:type="dxa"/>
            <w:vAlign w:val="bottom"/>
            <w:shd w:val="clear" w:color="auto" w:fill="CCD4DB"/>
          </w:tcPr>
          <w:p>
            <w:pPr>
              <w:jc w:val="center"/>
              <w:spacing w:after="0" w:line="153" w:lineRule="exact"/>
              <w:rPr>
                <w:sz w:val="20"/>
                <w:szCs w:val="20"/>
                <w:color w:val="auto"/>
              </w:rPr>
            </w:pPr>
            <w:r>
              <w:rPr>
                <w:rFonts w:ascii="Arial" w:cs="Arial" w:eastAsia="Arial" w:hAnsi="Arial"/>
                <w:sz w:val="14"/>
                <w:szCs w:val="14"/>
                <w:color w:val="auto"/>
              </w:rPr>
              <w:t>(Final Average Pay x 1.5% minus Covered</w:t>
            </w:r>
          </w:p>
        </w:tc>
        <w:tc>
          <w:tcPr>
            <w:tcW w:w="0" w:type="dxa"/>
            <w:vAlign w:val="bottom"/>
          </w:tcPr>
          <w:p>
            <w:pPr>
              <w:spacing w:after="0"/>
              <w:rPr>
                <w:sz w:val="1"/>
                <w:szCs w:val="1"/>
                <w:color w:val="auto"/>
              </w:rPr>
            </w:pPr>
          </w:p>
        </w:tc>
      </w:tr>
      <w:tr>
        <w:trPr>
          <w:trHeight w:val="68"/>
        </w:trPr>
        <w:tc>
          <w:tcPr>
            <w:tcW w:w="3660" w:type="dxa"/>
            <w:vAlign w:val="bottom"/>
            <w:vMerge w:val="restart"/>
            <w:shd w:val="clear" w:color="auto" w:fill="CCD4DB"/>
          </w:tcPr>
          <w:p>
            <w:pPr>
              <w:ind w:left="20"/>
              <w:spacing w:after="0" w:line="135" w:lineRule="exact"/>
              <w:rPr>
                <w:sz w:val="20"/>
                <w:szCs w:val="20"/>
                <w:color w:val="auto"/>
              </w:rPr>
            </w:pPr>
            <w:r>
              <w:rPr>
                <w:rFonts w:ascii="Arial" w:cs="Arial" w:eastAsia="Arial" w:hAnsi="Arial"/>
                <w:sz w:val="14"/>
                <w:szCs w:val="14"/>
                <w:color w:val="auto"/>
              </w:rPr>
              <w:t>Benefit Formula</w:t>
            </w:r>
          </w:p>
        </w:tc>
        <w:tc>
          <w:tcPr>
            <w:tcW w:w="3880" w:type="dxa"/>
            <w:vAlign w:val="bottom"/>
            <w:vMerge w:val="continue"/>
            <w:shd w:val="clear" w:color="auto" w:fill="CCD4DB"/>
          </w:tcPr>
          <w:p>
            <w:pPr>
              <w:spacing w:after="0"/>
              <w:rPr>
                <w:sz w:val="5"/>
                <w:szCs w:val="5"/>
                <w:color w:val="auto"/>
              </w:rPr>
            </w:pPr>
          </w:p>
        </w:tc>
        <w:tc>
          <w:tcPr>
            <w:tcW w:w="3680" w:type="dxa"/>
            <w:vAlign w:val="bottom"/>
            <w:vMerge w:val="restart"/>
            <w:shd w:val="clear" w:color="auto" w:fill="CCD4DB"/>
          </w:tcPr>
          <w:p>
            <w:pPr>
              <w:jc w:val="center"/>
              <w:spacing w:after="0" w:line="135" w:lineRule="exact"/>
              <w:rPr>
                <w:sz w:val="20"/>
                <w:szCs w:val="20"/>
                <w:color w:val="auto"/>
              </w:rPr>
            </w:pPr>
            <w:r>
              <w:rPr>
                <w:rFonts w:ascii="Arial" w:cs="Arial" w:eastAsia="Arial" w:hAnsi="Arial"/>
                <w:sz w:val="14"/>
                <w:szCs w:val="14"/>
                <w:color w:val="auto"/>
              </w:rPr>
              <w:t>Compensation x 0.4%) times Pre-January 1, 2005</w:t>
            </w:r>
          </w:p>
        </w:tc>
        <w:tc>
          <w:tcPr>
            <w:tcW w:w="0" w:type="dxa"/>
            <w:vAlign w:val="bottom"/>
          </w:tcPr>
          <w:p>
            <w:pPr>
              <w:spacing w:after="0"/>
              <w:rPr>
                <w:sz w:val="1"/>
                <w:szCs w:val="1"/>
                <w:color w:val="auto"/>
              </w:rPr>
            </w:pPr>
          </w:p>
        </w:tc>
      </w:tr>
      <w:tr>
        <w:trPr>
          <w:trHeight w:val="68"/>
        </w:trPr>
        <w:tc>
          <w:tcPr>
            <w:tcW w:w="3660" w:type="dxa"/>
            <w:vAlign w:val="bottom"/>
            <w:vMerge w:val="continue"/>
            <w:shd w:val="clear" w:color="auto" w:fill="CCD4DB"/>
          </w:tcPr>
          <w:p>
            <w:pPr>
              <w:spacing w:after="0"/>
              <w:rPr>
                <w:sz w:val="5"/>
                <w:szCs w:val="5"/>
                <w:color w:val="auto"/>
              </w:rPr>
            </w:pPr>
          </w:p>
        </w:tc>
        <w:tc>
          <w:tcPr>
            <w:tcW w:w="388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service</w:t>
            </w:r>
          </w:p>
        </w:tc>
        <w:tc>
          <w:tcPr>
            <w:tcW w:w="3680" w:type="dxa"/>
            <w:vAlign w:val="bottom"/>
            <w:vMerge w:val="continue"/>
            <w:shd w:val="clear" w:color="auto" w:fill="CCD4DB"/>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3660" w:type="dxa"/>
            <w:vAlign w:val="bottom"/>
            <w:shd w:val="clear" w:color="auto" w:fill="CCD4DB"/>
          </w:tcPr>
          <w:p>
            <w:pPr>
              <w:spacing w:after="0"/>
              <w:rPr>
                <w:sz w:val="9"/>
                <w:szCs w:val="9"/>
                <w:color w:val="auto"/>
              </w:rPr>
            </w:pPr>
          </w:p>
        </w:tc>
        <w:tc>
          <w:tcPr>
            <w:tcW w:w="3880" w:type="dxa"/>
            <w:vAlign w:val="bottom"/>
            <w:vMerge w:val="continue"/>
            <w:shd w:val="clear" w:color="auto" w:fill="CCD4DB"/>
          </w:tcPr>
          <w:p>
            <w:pPr>
              <w:spacing w:after="0"/>
              <w:rPr>
                <w:sz w:val="9"/>
                <w:szCs w:val="9"/>
                <w:color w:val="auto"/>
              </w:rPr>
            </w:pPr>
          </w:p>
        </w:tc>
        <w:tc>
          <w:tcPr>
            <w:tcW w:w="368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service</w:t>
            </w:r>
          </w:p>
        </w:tc>
        <w:tc>
          <w:tcPr>
            <w:tcW w:w="0" w:type="dxa"/>
            <w:vAlign w:val="bottom"/>
          </w:tcPr>
          <w:p>
            <w:pPr>
              <w:spacing w:after="0"/>
              <w:rPr>
                <w:sz w:val="1"/>
                <w:szCs w:val="1"/>
                <w:color w:val="auto"/>
              </w:rPr>
            </w:pPr>
          </w:p>
        </w:tc>
      </w:tr>
      <w:tr>
        <w:trPr>
          <w:trHeight w:val="66"/>
        </w:trPr>
        <w:tc>
          <w:tcPr>
            <w:tcW w:w="3660" w:type="dxa"/>
            <w:vAlign w:val="bottom"/>
            <w:shd w:val="clear" w:color="auto" w:fill="CCD4DB"/>
          </w:tcPr>
          <w:p>
            <w:pPr>
              <w:spacing w:after="0"/>
              <w:rPr>
                <w:sz w:val="5"/>
                <w:szCs w:val="5"/>
                <w:color w:val="auto"/>
              </w:rPr>
            </w:pPr>
          </w:p>
        </w:tc>
        <w:tc>
          <w:tcPr>
            <w:tcW w:w="3880" w:type="dxa"/>
            <w:vAlign w:val="bottom"/>
            <w:shd w:val="clear" w:color="auto" w:fill="CCD4DB"/>
          </w:tcPr>
          <w:p>
            <w:pPr>
              <w:spacing w:after="0"/>
              <w:rPr>
                <w:sz w:val="5"/>
                <w:szCs w:val="5"/>
                <w:color w:val="auto"/>
              </w:rPr>
            </w:pPr>
          </w:p>
        </w:tc>
        <w:tc>
          <w:tcPr>
            <w:tcW w:w="3680" w:type="dxa"/>
            <w:vAlign w:val="bottom"/>
            <w:vMerge w:val="continue"/>
            <w:shd w:val="clear" w:color="auto" w:fill="CCD4DB"/>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3660" w:type="dxa"/>
            <w:vAlign w:val="bottom"/>
            <w:vMerge w:val="restart"/>
          </w:tcPr>
          <w:p>
            <w:pPr>
              <w:ind w:left="20"/>
              <w:spacing w:after="0"/>
              <w:rPr>
                <w:sz w:val="20"/>
                <w:szCs w:val="20"/>
                <w:color w:val="auto"/>
              </w:rPr>
            </w:pPr>
            <w:r>
              <w:rPr>
                <w:rFonts w:ascii="Arial" w:cs="Arial" w:eastAsia="Arial" w:hAnsi="Arial"/>
                <w:sz w:val="14"/>
                <w:szCs w:val="14"/>
                <w:color w:val="auto"/>
              </w:rPr>
              <w:t>Final Average Pay (1)</w:t>
            </w:r>
          </w:p>
        </w:tc>
        <w:tc>
          <w:tcPr>
            <w:tcW w:w="3880" w:type="dxa"/>
            <w:vAlign w:val="bottom"/>
            <w:vMerge w:val="restart"/>
          </w:tcPr>
          <w:p>
            <w:pPr>
              <w:jc w:val="center"/>
              <w:spacing w:after="0"/>
              <w:rPr>
                <w:sz w:val="20"/>
                <w:szCs w:val="20"/>
                <w:color w:val="auto"/>
              </w:rPr>
            </w:pPr>
            <w:r>
              <w:rPr>
                <w:rFonts w:ascii="Arial" w:cs="Arial" w:eastAsia="Arial" w:hAnsi="Arial"/>
                <w:sz w:val="14"/>
                <w:szCs w:val="14"/>
                <w:color w:val="auto"/>
              </w:rPr>
              <w:t>Average of highest 3 years of Eligible Pay</w:t>
            </w:r>
          </w:p>
        </w:tc>
        <w:tc>
          <w:tcPr>
            <w:tcW w:w="3680" w:type="dxa"/>
            <w:vAlign w:val="bottom"/>
          </w:tcPr>
          <w:p>
            <w:pPr>
              <w:jc w:val="center"/>
              <w:spacing w:after="0"/>
              <w:rPr>
                <w:sz w:val="20"/>
                <w:szCs w:val="20"/>
                <w:color w:val="auto"/>
              </w:rPr>
            </w:pPr>
            <w:r>
              <w:rPr>
                <w:rFonts w:ascii="Arial" w:cs="Arial" w:eastAsia="Arial" w:hAnsi="Arial"/>
                <w:sz w:val="14"/>
                <w:szCs w:val="14"/>
                <w:color w:val="auto"/>
              </w:rPr>
              <w:t>Average of the highest 5</w:t>
            </w:r>
          </w:p>
        </w:tc>
        <w:tc>
          <w:tcPr>
            <w:tcW w:w="0" w:type="dxa"/>
            <w:vAlign w:val="bottom"/>
          </w:tcPr>
          <w:p>
            <w:pPr>
              <w:spacing w:after="0"/>
              <w:rPr>
                <w:sz w:val="1"/>
                <w:szCs w:val="1"/>
                <w:color w:val="auto"/>
              </w:rPr>
            </w:pPr>
          </w:p>
        </w:tc>
      </w:tr>
      <w:tr>
        <w:trPr>
          <w:trHeight w:val="135"/>
        </w:trPr>
        <w:tc>
          <w:tcPr>
            <w:tcW w:w="3660" w:type="dxa"/>
            <w:vAlign w:val="bottom"/>
            <w:vMerge w:val="continue"/>
          </w:tcPr>
          <w:p>
            <w:pPr>
              <w:spacing w:after="0"/>
              <w:rPr>
                <w:sz w:val="11"/>
                <w:szCs w:val="11"/>
                <w:color w:val="auto"/>
              </w:rPr>
            </w:pPr>
          </w:p>
        </w:tc>
        <w:tc>
          <w:tcPr>
            <w:tcW w:w="3880" w:type="dxa"/>
            <w:vAlign w:val="bottom"/>
            <w:vMerge w:val="continue"/>
          </w:tcPr>
          <w:p>
            <w:pPr>
              <w:spacing w:after="0"/>
              <w:rPr>
                <w:sz w:val="11"/>
                <w:szCs w:val="11"/>
                <w:color w:val="auto"/>
              </w:rPr>
            </w:pPr>
          </w:p>
        </w:tc>
        <w:tc>
          <w:tcPr>
            <w:tcW w:w="3680" w:type="dxa"/>
            <w:vAlign w:val="bottom"/>
          </w:tcPr>
          <w:p>
            <w:pPr>
              <w:jc w:val="center"/>
              <w:spacing w:after="0" w:line="135" w:lineRule="exact"/>
              <w:rPr>
                <w:sz w:val="20"/>
                <w:szCs w:val="20"/>
                <w:color w:val="auto"/>
              </w:rPr>
            </w:pPr>
            <w:r>
              <w:rPr>
                <w:rFonts w:ascii="Arial" w:cs="Arial" w:eastAsia="Arial" w:hAnsi="Arial"/>
                <w:sz w:val="14"/>
                <w:szCs w:val="14"/>
                <w:color w:val="auto"/>
              </w:rPr>
              <w:t>consecutive years of Eligible Pay; Covered</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680" w:type="dxa"/>
            <w:vAlign w:val="bottom"/>
          </w:tcPr>
          <w:p>
            <w:pPr>
              <w:jc w:val="center"/>
              <w:spacing w:after="0"/>
              <w:rPr>
                <w:sz w:val="20"/>
                <w:szCs w:val="20"/>
                <w:color w:val="auto"/>
              </w:rPr>
            </w:pPr>
            <w:r>
              <w:rPr>
                <w:rFonts w:ascii="Arial" w:cs="Arial" w:eastAsia="Arial" w:hAnsi="Arial"/>
                <w:sz w:val="14"/>
                <w:szCs w:val="14"/>
                <w:color w:val="auto"/>
              </w:rPr>
              <w:t>Compensation is specified by the IRS</w:t>
            </w:r>
          </w:p>
        </w:tc>
        <w:tc>
          <w:tcPr>
            <w:tcW w:w="0" w:type="dxa"/>
            <w:vAlign w:val="bottom"/>
          </w:tcPr>
          <w:p>
            <w:pPr>
              <w:spacing w:after="0"/>
              <w:rPr>
                <w:sz w:val="1"/>
                <w:szCs w:val="1"/>
                <w:color w:val="auto"/>
              </w:rPr>
            </w:pPr>
          </w:p>
        </w:tc>
      </w:tr>
      <w:tr>
        <w:trPr>
          <w:trHeight w:val="167"/>
        </w:trPr>
        <w:tc>
          <w:tcPr>
            <w:tcW w:w="3660" w:type="dxa"/>
            <w:vAlign w:val="bottom"/>
            <w:shd w:val="clear" w:color="auto" w:fill="CCD4DB"/>
          </w:tcPr>
          <w:p>
            <w:pPr>
              <w:ind w:left="20"/>
              <w:spacing w:after="0"/>
              <w:rPr>
                <w:sz w:val="20"/>
                <w:szCs w:val="20"/>
                <w:color w:val="auto"/>
              </w:rPr>
            </w:pPr>
            <w:r>
              <w:rPr>
                <w:rFonts w:ascii="Arial" w:cs="Arial" w:eastAsia="Arial" w:hAnsi="Arial"/>
                <w:sz w:val="14"/>
                <w:szCs w:val="14"/>
                <w:color w:val="auto"/>
              </w:rPr>
              <w:t>Eligible Pay (limited by Internal Revenue Code section</w:t>
            </w:r>
          </w:p>
        </w:tc>
        <w:tc>
          <w:tcPr>
            <w:tcW w:w="388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Salary plus bonus</w:t>
            </w:r>
          </w:p>
        </w:tc>
        <w:tc>
          <w:tcPr>
            <w:tcW w:w="368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Salary plus bonus</w:t>
            </w:r>
          </w:p>
        </w:tc>
        <w:tc>
          <w:tcPr>
            <w:tcW w:w="0" w:type="dxa"/>
            <w:vAlign w:val="bottom"/>
          </w:tcPr>
          <w:p>
            <w:pPr>
              <w:spacing w:after="0"/>
              <w:rPr>
                <w:sz w:val="1"/>
                <w:szCs w:val="1"/>
                <w:color w:val="auto"/>
              </w:rPr>
            </w:pPr>
          </w:p>
        </w:tc>
      </w:tr>
      <w:tr>
        <w:trPr>
          <w:trHeight w:val="105"/>
        </w:trPr>
        <w:tc>
          <w:tcPr>
            <w:tcW w:w="3660" w:type="dxa"/>
            <w:vAlign w:val="bottom"/>
            <w:vMerge w:val="restart"/>
            <w:shd w:val="clear" w:color="auto" w:fill="CCD4DB"/>
          </w:tcPr>
          <w:p>
            <w:pPr>
              <w:ind w:left="20"/>
              <w:spacing w:after="0"/>
              <w:rPr>
                <w:sz w:val="20"/>
                <w:szCs w:val="20"/>
                <w:color w:val="auto"/>
              </w:rPr>
            </w:pPr>
            <w:r>
              <w:rPr>
                <w:rFonts w:ascii="Arial" w:cs="Arial" w:eastAsia="Arial" w:hAnsi="Arial"/>
                <w:sz w:val="14"/>
                <w:szCs w:val="14"/>
                <w:color w:val="auto"/>
              </w:rPr>
              <w:t>401(a)(17))</w:t>
            </w:r>
          </w:p>
        </w:tc>
        <w:tc>
          <w:tcPr>
            <w:tcW w:w="3880" w:type="dxa"/>
            <w:vAlign w:val="bottom"/>
            <w:vMerge w:val="continue"/>
            <w:shd w:val="clear" w:color="auto" w:fill="CCD4DB"/>
          </w:tcPr>
          <w:p>
            <w:pPr>
              <w:spacing w:after="0"/>
              <w:rPr>
                <w:sz w:val="9"/>
                <w:szCs w:val="9"/>
                <w:color w:val="auto"/>
              </w:rPr>
            </w:pPr>
          </w:p>
        </w:tc>
        <w:tc>
          <w:tcPr>
            <w:tcW w:w="3680" w:type="dxa"/>
            <w:vAlign w:val="bottom"/>
            <w:vMerge w:val="continue"/>
            <w:shd w:val="clear" w:color="auto" w:fill="CCD4DB"/>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3660" w:type="dxa"/>
            <w:vAlign w:val="bottom"/>
            <w:vMerge w:val="continue"/>
            <w:shd w:val="clear" w:color="auto" w:fill="CCD4DB"/>
          </w:tcPr>
          <w:p>
            <w:pPr>
              <w:spacing w:after="0"/>
              <w:rPr>
                <w:sz w:val="5"/>
                <w:szCs w:val="5"/>
                <w:color w:val="auto"/>
              </w:rPr>
            </w:pPr>
          </w:p>
        </w:tc>
        <w:tc>
          <w:tcPr>
            <w:tcW w:w="3880" w:type="dxa"/>
            <w:vAlign w:val="bottom"/>
            <w:shd w:val="clear" w:color="auto" w:fill="CCD4DB"/>
          </w:tcPr>
          <w:p>
            <w:pPr>
              <w:spacing w:after="0"/>
              <w:rPr>
                <w:sz w:val="5"/>
                <w:szCs w:val="5"/>
                <w:color w:val="auto"/>
              </w:rPr>
            </w:pPr>
          </w:p>
        </w:tc>
        <w:tc>
          <w:tcPr>
            <w:tcW w:w="3680" w:type="dxa"/>
            <w:vAlign w:val="bottom"/>
            <w:shd w:val="clear" w:color="auto" w:fill="CCD4DB"/>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20"/>
              <w:spacing w:after="0"/>
              <w:rPr>
                <w:sz w:val="20"/>
                <w:szCs w:val="20"/>
                <w:color w:val="auto"/>
              </w:rPr>
            </w:pPr>
            <w:r>
              <w:rPr>
                <w:rFonts w:ascii="Arial" w:cs="Arial" w:eastAsia="Arial" w:hAnsi="Arial"/>
                <w:sz w:val="14"/>
                <w:szCs w:val="14"/>
                <w:color w:val="auto"/>
              </w:rPr>
              <w:t>Normal Retirement</w:t>
            </w:r>
          </w:p>
        </w:tc>
        <w:tc>
          <w:tcPr>
            <w:tcW w:w="3880" w:type="dxa"/>
            <w:vAlign w:val="bottom"/>
          </w:tcPr>
          <w:p>
            <w:pPr>
              <w:jc w:val="center"/>
              <w:spacing w:after="0"/>
              <w:rPr>
                <w:sz w:val="20"/>
                <w:szCs w:val="20"/>
                <w:color w:val="auto"/>
              </w:rPr>
            </w:pPr>
            <w:r>
              <w:rPr>
                <w:rFonts w:ascii="Arial" w:cs="Arial" w:eastAsia="Arial" w:hAnsi="Arial"/>
                <w:sz w:val="14"/>
                <w:szCs w:val="14"/>
                <w:color w:val="auto"/>
              </w:rPr>
              <w:t>Age 65</w:t>
            </w:r>
          </w:p>
        </w:tc>
        <w:tc>
          <w:tcPr>
            <w:tcW w:w="3680" w:type="dxa"/>
            <w:vAlign w:val="bottom"/>
          </w:tcPr>
          <w:p>
            <w:pPr>
              <w:jc w:val="center"/>
              <w:spacing w:after="0"/>
              <w:rPr>
                <w:sz w:val="20"/>
                <w:szCs w:val="20"/>
                <w:color w:val="auto"/>
              </w:rPr>
            </w:pPr>
            <w:r>
              <w:rPr>
                <w:rFonts w:ascii="Arial" w:cs="Arial" w:eastAsia="Arial" w:hAnsi="Arial"/>
                <w:sz w:val="14"/>
                <w:szCs w:val="14"/>
                <w:color w:val="auto"/>
              </w:rPr>
              <w:t>Age 65</w:t>
            </w:r>
          </w:p>
        </w:tc>
        <w:tc>
          <w:tcPr>
            <w:tcW w:w="0" w:type="dxa"/>
            <w:vAlign w:val="bottom"/>
          </w:tcPr>
          <w:p>
            <w:pPr>
              <w:spacing w:after="0"/>
              <w:rPr>
                <w:sz w:val="1"/>
                <w:szCs w:val="1"/>
                <w:color w:val="auto"/>
              </w:rPr>
            </w:pPr>
          </w:p>
        </w:tc>
      </w:tr>
      <w:tr>
        <w:trPr>
          <w:trHeight w:val="203"/>
        </w:trPr>
        <w:tc>
          <w:tcPr>
            <w:tcW w:w="3660" w:type="dxa"/>
            <w:vAlign w:val="bottom"/>
            <w:shd w:val="clear" w:color="auto" w:fill="CCD4DB"/>
          </w:tcPr>
          <w:p>
            <w:pPr>
              <w:ind w:left="20"/>
              <w:spacing w:after="0"/>
              <w:rPr>
                <w:sz w:val="20"/>
                <w:szCs w:val="20"/>
                <w:color w:val="auto"/>
              </w:rPr>
            </w:pPr>
            <w:r>
              <w:rPr>
                <w:rFonts w:ascii="Arial" w:cs="Arial" w:eastAsia="Arial" w:hAnsi="Arial"/>
                <w:sz w:val="14"/>
                <w:szCs w:val="14"/>
                <w:color w:val="auto"/>
              </w:rPr>
              <w:t>Early Retirement</w:t>
            </w:r>
          </w:p>
        </w:tc>
        <w:tc>
          <w:tcPr>
            <w:tcW w:w="388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Age 55 with 10 years of service</w:t>
            </w:r>
          </w:p>
        </w:tc>
        <w:tc>
          <w:tcPr>
            <w:tcW w:w="368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Age 55 with 10 years of service</w:t>
            </w:r>
          </w:p>
        </w:tc>
        <w:tc>
          <w:tcPr>
            <w:tcW w:w="0" w:type="dxa"/>
            <w:vAlign w:val="bottom"/>
          </w:tcPr>
          <w:p>
            <w:pPr>
              <w:spacing w:after="0"/>
              <w:rPr>
                <w:sz w:val="1"/>
                <w:szCs w:val="1"/>
                <w:color w:val="auto"/>
              </w:rPr>
            </w:pPr>
          </w:p>
        </w:tc>
      </w:tr>
      <w:tr>
        <w:trPr>
          <w:trHeight w:val="167"/>
        </w:trPr>
        <w:tc>
          <w:tcPr>
            <w:tcW w:w="3660" w:type="dxa"/>
            <w:vAlign w:val="bottom"/>
          </w:tcPr>
          <w:p>
            <w:pPr>
              <w:ind w:left="20"/>
              <w:spacing w:after="0"/>
              <w:rPr>
                <w:sz w:val="20"/>
                <w:szCs w:val="20"/>
                <w:color w:val="auto"/>
              </w:rPr>
            </w:pPr>
            <w:r>
              <w:rPr>
                <w:rFonts w:ascii="Arial" w:cs="Arial" w:eastAsia="Arial" w:hAnsi="Arial"/>
                <w:sz w:val="14"/>
                <w:szCs w:val="14"/>
                <w:color w:val="auto"/>
              </w:rPr>
              <w:t>Early Retirement Reduction (for retirements occurring</w:t>
            </w:r>
          </w:p>
        </w:tc>
        <w:tc>
          <w:tcPr>
            <w:tcW w:w="3880" w:type="dxa"/>
            <w:vAlign w:val="bottom"/>
          </w:tcPr>
          <w:p>
            <w:pPr>
              <w:jc w:val="center"/>
              <w:spacing w:after="0"/>
              <w:rPr>
                <w:sz w:val="20"/>
                <w:szCs w:val="20"/>
                <w:color w:val="auto"/>
              </w:rPr>
            </w:pPr>
            <w:r>
              <w:rPr>
                <w:rFonts w:ascii="Arial" w:cs="Arial" w:eastAsia="Arial" w:hAnsi="Arial"/>
                <w:sz w:val="14"/>
                <w:szCs w:val="14"/>
                <w:color w:val="auto"/>
              </w:rPr>
              <w:t>Benefits are reduced for commencement prior to the</w:t>
            </w:r>
          </w:p>
        </w:tc>
        <w:tc>
          <w:tcPr>
            <w:tcW w:w="3680" w:type="dxa"/>
            <w:vAlign w:val="bottom"/>
          </w:tcPr>
          <w:p>
            <w:pPr>
              <w:jc w:val="center"/>
              <w:spacing w:after="0"/>
              <w:rPr>
                <w:sz w:val="20"/>
                <w:szCs w:val="20"/>
                <w:color w:val="auto"/>
              </w:rPr>
            </w:pPr>
            <w:r>
              <w:rPr>
                <w:rFonts w:ascii="Arial" w:cs="Arial" w:eastAsia="Arial" w:hAnsi="Arial"/>
                <w:sz w:val="14"/>
                <w:szCs w:val="14"/>
                <w:color w:val="auto"/>
              </w:rPr>
              <w:t>Benefits are reduced for</w:t>
            </w:r>
          </w:p>
        </w:tc>
        <w:tc>
          <w:tcPr>
            <w:tcW w:w="0" w:type="dxa"/>
            <w:vAlign w:val="bottom"/>
          </w:tcPr>
          <w:p>
            <w:pPr>
              <w:spacing w:after="0"/>
              <w:rPr>
                <w:sz w:val="1"/>
                <w:szCs w:val="1"/>
                <w:color w:val="auto"/>
              </w:rPr>
            </w:pPr>
          </w:p>
        </w:tc>
      </w:tr>
      <w:tr>
        <w:trPr>
          <w:trHeight w:val="171"/>
        </w:trPr>
        <w:tc>
          <w:tcPr>
            <w:tcW w:w="3660" w:type="dxa"/>
            <w:vAlign w:val="bottom"/>
            <w:tcBorders>
              <w:bottom w:val="single" w:sz="8" w:color="00249C"/>
            </w:tcBorders>
          </w:tcPr>
          <w:p>
            <w:pPr>
              <w:ind w:left="20"/>
              <w:spacing w:after="0"/>
              <w:rPr>
                <w:sz w:val="20"/>
                <w:szCs w:val="20"/>
                <w:color w:val="auto"/>
              </w:rPr>
            </w:pPr>
            <w:r>
              <w:rPr>
                <w:rFonts w:ascii="Arial" w:cs="Arial" w:eastAsia="Arial" w:hAnsi="Arial"/>
                <w:sz w:val="14"/>
                <w:szCs w:val="14"/>
                <w:color w:val="auto"/>
              </w:rPr>
              <w:t>between Early Retirement and Normal Retirement)</w:t>
            </w:r>
          </w:p>
        </w:tc>
        <w:tc>
          <w:tcPr>
            <w:tcW w:w="3880" w:type="dxa"/>
            <w:vAlign w:val="bottom"/>
            <w:tcBorders>
              <w:bottom w:val="single" w:sz="8" w:color="00249C"/>
            </w:tcBorders>
          </w:tcPr>
          <w:p>
            <w:pPr>
              <w:jc w:val="center"/>
              <w:spacing w:after="0"/>
              <w:rPr>
                <w:sz w:val="20"/>
                <w:szCs w:val="20"/>
                <w:color w:val="auto"/>
              </w:rPr>
            </w:pPr>
            <w:r>
              <w:rPr>
                <w:rFonts w:ascii="Arial" w:cs="Arial" w:eastAsia="Arial" w:hAnsi="Arial"/>
                <w:sz w:val="14"/>
                <w:szCs w:val="14"/>
                <w:color w:val="auto"/>
              </w:rPr>
              <w:t>earlier of age 65 and 85 points (age + service)</w:t>
            </w:r>
          </w:p>
        </w:tc>
        <w:tc>
          <w:tcPr>
            <w:tcW w:w="3680" w:type="dxa"/>
            <w:vAlign w:val="bottom"/>
            <w:tcBorders>
              <w:bottom w:val="single" w:sz="8" w:color="00249C"/>
            </w:tcBorders>
          </w:tcPr>
          <w:p>
            <w:pPr>
              <w:jc w:val="center"/>
              <w:spacing w:after="0"/>
              <w:rPr>
                <w:sz w:val="20"/>
                <w:szCs w:val="20"/>
                <w:color w:val="auto"/>
              </w:rPr>
            </w:pPr>
            <w:r>
              <w:rPr>
                <w:rFonts w:ascii="Arial" w:cs="Arial" w:eastAsia="Arial" w:hAnsi="Arial"/>
                <w:sz w:val="14"/>
                <w:szCs w:val="14"/>
                <w:color w:val="auto"/>
              </w:rPr>
              <w:t>commencement prior to age 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-479425</wp:posOffset>
            </wp:positionV>
            <wp:extent cx="7115175" cy="1371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-993775</wp:posOffset>
            </wp:positionV>
            <wp:extent cx="7115175" cy="3086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15175" cy="30861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(1) Final average pay was frozen for the Pension Plan and the S&amp;MS Pension Plan as of December 31, 2014.</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Cash Balance Formulas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Cash Balance Formula in the Pension Plan (excluding NGIS P&amp;R Plan) and the S&amp;MS Pension Plan is a hypothetical account balance consisting of pay credits plus interest. It has the following features:</w:t>
      </w:r>
    </w:p>
    <w:p>
      <w:pPr>
        <w:spacing w:after="0" w:line="117" w:lineRule="exact"/>
        <w:rPr>
          <w:sz w:val="20"/>
          <w:szCs w:val="20"/>
          <w:color w:val="auto"/>
        </w:rPr>
      </w:pPr>
    </w:p>
    <w:p>
      <w:pPr>
        <w:ind w:left="340" w:right="100" w:hanging="332"/>
        <w:spacing w:after="0" w:line="225" w:lineRule="auto"/>
        <w:tabs>
          <w:tab w:leader="none" w:pos="308" w:val="left"/>
        </w:tabs>
        <w:numPr>
          <w:ilvl w:val="0"/>
          <w:numId w:val="76"/>
        </w:numPr>
        <w:rPr>
          <w:rFonts w:ascii="Arial" w:cs="Arial" w:eastAsia="Arial" w:hAnsi="Arial"/>
          <w:sz w:val="22"/>
          <w:szCs w:val="22"/>
          <w:color w:val="00249C"/>
        </w:rPr>
      </w:pPr>
      <w:r>
        <w:rPr>
          <w:rFonts w:ascii="Arial" w:cs="Arial" w:eastAsia="Arial" w:hAnsi="Arial"/>
          <w:sz w:val="18"/>
          <w:szCs w:val="18"/>
          <w:color w:val="auto"/>
        </w:rPr>
        <w:t>Pay credits are a percentage of pay that vary based on an employee's "points" (age plus service) and are credited monthly. The range of percentages applicable to the NEOs on December 31, 2020 was 5.5% – 9.0%.</w:t>
      </w:r>
    </w:p>
    <w:p>
      <w:pPr>
        <w:spacing w:after="0" w:line="122" w:lineRule="exact"/>
        <w:rPr>
          <w:rFonts w:ascii="Arial" w:cs="Arial" w:eastAsia="Arial" w:hAnsi="Arial"/>
          <w:sz w:val="22"/>
          <w:szCs w:val="22"/>
          <w:color w:val="00249C"/>
        </w:rPr>
      </w:pPr>
    </w:p>
    <w:p>
      <w:pPr>
        <w:ind w:left="340" w:right="200" w:hanging="332"/>
        <w:spacing w:after="0" w:line="225" w:lineRule="auto"/>
        <w:tabs>
          <w:tab w:leader="none" w:pos="308" w:val="left"/>
        </w:tabs>
        <w:numPr>
          <w:ilvl w:val="0"/>
          <w:numId w:val="76"/>
        </w:numPr>
        <w:rPr>
          <w:rFonts w:ascii="Arial" w:cs="Arial" w:eastAsia="Arial" w:hAnsi="Arial"/>
          <w:sz w:val="22"/>
          <w:szCs w:val="22"/>
          <w:color w:val="00249C"/>
        </w:rPr>
      </w:pPr>
      <w:r>
        <w:rPr>
          <w:rFonts w:ascii="Arial" w:cs="Arial" w:eastAsia="Arial" w:hAnsi="Arial"/>
          <w:sz w:val="18"/>
          <w:szCs w:val="18"/>
          <w:color w:val="auto"/>
        </w:rPr>
        <w:t>Interest is credited at the 30-year U.S. Treasury bond rate subject to a minimum annual interest rate of 2.25%. The December 31, 2020 interest credit rate was 2.25%.</w:t>
      </w:r>
    </w:p>
    <w:p>
      <w:pPr>
        <w:spacing w:after="0" w:line="99" w:lineRule="exact"/>
        <w:rPr>
          <w:rFonts w:ascii="Arial" w:cs="Arial" w:eastAsia="Arial" w:hAnsi="Arial"/>
          <w:sz w:val="22"/>
          <w:szCs w:val="22"/>
          <w:color w:val="00249C"/>
        </w:rPr>
      </w:pPr>
    </w:p>
    <w:p>
      <w:pPr>
        <w:ind w:left="300" w:hanging="292"/>
        <w:spacing w:after="0"/>
        <w:tabs>
          <w:tab w:leader="none" w:pos="300" w:val="left"/>
        </w:tabs>
        <w:numPr>
          <w:ilvl w:val="0"/>
          <w:numId w:val="76"/>
        </w:numPr>
        <w:rPr>
          <w:rFonts w:ascii="Arial" w:cs="Arial" w:eastAsia="Arial" w:hAnsi="Arial"/>
          <w:sz w:val="22"/>
          <w:szCs w:val="22"/>
          <w:color w:val="00249C"/>
        </w:rPr>
      </w:pPr>
      <w:r>
        <w:rPr>
          <w:rFonts w:ascii="Arial" w:cs="Arial" w:eastAsia="Arial" w:hAnsi="Arial"/>
          <w:sz w:val="18"/>
          <w:szCs w:val="18"/>
          <w:color w:val="auto"/>
        </w:rPr>
        <w:t>Eligible pay is salary plus bonus, as limited by Internal Revenue Code section 401(a)(17).</w:t>
      </w:r>
    </w:p>
    <w:p>
      <w:pPr>
        <w:spacing w:after="0" w:line="134" w:lineRule="exact"/>
        <w:rPr>
          <w:rFonts w:ascii="Arial" w:cs="Arial" w:eastAsia="Arial" w:hAnsi="Arial"/>
          <w:sz w:val="22"/>
          <w:szCs w:val="22"/>
          <w:color w:val="00249C"/>
        </w:rPr>
      </w:pPr>
    </w:p>
    <w:p>
      <w:pPr>
        <w:ind w:left="340" w:right="880" w:hanging="332"/>
        <w:spacing w:after="0" w:line="225" w:lineRule="auto"/>
        <w:tabs>
          <w:tab w:leader="none" w:pos="308" w:val="left"/>
        </w:tabs>
        <w:numPr>
          <w:ilvl w:val="0"/>
          <w:numId w:val="76"/>
        </w:numPr>
        <w:rPr>
          <w:rFonts w:ascii="Arial" w:cs="Arial" w:eastAsia="Arial" w:hAnsi="Arial"/>
          <w:sz w:val="22"/>
          <w:szCs w:val="22"/>
          <w:color w:val="00249C"/>
        </w:rPr>
      </w:pPr>
      <w:r>
        <w:rPr>
          <w:rFonts w:ascii="Arial" w:cs="Arial" w:eastAsia="Arial" w:hAnsi="Arial"/>
          <w:sz w:val="18"/>
          <w:szCs w:val="18"/>
          <w:color w:val="auto"/>
        </w:rPr>
        <w:t>Eligibility for early retirement occurs at age 55 with 10 years of service. Benefits may be reduced if commenced prior to Normal Retirement Age (65).</w:t>
      </w:r>
    </w:p>
    <w:p>
      <w:pPr>
        <w:spacing w:after="0" w:line="8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NGIS P&amp;R Plan Cash Balance Formulas are also hypothetical account balances consisting of pay credits plus interest. The features of the Old and New NGIS Cash Balance Formulas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Old NGIS Cash Balance Formula (pay credits ceased on June 30, 2013)</w:t>
      </w:r>
    </w:p>
    <w:p>
      <w:pPr>
        <w:spacing w:after="0" w:line="144" w:lineRule="exact"/>
        <w:rPr>
          <w:sz w:val="20"/>
          <w:szCs w:val="20"/>
          <w:color w:val="auto"/>
        </w:rPr>
      </w:pPr>
    </w:p>
    <w:p>
      <w:pPr>
        <w:jc w:val="both"/>
        <w:ind w:left="340" w:right="20" w:hanging="332"/>
        <w:spacing w:after="0" w:line="233" w:lineRule="auto"/>
        <w:tabs>
          <w:tab w:leader="none" w:pos="308" w:val="left"/>
        </w:tabs>
        <w:numPr>
          <w:ilvl w:val="0"/>
          <w:numId w:val="77"/>
        </w:numPr>
        <w:rPr>
          <w:rFonts w:ascii="Arial" w:cs="Arial" w:eastAsia="Arial" w:hAnsi="Arial"/>
          <w:sz w:val="22"/>
          <w:szCs w:val="22"/>
          <w:color w:val="00249C"/>
        </w:rPr>
      </w:pPr>
      <w:r>
        <w:rPr>
          <w:rFonts w:ascii="Arial" w:cs="Arial" w:eastAsia="Arial" w:hAnsi="Arial"/>
          <w:sz w:val="18"/>
          <w:szCs w:val="18"/>
          <w:color w:val="auto"/>
        </w:rPr>
        <w:t>Pay credits are a percentage of pay that vary based on an employee's service. Due to Mr. Larson's service of more than 25 years at June 30, 2013, he was receiving 8.5% of pensionable earnings and an additional 5.5% of earnings in excess of the Social Security Wage Base at that time.</w:t>
      </w:r>
    </w:p>
    <w:p>
      <w:pPr>
        <w:spacing w:after="0" w:line="135" w:lineRule="exact"/>
        <w:rPr>
          <w:rFonts w:ascii="Arial" w:cs="Arial" w:eastAsia="Arial" w:hAnsi="Arial"/>
          <w:sz w:val="22"/>
          <w:szCs w:val="22"/>
          <w:color w:val="00249C"/>
        </w:rPr>
      </w:pPr>
    </w:p>
    <w:p>
      <w:pPr>
        <w:ind w:left="340" w:right="20" w:hanging="332"/>
        <w:spacing w:after="0" w:line="237" w:lineRule="auto"/>
        <w:tabs>
          <w:tab w:leader="none" w:pos="308" w:val="left"/>
        </w:tabs>
        <w:numPr>
          <w:ilvl w:val="0"/>
          <w:numId w:val="77"/>
        </w:numPr>
        <w:rPr>
          <w:rFonts w:ascii="Arial" w:cs="Arial" w:eastAsia="Arial" w:hAnsi="Arial"/>
          <w:sz w:val="22"/>
          <w:szCs w:val="22"/>
          <w:color w:val="00249C"/>
        </w:rPr>
      </w:pPr>
      <w:r>
        <w:rPr>
          <w:rFonts w:ascii="Arial" w:cs="Arial" w:eastAsia="Arial" w:hAnsi="Arial"/>
          <w:sz w:val="18"/>
          <w:szCs w:val="18"/>
          <w:color w:val="auto"/>
        </w:rPr>
        <w:t>Interest is credited at one-twelfth of the average of the one-year Treasury Constant Maturities during the 12 months ending September 30 of the prior calendar year. The minimum annual interest crediting rate is 3.06%. After June 30, 2013, interest credits continue to apply to this benefit. The post-2020 interest credit rate is assumed to be 3.5% (this is consistent with the valuation of the Old NGIS Cash Balance benefit in the Company's financial statements).</w:t>
      </w:r>
    </w:p>
    <w:p>
      <w:pPr>
        <w:spacing w:after="0" w:line="86" w:lineRule="exact"/>
        <w:rPr>
          <w:rFonts w:ascii="Arial" w:cs="Arial" w:eastAsia="Arial" w:hAnsi="Arial"/>
          <w:sz w:val="22"/>
          <w:szCs w:val="22"/>
          <w:color w:val="00249C"/>
        </w:rPr>
      </w:pPr>
    </w:p>
    <w:p>
      <w:pPr>
        <w:ind w:left="300" w:hanging="292"/>
        <w:spacing w:after="0"/>
        <w:tabs>
          <w:tab w:leader="none" w:pos="300" w:val="left"/>
        </w:tabs>
        <w:numPr>
          <w:ilvl w:val="0"/>
          <w:numId w:val="77"/>
        </w:numPr>
        <w:rPr>
          <w:rFonts w:ascii="Arial" w:cs="Arial" w:eastAsia="Arial" w:hAnsi="Arial"/>
          <w:sz w:val="22"/>
          <w:szCs w:val="22"/>
          <w:color w:val="00249C"/>
        </w:rPr>
      </w:pPr>
      <w:r>
        <w:rPr>
          <w:rFonts w:ascii="Arial" w:cs="Arial" w:eastAsia="Arial" w:hAnsi="Arial"/>
          <w:sz w:val="18"/>
          <w:szCs w:val="18"/>
          <w:color w:val="auto"/>
        </w:rPr>
        <w:t>Eligible pay is salary plus bonus, as limited by Internal Revenue Code section 401(a)(17).</w:t>
      </w:r>
    </w:p>
    <w:p>
      <w:pPr>
        <w:spacing w:after="0" w:line="134" w:lineRule="exact"/>
        <w:rPr>
          <w:rFonts w:ascii="Arial" w:cs="Arial" w:eastAsia="Arial" w:hAnsi="Arial"/>
          <w:sz w:val="22"/>
          <w:szCs w:val="22"/>
          <w:color w:val="00249C"/>
        </w:rPr>
      </w:pPr>
    </w:p>
    <w:p>
      <w:pPr>
        <w:ind w:left="340" w:right="800" w:hanging="332"/>
        <w:spacing w:after="0" w:line="225" w:lineRule="auto"/>
        <w:tabs>
          <w:tab w:leader="none" w:pos="308" w:val="left"/>
        </w:tabs>
        <w:numPr>
          <w:ilvl w:val="0"/>
          <w:numId w:val="77"/>
        </w:numPr>
        <w:rPr>
          <w:rFonts w:ascii="Arial" w:cs="Arial" w:eastAsia="Arial" w:hAnsi="Arial"/>
          <w:sz w:val="22"/>
          <w:szCs w:val="22"/>
          <w:color w:val="00249C"/>
        </w:rPr>
      </w:pPr>
      <w:r>
        <w:rPr>
          <w:rFonts w:ascii="Arial" w:cs="Arial" w:eastAsia="Arial" w:hAnsi="Arial"/>
          <w:sz w:val="18"/>
          <w:szCs w:val="18"/>
          <w:color w:val="auto"/>
        </w:rPr>
        <w:t>Eligibility for early retirement occurs at age 55 with five years of service. Benefits may be reduced if commenced prior to Normal Retirement Age (65).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65</w:t>
      </w:r>
    </w:p>
    <w:p>
      <w:pPr>
        <w:sectPr>
          <w:pgSz w:w="11900" w:h="16838" w:orient="portrait"/>
          <w:cols w:equalWidth="0" w:num="1">
            <w:col w:w="11240"/>
          </w:cols>
          <w:pgMar w:left="320" w:top="607" w:right="339" w:bottom="1440" w:gutter="0" w:footer="0" w:header="0"/>
        </w:sectPr>
      </w:pPr>
    </w:p>
    <w:bookmarkStart w:id="71" w:name="page72"/>
    <w:bookmarkEnd w:id="71"/>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5314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 xml:space="preserve">COMPENSATION TABLES | </w:t>
      </w:r>
      <w:r>
        <w:rPr>
          <w:rFonts w:ascii="Arial" w:cs="Arial" w:eastAsia="Arial" w:hAnsi="Arial"/>
          <w:sz w:val="17"/>
          <w:szCs w:val="17"/>
          <w:b w:val="1"/>
          <w:bCs w:val="1"/>
          <w:color w:val="FFFFFF"/>
        </w:rPr>
        <w:t>PENSION BENEFITS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New NGIS Cash Balance Formula (pay credits commenced on July 1, 2013)</w:t>
      </w:r>
    </w:p>
    <w:p>
      <w:pPr>
        <w:spacing w:after="0" w:line="131" w:lineRule="exact"/>
        <w:rPr>
          <w:sz w:val="20"/>
          <w:szCs w:val="20"/>
          <w:color w:val="auto"/>
        </w:rPr>
      </w:pPr>
    </w:p>
    <w:p>
      <w:pPr>
        <w:ind w:left="340" w:right="360" w:hanging="332"/>
        <w:spacing w:after="0" w:line="225" w:lineRule="auto"/>
        <w:tabs>
          <w:tab w:leader="none" w:pos="308" w:val="left"/>
        </w:tabs>
        <w:numPr>
          <w:ilvl w:val="0"/>
          <w:numId w:val="78"/>
        </w:numPr>
        <w:rPr>
          <w:rFonts w:ascii="Arial" w:cs="Arial" w:eastAsia="Arial" w:hAnsi="Arial"/>
          <w:sz w:val="22"/>
          <w:szCs w:val="22"/>
          <w:color w:val="00249C"/>
        </w:rPr>
      </w:pPr>
      <w:r>
        <w:rPr>
          <w:rFonts w:ascii="Arial" w:cs="Arial" w:eastAsia="Arial" w:hAnsi="Arial"/>
          <w:sz w:val="18"/>
          <w:szCs w:val="18"/>
          <w:color w:val="auto"/>
        </w:rPr>
        <w:t>Pay credits are a percentage of pay that vary based on an employee's age plus service and are credited annually at the end of each calendar year or earlier termination. The percentage applicable to Mr. Larson as of December 31, 2020 is 4.0%.</w:t>
      </w:r>
    </w:p>
    <w:p>
      <w:pPr>
        <w:spacing w:after="0" w:line="99" w:lineRule="exact"/>
        <w:rPr>
          <w:rFonts w:ascii="Arial" w:cs="Arial" w:eastAsia="Arial" w:hAnsi="Arial"/>
          <w:sz w:val="22"/>
          <w:szCs w:val="22"/>
          <w:color w:val="00249C"/>
        </w:rPr>
      </w:pPr>
    </w:p>
    <w:p>
      <w:pPr>
        <w:ind w:left="300" w:hanging="292"/>
        <w:spacing w:after="0"/>
        <w:tabs>
          <w:tab w:leader="none" w:pos="300" w:val="left"/>
        </w:tabs>
        <w:numPr>
          <w:ilvl w:val="0"/>
          <w:numId w:val="78"/>
        </w:numPr>
        <w:rPr>
          <w:rFonts w:ascii="Arial" w:cs="Arial" w:eastAsia="Arial" w:hAnsi="Arial"/>
          <w:sz w:val="22"/>
          <w:szCs w:val="22"/>
          <w:color w:val="00249C"/>
        </w:rPr>
      </w:pPr>
      <w:r>
        <w:rPr>
          <w:rFonts w:ascii="Arial" w:cs="Arial" w:eastAsia="Arial" w:hAnsi="Arial"/>
          <w:sz w:val="18"/>
          <w:szCs w:val="18"/>
          <w:color w:val="auto"/>
        </w:rPr>
        <w:t>Interest is credited at the end of each year at 4.0%. Interest is prorated for commencements during the calendar year.</w:t>
      </w:r>
    </w:p>
    <w:p>
      <w:pPr>
        <w:spacing w:after="0" w:line="98" w:lineRule="exact"/>
        <w:rPr>
          <w:rFonts w:ascii="Arial" w:cs="Arial" w:eastAsia="Arial" w:hAnsi="Arial"/>
          <w:sz w:val="22"/>
          <w:szCs w:val="22"/>
          <w:color w:val="00249C"/>
        </w:rPr>
      </w:pPr>
    </w:p>
    <w:p>
      <w:pPr>
        <w:ind w:left="300" w:hanging="292"/>
        <w:spacing w:after="0"/>
        <w:tabs>
          <w:tab w:leader="none" w:pos="300" w:val="left"/>
        </w:tabs>
        <w:numPr>
          <w:ilvl w:val="0"/>
          <w:numId w:val="78"/>
        </w:numPr>
        <w:rPr>
          <w:rFonts w:ascii="Arial" w:cs="Arial" w:eastAsia="Arial" w:hAnsi="Arial"/>
          <w:sz w:val="22"/>
          <w:szCs w:val="22"/>
          <w:color w:val="00249C"/>
        </w:rPr>
      </w:pPr>
      <w:r>
        <w:rPr>
          <w:rFonts w:ascii="Arial" w:cs="Arial" w:eastAsia="Arial" w:hAnsi="Arial"/>
          <w:sz w:val="18"/>
          <w:szCs w:val="18"/>
          <w:color w:val="auto"/>
        </w:rPr>
        <w:t>Eligible pay is salary plus bonus, as limited by Internal Revenue Code section 401(a)(17).</w:t>
      </w:r>
    </w:p>
    <w:p>
      <w:pPr>
        <w:spacing w:after="0" w:line="120" w:lineRule="exact"/>
        <w:rPr>
          <w:rFonts w:ascii="Arial" w:cs="Arial" w:eastAsia="Arial" w:hAnsi="Arial"/>
          <w:sz w:val="22"/>
          <w:szCs w:val="22"/>
          <w:color w:val="00249C"/>
        </w:rPr>
      </w:pPr>
    </w:p>
    <w:p>
      <w:pPr>
        <w:ind w:left="340" w:right="20" w:hanging="332"/>
        <w:spacing w:after="0" w:line="225" w:lineRule="auto"/>
        <w:tabs>
          <w:tab w:leader="none" w:pos="308" w:val="left"/>
        </w:tabs>
        <w:numPr>
          <w:ilvl w:val="0"/>
          <w:numId w:val="78"/>
        </w:numPr>
        <w:rPr>
          <w:rFonts w:ascii="Arial" w:cs="Arial" w:eastAsia="Arial" w:hAnsi="Arial"/>
          <w:sz w:val="22"/>
          <w:szCs w:val="22"/>
          <w:color w:val="00249C"/>
        </w:rPr>
      </w:pPr>
      <w:r>
        <w:rPr>
          <w:rFonts w:ascii="Arial" w:cs="Arial" w:eastAsia="Arial" w:hAnsi="Arial"/>
          <w:sz w:val="18"/>
          <w:szCs w:val="18"/>
          <w:color w:val="auto"/>
        </w:rPr>
        <w:t>After termination of employment, a participant's New NGIS Cash Balance benefit may be distributed immediately, regardless of age, in a variety of actuarially equivalent monthly annuities or as a lump sum.</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ERISA 2, SRIP, and NGIS DB SERP (Nonqualified Restoration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ERISA 2, SRIP and a portion of the NGIS DB SERP are nonqualified plans that restore benefits provided for under the Pension Plan, S&amp;MS Pension Plan, and NGIS P&amp;R Plan, respectively, but for the limits on eligible pay imposed by Internal Revenue Code section 401(a)(17) and the overall benefit limitation of Internal Revenue Code section 415. Benefits and features in these restoration plans otherwise are generally the same as described above for the underlying tax qualified plan.</w:t>
      </w:r>
    </w:p>
    <w:p>
      <w:pPr>
        <w:spacing w:after="0" w:line="80" w:lineRule="exact"/>
        <w:rPr>
          <w:sz w:val="20"/>
          <w:szCs w:val="20"/>
          <w:color w:val="auto"/>
        </w:rPr>
      </w:pPr>
    </w:p>
    <w:p>
      <w:pPr>
        <w:ind w:left="20" w:right="540"/>
        <w:spacing w:after="0" w:line="243" w:lineRule="auto"/>
        <w:rPr>
          <w:sz w:val="20"/>
          <w:szCs w:val="20"/>
          <w:color w:val="auto"/>
        </w:rPr>
      </w:pPr>
      <w:r>
        <w:rPr>
          <w:rFonts w:ascii="Arial" w:cs="Arial" w:eastAsia="Arial" w:hAnsi="Arial"/>
          <w:sz w:val="25"/>
          <w:szCs w:val="25"/>
          <w:b w:val="1"/>
          <w:bCs w:val="1"/>
          <w:color w:val="auto"/>
        </w:rPr>
        <w:t>OSERP, OSERP II, and NGIS DB SERP (Nonqualified Supplemental Executive 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0"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These plans provide supplemental pension benefits. They were closed to new hires on or before 2009. In addition, final average pay and associated service under these plans were frozen as of December 31, 2014, or earlier, as noted below.</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highlights the key features of these plans applicable to eligible NEOs.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00" w:type="dxa"/>
            <w:vAlign w:val="bottom"/>
            <w:shd w:val="clear" w:color="auto" w:fill="00249C"/>
          </w:tcPr>
          <w:p>
            <w:pPr>
              <w:ind w:left="20"/>
              <w:spacing w:after="0"/>
              <w:rPr>
                <w:sz w:val="20"/>
                <w:szCs w:val="20"/>
                <w:color w:val="auto"/>
              </w:rPr>
            </w:pPr>
            <w:r>
              <w:rPr>
                <w:rFonts w:ascii="Arial" w:cs="Arial" w:eastAsia="Arial" w:hAnsi="Arial"/>
                <w:sz w:val="14"/>
                <w:szCs w:val="14"/>
                <w:b w:val="1"/>
                <w:bCs w:val="1"/>
                <w:color w:val="FFFFFF"/>
              </w:rPr>
              <w:t>Feature</w:t>
            </w:r>
          </w:p>
        </w:tc>
        <w:tc>
          <w:tcPr>
            <w:tcW w:w="368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OSERP and OSERP II (1)</w:t>
            </w:r>
          </w:p>
        </w:tc>
        <w:tc>
          <w:tcPr>
            <w:tcW w:w="372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NGIS DB SERP (2)</w:t>
            </w:r>
          </w:p>
        </w:tc>
        <w:tc>
          <w:tcPr>
            <w:tcW w:w="0" w:type="dxa"/>
            <w:vAlign w:val="bottom"/>
          </w:tcPr>
          <w:p>
            <w:pPr>
              <w:spacing w:after="0"/>
              <w:rPr>
                <w:sz w:val="1"/>
                <w:szCs w:val="1"/>
                <w:color w:val="auto"/>
              </w:rPr>
            </w:pPr>
          </w:p>
        </w:tc>
      </w:tr>
      <w:tr>
        <w:trPr>
          <w:trHeight w:val="153"/>
        </w:trPr>
        <w:tc>
          <w:tcPr>
            <w:tcW w:w="3700" w:type="dxa"/>
            <w:vAlign w:val="bottom"/>
            <w:shd w:val="clear" w:color="auto" w:fill="CCD4DB"/>
          </w:tcPr>
          <w:p>
            <w:pPr>
              <w:spacing w:after="0"/>
              <w:rPr>
                <w:sz w:val="13"/>
                <w:szCs w:val="13"/>
                <w:color w:val="auto"/>
              </w:rPr>
            </w:pPr>
          </w:p>
        </w:tc>
        <w:tc>
          <w:tcPr>
            <w:tcW w:w="368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Final Average Pay times 2% for each year of service up</w:t>
            </w:r>
          </w:p>
        </w:tc>
        <w:tc>
          <w:tcPr>
            <w:tcW w:w="3720" w:type="dxa"/>
            <w:vAlign w:val="bottom"/>
            <w:shd w:val="clear" w:color="auto" w:fill="CCD4DB"/>
          </w:tcPr>
          <w:p>
            <w:pPr>
              <w:jc w:val="center"/>
              <w:spacing w:after="0" w:line="153" w:lineRule="exact"/>
              <w:rPr>
                <w:sz w:val="20"/>
                <w:szCs w:val="20"/>
                <w:color w:val="auto"/>
              </w:rPr>
            </w:pPr>
            <w:r>
              <w:rPr>
                <w:rFonts w:ascii="Arial" w:cs="Arial" w:eastAsia="Arial" w:hAnsi="Arial"/>
                <w:sz w:val="14"/>
                <w:szCs w:val="14"/>
                <w:color w:val="auto"/>
              </w:rPr>
              <w:t>Service times the sum of 11% of Final Average Pay in</w:t>
            </w:r>
          </w:p>
        </w:tc>
        <w:tc>
          <w:tcPr>
            <w:tcW w:w="0" w:type="dxa"/>
            <w:vAlign w:val="bottom"/>
          </w:tcPr>
          <w:p>
            <w:pPr>
              <w:spacing w:after="0"/>
              <w:rPr>
                <w:sz w:val="1"/>
                <w:szCs w:val="1"/>
                <w:color w:val="auto"/>
              </w:rPr>
            </w:pPr>
          </w:p>
        </w:tc>
      </w:tr>
      <w:tr>
        <w:trPr>
          <w:trHeight w:val="130"/>
        </w:trPr>
        <w:tc>
          <w:tcPr>
            <w:tcW w:w="3700" w:type="dxa"/>
            <w:vAlign w:val="bottom"/>
            <w:shd w:val="clear" w:color="auto" w:fill="CCD4DB"/>
          </w:tcPr>
          <w:p>
            <w:pPr>
              <w:spacing w:after="0"/>
              <w:rPr>
                <w:sz w:val="11"/>
                <w:szCs w:val="11"/>
                <w:color w:val="auto"/>
              </w:rPr>
            </w:pPr>
          </w:p>
        </w:tc>
        <w:tc>
          <w:tcPr>
            <w:tcW w:w="3680" w:type="dxa"/>
            <w:vAlign w:val="bottom"/>
            <w:vMerge w:val="continue"/>
            <w:shd w:val="clear" w:color="auto" w:fill="CCD4DB"/>
          </w:tcPr>
          <w:p>
            <w:pPr>
              <w:spacing w:after="0"/>
              <w:rPr>
                <w:sz w:val="11"/>
                <w:szCs w:val="11"/>
                <w:color w:val="auto"/>
              </w:rPr>
            </w:pPr>
          </w:p>
        </w:tc>
        <w:tc>
          <w:tcPr>
            <w:tcW w:w="3720" w:type="dxa"/>
            <w:vAlign w:val="bottom"/>
            <w:shd w:val="clear" w:color="auto" w:fill="CCD4DB"/>
          </w:tcPr>
          <w:p>
            <w:pPr>
              <w:jc w:val="center"/>
              <w:spacing w:after="0" w:line="131" w:lineRule="exact"/>
              <w:rPr>
                <w:sz w:val="20"/>
                <w:szCs w:val="20"/>
                <w:color w:val="auto"/>
              </w:rPr>
            </w:pPr>
            <w:r>
              <w:rPr>
                <w:rFonts w:ascii="Arial" w:cs="Arial" w:eastAsia="Arial" w:hAnsi="Arial"/>
                <w:sz w:val="14"/>
                <w:szCs w:val="14"/>
                <w:color w:val="auto"/>
              </w:rPr>
              <w:t>excess of one-half of the Social Security Wage Base and</w:t>
            </w:r>
          </w:p>
        </w:tc>
        <w:tc>
          <w:tcPr>
            <w:tcW w:w="0" w:type="dxa"/>
            <w:vAlign w:val="bottom"/>
          </w:tcPr>
          <w:p>
            <w:pPr>
              <w:spacing w:after="0"/>
              <w:rPr>
                <w:sz w:val="1"/>
                <w:szCs w:val="1"/>
                <w:color w:val="auto"/>
              </w:rPr>
            </w:pPr>
          </w:p>
        </w:tc>
      </w:tr>
      <w:tr>
        <w:trPr>
          <w:trHeight w:val="72"/>
        </w:trPr>
        <w:tc>
          <w:tcPr>
            <w:tcW w:w="3700" w:type="dxa"/>
            <w:vAlign w:val="bottom"/>
            <w:vMerge w:val="restart"/>
            <w:shd w:val="clear" w:color="auto" w:fill="CCD4DB"/>
          </w:tcPr>
          <w:p>
            <w:pPr>
              <w:ind w:left="20"/>
              <w:spacing w:after="0" w:line="140" w:lineRule="exact"/>
              <w:rPr>
                <w:sz w:val="20"/>
                <w:szCs w:val="20"/>
                <w:color w:val="auto"/>
              </w:rPr>
            </w:pPr>
            <w:r>
              <w:rPr>
                <w:rFonts w:ascii="Arial" w:cs="Arial" w:eastAsia="Arial" w:hAnsi="Arial"/>
                <w:sz w:val="14"/>
                <w:szCs w:val="14"/>
                <w:color w:val="auto"/>
              </w:rPr>
              <w:t>Benefit Formula</w:t>
            </w:r>
          </w:p>
        </w:tc>
        <w:tc>
          <w:tcPr>
            <w:tcW w:w="3680" w:type="dxa"/>
            <w:vAlign w:val="bottom"/>
            <w:shd w:val="clear" w:color="auto" w:fill="CCD4DB"/>
          </w:tcPr>
          <w:p>
            <w:pPr>
              <w:jc w:val="center"/>
              <w:spacing w:after="0" w:line="73" w:lineRule="exact"/>
              <w:rPr>
                <w:sz w:val="20"/>
                <w:szCs w:val="20"/>
                <w:color w:val="auto"/>
              </w:rPr>
            </w:pPr>
            <w:r>
              <w:rPr>
                <w:rFonts w:ascii="Arial" w:cs="Arial" w:eastAsia="Arial" w:hAnsi="Arial"/>
                <w:sz w:val="8"/>
                <w:szCs w:val="8"/>
                <w:color w:val="auto"/>
              </w:rPr>
              <w:t>to 10 years, 1.5% for each subsequent year up to</w:t>
            </w:r>
          </w:p>
        </w:tc>
        <w:tc>
          <w:tcPr>
            <w:tcW w:w="3720" w:type="dxa"/>
            <w:vAlign w:val="bottom"/>
            <w:vMerge w:val="restart"/>
            <w:shd w:val="clear" w:color="auto" w:fill="CCD4DB"/>
          </w:tcPr>
          <w:p>
            <w:pPr>
              <w:jc w:val="center"/>
              <w:spacing w:after="0" w:line="140" w:lineRule="exact"/>
              <w:rPr>
                <w:sz w:val="20"/>
                <w:szCs w:val="20"/>
                <w:color w:val="auto"/>
              </w:rPr>
            </w:pPr>
            <w:r>
              <w:rPr>
                <w:rFonts w:ascii="Arial" w:cs="Arial" w:eastAsia="Arial" w:hAnsi="Arial"/>
                <w:sz w:val="14"/>
                <w:szCs w:val="14"/>
                <w:color w:val="auto"/>
              </w:rPr>
              <w:t>5.5% of one-half of the Social Security Wage Base;</w:t>
            </w:r>
          </w:p>
        </w:tc>
        <w:tc>
          <w:tcPr>
            <w:tcW w:w="0" w:type="dxa"/>
            <w:vAlign w:val="bottom"/>
          </w:tcPr>
          <w:p>
            <w:pPr>
              <w:spacing w:after="0"/>
              <w:rPr>
                <w:sz w:val="1"/>
                <w:szCs w:val="1"/>
                <w:color w:val="auto"/>
              </w:rPr>
            </w:pPr>
          </w:p>
        </w:tc>
      </w:tr>
      <w:tr>
        <w:trPr>
          <w:trHeight w:val="68"/>
        </w:trPr>
        <w:tc>
          <w:tcPr>
            <w:tcW w:w="3700" w:type="dxa"/>
            <w:vAlign w:val="bottom"/>
            <w:vMerge w:val="continue"/>
            <w:shd w:val="clear" w:color="auto" w:fill="CCD4DB"/>
          </w:tcPr>
          <w:p>
            <w:pPr>
              <w:spacing w:after="0"/>
              <w:rPr>
                <w:sz w:val="5"/>
                <w:szCs w:val="5"/>
                <w:color w:val="auto"/>
              </w:rPr>
            </w:pPr>
          </w:p>
        </w:tc>
        <w:tc>
          <w:tcPr>
            <w:tcW w:w="3680" w:type="dxa"/>
            <w:vAlign w:val="bottom"/>
            <w:vMerge w:val="restart"/>
            <w:shd w:val="clear" w:color="auto" w:fill="CCD4DB"/>
          </w:tcPr>
          <w:p>
            <w:pPr>
              <w:jc w:val="center"/>
              <w:spacing w:after="0" w:line="135" w:lineRule="exact"/>
              <w:rPr>
                <w:sz w:val="20"/>
                <w:szCs w:val="20"/>
                <w:color w:val="auto"/>
              </w:rPr>
            </w:pPr>
            <w:r>
              <w:rPr>
                <w:rFonts w:ascii="Arial" w:cs="Arial" w:eastAsia="Arial" w:hAnsi="Arial"/>
                <w:sz w:val="14"/>
                <w:szCs w:val="14"/>
                <w:color w:val="auto"/>
              </w:rPr>
              <w:t>20 years, and 1% for each additional year over 20 and</w:t>
            </w:r>
          </w:p>
        </w:tc>
        <w:tc>
          <w:tcPr>
            <w:tcW w:w="3720" w:type="dxa"/>
            <w:vAlign w:val="bottom"/>
            <w:vMerge w:val="continue"/>
            <w:shd w:val="clear" w:color="auto" w:fill="CCD4DB"/>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700" w:type="dxa"/>
            <w:vAlign w:val="bottom"/>
            <w:shd w:val="clear" w:color="auto" w:fill="CCD4DB"/>
          </w:tcPr>
          <w:p>
            <w:pPr>
              <w:spacing w:after="0"/>
              <w:rPr>
                <w:sz w:val="5"/>
                <w:szCs w:val="5"/>
                <w:color w:val="auto"/>
              </w:rPr>
            </w:pPr>
          </w:p>
        </w:tc>
        <w:tc>
          <w:tcPr>
            <w:tcW w:w="3680" w:type="dxa"/>
            <w:vAlign w:val="bottom"/>
            <w:vMerge w:val="continue"/>
            <w:shd w:val="clear" w:color="auto" w:fill="CCD4DB"/>
          </w:tcPr>
          <w:p>
            <w:pPr>
              <w:spacing w:after="0"/>
              <w:rPr>
                <w:sz w:val="5"/>
                <w:szCs w:val="5"/>
                <w:color w:val="auto"/>
              </w:rPr>
            </w:pPr>
          </w:p>
        </w:tc>
        <w:tc>
          <w:tcPr>
            <w:tcW w:w="3720" w:type="dxa"/>
            <w:vAlign w:val="bottom"/>
            <w:vMerge w:val="restart"/>
            <w:shd w:val="clear" w:color="auto" w:fill="CCD4DB"/>
          </w:tcPr>
          <w:p>
            <w:pPr>
              <w:jc w:val="center"/>
              <w:spacing w:after="0" w:line="135" w:lineRule="exact"/>
              <w:rPr>
                <w:sz w:val="20"/>
                <w:szCs w:val="20"/>
                <w:color w:val="auto"/>
              </w:rPr>
            </w:pPr>
            <w:r>
              <w:rPr>
                <w:rFonts w:ascii="Arial" w:cs="Arial" w:eastAsia="Arial" w:hAnsi="Arial"/>
                <w:sz w:val="14"/>
                <w:szCs w:val="14"/>
                <w:color w:val="auto"/>
              </w:rPr>
              <w:t>interest at 4% per annum is applied from July 1, 2013</w:t>
            </w:r>
          </w:p>
        </w:tc>
        <w:tc>
          <w:tcPr>
            <w:tcW w:w="0" w:type="dxa"/>
            <w:vAlign w:val="bottom"/>
          </w:tcPr>
          <w:p>
            <w:pPr>
              <w:spacing w:after="0"/>
              <w:rPr>
                <w:sz w:val="1"/>
                <w:szCs w:val="1"/>
                <w:color w:val="auto"/>
              </w:rPr>
            </w:pPr>
          </w:p>
        </w:tc>
      </w:tr>
      <w:tr>
        <w:trPr>
          <w:trHeight w:val="68"/>
        </w:trPr>
        <w:tc>
          <w:tcPr>
            <w:tcW w:w="3700" w:type="dxa"/>
            <w:vAlign w:val="bottom"/>
            <w:shd w:val="clear" w:color="auto" w:fill="CCD4DB"/>
          </w:tcPr>
          <w:p>
            <w:pPr>
              <w:spacing w:after="0"/>
              <w:rPr>
                <w:sz w:val="5"/>
                <w:szCs w:val="5"/>
                <w:color w:val="auto"/>
              </w:rPr>
            </w:pPr>
          </w:p>
        </w:tc>
        <w:tc>
          <w:tcPr>
            <w:tcW w:w="368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less than 45</w:t>
            </w:r>
          </w:p>
        </w:tc>
        <w:tc>
          <w:tcPr>
            <w:tcW w:w="3720" w:type="dxa"/>
            <w:vAlign w:val="bottom"/>
            <w:vMerge w:val="continue"/>
            <w:shd w:val="clear" w:color="auto" w:fill="CCD4DB"/>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3700" w:type="dxa"/>
            <w:vAlign w:val="bottom"/>
            <w:shd w:val="clear" w:color="auto" w:fill="CCD4DB"/>
          </w:tcPr>
          <w:p>
            <w:pPr>
              <w:spacing w:after="0"/>
              <w:rPr>
                <w:sz w:val="9"/>
                <w:szCs w:val="9"/>
                <w:color w:val="auto"/>
              </w:rPr>
            </w:pPr>
          </w:p>
        </w:tc>
        <w:tc>
          <w:tcPr>
            <w:tcW w:w="3680" w:type="dxa"/>
            <w:vAlign w:val="bottom"/>
            <w:vMerge w:val="continue"/>
            <w:shd w:val="clear" w:color="auto" w:fill="CCD4DB"/>
          </w:tcPr>
          <w:p>
            <w:pPr>
              <w:spacing w:after="0"/>
              <w:rPr>
                <w:sz w:val="9"/>
                <w:szCs w:val="9"/>
                <w:color w:val="auto"/>
              </w:rPr>
            </w:pPr>
          </w:p>
        </w:tc>
        <w:tc>
          <w:tcPr>
            <w:tcW w:w="372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through commencement</w:t>
            </w:r>
          </w:p>
        </w:tc>
        <w:tc>
          <w:tcPr>
            <w:tcW w:w="0" w:type="dxa"/>
            <w:vAlign w:val="bottom"/>
          </w:tcPr>
          <w:p>
            <w:pPr>
              <w:spacing w:after="0"/>
              <w:rPr>
                <w:sz w:val="1"/>
                <w:szCs w:val="1"/>
                <w:color w:val="auto"/>
              </w:rPr>
            </w:pPr>
          </w:p>
        </w:tc>
      </w:tr>
      <w:tr>
        <w:trPr>
          <w:trHeight w:val="66"/>
        </w:trPr>
        <w:tc>
          <w:tcPr>
            <w:tcW w:w="3700" w:type="dxa"/>
            <w:vAlign w:val="bottom"/>
            <w:shd w:val="clear" w:color="auto" w:fill="CCD4DB"/>
          </w:tcPr>
          <w:p>
            <w:pPr>
              <w:spacing w:after="0"/>
              <w:rPr>
                <w:sz w:val="5"/>
                <w:szCs w:val="5"/>
                <w:color w:val="auto"/>
              </w:rPr>
            </w:pPr>
          </w:p>
        </w:tc>
        <w:tc>
          <w:tcPr>
            <w:tcW w:w="3680" w:type="dxa"/>
            <w:vAlign w:val="bottom"/>
            <w:shd w:val="clear" w:color="auto" w:fill="CCD4DB"/>
          </w:tcPr>
          <w:p>
            <w:pPr>
              <w:spacing w:after="0"/>
              <w:rPr>
                <w:sz w:val="5"/>
                <w:szCs w:val="5"/>
                <w:color w:val="auto"/>
              </w:rPr>
            </w:pPr>
          </w:p>
        </w:tc>
        <w:tc>
          <w:tcPr>
            <w:tcW w:w="3720" w:type="dxa"/>
            <w:vAlign w:val="bottom"/>
            <w:vMerge w:val="continue"/>
            <w:shd w:val="clear" w:color="auto" w:fill="CCD4DB"/>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3700" w:type="dxa"/>
            <w:vAlign w:val="bottom"/>
            <w:vMerge w:val="restart"/>
          </w:tcPr>
          <w:p>
            <w:pPr>
              <w:ind w:left="20"/>
              <w:spacing w:after="0"/>
              <w:rPr>
                <w:sz w:val="20"/>
                <w:szCs w:val="20"/>
                <w:color w:val="auto"/>
              </w:rPr>
            </w:pPr>
            <w:r>
              <w:rPr>
                <w:rFonts w:ascii="Arial" w:cs="Arial" w:eastAsia="Arial" w:hAnsi="Arial"/>
                <w:sz w:val="14"/>
                <w:szCs w:val="14"/>
                <w:color w:val="auto"/>
              </w:rPr>
              <w:t>Final Average Pay</w:t>
            </w:r>
          </w:p>
        </w:tc>
        <w:tc>
          <w:tcPr>
            <w:tcW w:w="3680" w:type="dxa"/>
            <w:vAlign w:val="bottom"/>
            <w:vMerge w:val="restart"/>
          </w:tcPr>
          <w:p>
            <w:pPr>
              <w:jc w:val="center"/>
              <w:spacing w:after="0"/>
              <w:rPr>
                <w:sz w:val="20"/>
                <w:szCs w:val="20"/>
                <w:color w:val="auto"/>
              </w:rPr>
            </w:pPr>
            <w:r>
              <w:rPr>
                <w:rFonts w:ascii="Arial" w:cs="Arial" w:eastAsia="Arial" w:hAnsi="Arial"/>
                <w:sz w:val="14"/>
                <w:szCs w:val="14"/>
                <w:color w:val="auto"/>
              </w:rPr>
              <w:t>Average of highest 3 years of Eligible Pay</w:t>
            </w:r>
          </w:p>
        </w:tc>
        <w:tc>
          <w:tcPr>
            <w:tcW w:w="3720" w:type="dxa"/>
            <w:vAlign w:val="bottom"/>
          </w:tcPr>
          <w:p>
            <w:pPr>
              <w:jc w:val="center"/>
              <w:spacing w:after="0" w:line="153" w:lineRule="exact"/>
              <w:rPr>
                <w:sz w:val="20"/>
                <w:szCs w:val="20"/>
                <w:color w:val="auto"/>
              </w:rPr>
            </w:pPr>
            <w:r>
              <w:rPr>
                <w:rFonts w:ascii="Arial" w:cs="Arial" w:eastAsia="Arial" w:hAnsi="Arial"/>
                <w:sz w:val="14"/>
                <w:szCs w:val="14"/>
                <w:color w:val="auto"/>
              </w:rPr>
              <w:t>Average of highest 60 months of Eligible Pay; both Final</w:t>
            </w:r>
          </w:p>
        </w:tc>
        <w:tc>
          <w:tcPr>
            <w:tcW w:w="0" w:type="dxa"/>
            <w:vAlign w:val="bottom"/>
          </w:tcPr>
          <w:p>
            <w:pPr>
              <w:spacing w:after="0"/>
              <w:rPr>
                <w:sz w:val="1"/>
                <w:szCs w:val="1"/>
                <w:color w:val="auto"/>
              </w:rPr>
            </w:pPr>
          </w:p>
        </w:tc>
      </w:tr>
      <w:tr>
        <w:trPr>
          <w:trHeight w:val="135"/>
        </w:trPr>
        <w:tc>
          <w:tcPr>
            <w:tcW w:w="3700" w:type="dxa"/>
            <w:vAlign w:val="bottom"/>
            <w:vMerge w:val="continue"/>
          </w:tcPr>
          <w:p>
            <w:pPr>
              <w:spacing w:after="0"/>
              <w:rPr>
                <w:sz w:val="11"/>
                <w:szCs w:val="11"/>
                <w:color w:val="auto"/>
              </w:rPr>
            </w:pPr>
          </w:p>
        </w:tc>
        <w:tc>
          <w:tcPr>
            <w:tcW w:w="3680" w:type="dxa"/>
            <w:vAlign w:val="bottom"/>
            <w:vMerge w:val="continue"/>
          </w:tcPr>
          <w:p>
            <w:pPr>
              <w:spacing w:after="0"/>
              <w:rPr>
                <w:sz w:val="11"/>
                <w:szCs w:val="11"/>
                <w:color w:val="auto"/>
              </w:rPr>
            </w:pPr>
          </w:p>
        </w:tc>
        <w:tc>
          <w:tcPr>
            <w:tcW w:w="3720" w:type="dxa"/>
            <w:vAlign w:val="bottom"/>
          </w:tcPr>
          <w:p>
            <w:pPr>
              <w:jc w:val="center"/>
              <w:spacing w:after="0" w:line="135" w:lineRule="exact"/>
              <w:rPr>
                <w:sz w:val="20"/>
                <w:szCs w:val="20"/>
                <w:color w:val="auto"/>
              </w:rPr>
            </w:pPr>
            <w:r>
              <w:rPr>
                <w:rFonts w:ascii="Arial" w:cs="Arial" w:eastAsia="Arial" w:hAnsi="Arial"/>
                <w:sz w:val="14"/>
                <w:szCs w:val="14"/>
                <w:color w:val="auto"/>
              </w:rPr>
              <w:t>Average Pay and the Social Security Wage Base were</w:t>
            </w:r>
          </w:p>
        </w:tc>
        <w:tc>
          <w:tcPr>
            <w:tcW w:w="0" w:type="dxa"/>
            <w:vAlign w:val="bottom"/>
          </w:tcPr>
          <w:p>
            <w:pPr>
              <w:spacing w:after="0"/>
              <w:rPr>
                <w:sz w:val="1"/>
                <w:szCs w:val="1"/>
                <w:color w:val="auto"/>
              </w:rPr>
            </w:pPr>
          </w:p>
        </w:tc>
      </w:tr>
      <w:tr>
        <w:trPr>
          <w:trHeight w:val="172"/>
        </w:trPr>
        <w:tc>
          <w:tcPr>
            <w:tcW w:w="37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720" w:type="dxa"/>
            <w:vAlign w:val="bottom"/>
          </w:tcPr>
          <w:p>
            <w:pPr>
              <w:jc w:val="center"/>
              <w:spacing w:after="0"/>
              <w:rPr>
                <w:sz w:val="20"/>
                <w:szCs w:val="20"/>
                <w:color w:val="auto"/>
              </w:rPr>
            </w:pPr>
            <w:r>
              <w:rPr>
                <w:rFonts w:ascii="Arial" w:cs="Arial" w:eastAsia="Arial" w:hAnsi="Arial"/>
                <w:sz w:val="14"/>
                <w:szCs w:val="14"/>
                <w:color w:val="auto"/>
              </w:rPr>
              <w:t>frozen at June 30, 2013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037705" cy="2057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037705" cy="205740"/>
                    </a:xfrm>
                    <a:prstGeom prst="rect">
                      <a:avLst/>
                    </a:prstGeom>
                    <a:noFill/>
                  </pic:spPr>
                </pic:pic>
              </a:graphicData>
            </a:graphic>
          </wp:anchor>
        </w:drawing>
      </w:r>
    </w:p>
    <w:p>
      <w:pPr>
        <w:sectPr>
          <w:pgSz w:w="11900" w:h="16838" w:orient="portrait"/>
          <w:cols w:equalWidth="0" w:num="1">
            <w:col w:w="11140"/>
          </w:cols>
          <w:pgMar w:left="320" w:top="607" w:right="439" w:bottom="1440" w:gutter="0" w:footer="0" w:header="0"/>
        </w:sectPr>
      </w:pPr>
    </w:p>
    <w:p>
      <w:pPr>
        <w:spacing w:after="0" w:line="84" w:lineRule="exact"/>
        <w:rPr>
          <w:sz w:val="20"/>
          <w:szCs w:val="20"/>
          <w:color w:val="auto"/>
        </w:rPr>
      </w:pPr>
    </w:p>
    <w:p>
      <w:pPr>
        <w:ind w:left="20"/>
        <w:spacing w:after="0"/>
        <w:rPr>
          <w:sz w:val="20"/>
          <w:szCs w:val="20"/>
          <w:color w:val="auto"/>
        </w:rPr>
      </w:pPr>
      <w:r>
        <w:rPr>
          <w:rFonts w:ascii="Arial" w:cs="Arial" w:eastAsia="Arial" w:hAnsi="Arial"/>
          <w:sz w:val="14"/>
          <w:szCs w:val="14"/>
          <w:color w:val="auto"/>
        </w:rPr>
        <w:t>Eligible Pay</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Normal Retirement</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Early Retirement</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4"/>
          <w:szCs w:val="14"/>
          <w:color w:val="auto"/>
        </w:rPr>
        <w:t>Early Retirement Reduction</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Reductions From Other Plans</w:t>
      </w:r>
    </w:p>
    <w:p>
      <w:pPr>
        <w:spacing w:after="0" w:line="20" w:lineRule="exact"/>
        <w:rPr>
          <w:sz w:val="20"/>
          <w:szCs w:val="20"/>
          <w:color w:val="auto"/>
        </w:rPr>
      </w:pPr>
      <w:r>
        <w:rPr>
          <w:sz w:val="20"/>
          <w:szCs w:val="20"/>
          <w:color w:val="auto"/>
        </w:rPr>
        <w:br w:type="column"/>
      </w:r>
    </w:p>
    <w:p>
      <w:pPr>
        <w:jc w:val="center"/>
        <w:spacing w:after="0" w:line="226" w:lineRule="auto"/>
        <w:rPr>
          <w:sz w:val="20"/>
          <w:szCs w:val="20"/>
          <w:color w:val="auto"/>
        </w:rPr>
      </w:pPr>
      <w:r>
        <w:rPr>
          <w:rFonts w:ascii="Arial" w:cs="Arial" w:eastAsia="Arial" w:hAnsi="Arial"/>
          <w:sz w:val="14"/>
          <w:szCs w:val="14"/>
          <w:color w:val="auto"/>
        </w:rPr>
        <w:t>Salary and bonus (including amounts above Internal</w:t>
      </w:r>
    </w:p>
    <w:p>
      <w:pPr>
        <w:jc w:val="center"/>
        <w:spacing w:after="0"/>
        <w:rPr>
          <w:sz w:val="20"/>
          <w:szCs w:val="20"/>
          <w:color w:val="auto"/>
        </w:rPr>
      </w:pPr>
      <w:r>
        <w:rPr>
          <w:rFonts w:ascii="Arial" w:cs="Arial" w:eastAsia="Arial" w:hAnsi="Arial"/>
          <w:sz w:val="14"/>
          <w:szCs w:val="14"/>
          <w:color w:val="auto"/>
        </w:rPr>
        <w:t>Revenue Code limits and amounts deferred)</w:t>
      </w:r>
    </w:p>
    <w:p>
      <w:pPr>
        <w:spacing w:after="0" w:line="28"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6350</wp:posOffset>
            </wp:positionV>
            <wp:extent cx="7037705" cy="1200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037705" cy="120015"/>
                    </a:xfrm>
                    <a:prstGeom prst="rect">
                      <a:avLst/>
                    </a:prstGeom>
                    <a:noFill/>
                  </pic:spPr>
                </pic:pic>
              </a:graphicData>
            </a:graphic>
          </wp:anchor>
        </w:drawing>
      </w:r>
    </w:p>
    <w:p>
      <w:pPr>
        <w:spacing w:after="0" w:line="8" w:lineRule="exact"/>
        <w:rPr>
          <w:sz w:val="20"/>
          <w:szCs w:val="20"/>
          <w:color w:val="auto"/>
        </w:rPr>
      </w:pPr>
    </w:p>
    <w:p>
      <w:pPr>
        <w:ind w:left="660"/>
        <w:spacing w:after="0"/>
        <w:rPr>
          <w:sz w:val="20"/>
          <w:szCs w:val="20"/>
          <w:color w:val="auto"/>
        </w:rPr>
      </w:pPr>
      <w:r>
        <w:rPr>
          <w:rFonts w:ascii="Arial" w:cs="Arial" w:eastAsia="Arial" w:hAnsi="Arial"/>
          <w:sz w:val="14"/>
          <w:szCs w:val="14"/>
          <w:color w:val="auto"/>
        </w:rPr>
        <w:t>Age 55 with 10 years of service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Benefits are reduced for commencement prior to the</w:t>
      </w:r>
    </w:p>
    <w:p>
      <w:pPr>
        <w:jc w:val="center"/>
        <w:spacing w:after="0"/>
        <w:rPr>
          <w:sz w:val="20"/>
          <w:szCs w:val="20"/>
          <w:color w:val="auto"/>
        </w:rPr>
      </w:pPr>
      <w:r>
        <w:rPr>
          <w:rFonts w:ascii="Arial" w:cs="Arial" w:eastAsia="Arial" w:hAnsi="Arial"/>
          <w:sz w:val="14"/>
          <w:szCs w:val="14"/>
          <w:color w:val="auto"/>
        </w:rPr>
        <w:t>earlier of age 65 or 85 points (age +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6350</wp:posOffset>
            </wp:positionV>
            <wp:extent cx="7037705" cy="2057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037705" cy="205740"/>
                    </a:xfrm>
                    <a:prstGeom prst="rect">
                      <a:avLst/>
                    </a:prstGeom>
                    <a:noFill/>
                  </pic:spPr>
                </pic:pic>
              </a:graphicData>
            </a:graphic>
          </wp:anchor>
        </w:drawing>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Reduced by any other Company 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48895</wp:posOffset>
            </wp:positionV>
            <wp:extent cx="703770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0377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left="160" w:right="80"/>
        <w:spacing w:after="0" w:line="229" w:lineRule="auto"/>
        <w:rPr>
          <w:sz w:val="20"/>
          <w:szCs w:val="20"/>
          <w:color w:val="auto"/>
        </w:rPr>
      </w:pPr>
      <w:r>
        <w:rPr>
          <w:rFonts w:ascii="Arial" w:cs="Arial" w:eastAsia="Arial" w:hAnsi="Arial"/>
          <w:sz w:val="14"/>
          <w:szCs w:val="14"/>
          <w:color w:val="auto"/>
        </w:rPr>
        <w:t>Salary and bonus (including amounts above Internal Revenue Code limits and amounts deferred)</w:t>
      </w:r>
    </w:p>
    <w:p>
      <w:pPr>
        <w:spacing w:after="0" w:line="17" w:lineRule="exact"/>
        <w:rPr>
          <w:sz w:val="20"/>
          <w:szCs w:val="20"/>
          <w:color w:val="auto"/>
        </w:rPr>
      </w:pPr>
    </w:p>
    <w:p>
      <w:pPr>
        <w:ind w:left="1600"/>
        <w:spacing w:after="0"/>
        <w:rPr>
          <w:sz w:val="20"/>
          <w:szCs w:val="20"/>
          <w:color w:val="auto"/>
        </w:rPr>
      </w:pPr>
      <w:r>
        <w:rPr>
          <w:rFonts w:ascii="Arial" w:cs="Arial" w:eastAsia="Arial" w:hAnsi="Arial"/>
          <w:sz w:val="14"/>
          <w:szCs w:val="14"/>
          <w:color w:val="auto"/>
        </w:rPr>
        <w:t>Age 65</w:t>
      </w:r>
    </w:p>
    <w:p>
      <w:pPr>
        <w:spacing w:after="0" w:line="28" w:lineRule="exact"/>
        <w:rPr>
          <w:sz w:val="20"/>
          <w:szCs w:val="20"/>
          <w:color w:val="auto"/>
        </w:rPr>
      </w:pPr>
    </w:p>
    <w:p>
      <w:pPr>
        <w:ind w:left="1600"/>
        <w:spacing w:after="0"/>
        <w:rPr>
          <w:sz w:val="20"/>
          <w:szCs w:val="20"/>
          <w:color w:val="auto"/>
        </w:rPr>
      </w:pPr>
      <w:r>
        <w:rPr>
          <w:rFonts w:ascii="Arial" w:cs="Arial" w:eastAsia="Arial" w:hAnsi="Arial"/>
          <w:sz w:val="14"/>
          <w:szCs w:val="14"/>
          <w:color w:val="auto"/>
        </w:rPr>
        <w:t>Age 55</w:t>
      </w:r>
    </w:p>
    <w:p>
      <w:pPr>
        <w:spacing w:after="0" w:line="96"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Not Applicable</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Reduced by the Old NGIS Cash Balance benefit from the</w:t>
      </w:r>
    </w:p>
    <w:p>
      <w:pPr>
        <w:jc w:val="center"/>
        <w:ind w:right="80"/>
        <w:spacing w:after="0"/>
        <w:rPr>
          <w:sz w:val="20"/>
          <w:szCs w:val="20"/>
          <w:color w:val="auto"/>
        </w:rPr>
      </w:pPr>
      <w:r>
        <w:rPr>
          <w:rFonts w:ascii="Arial" w:cs="Arial" w:eastAsia="Arial" w:hAnsi="Arial"/>
          <w:sz w:val="14"/>
          <w:szCs w:val="14"/>
          <w:color w:val="auto"/>
        </w:rPr>
        <w:t>NGIS P&amp;R Plan</w:t>
      </w:r>
    </w:p>
    <w:p>
      <w:pPr>
        <w:spacing w:after="0" w:line="103" w:lineRule="exact"/>
        <w:rPr>
          <w:sz w:val="20"/>
          <w:szCs w:val="20"/>
          <w:color w:val="auto"/>
        </w:rPr>
      </w:pPr>
    </w:p>
    <w:p>
      <w:pPr>
        <w:sectPr>
          <w:pgSz w:w="11900" w:h="16838" w:orient="portrait"/>
          <w:cols w:equalWidth="0" w:num="3">
            <w:col w:w="3160" w:space="720"/>
            <w:col w:w="3320" w:space="220"/>
            <w:col w:w="3720"/>
          </w:cols>
          <w:pgMar w:left="320" w:top="607" w:right="439" w:bottom="1440" w:gutter="0" w:footer="0" w:header="0"/>
          <w:type w:val="continuous"/>
        </w:sectPr>
      </w:pPr>
    </w:p>
    <w:p>
      <w:pPr>
        <w:ind w:left="420" w:right="360" w:hanging="412"/>
        <w:spacing w:after="0" w:line="261" w:lineRule="auto"/>
        <w:tabs>
          <w:tab w:leader="none" w:pos="437" w:val="left"/>
        </w:tabs>
        <w:numPr>
          <w:ilvl w:val="0"/>
          <w:numId w:val="79"/>
        </w:numPr>
        <w:rPr>
          <w:rFonts w:ascii="Arial" w:cs="Arial" w:eastAsia="Arial" w:hAnsi="Arial"/>
          <w:sz w:val="18"/>
          <w:szCs w:val="18"/>
          <w:color w:val="auto"/>
        </w:rPr>
      </w:pPr>
      <w:r>
        <w:rPr>
          <w:rFonts w:ascii="Arial" w:cs="Arial" w:eastAsia="Arial" w:hAnsi="Arial"/>
          <w:sz w:val="18"/>
          <w:szCs w:val="18"/>
          <w:color w:val="auto"/>
        </w:rPr>
        <w:t>Ms. Warden participates in OSERP II, which mirrors the benefits provided under the Cash Balance Formula, ERISA 2 and OSERP provisions described above.</w:t>
      </w:r>
    </w:p>
    <w:p>
      <w:pPr>
        <w:spacing w:after="0" w:line="76" w:lineRule="exact"/>
        <w:rPr>
          <w:rFonts w:ascii="Arial" w:cs="Arial" w:eastAsia="Arial" w:hAnsi="Arial"/>
          <w:sz w:val="18"/>
          <w:szCs w:val="18"/>
          <w:color w:val="auto"/>
        </w:rPr>
      </w:pPr>
    </w:p>
    <w:p>
      <w:pPr>
        <w:ind w:left="420" w:right="60" w:hanging="412"/>
        <w:spacing w:after="0" w:line="254" w:lineRule="auto"/>
        <w:tabs>
          <w:tab w:leader="none" w:pos="437" w:val="left"/>
        </w:tabs>
        <w:numPr>
          <w:ilvl w:val="0"/>
          <w:numId w:val="79"/>
        </w:numPr>
        <w:rPr>
          <w:rFonts w:ascii="Arial" w:cs="Arial" w:eastAsia="Arial" w:hAnsi="Arial"/>
          <w:sz w:val="18"/>
          <w:szCs w:val="18"/>
          <w:color w:val="auto"/>
        </w:rPr>
      </w:pPr>
      <w:r>
        <w:rPr>
          <w:rFonts w:ascii="Arial" w:cs="Arial" w:eastAsia="Arial" w:hAnsi="Arial"/>
          <w:sz w:val="18"/>
          <w:szCs w:val="18"/>
          <w:color w:val="auto"/>
        </w:rPr>
        <w:t>Mr. Larson participates in the NGIS DB SERP which provides the greater of the Final Average Pay benefit noted above and the Old NGIS Cash Balance benefit based on Eligible Pay in excess of the Internal Revenue Code section 401(a)(17) limits. In addition, the NGIS DB SERP pays a benefit equal to the New NGIS Cash Balance formula based on Eligible Pay in excess of the Internal Revenue Code section 401(a)(17).</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1140"/>
          </w:cols>
          <w:pgMar w:left="320" w:top="607" w:right="439" w:bottom="1440" w:gutter="0" w:footer="0" w:header="0"/>
          <w:type w:val="continuous"/>
        </w:sectPr>
      </w:pPr>
    </w:p>
    <w:bookmarkStart w:id="72" w:name="page73"/>
    <w:bookmarkEnd w:id="72"/>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5314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 xml:space="preserve">COMPENSATION TABLES | </w:t>
      </w:r>
      <w:r>
        <w:rPr>
          <w:rFonts w:ascii="Arial" w:cs="Arial" w:eastAsia="Arial" w:hAnsi="Arial"/>
          <w:sz w:val="17"/>
          <w:szCs w:val="17"/>
          <w:b w:val="1"/>
          <w:bCs w:val="1"/>
          <w:color w:val="FFFFFF"/>
        </w:rPr>
        <w:t>PENSION BENEFITS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Information on Executives Eligible for Early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following NEOs were eligible for early retirement as of December 31, 2020 (timing below excludes delays imposed by Internal Revenue Code section 409A):</w:t>
      </w:r>
    </w:p>
    <w:p>
      <w:pPr>
        <w:spacing w:after="0" w:line="103" w:lineRule="exact"/>
        <w:rPr>
          <w:sz w:val="20"/>
          <w:szCs w:val="20"/>
          <w:color w:val="auto"/>
        </w:rPr>
      </w:pPr>
    </w:p>
    <w:p>
      <w:pPr>
        <w:ind w:left="340" w:right="500" w:hanging="332"/>
        <w:spacing w:after="0" w:line="225" w:lineRule="auto"/>
        <w:tabs>
          <w:tab w:leader="none" w:pos="308" w:val="left"/>
        </w:tabs>
        <w:numPr>
          <w:ilvl w:val="0"/>
          <w:numId w:val="80"/>
        </w:numPr>
        <w:rPr>
          <w:rFonts w:ascii="Arial" w:cs="Arial" w:eastAsia="Arial" w:hAnsi="Arial"/>
          <w:sz w:val="22"/>
          <w:szCs w:val="22"/>
          <w:color w:val="00249C"/>
        </w:rPr>
      </w:pPr>
      <w:r>
        <w:rPr>
          <w:rFonts w:ascii="Arial" w:cs="Arial" w:eastAsia="Arial" w:hAnsi="Arial"/>
          <w:sz w:val="18"/>
          <w:szCs w:val="18"/>
          <w:color w:val="auto"/>
        </w:rPr>
        <w:t>If Mr. Caylor had retired on December 31, 2020, he would have been eligible to receive an estimated total annual pension benefit of $227,063 (commencing January 1, 2021).</w:t>
      </w:r>
    </w:p>
    <w:p>
      <w:pPr>
        <w:spacing w:after="0" w:line="135" w:lineRule="exact"/>
        <w:rPr>
          <w:rFonts w:ascii="Arial" w:cs="Arial" w:eastAsia="Arial" w:hAnsi="Arial"/>
          <w:sz w:val="22"/>
          <w:szCs w:val="22"/>
          <w:color w:val="00249C"/>
        </w:rPr>
      </w:pPr>
    </w:p>
    <w:p>
      <w:pPr>
        <w:ind w:left="340" w:right="540" w:hanging="332"/>
        <w:spacing w:after="0" w:line="225" w:lineRule="auto"/>
        <w:tabs>
          <w:tab w:leader="none" w:pos="308" w:val="left"/>
        </w:tabs>
        <w:numPr>
          <w:ilvl w:val="0"/>
          <w:numId w:val="80"/>
        </w:numPr>
        <w:rPr>
          <w:rFonts w:ascii="Arial" w:cs="Arial" w:eastAsia="Arial" w:hAnsi="Arial"/>
          <w:sz w:val="22"/>
          <w:szCs w:val="22"/>
          <w:color w:val="00249C"/>
        </w:rPr>
      </w:pPr>
      <w:r>
        <w:rPr>
          <w:rFonts w:ascii="Arial" w:cs="Arial" w:eastAsia="Arial" w:hAnsi="Arial"/>
          <w:sz w:val="18"/>
          <w:szCs w:val="18"/>
          <w:color w:val="auto"/>
        </w:rPr>
        <w:t>If Mr. Larson had retired on December 31, 2020, he would have been eligible to receive an estimated total annual pension from the Pension Plan of $46,615 (commencing January 1, 2021) and a lump sum from the NGIS DB SERP of $3,249,192.</w:t>
      </w:r>
    </w:p>
    <w:p>
      <w:pPr>
        <w:spacing w:after="0" w:line="203" w:lineRule="exact"/>
        <w:rPr>
          <w:rFonts w:ascii="Arial" w:cs="Arial" w:eastAsia="Arial" w:hAnsi="Arial"/>
          <w:sz w:val="22"/>
          <w:szCs w:val="22"/>
          <w:color w:val="00249C"/>
        </w:rPr>
      </w:pPr>
    </w:p>
    <w:p>
      <w:pPr>
        <w:ind w:left="340" w:right="240" w:hanging="332"/>
        <w:spacing w:after="0" w:line="225" w:lineRule="auto"/>
        <w:tabs>
          <w:tab w:leader="none" w:pos="308" w:val="left"/>
        </w:tabs>
        <w:numPr>
          <w:ilvl w:val="0"/>
          <w:numId w:val="80"/>
        </w:numPr>
        <w:rPr>
          <w:rFonts w:ascii="Arial" w:cs="Arial" w:eastAsia="Arial" w:hAnsi="Arial"/>
          <w:sz w:val="22"/>
          <w:szCs w:val="22"/>
          <w:color w:val="00249C"/>
        </w:rPr>
      </w:pPr>
      <w:r>
        <w:rPr>
          <w:rFonts w:ascii="Arial" w:cs="Arial" w:eastAsia="Arial" w:hAnsi="Arial"/>
          <w:sz w:val="18"/>
          <w:szCs w:val="18"/>
          <w:color w:val="auto"/>
        </w:rPr>
        <w:t>If Mr. Pamiljans had retired on December 31, 2020, he would have been eligible to receive an estimated total annual pension benefit of $401,401 (commencing January 1, 2021).</w:t>
      </w: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67</w:t>
      </w:r>
    </w:p>
    <w:p>
      <w:pPr>
        <w:sectPr>
          <w:pgSz w:w="11900" w:h="16838" w:orient="portrait"/>
          <w:cols w:equalWidth="0" w:num="1">
            <w:col w:w="11240"/>
          </w:cols>
          <w:pgMar w:left="320" w:top="607" w:right="339" w:bottom="1440" w:gutter="0" w:footer="0" w:header="0"/>
        </w:sectPr>
      </w:pPr>
    </w:p>
    <w:bookmarkStart w:id="73" w:name="page74"/>
    <w:bookmarkEnd w:id="73"/>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5314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 xml:space="preserve">COMPENSATION TABLES | </w:t>
      </w:r>
      <w:r>
        <w:rPr>
          <w:rFonts w:ascii="Arial" w:cs="Arial" w:eastAsia="Arial" w:hAnsi="Arial"/>
          <w:sz w:val="17"/>
          <w:szCs w:val="17"/>
          <w:b w:val="1"/>
          <w:bCs w:val="1"/>
          <w:color w:val="FFFFFF"/>
        </w:rPr>
        <w:t>NONQUALIFIED DEFERRED COMPENSATION TABLE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2020 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shd w:val="clear" w:color="auto" w:fill="00249C"/>
          </w:tcPr>
          <w:p>
            <w:pPr>
              <w:spacing w:after="0"/>
              <w:rPr>
                <w:sz w:val="14"/>
                <w:szCs w:val="14"/>
                <w:color w:val="auto"/>
              </w:rPr>
            </w:pPr>
          </w:p>
        </w:tc>
        <w:tc>
          <w:tcPr>
            <w:tcW w:w="1960" w:type="dxa"/>
            <w:vAlign w:val="bottom"/>
            <w:shd w:val="clear" w:color="auto" w:fill="00249C"/>
          </w:tcPr>
          <w:p>
            <w:pPr>
              <w:spacing w:after="0"/>
              <w:rPr>
                <w:sz w:val="14"/>
                <w:szCs w:val="14"/>
                <w:color w:val="auto"/>
              </w:rPr>
            </w:pPr>
          </w:p>
        </w:tc>
        <w:tc>
          <w:tcPr>
            <w:tcW w:w="1580" w:type="dxa"/>
            <w:vAlign w:val="bottom"/>
            <w:shd w:val="clear" w:color="auto" w:fill="00249C"/>
          </w:tcPr>
          <w:p>
            <w:pPr>
              <w:jc w:val="center"/>
              <w:ind w:left="248"/>
              <w:spacing w:after="0"/>
              <w:rPr>
                <w:sz w:val="20"/>
                <w:szCs w:val="20"/>
                <w:color w:val="auto"/>
              </w:rPr>
            </w:pPr>
            <w:r>
              <w:rPr>
                <w:rFonts w:ascii="Arial" w:cs="Arial" w:eastAsia="Arial" w:hAnsi="Arial"/>
                <w:sz w:val="14"/>
                <w:szCs w:val="14"/>
                <w:b w:val="1"/>
                <w:bCs w:val="1"/>
                <w:color w:val="FFFFFF"/>
              </w:rPr>
              <w:t>Executive</w:t>
            </w:r>
          </w:p>
        </w:tc>
        <w:tc>
          <w:tcPr>
            <w:tcW w:w="126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Registrant</w:t>
            </w:r>
          </w:p>
        </w:tc>
        <w:tc>
          <w:tcPr>
            <w:tcW w:w="126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Aggregate</w:t>
            </w:r>
          </w:p>
        </w:tc>
        <w:tc>
          <w:tcPr>
            <w:tcW w:w="126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Aggregate</w:t>
            </w:r>
          </w:p>
        </w:tc>
        <w:tc>
          <w:tcPr>
            <w:tcW w:w="124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Aggregate</w:t>
            </w:r>
          </w:p>
        </w:tc>
        <w:tc>
          <w:tcPr>
            <w:tcW w:w="20" w:type="dxa"/>
            <w:vAlign w:val="bottom"/>
            <w:shd w:val="clear" w:color="auto" w:fill="00249C"/>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680" w:type="dxa"/>
            <w:vAlign w:val="bottom"/>
            <w:vMerge w:val="restart"/>
            <w:shd w:val="clear" w:color="auto" w:fill="00249C"/>
          </w:tcPr>
          <w:p>
            <w:pPr>
              <w:ind w:left="40"/>
              <w:spacing w:after="0"/>
              <w:rPr>
                <w:sz w:val="20"/>
                <w:szCs w:val="20"/>
                <w:color w:val="auto"/>
              </w:rPr>
            </w:pPr>
            <w:r>
              <w:rPr>
                <w:rFonts w:ascii="Arial" w:cs="Arial" w:eastAsia="Arial" w:hAnsi="Arial"/>
                <w:sz w:val="14"/>
                <w:szCs w:val="14"/>
                <w:b w:val="1"/>
                <w:bCs w:val="1"/>
                <w:color w:val="FFFFFF"/>
              </w:rPr>
              <w:t>Name</w:t>
            </w:r>
          </w:p>
        </w:tc>
        <w:tc>
          <w:tcPr>
            <w:tcW w:w="1960" w:type="dxa"/>
            <w:vAlign w:val="bottom"/>
            <w:vMerge w:val="restart"/>
            <w:shd w:val="clear" w:color="auto" w:fill="00249C"/>
          </w:tcPr>
          <w:p>
            <w:pPr>
              <w:ind w:left="780"/>
              <w:spacing w:after="0"/>
              <w:rPr>
                <w:sz w:val="20"/>
                <w:szCs w:val="20"/>
                <w:color w:val="auto"/>
              </w:rPr>
            </w:pPr>
            <w:r>
              <w:rPr>
                <w:rFonts w:ascii="Arial" w:cs="Arial" w:eastAsia="Arial" w:hAnsi="Arial"/>
                <w:sz w:val="14"/>
                <w:szCs w:val="14"/>
                <w:b w:val="1"/>
                <w:bCs w:val="1"/>
                <w:color w:val="FFFFFF"/>
              </w:rPr>
              <w:t>Plan Name</w:t>
            </w:r>
          </w:p>
        </w:tc>
        <w:tc>
          <w:tcPr>
            <w:tcW w:w="1580" w:type="dxa"/>
            <w:vAlign w:val="bottom"/>
            <w:shd w:val="clear" w:color="auto" w:fill="00249C"/>
          </w:tcPr>
          <w:p>
            <w:pPr>
              <w:jc w:val="center"/>
              <w:ind w:left="248"/>
              <w:spacing w:after="0" w:line="135" w:lineRule="exact"/>
              <w:rPr>
                <w:sz w:val="20"/>
                <w:szCs w:val="20"/>
                <w:color w:val="auto"/>
              </w:rPr>
            </w:pPr>
            <w:r>
              <w:rPr>
                <w:rFonts w:ascii="Arial" w:cs="Arial" w:eastAsia="Arial" w:hAnsi="Arial"/>
                <w:sz w:val="14"/>
                <w:szCs w:val="14"/>
                <w:b w:val="1"/>
                <w:bCs w:val="1"/>
                <w:color w:val="FFFFFF"/>
              </w:rPr>
              <w:t>Contributions in</w:t>
            </w:r>
          </w:p>
        </w:tc>
        <w:tc>
          <w:tcPr>
            <w:tcW w:w="1260" w:type="dxa"/>
            <w:vAlign w:val="bottom"/>
            <w:shd w:val="clear" w:color="auto" w:fill="00249C"/>
          </w:tcPr>
          <w:p>
            <w:pPr>
              <w:jc w:val="center"/>
              <w:spacing w:after="0" w:line="135" w:lineRule="exact"/>
              <w:rPr>
                <w:sz w:val="20"/>
                <w:szCs w:val="20"/>
                <w:color w:val="auto"/>
              </w:rPr>
            </w:pPr>
            <w:r>
              <w:rPr>
                <w:rFonts w:ascii="Arial" w:cs="Arial" w:eastAsia="Arial" w:hAnsi="Arial"/>
                <w:sz w:val="14"/>
                <w:szCs w:val="14"/>
                <w:b w:val="1"/>
                <w:bCs w:val="1"/>
                <w:color w:val="FFFFFF"/>
              </w:rPr>
              <w:t>Contributions in</w:t>
            </w:r>
          </w:p>
        </w:tc>
        <w:tc>
          <w:tcPr>
            <w:tcW w:w="1260" w:type="dxa"/>
            <w:vAlign w:val="bottom"/>
            <w:shd w:val="clear" w:color="auto" w:fill="00249C"/>
          </w:tcPr>
          <w:p>
            <w:pPr>
              <w:jc w:val="center"/>
              <w:spacing w:after="0" w:line="135" w:lineRule="exact"/>
              <w:rPr>
                <w:sz w:val="20"/>
                <w:szCs w:val="20"/>
                <w:color w:val="auto"/>
              </w:rPr>
            </w:pPr>
            <w:r>
              <w:rPr>
                <w:rFonts w:ascii="Arial" w:cs="Arial" w:eastAsia="Arial" w:hAnsi="Arial"/>
                <w:sz w:val="14"/>
                <w:szCs w:val="14"/>
                <w:b w:val="1"/>
                <w:bCs w:val="1"/>
                <w:color w:val="FFFFFF"/>
              </w:rPr>
              <w:t>Earnings in Last</w:t>
            </w:r>
          </w:p>
        </w:tc>
        <w:tc>
          <w:tcPr>
            <w:tcW w:w="1260" w:type="dxa"/>
            <w:vAlign w:val="bottom"/>
            <w:shd w:val="clear" w:color="auto" w:fill="00249C"/>
          </w:tcPr>
          <w:p>
            <w:pPr>
              <w:jc w:val="center"/>
              <w:spacing w:after="0" w:line="135" w:lineRule="exact"/>
              <w:rPr>
                <w:sz w:val="20"/>
                <w:szCs w:val="20"/>
                <w:color w:val="auto"/>
              </w:rPr>
            </w:pPr>
            <w:r>
              <w:rPr>
                <w:rFonts w:ascii="Arial" w:cs="Arial" w:eastAsia="Arial" w:hAnsi="Arial"/>
                <w:sz w:val="14"/>
                <w:szCs w:val="14"/>
                <w:b w:val="1"/>
                <w:bCs w:val="1"/>
                <w:color w:val="FFFFFF"/>
              </w:rPr>
              <w:t>Withdrawals/</w:t>
            </w:r>
          </w:p>
        </w:tc>
        <w:tc>
          <w:tcPr>
            <w:tcW w:w="1240" w:type="dxa"/>
            <w:vAlign w:val="bottom"/>
            <w:shd w:val="clear" w:color="auto" w:fill="00249C"/>
          </w:tcPr>
          <w:p>
            <w:pPr>
              <w:jc w:val="center"/>
              <w:spacing w:after="0" w:line="135" w:lineRule="exact"/>
              <w:rPr>
                <w:sz w:val="20"/>
                <w:szCs w:val="20"/>
                <w:color w:val="auto"/>
              </w:rPr>
            </w:pPr>
            <w:r>
              <w:rPr>
                <w:rFonts w:ascii="Arial" w:cs="Arial" w:eastAsia="Arial" w:hAnsi="Arial"/>
                <w:sz w:val="14"/>
                <w:szCs w:val="14"/>
                <w:b w:val="1"/>
                <w:bCs w:val="1"/>
                <w:color w:val="FFFFFF"/>
              </w:rPr>
              <w:t>Balance at Last</w:t>
            </w:r>
          </w:p>
        </w:tc>
        <w:tc>
          <w:tcPr>
            <w:tcW w:w="20" w:type="dxa"/>
            <w:vAlign w:val="bottom"/>
            <w:shd w:val="clear" w:color="auto" w:fill="00249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80" w:type="dxa"/>
            <w:vAlign w:val="bottom"/>
            <w:vMerge w:val="continue"/>
            <w:shd w:val="clear" w:color="auto" w:fill="00249C"/>
          </w:tcPr>
          <w:p>
            <w:pPr>
              <w:spacing w:after="0"/>
              <w:rPr>
                <w:sz w:val="16"/>
                <w:szCs w:val="16"/>
                <w:color w:val="auto"/>
              </w:rPr>
            </w:pPr>
          </w:p>
        </w:tc>
        <w:tc>
          <w:tcPr>
            <w:tcW w:w="1960" w:type="dxa"/>
            <w:vAlign w:val="bottom"/>
            <w:vMerge w:val="continue"/>
            <w:shd w:val="clear" w:color="auto" w:fill="00249C"/>
          </w:tcPr>
          <w:p>
            <w:pPr>
              <w:spacing w:after="0"/>
              <w:rPr>
                <w:sz w:val="16"/>
                <w:szCs w:val="16"/>
                <w:color w:val="auto"/>
              </w:rPr>
            </w:pPr>
          </w:p>
        </w:tc>
        <w:tc>
          <w:tcPr>
            <w:tcW w:w="1580" w:type="dxa"/>
            <w:vAlign w:val="bottom"/>
            <w:shd w:val="clear" w:color="auto" w:fill="00249C"/>
          </w:tcPr>
          <w:p>
            <w:pPr>
              <w:jc w:val="center"/>
              <w:ind w:left="248"/>
              <w:spacing w:after="0"/>
              <w:rPr>
                <w:sz w:val="20"/>
                <w:szCs w:val="20"/>
                <w:color w:val="auto"/>
              </w:rPr>
            </w:pPr>
            <w:r>
              <w:rPr>
                <w:rFonts w:ascii="Arial" w:cs="Arial" w:eastAsia="Arial" w:hAnsi="Arial"/>
                <w:sz w:val="14"/>
                <w:szCs w:val="14"/>
                <w:b w:val="1"/>
                <w:bCs w:val="1"/>
                <w:color w:val="FFFFFF"/>
              </w:rPr>
              <w:t>Last FY (1) ($)</w:t>
            </w:r>
          </w:p>
        </w:tc>
        <w:tc>
          <w:tcPr>
            <w:tcW w:w="126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Last FY (2) ($)</w:t>
            </w:r>
          </w:p>
        </w:tc>
        <w:tc>
          <w:tcPr>
            <w:tcW w:w="126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FY (3) ($)</w:t>
            </w:r>
          </w:p>
        </w:tc>
        <w:tc>
          <w:tcPr>
            <w:tcW w:w="126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Distributions ($)</w:t>
            </w:r>
          </w:p>
        </w:tc>
        <w:tc>
          <w:tcPr>
            <w:tcW w:w="124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FYE (4) ($)</w:t>
            </w:r>
          </w:p>
        </w:tc>
        <w:tc>
          <w:tcPr>
            <w:tcW w:w="20" w:type="dxa"/>
            <w:vAlign w:val="bottom"/>
            <w:shd w:val="clear" w:color="auto" w:fill="00249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Kathy J. Warden</w:t>
            </w:r>
          </w:p>
        </w:tc>
        <w:tc>
          <w:tcPr>
            <w:tcW w:w="1960" w:type="dxa"/>
            <w:vAlign w:val="bottom"/>
            <w:shd w:val="clear" w:color="auto" w:fill="CCD4DB"/>
          </w:tcPr>
          <w:p>
            <w:pPr>
              <w:ind w:left="20"/>
              <w:spacing w:after="0"/>
              <w:rPr>
                <w:sz w:val="20"/>
                <w:szCs w:val="20"/>
                <w:color w:val="auto"/>
              </w:rPr>
            </w:pPr>
            <w:r>
              <w:rPr>
                <w:rFonts w:ascii="Arial" w:cs="Arial" w:eastAsia="Arial" w:hAnsi="Arial"/>
                <w:sz w:val="14"/>
                <w:szCs w:val="14"/>
                <w:color w:val="auto"/>
              </w:rPr>
              <w:t>Savings Excess</w:t>
            </w:r>
          </w:p>
        </w:tc>
        <w:tc>
          <w:tcPr>
            <w:tcW w:w="1580" w:type="dxa"/>
            <w:vAlign w:val="bottom"/>
            <w:shd w:val="clear" w:color="auto" w:fill="CCD4DB"/>
          </w:tcPr>
          <w:p>
            <w:pPr>
              <w:jc w:val="center"/>
              <w:ind w:left="268"/>
              <w:spacing w:after="0"/>
              <w:rPr>
                <w:sz w:val="20"/>
                <w:szCs w:val="20"/>
                <w:color w:val="auto"/>
              </w:rPr>
            </w:pPr>
            <w:r>
              <w:rPr>
                <w:rFonts w:ascii="Arial" w:cs="Arial" w:eastAsia="Arial" w:hAnsi="Arial"/>
                <w:sz w:val="14"/>
                <w:szCs w:val="14"/>
                <w:color w:val="auto"/>
              </w:rPr>
              <w:t>460,828</w:t>
            </w:r>
          </w:p>
        </w:tc>
        <w:tc>
          <w:tcPr>
            <w:tcW w:w="126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230,414</w:t>
            </w:r>
          </w:p>
        </w:tc>
        <w:tc>
          <w:tcPr>
            <w:tcW w:w="126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498,236</w:t>
            </w:r>
          </w:p>
        </w:tc>
        <w:tc>
          <w:tcPr>
            <w:tcW w:w="126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(5,303)</w:t>
            </w:r>
          </w:p>
        </w:tc>
        <w:tc>
          <w:tcPr>
            <w:tcW w:w="124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3,321,583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680" w:type="dxa"/>
            <w:vAlign w:val="bottom"/>
            <w:vMerge w:val="continue"/>
          </w:tcPr>
          <w:p>
            <w:pPr>
              <w:spacing w:after="0"/>
              <w:rPr>
                <w:sz w:val="8"/>
                <w:szCs w:val="8"/>
                <w:color w:val="auto"/>
              </w:rPr>
            </w:pPr>
          </w:p>
        </w:tc>
        <w:tc>
          <w:tcPr>
            <w:tcW w:w="1960" w:type="dxa"/>
            <w:vAlign w:val="bottom"/>
            <w:vMerge w:val="restart"/>
          </w:tcPr>
          <w:p>
            <w:pPr>
              <w:ind w:left="20"/>
              <w:spacing w:after="0"/>
              <w:rPr>
                <w:sz w:val="20"/>
                <w:szCs w:val="20"/>
                <w:color w:val="auto"/>
              </w:rPr>
            </w:pPr>
            <w:r>
              <w:rPr>
                <w:rFonts w:ascii="Arial" w:cs="Arial" w:eastAsia="Arial" w:hAnsi="Arial"/>
                <w:sz w:val="14"/>
                <w:szCs w:val="14"/>
                <w:color w:val="auto"/>
              </w:rPr>
              <w:t>ORAC</w:t>
            </w:r>
          </w:p>
        </w:tc>
        <w:tc>
          <w:tcPr>
            <w:tcW w:w="1580" w:type="dxa"/>
            <w:vAlign w:val="bottom"/>
            <w:vMerge w:val="restart"/>
          </w:tcPr>
          <w:p>
            <w:pPr>
              <w:jc w:val="center"/>
              <w:ind w:left="248"/>
              <w:spacing w:after="0"/>
              <w:rPr>
                <w:sz w:val="20"/>
                <w:szCs w:val="20"/>
                <w:color w:val="auto"/>
              </w:rPr>
            </w:pPr>
            <w:r>
              <w:rPr>
                <w:rFonts w:ascii="Arial" w:cs="Arial" w:eastAsia="Arial" w:hAnsi="Arial"/>
                <w:sz w:val="14"/>
                <w:szCs w:val="14"/>
                <w:color w:val="auto"/>
                <w:w w:val="99"/>
              </w:rPr>
              <w:t>—</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rPr>
              <w:t>241,814</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rPr>
              <w:t>128,470</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rPr>
              <w:t>(3,204)</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rPr>
              <w:t>892,388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680" w:type="dxa"/>
            <w:vAlign w:val="bottom"/>
            <w:tcBorders>
              <w:bottom w:val="single" w:sz="8" w:color="00249C"/>
            </w:tcBorders>
          </w:tcPr>
          <w:p>
            <w:pPr>
              <w:spacing w:after="0"/>
              <w:rPr>
                <w:sz w:val="10"/>
                <w:szCs w:val="10"/>
                <w:color w:val="auto"/>
              </w:rPr>
            </w:pPr>
          </w:p>
        </w:tc>
        <w:tc>
          <w:tcPr>
            <w:tcW w:w="1960" w:type="dxa"/>
            <w:vAlign w:val="bottom"/>
            <w:tcBorders>
              <w:bottom w:val="single" w:sz="8" w:color="00249C"/>
            </w:tcBorders>
            <w:vMerge w:val="continue"/>
          </w:tcPr>
          <w:p>
            <w:pPr>
              <w:spacing w:after="0"/>
              <w:rPr>
                <w:sz w:val="10"/>
                <w:szCs w:val="10"/>
                <w:color w:val="auto"/>
              </w:rPr>
            </w:pPr>
          </w:p>
        </w:tc>
        <w:tc>
          <w:tcPr>
            <w:tcW w:w="1580" w:type="dxa"/>
            <w:vAlign w:val="bottom"/>
            <w:tcBorders>
              <w:bottom w:val="single" w:sz="8" w:color="00249C"/>
            </w:tcBorders>
            <w:vMerge w:val="continue"/>
          </w:tcPr>
          <w:p>
            <w:pPr>
              <w:spacing w:after="0"/>
              <w:rPr>
                <w:sz w:val="10"/>
                <w:szCs w:val="10"/>
                <w:color w:val="auto"/>
              </w:rPr>
            </w:pPr>
          </w:p>
        </w:tc>
        <w:tc>
          <w:tcPr>
            <w:tcW w:w="1260" w:type="dxa"/>
            <w:vAlign w:val="bottom"/>
            <w:tcBorders>
              <w:bottom w:val="single" w:sz="8" w:color="00249C"/>
            </w:tcBorders>
            <w:vMerge w:val="continue"/>
          </w:tcPr>
          <w:p>
            <w:pPr>
              <w:spacing w:after="0"/>
              <w:rPr>
                <w:sz w:val="10"/>
                <w:szCs w:val="10"/>
                <w:color w:val="auto"/>
              </w:rPr>
            </w:pPr>
          </w:p>
        </w:tc>
        <w:tc>
          <w:tcPr>
            <w:tcW w:w="1260" w:type="dxa"/>
            <w:vAlign w:val="bottom"/>
            <w:tcBorders>
              <w:bottom w:val="single" w:sz="8" w:color="00249C"/>
            </w:tcBorders>
            <w:vMerge w:val="continue"/>
          </w:tcPr>
          <w:p>
            <w:pPr>
              <w:spacing w:after="0"/>
              <w:rPr>
                <w:sz w:val="10"/>
                <w:szCs w:val="10"/>
                <w:color w:val="auto"/>
              </w:rPr>
            </w:pPr>
          </w:p>
        </w:tc>
        <w:tc>
          <w:tcPr>
            <w:tcW w:w="1260" w:type="dxa"/>
            <w:vAlign w:val="bottom"/>
            <w:tcBorders>
              <w:bottom w:val="single" w:sz="8" w:color="00249C"/>
            </w:tcBorders>
            <w:vMerge w:val="continue"/>
          </w:tcPr>
          <w:p>
            <w:pPr>
              <w:spacing w:after="0"/>
              <w:rPr>
                <w:sz w:val="10"/>
                <w:szCs w:val="10"/>
                <w:color w:val="auto"/>
              </w:rPr>
            </w:pPr>
          </w:p>
        </w:tc>
        <w:tc>
          <w:tcPr>
            <w:tcW w:w="1240" w:type="dxa"/>
            <w:vAlign w:val="bottom"/>
            <w:tcBorders>
              <w:bottom w:val="single" w:sz="8" w:color="00249C"/>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680" w:type="dxa"/>
            <w:vAlign w:val="bottom"/>
            <w:tcBorders>
              <w:bottom w:val="single" w:sz="8" w:color="00249C"/>
            </w:tcBorders>
          </w:tcPr>
          <w:p>
            <w:pPr>
              <w:ind w:left="20"/>
              <w:spacing w:after="0"/>
              <w:rPr>
                <w:sz w:val="20"/>
                <w:szCs w:val="20"/>
                <w:color w:val="auto"/>
              </w:rPr>
            </w:pPr>
            <w:r>
              <w:rPr>
                <w:rFonts w:ascii="Arial" w:cs="Arial" w:eastAsia="Arial" w:hAnsi="Arial"/>
                <w:sz w:val="14"/>
                <w:szCs w:val="14"/>
                <w:color w:val="auto"/>
              </w:rPr>
              <w:t>David F. Keffer</w:t>
            </w:r>
          </w:p>
        </w:tc>
        <w:tc>
          <w:tcPr>
            <w:tcW w:w="1960" w:type="dxa"/>
            <w:vAlign w:val="bottom"/>
            <w:tcBorders>
              <w:bottom w:val="single" w:sz="8" w:color="00249C"/>
            </w:tcBorders>
            <w:shd w:val="clear" w:color="auto" w:fill="CCD4DB"/>
          </w:tcPr>
          <w:p>
            <w:pPr>
              <w:ind w:left="20"/>
              <w:spacing w:after="0"/>
              <w:rPr>
                <w:sz w:val="20"/>
                <w:szCs w:val="20"/>
                <w:color w:val="auto"/>
              </w:rPr>
            </w:pPr>
            <w:r>
              <w:rPr>
                <w:rFonts w:ascii="Arial" w:cs="Arial" w:eastAsia="Arial" w:hAnsi="Arial"/>
                <w:sz w:val="14"/>
                <w:szCs w:val="14"/>
                <w:color w:val="auto"/>
              </w:rPr>
              <w:t>ORAC</w:t>
            </w:r>
          </w:p>
        </w:tc>
        <w:tc>
          <w:tcPr>
            <w:tcW w:w="1580" w:type="dxa"/>
            <w:vAlign w:val="bottom"/>
            <w:tcBorders>
              <w:bottom w:val="single" w:sz="8" w:color="00249C"/>
            </w:tcBorders>
            <w:shd w:val="clear" w:color="auto" w:fill="CCD4DB"/>
          </w:tcPr>
          <w:p>
            <w:pPr>
              <w:jc w:val="center"/>
              <w:ind w:left="248"/>
              <w:spacing w:after="0"/>
              <w:rPr>
                <w:sz w:val="20"/>
                <w:szCs w:val="20"/>
                <w:color w:val="auto"/>
              </w:rPr>
            </w:pPr>
            <w:r>
              <w:rPr>
                <w:rFonts w:ascii="Arial" w:cs="Arial" w:eastAsia="Arial" w:hAnsi="Arial"/>
                <w:sz w:val="14"/>
                <w:szCs w:val="14"/>
                <w:color w:val="auto"/>
                <w:w w:val="99"/>
              </w:rPr>
              <w:t>—</w:t>
            </w:r>
          </w:p>
        </w:tc>
        <w:tc>
          <w:tcPr>
            <w:tcW w:w="126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4"/>
                <w:szCs w:val="14"/>
                <w:color w:val="auto"/>
              </w:rPr>
              <w:t>25,385</w:t>
            </w:r>
          </w:p>
        </w:tc>
        <w:tc>
          <w:tcPr>
            <w:tcW w:w="126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4"/>
                <w:szCs w:val="14"/>
                <w:color w:val="auto"/>
              </w:rPr>
              <w:t>25,385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Mark A. Caylor</w:t>
            </w:r>
          </w:p>
        </w:tc>
        <w:tc>
          <w:tcPr>
            <w:tcW w:w="1960" w:type="dxa"/>
            <w:vAlign w:val="bottom"/>
          </w:tcPr>
          <w:p>
            <w:pPr>
              <w:ind w:left="20"/>
              <w:spacing w:after="0"/>
              <w:rPr>
                <w:sz w:val="20"/>
                <w:szCs w:val="20"/>
                <w:color w:val="auto"/>
              </w:rPr>
            </w:pPr>
            <w:r>
              <w:rPr>
                <w:rFonts w:ascii="Arial" w:cs="Arial" w:eastAsia="Arial" w:hAnsi="Arial"/>
                <w:sz w:val="14"/>
                <w:szCs w:val="14"/>
                <w:color w:val="auto"/>
              </w:rPr>
              <w:t>Savings Excess</w:t>
            </w:r>
          </w:p>
        </w:tc>
        <w:tc>
          <w:tcPr>
            <w:tcW w:w="1580" w:type="dxa"/>
            <w:vAlign w:val="bottom"/>
          </w:tcPr>
          <w:p>
            <w:pPr>
              <w:jc w:val="center"/>
              <w:ind w:left="248"/>
              <w:spacing w:after="0"/>
              <w:rPr>
                <w:sz w:val="20"/>
                <w:szCs w:val="20"/>
                <w:color w:val="auto"/>
              </w:rPr>
            </w:pPr>
            <w:r>
              <w:rPr>
                <w:rFonts w:ascii="Arial" w:cs="Arial" w:eastAsia="Arial" w:hAnsi="Arial"/>
                <w:sz w:val="14"/>
                <w:szCs w:val="14"/>
                <w:color w:val="auto"/>
                <w:w w:val="99"/>
              </w:rPr>
              <w:t>—</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Pr>
          <w:p>
            <w:pPr>
              <w:jc w:val="center"/>
              <w:spacing w:after="0"/>
              <w:rPr>
                <w:sz w:val="20"/>
                <w:szCs w:val="20"/>
                <w:color w:val="auto"/>
              </w:rPr>
            </w:pPr>
            <w:r>
              <w:rPr>
                <w:rFonts w:ascii="Arial" w:cs="Arial" w:eastAsia="Arial" w:hAnsi="Arial"/>
                <w:sz w:val="14"/>
                <w:szCs w:val="14"/>
                <w:color w:val="auto"/>
              </w:rPr>
              <w:t>28,673</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205,429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680" w:type="dxa"/>
            <w:vAlign w:val="bottom"/>
            <w:vMerge w:val="continue"/>
          </w:tcPr>
          <w:p>
            <w:pPr>
              <w:spacing w:after="0"/>
              <w:rPr>
                <w:sz w:val="8"/>
                <w:szCs w:val="8"/>
                <w:color w:val="auto"/>
              </w:rPr>
            </w:pPr>
          </w:p>
        </w:tc>
        <w:tc>
          <w:tcPr>
            <w:tcW w:w="1960" w:type="dxa"/>
            <w:vAlign w:val="bottom"/>
            <w:vMerge w:val="restart"/>
            <w:shd w:val="clear" w:color="auto" w:fill="CCD4DB"/>
          </w:tcPr>
          <w:p>
            <w:pPr>
              <w:ind w:left="20"/>
              <w:spacing w:after="0"/>
              <w:rPr>
                <w:sz w:val="20"/>
                <w:szCs w:val="20"/>
                <w:color w:val="auto"/>
              </w:rPr>
            </w:pPr>
            <w:r>
              <w:rPr>
                <w:rFonts w:ascii="Arial" w:cs="Arial" w:eastAsia="Arial" w:hAnsi="Arial"/>
                <w:sz w:val="14"/>
                <w:szCs w:val="14"/>
                <w:color w:val="auto"/>
              </w:rPr>
              <w:t>ORAC</w:t>
            </w:r>
          </w:p>
        </w:tc>
        <w:tc>
          <w:tcPr>
            <w:tcW w:w="1580" w:type="dxa"/>
            <w:vAlign w:val="bottom"/>
            <w:vMerge w:val="restart"/>
            <w:shd w:val="clear" w:color="auto" w:fill="CCD4DB"/>
          </w:tcPr>
          <w:p>
            <w:pPr>
              <w:jc w:val="center"/>
              <w:ind w:left="248"/>
              <w:spacing w:after="0"/>
              <w:rPr>
                <w:sz w:val="20"/>
                <w:szCs w:val="20"/>
                <w:color w:val="auto"/>
              </w:rPr>
            </w:pPr>
            <w:r>
              <w:rPr>
                <w:rFonts w:ascii="Arial" w:cs="Arial" w:eastAsia="Arial" w:hAnsi="Arial"/>
                <w:sz w:val="14"/>
                <w:szCs w:val="14"/>
                <w:color w:val="auto"/>
                <w:w w:val="99"/>
              </w:rPr>
              <w:t>—</w:t>
            </w:r>
          </w:p>
        </w:tc>
        <w:tc>
          <w:tcPr>
            <w:tcW w:w="126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91,314</w:t>
            </w:r>
          </w:p>
        </w:tc>
        <w:tc>
          <w:tcPr>
            <w:tcW w:w="126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85,122</w:t>
            </w:r>
          </w:p>
        </w:tc>
        <w:tc>
          <w:tcPr>
            <w:tcW w:w="126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(2,048)</w:t>
            </w:r>
          </w:p>
        </w:tc>
        <w:tc>
          <w:tcPr>
            <w:tcW w:w="124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543,754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680" w:type="dxa"/>
            <w:vAlign w:val="bottom"/>
            <w:tcBorders>
              <w:bottom w:val="single" w:sz="8" w:color="00249C"/>
            </w:tcBorders>
          </w:tcPr>
          <w:p>
            <w:pPr>
              <w:spacing w:after="0"/>
              <w:rPr>
                <w:sz w:val="10"/>
                <w:szCs w:val="10"/>
                <w:color w:val="auto"/>
              </w:rPr>
            </w:pPr>
          </w:p>
        </w:tc>
        <w:tc>
          <w:tcPr>
            <w:tcW w:w="1960" w:type="dxa"/>
            <w:vAlign w:val="bottom"/>
            <w:tcBorders>
              <w:bottom w:val="single" w:sz="8" w:color="00249C"/>
            </w:tcBorders>
            <w:vMerge w:val="continue"/>
            <w:shd w:val="clear" w:color="auto" w:fill="CCD4DB"/>
          </w:tcPr>
          <w:p>
            <w:pPr>
              <w:spacing w:after="0"/>
              <w:rPr>
                <w:sz w:val="10"/>
                <w:szCs w:val="10"/>
                <w:color w:val="auto"/>
              </w:rPr>
            </w:pPr>
          </w:p>
        </w:tc>
        <w:tc>
          <w:tcPr>
            <w:tcW w:w="1580" w:type="dxa"/>
            <w:vAlign w:val="bottom"/>
            <w:tcBorders>
              <w:bottom w:val="single" w:sz="8" w:color="00249C"/>
            </w:tcBorders>
            <w:vMerge w:val="continue"/>
            <w:shd w:val="clear" w:color="auto" w:fill="CCD4DB"/>
          </w:tcPr>
          <w:p>
            <w:pPr>
              <w:spacing w:after="0"/>
              <w:rPr>
                <w:sz w:val="10"/>
                <w:szCs w:val="10"/>
                <w:color w:val="auto"/>
              </w:rPr>
            </w:pPr>
          </w:p>
        </w:tc>
        <w:tc>
          <w:tcPr>
            <w:tcW w:w="1260" w:type="dxa"/>
            <w:vAlign w:val="bottom"/>
            <w:tcBorders>
              <w:bottom w:val="single" w:sz="8" w:color="00249C"/>
            </w:tcBorders>
            <w:vMerge w:val="continue"/>
            <w:shd w:val="clear" w:color="auto" w:fill="CCD4DB"/>
          </w:tcPr>
          <w:p>
            <w:pPr>
              <w:spacing w:after="0"/>
              <w:rPr>
                <w:sz w:val="10"/>
                <w:szCs w:val="10"/>
                <w:color w:val="auto"/>
              </w:rPr>
            </w:pPr>
          </w:p>
        </w:tc>
        <w:tc>
          <w:tcPr>
            <w:tcW w:w="1260" w:type="dxa"/>
            <w:vAlign w:val="bottom"/>
            <w:tcBorders>
              <w:bottom w:val="single" w:sz="8" w:color="00249C"/>
            </w:tcBorders>
            <w:vMerge w:val="continue"/>
            <w:shd w:val="clear" w:color="auto" w:fill="CCD4DB"/>
          </w:tcPr>
          <w:p>
            <w:pPr>
              <w:spacing w:after="0"/>
              <w:rPr>
                <w:sz w:val="10"/>
                <w:szCs w:val="10"/>
                <w:color w:val="auto"/>
              </w:rPr>
            </w:pPr>
          </w:p>
        </w:tc>
        <w:tc>
          <w:tcPr>
            <w:tcW w:w="1260" w:type="dxa"/>
            <w:vAlign w:val="bottom"/>
            <w:tcBorders>
              <w:bottom w:val="single" w:sz="8" w:color="00249C"/>
            </w:tcBorders>
            <w:vMerge w:val="continue"/>
            <w:shd w:val="clear" w:color="auto" w:fill="CCD4DB"/>
          </w:tcPr>
          <w:p>
            <w:pPr>
              <w:spacing w:after="0"/>
              <w:rPr>
                <w:sz w:val="10"/>
                <w:szCs w:val="10"/>
                <w:color w:val="auto"/>
              </w:rPr>
            </w:pPr>
          </w:p>
        </w:tc>
        <w:tc>
          <w:tcPr>
            <w:tcW w:w="1240" w:type="dxa"/>
            <w:vAlign w:val="bottom"/>
            <w:tcBorders>
              <w:bottom w:val="single" w:sz="8" w:color="00249C"/>
            </w:tcBorders>
            <w:vMerge w:val="continue"/>
            <w:shd w:val="clear" w:color="auto" w:fill="CCD4DB"/>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680" w:type="dxa"/>
            <w:vAlign w:val="bottom"/>
          </w:tcPr>
          <w:p>
            <w:pPr>
              <w:spacing w:after="0"/>
              <w:rPr>
                <w:sz w:val="17"/>
                <w:szCs w:val="17"/>
                <w:color w:val="auto"/>
              </w:rPr>
            </w:pPr>
          </w:p>
        </w:tc>
        <w:tc>
          <w:tcPr>
            <w:tcW w:w="1960" w:type="dxa"/>
            <w:vAlign w:val="bottom"/>
          </w:tcPr>
          <w:p>
            <w:pPr>
              <w:ind w:left="20"/>
              <w:spacing w:after="0"/>
              <w:rPr>
                <w:sz w:val="20"/>
                <w:szCs w:val="20"/>
                <w:color w:val="auto"/>
              </w:rPr>
            </w:pPr>
            <w:r>
              <w:rPr>
                <w:rFonts w:ascii="Arial" w:cs="Arial" w:eastAsia="Arial" w:hAnsi="Arial"/>
                <w:sz w:val="14"/>
                <w:szCs w:val="14"/>
                <w:color w:val="auto"/>
              </w:rPr>
              <w:t>Savings Excess</w:t>
            </w:r>
          </w:p>
        </w:tc>
        <w:tc>
          <w:tcPr>
            <w:tcW w:w="1580" w:type="dxa"/>
            <w:vAlign w:val="bottom"/>
          </w:tcPr>
          <w:p>
            <w:pPr>
              <w:jc w:val="center"/>
              <w:ind w:left="268"/>
              <w:spacing w:after="0"/>
              <w:rPr>
                <w:sz w:val="20"/>
                <w:szCs w:val="20"/>
                <w:color w:val="auto"/>
              </w:rPr>
            </w:pPr>
            <w:r>
              <w:rPr>
                <w:rFonts w:ascii="Arial" w:cs="Arial" w:eastAsia="Arial" w:hAnsi="Arial"/>
                <w:sz w:val="14"/>
                <w:szCs w:val="14"/>
                <w:color w:val="auto"/>
              </w:rPr>
              <w:t>107,682</w:t>
            </w:r>
          </w:p>
        </w:tc>
        <w:tc>
          <w:tcPr>
            <w:tcW w:w="1260" w:type="dxa"/>
            <w:vAlign w:val="bottom"/>
          </w:tcPr>
          <w:p>
            <w:pPr>
              <w:jc w:val="center"/>
              <w:spacing w:after="0"/>
              <w:rPr>
                <w:sz w:val="20"/>
                <w:szCs w:val="20"/>
                <w:color w:val="auto"/>
              </w:rPr>
            </w:pPr>
            <w:r>
              <w:rPr>
                <w:rFonts w:ascii="Arial" w:cs="Arial" w:eastAsia="Arial" w:hAnsi="Arial"/>
                <w:sz w:val="14"/>
                <w:szCs w:val="14"/>
                <w:color w:val="auto"/>
              </w:rPr>
              <w:t>80,762</w:t>
            </w:r>
          </w:p>
        </w:tc>
        <w:tc>
          <w:tcPr>
            <w:tcW w:w="1260" w:type="dxa"/>
            <w:vAlign w:val="bottom"/>
          </w:tcPr>
          <w:p>
            <w:pPr>
              <w:jc w:val="center"/>
              <w:spacing w:after="0"/>
              <w:rPr>
                <w:sz w:val="20"/>
                <w:szCs w:val="20"/>
                <w:color w:val="auto"/>
              </w:rPr>
            </w:pPr>
            <w:r>
              <w:rPr>
                <w:rFonts w:ascii="Arial" w:cs="Arial" w:eastAsia="Arial" w:hAnsi="Arial"/>
                <w:sz w:val="14"/>
                <w:szCs w:val="14"/>
                <w:color w:val="auto"/>
              </w:rPr>
              <w:t>78,365</w:t>
            </w:r>
          </w:p>
        </w:tc>
        <w:tc>
          <w:tcPr>
            <w:tcW w:w="1260" w:type="dxa"/>
            <w:vAlign w:val="bottom"/>
          </w:tcPr>
          <w:p>
            <w:pPr>
              <w:jc w:val="center"/>
              <w:spacing w:after="0"/>
              <w:rPr>
                <w:sz w:val="20"/>
                <w:szCs w:val="20"/>
                <w:color w:val="auto"/>
              </w:rPr>
            </w:pPr>
            <w:r>
              <w:rPr>
                <w:rFonts w:ascii="Arial" w:cs="Arial" w:eastAsia="Arial" w:hAnsi="Arial"/>
                <w:sz w:val="14"/>
                <w:szCs w:val="14"/>
                <w:color w:val="auto"/>
              </w:rPr>
              <w:t>(1,832)</w:t>
            </w:r>
          </w:p>
        </w:tc>
        <w:tc>
          <w:tcPr>
            <w:tcW w:w="1240" w:type="dxa"/>
            <w:vAlign w:val="bottom"/>
          </w:tcPr>
          <w:p>
            <w:pPr>
              <w:jc w:val="center"/>
              <w:spacing w:after="0"/>
              <w:rPr>
                <w:sz w:val="20"/>
                <w:szCs w:val="20"/>
                <w:color w:val="auto"/>
              </w:rPr>
            </w:pPr>
            <w:r>
              <w:rPr>
                <w:rFonts w:ascii="Arial" w:cs="Arial" w:eastAsia="Arial" w:hAnsi="Arial"/>
                <w:sz w:val="14"/>
                <w:szCs w:val="14"/>
                <w:color w:val="auto"/>
              </w:rPr>
              <w:t>451,862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Blake E. Larson</w:t>
            </w:r>
          </w:p>
        </w:tc>
        <w:tc>
          <w:tcPr>
            <w:tcW w:w="1960" w:type="dxa"/>
            <w:vAlign w:val="bottom"/>
            <w:shd w:val="clear" w:color="auto" w:fill="CCD4DB"/>
          </w:tcPr>
          <w:p>
            <w:pPr>
              <w:ind w:left="20"/>
              <w:spacing w:after="0"/>
              <w:rPr>
                <w:sz w:val="20"/>
                <w:szCs w:val="20"/>
                <w:color w:val="auto"/>
              </w:rPr>
            </w:pPr>
            <w:r>
              <w:rPr>
                <w:rFonts w:ascii="Arial" w:cs="Arial" w:eastAsia="Arial" w:hAnsi="Arial"/>
                <w:sz w:val="14"/>
                <w:szCs w:val="14"/>
                <w:color w:val="auto"/>
              </w:rPr>
              <w:t>ORAC</w:t>
            </w:r>
          </w:p>
        </w:tc>
        <w:tc>
          <w:tcPr>
            <w:tcW w:w="1580" w:type="dxa"/>
            <w:vAlign w:val="bottom"/>
            <w:shd w:val="clear" w:color="auto" w:fill="CCD4DB"/>
          </w:tcPr>
          <w:p>
            <w:pPr>
              <w:jc w:val="center"/>
              <w:ind w:left="248"/>
              <w:spacing w:after="0"/>
              <w:rPr>
                <w:sz w:val="20"/>
                <w:szCs w:val="20"/>
                <w:color w:val="auto"/>
              </w:rPr>
            </w:pPr>
            <w:r>
              <w:rPr>
                <w:rFonts w:ascii="Arial" w:cs="Arial" w:eastAsia="Arial" w:hAnsi="Arial"/>
                <w:sz w:val="14"/>
                <w:szCs w:val="14"/>
                <w:color w:val="auto"/>
                <w:w w:val="99"/>
              </w:rPr>
              <w:t>—</w:t>
            </w:r>
          </w:p>
        </w:tc>
        <w:tc>
          <w:tcPr>
            <w:tcW w:w="126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83,188</w:t>
            </w:r>
          </w:p>
        </w:tc>
        <w:tc>
          <w:tcPr>
            <w:tcW w:w="126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47,715</w:t>
            </w:r>
          </w:p>
        </w:tc>
        <w:tc>
          <w:tcPr>
            <w:tcW w:w="126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(1,761)</w:t>
            </w:r>
          </w:p>
        </w:tc>
        <w:tc>
          <w:tcPr>
            <w:tcW w:w="124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222,980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2680" w:type="dxa"/>
            <w:vAlign w:val="bottom"/>
            <w:vMerge w:val="continue"/>
          </w:tcPr>
          <w:p>
            <w:pPr>
              <w:spacing w:after="0"/>
              <w:rPr>
                <w:sz w:val="8"/>
                <w:szCs w:val="8"/>
                <w:color w:val="auto"/>
              </w:rPr>
            </w:pPr>
          </w:p>
        </w:tc>
        <w:tc>
          <w:tcPr>
            <w:tcW w:w="1960" w:type="dxa"/>
            <w:vAlign w:val="bottom"/>
            <w:vMerge w:val="restart"/>
          </w:tcPr>
          <w:p>
            <w:pPr>
              <w:ind w:left="20"/>
              <w:spacing w:after="0"/>
              <w:rPr>
                <w:sz w:val="20"/>
                <w:szCs w:val="20"/>
                <w:color w:val="auto"/>
              </w:rPr>
            </w:pPr>
            <w:r>
              <w:rPr>
                <w:rFonts w:ascii="Arial" w:cs="Arial" w:eastAsia="Arial" w:hAnsi="Arial"/>
                <w:sz w:val="14"/>
                <w:szCs w:val="14"/>
                <w:color w:val="auto"/>
              </w:rPr>
              <w:t>NGIS DC SERP</w:t>
            </w:r>
          </w:p>
        </w:tc>
        <w:tc>
          <w:tcPr>
            <w:tcW w:w="1580" w:type="dxa"/>
            <w:vAlign w:val="bottom"/>
            <w:vMerge w:val="restart"/>
          </w:tcPr>
          <w:p>
            <w:pPr>
              <w:jc w:val="center"/>
              <w:ind w:left="248"/>
              <w:spacing w:after="0"/>
              <w:rPr>
                <w:sz w:val="20"/>
                <w:szCs w:val="20"/>
                <w:color w:val="auto"/>
              </w:rPr>
            </w:pPr>
            <w:r>
              <w:rPr>
                <w:rFonts w:ascii="Arial" w:cs="Arial" w:eastAsia="Arial" w:hAnsi="Arial"/>
                <w:sz w:val="14"/>
                <w:szCs w:val="14"/>
                <w:color w:val="auto"/>
                <w:w w:val="99"/>
              </w:rPr>
              <w:t>—</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rPr>
              <w:t>42,947</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rPr>
              <w:t>327,266</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68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680" w:type="dxa"/>
            <w:vAlign w:val="bottom"/>
            <w:tcBorders>
              <w:bottom w:val="single" w:sz="8" w:color="00249C"/>
            </w:tcBorders>
          </w:tcPr>
          <w:p>
            <w:pPr>
              <w:spacing w:after="0"/>
              <w:rPr>
                <w:sz w:val="18"/>
                <w:szCs w:val="18"/>
                <w:color w:val="auto"/>
              </w:rPr>
            </w:pPr>
          </w:p>
        </w:tc>
        <w:tc>
          <w:tcPr>
            <w:tcW w:w="1960" w:type="dxa"/>
            <w:vAlign w:val="bottom"/>
            <w:tcBorders>
              <w:bottom w:val="single" w:sz="8" w:color="00249C"/>
            </w:tcBorders>
            <w:shd w:val="clear" w:color="auto" w:fill="CCD4DB"/>
          </w:tcPr>
          <w:p>
            <w:pPr>
              <w:ind w:left="20"/>
              <w:spacing w:after="0"/>
              <w:rPr>
                <w:sz w:val="20"/>
                <w:szCs w:val="20"/>
                <w:color w:val="auto"/>
              </w:rPr>
            </w:pPr>
            <w:r>
              <w:rPr>
                <w:rFonts w:ascii="Arial" w:cs="Arial" w:eastAsia="Arial" w:hAnsi="Arial"/>
                <w:sz w:val="14"/>
                <w:szCs w:val="14"/>
                <w:color w:val="auto"/>
              </w:rPr>
              <w:t>NGIS NQDCP</w:t>
            </w:r>
          </w:p>
        </w:tc>
        <w:tc>
          <w:tcPr>
            <w:tcW w:w="1580" w:type="dxa"/>
            <w:vAlign w:val="bottom"/>
            <w:tcBorders>
              <w:bottom w:val="single" w:sz="8" w:color="00249C"/>
            </w:tcBorders>
            <w:shd w:val="clear" w:color="auto" w:fill="CCD4DB"/>
          </w:tcPr>
          <w:p>
            <w:pPr>
              <w:jc w:val="center"/>
              <w:ind w:left="248"/>
              <w:spacing w:after="0"/>
              <w:rPr>
                <w:sz w:val="20"/>
                <w:szCs w:val="20"/>
                <w:color w:val="auto"/>
              </w:rPr>
            </w:pPr>
            <w:r>
              <w:rPr>
                <w:rFonts w:ascii="Arial" w:cs="Arial" w:eastAsia="Arial" w:hAnsi="Arial"/>
                <w:sz w:val="14"/>
                <w:szCs w:val="14"/>
                <w:color w:val="auto"/>
                <w:w w:val="99"/>
              </w:rPr>
              <w:t>—</w:t>
            </w:r>
          </w:p>
        </w:tc>
        <w:tc>
          <w:tcPr>
            <w:tcW w:w="126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4"/>
                <w:szCs w:val="14"/>
                <w:color w:val="auto"/>
              </w:rPr>
              <w:t>96,067</w:t>
            </w:r>
          </w:p>
        </w:tc>
        <w:tc>
          <w:tcPr>
            <w:tcW w:w="126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00249C"/>
            </w:tcBorders>
            <w:shd w:val="clear" w:color="auto" w:fill="CCD4DB"/>
          </w:tcPr>
          <w:p>
            <w:pPr>
              <w:jc w:val="center"/>
              <w:spacing w:after="0"/>
              <w:rPr>
                <w:sz w:val="20"/>
                <w:szCs w:val="20"/>
                <w:color w:val="auto"/>
              </w:rPr>
            </w:pPr>
            <w:r>
              <w:rPr>
                <w:rFonts w:ascii="Arial" w:cs="Arial" w:eastAsia="Arial" w:hAnsi="Arial"/>
                <w:sz w:val="14"/>
                <w:szCs w:val="14"/>
                <w:color w:val="auto"/>
              </w:rPr>
              <w:t>1,088,307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80" w:type="dxa"/>
            <w:vAlign w:val="bottom"/>
          </w:tcPr>
          <w:p>
            <w:pPr>
              <w:spacing w:after="0"/>
              <w:rPr>
                <w:sz w:val="17"/>
                <w:szCs w:val="17"/>
                <w:color w:val="auto"/>
              </w:rPr>
            </w:pPr>
          </w:p>
        </w:tc>
        <w:tc>
          <w:tcPr>
            <w:tcW w:w="1960" w:type="dxa"/>
            <w:vAlign w:val="bottom"/>
          </w:tcPr>
          <w:p>
            <w:pPr>
              <w:ind w:left="20"/>
              <w:spacing w:after="0"/>
              <w:rPr>
                <w:sz w:val="20"/>
                <w:szCs w:val="20"/>
                <w:color w:val="auto"/>
              </w:rPr>
            </w:pPr>
            <w:r>
              <w:rPr>
                <w:rFonts w:ascii="Arial" w:cs="Arial" w:eastAsia="Arial" w:hAnsi="Arial"/>
                <w:sz w:val="14"/>
                <w:szCs w:val="14"/>
                <w:color w:val="auto"/>
              </w:rPr>
              <w:t>Deferred Compensation</w:t>
            </w:r>
          </w:p>
        </w:tc>
        <w:tc>
          <w:tcPr>
            <w:tcW w:w="1580" w:type="dxa"/>
            <w:vAlign w:val="bottom"/>
          </w:tcPr>
          <w:p>
            <w:pPr>
              <w:jc w:val="center"/>
              <w:ind w:left="248"/>
              <w:spacing w:after="0"/>
              <w:rPr>
                <w:sz w:val="20"/>
                <w:szCs w:val="20"/>
                <w:color w:val="auto"/>
              </w:rPr>
            </w:pPr>
            <w:r>
              <w:rPr>
                <w:rFonts w:ascii="Arial" w:cs="Arial" w:eastAsia="Arial" w:hAnsi="Arial"/>
                <w:sz w:val="14"/>
                <w:szCs w:val="14"/>
                <w:color w:val="auto"/>
                <w:w w:val="99"/>
              </w:rPr>
              <w:t>—</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Pr>
          <w:p>
            <w:pPr>
              <w:jc w:val="center"/>
              <w:spacing w:after="0"/>
              <w:rPr>
                <w:sz w:val="20"/>
                <w:szCs w:val="20"/>
                <w:color w:val="auto"/>
              </w:rPr>
            </w:pPr>
            <w:r>
              <w:rPr>
                <w:rFonts w:ascii="Arial" w:cs="Arial" w:eastAsia="Arial" w:hAnsi="Arial"/>
                <w:sz w:val="14"/>
                <w:szCs w:val="14"/>
                <w:color w:val="auto"/>
              </w:rPr>
              <w:t>151,149</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1,246,410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80" w:type="dxa"/>
            <w:vAlign w:val="bottom"/>
          </w:tcPr>
          <w:p>
            <w:pPr>
              <w:ind w:left="20"/>
              <w:spacing w:after="0"/>
              <w:rPr>
                <w:sz w:val="20"/>
                <w:szCs w:val="20"/>
                <w:color w:val="auto"/>
              </w:rPr>
            </w:pPr>
            <w:r>
              <w:rPr>
                <w:rFonts w:ascii="Arial" w:cs="Arial" w:eastAsia="Arial" w:hAnsi="Arial"/>
                <w:sz w:val="14"/>
                <w:szCs w:val="14"/>
                <w:color w:val="auto"/>
              </w:rPr>
              <w:t>Janis G. Pamiljans</w:t>
            </w:r>
          </w:p>
        </w:tc>
        <w:tc>
          <w:tcPr>
            <w:tcW w:w="1960" w:type="dxa"/>
            <w:vAlign w:val="bottom"/>
            <w:shd w:val="clear" w:color="auto" w:fill="CCD4DB"/>
          </w:tcPr>
          <w:p>
            <w:pPr>
              <w:ind w:left="20"/>
              <w:spacing w:after="0"/>
              <w:rPr>
                <w:sz w:val="20"/>
                <w:szCs w:val="20"/>
                <w:color w:val="auto"/>
              </w:rPr>
            </w:pPr>
            <w:r>
              <w:rPr>
                <w:rFonts w:ascii="Arial" w:cs="Arial" w:eastAsia="Arial" w:hAnsi="Arial"/>
                <w:sz w:val="14"/>
                <w:szCs w:val="14"/>
                <w:color w:val="auto"/>
              </w:rPr>
              <w:t>Savings Excess</w:t>
            </w:r>
          </w:p>
        </w:tc>
        <w:tc>
          <w:tcPr>
            <w:tcW w:w="1580" w:type="dxa"/>
            <w:vAlign w:val="bottom"/>
            <w:shd w:val="clear" w:color="auto" w:fill="CCD4DB"/>
          </w:tcPr>
          <w:p>
            <w:pPr>
              <w:jc w:val="center"/>
              <w:ind w:left="268"/>
              <w:spacing w:after="0"/>
              <w:rPr>
                <w:sz w:val="20"/>
                <w:szCs w:val="20"/>
                <w:color w:val="auto"/>
              </w:rPr>
            </w:pPr>
            <w:r>
              <w:rPr>
                <w:rFonts w:ascii="Arial" w:cs="Arial" w:eastAsia="Arial" w:hAnsi="Arial"/>
                <w:sz w:val="14"/>
                <w:szCs w:val="14"/>
                <w:color w:val="auto"/>
              </w:rPr>
              <w:t>199,785</w:t>
            </w:r>
          </w:p>
        </w:tc>
        <w:tc>
          <w:tcPr>
            <w:tcW w:w="126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79,914</w:t>
            </w:r>
          </w:p>
        </w:tc>
        <w:tc>
          <w:tcPr>
            <w:tcW w:w="126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197,430</w:t>
            </w:r>
          </w:p>
        </w:tc>
        <w:tc>
          <w:tcPr>
            <w:tcW w:w="126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(1,816)</w:t>
            </w:r>
          </w:p>
        </w:tc>
        <w:tc>
          <w:tcPr>
            <w:tcW w:w="124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3,142,909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Borders>
              <w:bottom w:val="single" w:sz="8" w:color="00249C"/>
            </w:tcBorders>
          </w:tcPr>
          <w:p>
            <w:pPr>
              <w:spacing w:after="0"/>
              <w:rPr>
                <w:sz w:val="18"/>
                <w:szCs w:val="18"/>
                <w:color w:val="auto"/>
              </w:rPr>
            </w:pPr>
          </w:p>
        </w:tc>
        <w:tc>
          <w:tcPr>
            <w:tcW w:w="1960" w:type="dxa"/>
            <w:vAlign w:val="bottom"/>
            <w:tcBorders>
              <w:bottom w:val="single" w:sz="8" w:color="00249C"/>
            </w:tcBorders>
          </w:tcPr>
          <w:p>
            <w:pPr>
              <w:ind w:left="20"/>
              <w:spacing w:after="0"/>
              <w:rPr>
                <w:sz w:val="20"/>
                <w:szCs w:val="20"/>
                <w:color w:val="auto"/>
              </w:rPr>
            </w:pPr>
            <w:r>
              <w:rPr>
                <w:rFonts w:ascii="Arial" w:cs="Arial" w:eastAsia="Arial" w:hAnsi="Arial"/>
                <w:sz w:val="14"/>
                <w:szCs w:val="14"/>
                <w:color w:val="auto"/>
              </w:rPr>
              <w:t>ORAC</w:t>
            </w:r>
          </w:p>
        </w:tc>
        <w:tc>
          <w:tcPr>
            <w:tcW w:w="1580" w:type="dxa"/>
            <w:vAlign w:val="bottom"/>
            <w:tcBorders>
              <w:bottom w:val="single" w:sz="8" w:color="00249C"/>
            </w:tcBorders>
          </w:tcPr>
          <w:p>
            <w:pPr>
              <w:jc w:val="center"/>
              <w:ind w:left="248"/>
              <w:spacing w:after="0"/>
              <w:rPr>
                <w:sz w:val="20"/>
                <w:szCs w:val="20"/>
                <w:color w:val="auto"/>
              </w:rPr>
            </w:pPr>
            <w:r>
              <w:rPr>
                <w:rFonts w:ascii="Arial" w:cs="Arial" w:eastAsia="Arial" w:hAnsi="Arial"/>
                <w:sz w:val="14"/>
                <w:szCs w:val="14"/>
                <w:color w:val="auto"/>
                <w:w w:val="99"/>
              </w:rPr>
              <w:t>—</w:t>
            </w:r>
          </w:p>
        </w:tc>
        <w:tc>
          <w:tcPr>
            <w:tcW w:w="1260" w:type="dxa"/>
            <w:vAlign w:val="bottom"/>
            <w:tcBorders>
              <w:bottom w:val="single" w:sz="8" w:color="00249C"/>
            </w:tcBorders>
          </w:tcPr>
          <w:p>
            <w:pPr>
              <w:jc w:val="center"/>
              <w:spacing w:after="0"/>
              <w:rPr>
                <w:sz w:val="20"/>
                <w:szCs w:val="20"/>
                <w:color w:val="auto"/>
              </w:rPr>
            </w:pPr>
            <w:r>
              <w:rPr>
                <w:rFonts w:ascii="Arial" w:cs="Arial" w:eastAsia="Arial" w:hAnsi="Arial"/>
                <w:sz w:val="14"/>
                <w:szCs w:val="14"/>
                <w:color w:val="auto"/>
              </w:rPr>
              <w:t>91,314</w:t>
            </w:r>
          </w:p>
        </w:tc>
        <w:tc>
          <w:tcPr>
            <w:tcW w:w="1260" w:type="dxa"/>
            <w:vAlign w:val="bottom"/>
            <w:tcBorders>
              <w:bottom w:val="single" w:sz="8" w:color="00249C"/>
            </w:tcBorders>
          </w:tcPr>
          <w:p>
            <w:pPr>
              <w:jc w:val="center"/>
              <w:spacing w:after="0"/>
              <w:rPr>
                <w:sz w:val="20"/>
                <w:szCs w:val="20"/>
                <w:color w:val="auto"/>
              </w:rPr>
            </w:pPr>
            <w:r>
              <w:rPr>
                <w:rFonts w:ascii="Arial" w:cs="Arial" w:eastAsia="Arial" w:hAnsi="Arial"/>
                <w:sz w:val="14"/>
                <w:szCs w:val="14"/>
                <w:color w:val="auto"/>
              </w:rPr>
              <w:t>59,917</w:t>
            </w:r>
          </w:p>
        </w:tc>
        <w:tc>
          <w:tcPr>
            <w:tcW w:w="1260" w:type="dxa"/>
            <w:vAlign w:val="bottom"/>
            <w:tcBorders>
              <w:bottom w:val="single" w:sz="8" w:color="00249C"/>
            </w:tcBorders>
          </w:tcPr>
          <w:p>
            <w:pPr>
              <w:jc w:val="center"/>
              <w:spacing w:after="0"/>
              <w:rPr>
                <w:sz w:val="20"/>
                <w:szCs w:val="20"/>
                <w:color w:val="auto"/>
              </w:rPr>
            </w:pPr>
            <w:r>
              <w:rPr>
                <w:rFonts w:ascii="Arial" w:cs="Arial" w:eastAsia="Arial" w:hAnsi="Arial"/>
                <w:sz w:val="14"/>
                <w:szCs w:val="14"/>
                <w:color w:val="auto"/>
              </w:rPr>
              <w:t>(2,048)</w:t>
            </w:r>
          </w:p>
        </w:tc>
        <w:tc>
          <w:tcPr>
            <w:tcW w:w="1240" w:type="dxa"/>
            <w:vAlign w:val="bottom"/>
            <w:tcBorders>
              <w:bottom w:val="single" w:sz="8" w:color="00249C"/>
            </w:tcBorders>
          </w:tcPr>
          <w:p>
            <w:pPr>
              <w:jc w:val="center"/>
              <w:spacing w:after="0"/>
              <w:rPr>
                <w:sz w:val="20"/>
                <w:szCs w:val="20"/>
                <w:color w:val="auto"/>
              </w:rPr>
            </w:pPr>
            <w:r>
              <w:rPr>
                <w:rFonts w:ascii="Arial" w:cs="Arial" w:eastAsia="Arial" w:hAnsi="Arial"/>
                <w:sz w:val="14"/>
                <w:szCs w:val="14"/>
                <w:color w:val="auto"/>
              </w:rPr>
              <w:t>448,732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Kenneth L. Bedingfield</w:t>
            </w:r>
          </w:p>
        </w:tc>
        <w:tc>
          <w:tcPr>
            <w:tcW w:w="1960" w:type="dxa"/>
            <w:vAlign w:val="bottom"/>
          </w:tcPr>
          <w:p>
            <w:pPr>
              <w:ind w:left="20"/>
              <w:spacing w:after="0"/>
              <w:rPr>
                <w:sz w:val="20"/>
                <w:szCs w:val="20"/>
                <w:color w:val="auto"/>
              </w:rPr>
            </w:pPr>
            <w:r>
              <w:rPr>
                <w:rFonts w:ascii="Arial" w:cs="Arial" w:eastAsia="Arial" w:hAnsi="Arial"/>
                <w:sz w:val="14"/>
                <w:szCs w:val="14"/>
                <w:color w:val="auto"/>
              </w:rPr>
              <w:t>Savings Excess</w:t>
            </w:r>
          </w:p>
        </w:tc>
        <w:tc>
          <w:tcPr>
            <w:tcW w:w="1580" w:type="dxa"/>
            <w:vAlign w:val="bottom"/>
          </w:tcPr>
          <w:p>
            <w:pPr>
              <w:jc w:val="center"/>
              <w:ind w:left="268"/>
              <w:spacing w:after="0"/>
              <w:rPr>
                <w:sz w:val="20"/>
                <w:szCs w:val="20"/>
                <w:color w:val="auto"/>
              </w:rPr>
            </w:pPr>
            <w:r>
              <w:rPr>
                <w:rFonts w:ascii="Arial" w:cs="Arial" w:eastAsia="Arial" w:hAnsi="Arial"/>
                <w:sz w:val="14"/>
                <w:szCs w:val="14"/>
                <w:color w:val="auto"/>
              </w:rPr>
              <w:t>100,907</w:t>
            </w:r>
          </w:p>
        </w:tc>
        <w:tc>
          <w:tcPr>
            <w:tcW w:w="1260" w:type="dxa"/>
            <w:vAlign w:val="bottom"/>
          </w:tcPr>
          <w:p>
            <w:pPr>
              <w:jc w:val="center"/>
              <w:spacing w:after="0"/>
              <w:rPr>
                <w:sz w:val="20"/>
                <w:szCs w:val="20"/>
                <w:color w:val="auto"/>
              </w:rPr>
            </w:pPr>
            <w:r>
              <w:rPr>
                <w:rFonts w:ascii="Arial" w:cs="Arial" w:eastAsia="Arial" w:hAnsi="Arial"/>
                <w:sz w:val="14"/>
                <w:szCs w:val="14"/>
                <w:color w:val="auto"/>
              </w:rPr>
              <w:t>112,307</w:t>
            </w:r>
          </w:p>
        </w:tc>
        <w:tc>
          <w:tcPr>
            <w:tcW w:w="1260" w:type="dxa"/>
            <w:vAlign w:val="bottom"/>
          </w:tcPr>
          <w:p>
            <w:pPr>
              <w:jc w:val="center"/>
              <w:spacing w:after="0"/>
              <w:rPr>
                <w:sz w:val="20"/>
                <w:szCs w:val="20"/>
                <w:color w:val="auto"/>
              </w:rPr>
            </w:pPr>
            <w:r>
              <w:rPr>
                <w:rFonts w:ascii="Arial" w:cs="Arial" w:eastAsia="Arial" w:hAnsi="Arial"/>
                <w:sz w:val="14"/>
                <w:szCs w:val="14"/>
                <w:color w:val="auto"/>
              </w:rPr>
              <w:t>146,869</w:t>
            </w:r>
          </w:p>
        </w:tc>
        <w:tc>
          <w:tcPr>
            <w:tcW w:w="1260" w:type="dxa"/>
            <w:vAlign w:val="bottom"/>
          </w:tcPr>
          <w:p>
            <w:pPr>
              <w:jc w:val="center"/>
              <w:spacing w:after="0"/>
              <w:rPr>
                <w:sz w:val="20"/>
                <w:szCs w:val="20"/>
                <w:color w:val="auto"/>
              </w:rPr>
            </w:pPr>
            <w:r>
              <w:rPr>
                <w:rFonts w:ascii="Arial" w:cs="Arial" w:eastAsia="Arial" w:hAnsi="Arial"/>
                <w:sz w:val="14"/>
                <w:szCs w:val="14"/>
                <w:color w:val="auto"/>
              </w:rPr>
              <w:t>(2,167,743)</w:t>
            </w:r>
          </w:p>
        </w:tc>
        <w:tc>
          <w:tcPr>
            <w:tcW w:w="1240" w:type="dxa"/>
            <w:vAlign w:val="bottom"/>
          </w:tcPr>
          <w:p>
            <w:pPr>
              <w:jc w:val="center"/>
              <w:spacing w:after="0"/>
              <w:rPr>
                <w:sz w:val="20"/>
                <w:szCs w:val="20"/>
                <w:color w:val="auto"/>
              </w:rPr>
            </w:pPr>
            <w:r>
              <w:rPr>
                <w:rFonts w:ascii="Arial" w:cs="Arial" w:eastAsia="Arial" w:hAnsi="Arial"/>
                <w:sz w:val="14"/>
                <w:szCs w:val="14"/>
                <w:color w:val="auto"/>
              </w:rPr>
              <w:t>61,854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680" w:type="dxa"/>
            <w:vAlign w:val="bottom"/>
            <w:vMerge w:val="continue"/>
          </w:tcPr>
          <w:p>
            <w:pPr>
              <w:spacing w:after="0"/>
              <w:rPr>
                <w:sz w:val="8"/>
                <w:szCs w:val="8"/>
                <w:color w:val="auto"/>
              </w:rPr>
            </w:pPr>
          </w:p>
        </w:tc>
        <w:tc>
          <w:tcPr>
            <w:tcW w:w="1960" w:type="dxa"/>
            <w:vAlign w:val="bottom"/>
            <w:vMerge w:val="restart"/>
            <w:shd w:val="clear" w:color="auto" w:fill="CCD4DB"/>
          </w:tcPr>
          <w:p>
            <w:pPr>
              <w:ind w:left="20"/>
              <w:spacing w:after="0"/>
              <w:rPr>
                <w:sz w:val="20"/>
                <w:szCs w:val="20"/>
                <w:color w:val="auto"/>
              </w:rPr>
            </w:pPr>
            <w:r>
              <w:rPr>
                <w:rFonts w:ascii="Arial" w:cs="Arial" w:eastAsia="Arial" w:hAnsi="Arial"/>
                <w:sz w:val="14"/>
                <w:szCs w:val="14"/>
                <w:color w:val="auto"/>
              </w:rPr>
              <w:t>ORAC</w:t>
            </w:r>
          </w:p>
        </w:tc>
        <w:tc>
          <w:tcPr>
            <w:tcW w:w="1580" w:type="dxa"/>
            <w:vAlign w:val="bottom"/>
            <w:vMerge w:val="restart"/>
            <w:shd w:val="clear" w:color="auto" w:fill="CCD4DB"/>
          </w:tcPr>
          <w:p>
            <w:pPr>
              <w:jc w:val="center"/>
              <w:ind w:left="248"/>
              <w:spacing w:after="0"/>
              <w:rPr>
                <w:sz w:val="20"/>
                <w:szCs w:val="20"/>
                <w:color w:val="auto"/>
              </w:rPr>
            </w:pPr>
            <w:r>
              <w:rPr>
                <w:rFonts w:ascii="Arial" w:cs="Arial" w:eastAsia="Arial" w:hAnsi="Arial"/>
                <w:sz w:val="14"/>
                <w:szCs w:val="14"/>
                <w:color w:val="auto"/>
                <w:w w:val="99"/>
              </w:rPr>
              <w:t>—</w:t>
            </w:r>
          </w:p>
        </w:tc>
        <w:tc>
          <w:tcPr>
            <w:tcW w:w="126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61,854</w:t>
            </w:r>
          </w:p>
        </w:tc>
        <w:tc>
          <w:tcPr>
            <w:tcW w:w="126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52,689</w:t>
            </w:r>
          </w:p>
        </w:tc>
        <w:tc>
          <w:tcPr>
            <w:tcW w:w="126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(607,996)</w:t>
            </w:r>
          </w:p>
        </w:tc>
        <w:tc>
          <w:tcPr>
            <w:tcW w:w="1240" w:type="dxa"/>
            <w:vAlign w:val="bottom"/>
            <w:vMerge w:val="restart"/>
            <w:shd w:val="clear" w:color="auto" w:fill="CCD4DB"/>
          </w:tcPr>
          <w:p>
            <w:pPr>
              <w:jc w:val="center"/>
              <w:spacing w:after="0"/>
              <w:rPr>
                <w:sz w:val="20"/>
                <w:szCs w:val="20"/>
                <w:color w:val="auto"/>
              </w:rPr>
            </w:pPr>
            <w:r>
              <w:rPr>
                <w:rFonts w:ascii="Arial" w:cs="Arial" w:eastAsia="Arial" w:hAnsi="Arial"/>
                <w:sz w:val="14"/>
                <w:szCs w:val="14"/>
                <w:color w:val="auto"/>
              </w:rPr>
              <w:t>61,854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680" w:type="dxa"/>
            <w:vAlign w:val="bottom"/>
            <w:tcBorders>
              <w:bottom w:val="single" w:sz="8" w:color="00249C"/>
            </w:tcBorders>
          </w:tcPr>
          <w:p>
            <w:pPr>
              <w:spacing w:after="0"/>
              <w:rPr>
                <w:sz w:val="10"/>
                <w:szCs w:val="10"/>
                <w:color w:val="auto"/>
              </w:rPr>
            </w:pPr>
          </w:p>
        </w:tc>
        <w:tc>
          <w:tcPr>
            <w:tcW w:w="1960" w:type="dxa"/>
            <w:vAlign w:val="bottom"/>
            <w:tcBorders>
              <w:bottom w:val="single" w:sz="8" w:color="00249C"/>
            </w:tcBorders>
            <w:vMerge w:val="continue"/>
            <w:shd w:val="clear" w:color="auto" w:fill="CCD4DB"/>
          </w:tcPr>
          <w:p>
            <w:pPr>
              <w:spacing w:after="0"/>
              <w:rPr>
                <w:sz w:val="10"/>
                <w:szCs w:val="10"/>
                <w:color w:val="auto"/>
              </w:rPr>
            </w:pPr>
          </w:p>
        </w:tc>
        <w:tc>
          <w:tcPr>
            <w:tcW w:w="1580" w:type="dxa"/>
            <w:vAlign w:val="bottom"/>
            <w:tcBorders>
              <w:bottom w:val="single" w:sz="8" w:color="00249C"/>
            </w:tcBorders>
            <w:vMerge w:val="continue"/>
            <w:shd w:val="clear" w:color="auto" w:fill="CCD4DB"/>
          </w:tcPr>
          <w:p>
            <w:pPr>
              <w:spacing w:after="0"/>
              <w:rPr>
                <w:sz w:val="10"/>
                <w:szCs w:val="10"/>
                <w:color w:val="auto"/>
              </w:rPr>
            </w:pPr>
          </w:p>
        </w:tc>
        <w:tc>
          <w:tcPr>
            <w:tcW w:w="1260" w:type="dxa"/>
            <w:vAlign w:val="bottom"/>
            <w:tcBorders>
              <w:bottom w:val="single" w:sz="8" w:color="00249C"/>
            </w:tcBorders>
            <w:vMerge w:val="continue"/>
            <w:shd w:val="clear" w:color="auto" w:fill="CCD4DB"/>
          </w:tcPr>
          <w:p>
            <w:pPr>
              <w:spacing w:after="0"/>
              <w:rPr>
                <w:sz w:val="10"/>
                <w:szCs w:val="10"/>
                <w:color w:val="auto"/>
              </w:rPr>
            </w:pPr>
          </w:p>
        </w:tc>
        <w:tc>
          <w:tcPr>
            <w:tcW w:w="1260" w:type="dxa"/>
            <w:vAlign w:val="bottom"/>
            <w:tcBorders>
              <w:bottom w:val="single" w:sz="8" w:color="00249C"/>
            </w:tcBorders>
            <w:vMerge w:val="continue"/>
            <w:shd w:val="clear" w:color="auto" w:fill="CCD4DB"/>
          </w:tcPr>
          <w:p>
            <w:pPr>
              <w:spacing w:after="0"/>
              <w:rPr>
                <w:sz w:val="10"/>
                <w:szCs w:val="10"/>
                <w:color w:val="auto"/>
              </w:rPr>
            </w:pPr>
          </w:p>
        </w:tc>
        <w:tc>
          <w:tcPr>
            <w:tcW w:w="1260" w:type="dxa"/>
            <w:vAlign w:val="bottom"/>
            <w:tcBorders>
              <w:bottom w:val="single" w:sz="8" w:color="00249C"/>
            </w:tcBorders>
            <w:vMerge w:val="continue"/>
            <w:shd w:val="clear" w:color="auto" w:fill="CCD4DB"/>
          </w:tcPr>
          <w:p>
            <w:pPr>
              <w:spacing w:after="0"/>
              <w:rPr>
                <w:sz w:val="10"/>
                <w:szCs w:val="10"/>
                <w:color w:val="auto"/>
              </w:rPr>
            </w:pPr>
          </w:p>
        </w:tc>
        <w:tc>
          <w:tcPr>
            <w:tcW w:w="1240" w:type="dxa"/>
            <w:vAlign w:val="bottom"/>
            <w:tcBorders>
              <w:bottom w:val="single" w:sz="8" w:color="00249C"/>
            </w:tcBorders>
            <w:vMerge w:val="continue"/>
            <w:shd w:val="clear" w:color="auto" w:fill="CCD4DB"/>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20" w:right="200" w:hanging="412"/>
        <w:spacing w:after="0" w:line="261" w:lineRule="auto"/>
        <w:tabs>
          <w:tab w:leader="none" w:pos="437" w:val="left"/>
        </w:tabs>
        <w:numPr>
          <w:ilvl w:val="0"/>
          <w:numId w:val="81"/>
        </w:numPr>
        <w:rPr>
          <w:rFonts w:ascii="Arial" w:cs="Arial" w:eastAsia="Arial" w:hAnsi="Arial"/>
          <w:sz w:val="18"/>
          <w:szCs w:val="18"/>
          <w:color w:val="auto"/>
        </w:rPr>
      </w:pPr>
      <w:r>
        <w:rPr>
          <w:rFonts w:ascii="Arial" w:cs="Arial" w:eastAsia="Arial" w:hAnsi="Arial"/>
          <w:sz w:val="18"/>
          <w:szCs w:val="18"/>
          <w:color w:val="auto"/>
        </w:rPr>
        <w:t>NEO contributions in this column are also included in the 2020 Summary Compensation Table on page 58, under the columns entitled "Salary" and "Non-Equity Incentive Plan Compensation."</w:t>
      </w:r>
    </w:p>
    <w:p>
      <w:pPr>
        <w:spacing w:after="0" w:line="76" w:lineRule="exact"/>
        <w:rPr>
          <w:rFonts w:ascii="Arial" w:cs="Arial" w:eastAsia="Arial" w:hAnsi="Arial"/>
          <w:sz w:val="18"/>
          <w:szCs w:val="18"/>
          <w:color w:val="auto"/>
        </w:rPr>
      </w:pPr>
    </w:p>
    <w:p>
      <w:pPr>
        <w:ind w:left="420" w:right="420" w:hanging="412"/>
        <w:spacing w:after="0" w:line="261" w:lineRule="auto"/>
        <w:tabs>
          <w:tab w:leader="none" w:pos="437"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Company contributions in this column are included in the 2020 Summary Compensation Table, under the column entitled "All Other Compensation."</w:t>
      </w:r>
    </w:p>
    <w:p>
      <w:pPr>
        <w:spacing w:after="0" w:line="35" w:lineRule="exact"/>
        <w:rPr>
          <w:rFonts w:ascii="Arial" w:cs="Arial" w:eastAsia="Arial" w:hAnsi="Arial"/>
          <w:sz w:val="18"/>
          <w:szCs w:val="18"/>
          <w:color w:val="auto"/>
        </w:rPr>
      </w:pPr>
    </w:p>
    <w:p>
      <w:pPr>
        <w:ind w:left="420" w:right="520" w:hanging="412"/>
        <w:spacing w:after="0" w:line="261" w:lineRule="auto"/>
        <w:tabs>
          <w:tab w:leader="none" w:pos="437" w:val="left"/>
        </w:tabs>
        <w:numPr>
          <w:ilvl w:val="0"/>
          <w:numId w:val="81"/>
        </w:numPr>
        <w:rPr>
          <w:rFonts w:ascii="Arial" w:cs="Arial" w:eastAsia="Arial" w:hAnsi="Arial"/>
          <w:sz w:val="18"/>
          <w:szCs w:val="18"/>
          <w:color w:val="auto"/>
        </w:rPr>
      </w:pPr>
      <w:r>
        <w:rPr>
          <w:rFonts w:ascii="Arial" w:cs="Arial" w:eastAsia="Arial" w:hAnsi="Arial"/>
          <w:sz w:val="18"/>
          <w:szCs w:val="18"/>
          <w:color w:val="auto"/>
        </w:rPr>
        <w:t>Aggregate earnings in the last fiscal year are not included in the 2020 Summary Compensation Table because they are not above market or preferential.</w:t>
      </w:r>
    </w:p>
    <w:p>
      <w:pPr>
        <w:spacing w:after="0" w:line="35" w:lineRule="exact"/>
        <w:rPr>
          <w:rFonts w:ascii="Arial" w:cs="Arial" w:eastAsia="Arial" w:hAnsi="Arial"/>
          <w:sz w:val="18"/>
          <w:szCs w:val="18"/>
          <w:color w:val="auto"/>
        </w:rPr>
      </w:pPr>
    </w:p>
    <w:p>
      <w:pPr>
        <w:ind w:left="440" w:hanging="432"/>
        <w:spacing w:after="0"/>
        <w:tabs>
          <w:tab w:leader="none" w:pos="4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NEO and Company contributions in this column may include balances for merged plans.</w:t>
      </w:r>
    </w:p>
    <w:p>
      <w:pPr>
        <w:spacing w:after="0" w:line="103" w:lineRule="exact"/>
        <w:rPr>
          <w:rFonts w:ascii="Arial" w:cs="Arial" w:eastAsia="Arial" w:hAnsi="Arial"/>
          <w:sz w:val="18"/>
          <w:szCs w:val="18"/>
          <w:color w:val="auto"/>
        </w:rPr>
      </w:pPr>
    </w:p>
    <w:p>
      <w:pPr>
        <w:ind w:left="420" w:right="280"/>
        <w:spacing w:after="0" w:line="261" w:lineRule="auto"/>
        <w:rPr>
          <w:rFonts w:ascii="Arial" w:cs="Arial" w:eastAsia="Arial" w:hAnsi="Arial"/>
          <w:sz w:val="18"/>
          <w:szCs w:val="18"/>
          <w:color w:val="auto"/>
        </w:rPr>
      </w:pPr>
      <w:r>
        <w:rPr>
          <w:rFonts w:ascii="Arial" w:cs="Arial" w:eastAsia="Arial" w:hAnsi="Arial"/>
          <w:sz w:val="18"/>
          <w:szCs w:val="18"/>
          <w:color w:val="auto"/>
        </w:rPr>
        <w:t>Employee contributions by Ms. Warden, Mr. Larson, Mr. Pamiljans and Mr. Bedingfield for the years ended December 31, 2020, 2019 and 2018, collectively, previously reported as compensation in the Summary Compensation tables, were as follows:</w:t>
      </w:r>
    </w:p>
    <w:p>
      <w:pPr>
        <w:spacing w:after="0" w:line="91" w:lineRule="exact"/>
        <w:rPr>
          <w:sz w:val="20"/>
          <w:szCs w:val="20"/>
          <w:color w:val="auto"/>
        </w:rPr>
      </w:pPr>
    </w:p>
    <w:tbl>
      <w:tblPr>
        <w:tblLayout w:type="fixed"/>
        <w:tblInd w:w="420" w:type="dxa"/>
        <w:tblCellMar>
          <w:top w:w="0" w:type="dxa"/>
          <w:left w:w="0" w:type="dxa"/>
          <w:bottom w:w="0" w:type="dxa"/>
          <w:right w:w="0" w:type="dxa"/>
        </w:tblCellMar>
      </w:tblPr>
      <w:tr>
        <w:trPr>
          <w:trHeight w:val="162"/>
        </w:trPr>
        <w:tc>
          <w:tcPr>
            <w:tcW w:w="3700" w:type="dxa"/>
            <w:vAlign w:val="bottom"/>
            <w:vMerge w:val="restart"/>
            <w:shd w:val="clear" w:color="auto" w:fill="00249C"/>
          </w:tcPr>
          <w:p>
            <w:pPr>
              <w:ind w:left="20"/>
              <w:spacing w:after="0"/>
              <w:rPr>
                <w:sz w:val="20"/>
                <w:szCs w:val="20"/>
                <w:color w:val="auto"/>
              </w:rPr>
            </w:pPr>
            <w:r>
              <w:rPr>
                <w:rFonts w:ascii="Arial" w:cs="Arial" w:eastAsia="Arial" w:hAnsi="Arial"/>
                <w:sz w:val="14"/>
                <w:szCs w:val="14"/>
                <w:b w:val="1"/>
                <w:bCs w:val="1"/>
                <w:color w:val="FFFFFF"/>
              </w:rPr>
              <w:t>Name</w:t>
            </w:r>
          </w:p>
        </w:tc>
        <w:tc>
          <w:tcPr>
            <w:tcW w:w="3720" w:type="dxa"/>
            <w:vAlign w:val="bottom"/>
            <w:shd w:val="clear" w:color="auto" w:fill="00249C"/>
          </w:tcPr>
          <w:p>
            <w:pPr>
              <w:ind w:left="1020"/>
              <w:spacing w:after="0"/>
              <w:rPr>
                <w:sz w:val="20"/>
                <w:szCs w:val="20"/>
                <w:color w:val="auto"/>
              </w:rPr>
            </w:pPr>
            <w:r>
              <w:rPr>
                <w:rFonts w:ascii="Arial" w:cs="Arial" w:eastAsia="Arial" w:hAnsi="Arial"/>
                <w:sz w:val="14"/>
                <w:szCs w:val="14"/>
                <w:b w:val="1"/>
                <w:bCs w:val="1"/>
                <w:color w:val="FFFFFF"/>
              </w:rPr>
              <w:t>Employee Contributions</w:t>
            </w:r>
          </w:p>
        </w:tc>
        <w:tc>
          <w:tcPr>
            <w:tcW w:w="20" w:type="dxa"/>
            <w:vAlign w:val="bottom"/>
            <w:shd w:val="clear" w:color="auto" w:fill="00249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00" w:type="dxa"/>
            <w:vAlign w:val="bottom"/>
            <w:vMerge w:val="continue"/>
            <w:shd w:val="clear" w:color="auto" w:fill="00249C"/>
          </w:tcPr>
          <w:p>
            <w:pPr>
              <w:spacing w:after="0"/>
              <w:rPr>
                <w:sz w:val="16"/>
                <w:szCs w:val="16"/>
                <w:color w:val="auto"/>
              </w:rPr>
            </w:pPr>
          </w:p>
        </w:tc>
        <w:tc>
          <w:tcPr>
            <w:tcW w:w="372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w w:val="93"/>
              </w:rPr>
              <w:t>($)</w:t>
            </w:r>
          </w:p>
        </w:tc>
        <w:tc>
          <w:tcPr>
            <w:tcW w:w="20" w:type="dxa"/>
            <w:vAlign w:val="bottom"/>
            <w:shd w:val="clear" w:color="auto" w:fill="00249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shd w:val="clear" w:color="auto" w:fill="CCD4DB"/>
          </w:tcPr>
          <w:p>
            <w:pPr>
              <w:ind w:left="20"/>
              <w:spacing w:after="0"/>
              <w:rPr>
                <w:sz w:val="20"/>
                <w:szCs w:val="20"/>
                <w:color w:val="auto"/>
              </w:rPr>
            </w:pPr>
            <w:r>
              <w:rPr>
                <w:rFonts w:ascii="Arial" w:cs="Arial" w:eastAsia="Arial" w:hAnsi="Arial"/>
                <w:sz w:val="14"/>
                <w:szCs w:val="14"/>
                <w:color w:val="auto"/>
              </w:rPr>
              <w:t>Kathy J. Warden</w:t>
            </w:r>
          </w:p>
        </w:tc>
        <w:tc>
          <w:tcPr>
            <w:tcW w:w="372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851,062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tcPr>
          <w:p>
            <w:pPr>
              <w:ind w:left="20"/>
              <w:spacing w:after="0"/>
              <w:rPr>
                <w:sz w:val="20"/>
                <w:szCs w:val="20"/>
                <w:color w:val="auto"/>
              </w:rPr>
            </w:pPr>
            <w:r>
              <w:rPr>
                <w:rFonts w:ascii="Arial" w:cs="Arial" w:eastAsia="Arial" w:hAnsi="Arial"/>
                <w:sz w:val="14"/>
                <w:szCs w:val="14"/>
                <w:color w:val="auto"/>
              </w:rPr>
              <w:t>Blake E. Larson</w:t>
            </w:r>
          </w:p>
        </w:tc>
        <w:tc>
          <w:tcPr>
            <w:tcW w:w="3720" w:type="dxa"/>
            <w:vAlign w:val="bottom"/>
          </w:tcPr>
          <w:p>
            <w:pPr>
              <w:jc w:val="center"/>
              <w:spacing w:after="0"/>
              <w:rPr>
                <w:sz w:val="20"/>
                <w:szCs w:val="20"/>
                <w:color w:val="auto"/>
              </w:rPr>
            </w:pPr>
            <w:r>
              <w:rPr>
                <w:rFonts w:ascii="Arial" w:cs="Arial" w:eastAsia="Arial" w:hAnsi="Arial"/>
                <w:sz w:val="14"/>
                <w:szCs w:val="14"/>
                <w:color w:val="auto"/>
              </w:rPr>
              <w:t>203,286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shd w:val="clear" w:color="auto" w:fill="CCD4DB"/>
          </w:tcPr>
          <w:p>
            <w:pPr>
              <w:ind w:left="20"/>
              <w:spacing w:after="0"/>
              <w:rPr>
                <w:sz w:val="20"/>
                <w:szCs w:val="20"/>
                <w:color w:val="auto"/>
              </w:rPr>
            </w:pPr>
            <w:r>
              <w:rPr>
                <w:rFonts w:ascii="Arial" w:cs="Arial" w:eastAsia="Arial" w:hAnsi="Arial"/>
                <w:sz w:val="14"/>
                <w:szCs w:val="14"/>
                <w:color w:val="auto"/>
              </w:rPr>
              <w:t>Janis G. Pamiljans</w:t>
            </w:r>
          </w:p>
        </w:tc>
        <w:tc>
          <w:tcPr>
            <w:tcW w:w="3720" w:type="dxa"/>
            <w:vAlign w:val="bottom"/>
            <w:shd w:val="clear" w:color="auto" w:fill="CCD4DB"/>
          </w:tcPr>
          <w:p>
            <w:pPr>
              <w:jc w:val="center"/>
              <w:spacing w:after="0"/>
              <w:rPr>
                <w:sz w:val="20"/>
                <w:szCs w:val="20"/>
                <w:color w:val="auto"/>
              </w:rPr>
            </w:pPr>
            <w:r>
              <w:rPr>
                <w:rFonts w:ascii="Arial" w:cs="Arial" w:eastAsia="Arial" w:hAnsi="Arial"/>
                <w:sz w:val="14"/>
                <w:szCs w:val="14"/>
                <w:color w:val="auto"/>
              </w:rPr>
              <w:t>516,698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tcBorders>
              <w:bottom w:val="single" w:sz="8" w:color="00249C"/>
            </w:tcBorders>
          </w:tcPr>
          <w:p>
            <w:pPr>
              <w:ind w:left="20"/>
              <w:spacing w:after="0"/>
              <w:rPr>
                <w:sz w:val="20"/>
                <w:szCs w:val="20"/>
                <w:color w:val="auto"/>
              </w:rPr>
            </w:pPr>
            <w:r>
              <w:rPr>
                <w:rFonts w:ascii="Arial" w:cs="Arial" w:eastAsia="Arial" w:hAnsi="Arial"/>
                <w:sz w:val="14"/>
                <w:szCs w:val="14"/>
                <w:color w:val="auto"/>
              </w:rPr>
              <w:t>Kenneth L. Bedingfield</w:t>
            </w:r>
          </w:p>
        </w:tc>
        <w:tc>
          <w:tcPr>
            <w:tcW w:w="3720" w:type="dxa"/>
            <w:vAlign w:val="bottom"/>
            <w:tcBorders>
              <w:bottom w:val="single" w:sz="8" w:color="00249C"/>
            </w:tcBorders>
          </w:tcPr>
          <w:p>
            <w:pPr>
              <w:jc w:val="center"/>
              <w:spacing w:after="0"/>
              <w:rPr>
                <w:sz w:val="20"/>
                <w:szCs w:val="20"/>
                <w:color w:val="auto"/>
              </w:rPr>
            </w:pPr>
            <w:r>
              <w:rPr>
                <w:rFonts w:ascii="Arial" w:cs="Arial" w:eastAsia="Arial" w:hAnsi="Arial"/>
                <w:sz w:val="14"/>
                <w:szCs w:val="14"/>
                <w:color w:val="auto"/>
              </w:rPr>
              <w:t>486,151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employee contributions made by Mr. Caylor or Mr. Keffer for the years ended December 31, 2020, 2019 and 2018.</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68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1260"/>
          </w:cols>
          <w:pgMar w:left="320" w:top="607" w:right="319" w:bottom="1440" w:gutter="0" w:footer="0" w:header="0"/>
        </w:sectPr>
      </w:pPr>
    </w:p>
    <w:bookmarkStart w:id="74" w:name="page75"/>
    <w:bookmarkEnd w:id="74"/>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53149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 xml:space="preserve">COMPENSATION TABLES | </w:t>
      </w:r>
      <w:r>
        <w:rPr>
          <w:rFonts w:ascii="Arial" w:cs="Arial" w:eastAsia="Arial" w:hAnsi="Arial"/>
          <w:sz w:val="17"/>
          <w:szCs w:val="17"/>
          <w:b w:val="1"/>
          <w:bCs w:val="1"/>
          <w:color w:val="FFFFFF"/>
        </w:rPr>
        <w:t>NONQUALIFIED DEFERRED COMPENSATION TABLE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Deferred Compensation Plans and Descriptions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deferred compensation plans in which the NEOs participate are listed below, in alphabetical order:</w:t>
      </w:r>
    </w:p>
    <w:p>
      <w:pPr>
        <w:spacing w:after="0" w:line="122" w:lineRule="exact"/>
        <w:rPr>
          <w:sz w:val="20"/>
          <w:szCs w:val="20"/>
          <w:color w:val="auto"/>
        </w:rPr>
      </w:pPr>
    </w:p>
    <w:p>
      <w:pPr>
        <w:ind w:left="340" w:hanging="332"/>
        <w:spacing w:after="0" w:line="242" w:lineRule="auto"/>
        <w:tabs>
          <w:tab w:leader="none" w:pos="308" w:val="left"/>
        </w:tabs>
        <w:numPr>
          <w:ilvl w:val="0"/>
          <w:numId w:val="82"/>
        </w:numPr>
        <w:rPr>
          <w:rFonts w:ascii="Arial" w:cs="Arial" w:eastAsia="Arial" w:hAnsi="Arial"/>
          <w:sz w:val="22"/>
          <w:szCs w:val="22"/>
          <w:color w:val="00249C"/>
        </w:rPr>
      </w:pPr>
      <w:r>
        <w:rPr>
          <w:rFonts w:ascii="Arial" w:cs="Arial" w:eastAsia="Arial" w:hAnsi="Arial"/>
          <w:sz w:val="18"/>
          <w:szCs w:val="18"/>
          <w:b w:val="1"/>
          <w:bCs w:val="1"/>
          <w:color w:val="auto"/>
        </w:rPr>
        <w:t xml:space="preserve">Deferred Compensation </w:t>
      </w:r>
      <w:r>
        <w:rPr>
          <w:rFonts w:ascii="Arial" w:cs="Arial" w:eastAsia="Arial" w:hAnsi="Arial"/>
          <w:sz w:val="18"/>
          <w:szCs w:val="18"/>
          <w:color w:val="auto"/>
        </w:rPr>
        <w:t>is the Northrop Grumman Deferred Compensation Plan. In 2010, this plan was closed to new hires and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ceased to be able to make contributions. Before 2011, eligible executives were allowed to defer a portion of their salary and bonus. No Company contributions were made to the plan.</w:t>
      </w:r>
    </w:p>
    <w:p>
      <w:pPr>
        <w:spacing w:after="0" w:line="97" w:lineRule="exact"/>
        <w:rPr>
          <w:rFonts w:ascii="Arial" w:cs="Arial" w:eastAsia="Arial" w:hAnsi="Arial"/>
          <w:sz w:val="22"/>
          <w:szCs w:val="22"/>
          <w:color w:val="00249C"/>
        </w:rPr>
      </w:pPr>
    </w:p>
    <w:p>
      <w:pPr>
        <w:ind w:left="340" w:right="40" w:hanging="332"/>
        <w:spacing w:after="0" w:line="244" w:lineRule="auto"/>
        <w:tabs>
          <w:tab w:leader="none" w:pos="308" w:val="left"/>
        </w:tabs>
        <w:numPr>
          <w:ilvl w:val="0"/>
          <w:numId w:val="82"/>
        </w:numPr>
        <w:rPr>
          <w:rFonts w:ascii="Arial" w:cs="Arial" w:eastAsia="Arial" w:hAnsi="Arial"/>
          <w:sz w:val="22"/>
          <w:szCs w:val="22"/>
          <w:color w:val="00249C"/>
        </w:rPr>
      </w:pPr>
      <w:r>
        <w:rPr>
          <w:rFonts w:ascii="Arial" w:cs="Arial" w:eastAsia="Arial" w:hAnsi="Arial"/>
          <w:sz w:val="18"/>
          <w:szCs w:val="18"/>
          <w:b w:val="1"/>
          <w:bCs w:val="1"/>
          <w:color w:val="auto"/>
        </w:rPr>
        <w:t xml:space="preserve">NGIS DC SERP </w:t>
      </w:r>
      <w:r>
        <w:rPr>
          <w:rFonts w:ascii="Arial" w:cs="Arial" w:eastAsia="Arial" w:hAnsi="Arial"/>
          <w:sz w:val="18"/>
          <w:szCs w:val="18"/>
          <w:color w:val="auto"/>
        </w:rPr>
        <w:t>is the Northrop Grumman Innovation Systems Defined Contribution Supplemental Executive Retirement Plan. In 2019,</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was closed and contributions ceased to be made to plan participants. Before 2019, certain heritage Orbital ATK executives received an annual match allocation of 4.5% of compensation in excess of the IRS compensation limit, assuming the executive made the maximum allowable before-tax or Roth 401(k) contributions to the 401(k) plan for the calendar year.</w:t>
      </w:r>
    </w:p>
    <w:p>
      <w:pPr>
        <w:spacing w:after="0" w:line="110" w:lineRule="exact"/>
        <w:rPr>
          <w:rFonts w:ascii="Arial" w:cs="Arial" w:eastAsia="Arial" w:hAnsi="Arial"/>
          <w:sz w:val="22"/>
          <w:szCs w:val="22"/>
          <w:color w:val="00249C"/>
        </w:rPr>
      </w:pPr>
    </w:p>
    <w:p>
      <w:pPr>
        <w:ind w:left="340" w:right="20" w:hanging="332"/>
        <w:spacing w:after="0" w:line="246" w:lineRule="auto"/>
        <w:tabs>
          <w:tab w:leader="none" w:pos="308" w:val="left"/>
        </w:tabs>
        <w:numPr>
          <w:ilvl w:val="0"/>
          <w:numId w:val="82"/>
        </w:numPr>
        <w:rPr>
          <w:rFonts w:ascii="Arial" w:cs="Arial" w:eastAsia="Arial" w:hAnsi="Arial"/>
          <w:sz w:val="22"/>
          <w:szCs w:val="22"/>
          <w:color w:val="00249C"/>
        </w:rPr>
      </w:pPr>
      <w:r>
        <w:rPr>
          <w:rFonts w:ascii="Arial" w:cs="Arial" w:eastAsia="Arial" w:hAnsi="Arial"/>
          <w:sz w:val="18"/>
          <w:szCs w:val="18"/>
          <w:b w:val="1"/>
          <w:bCs w:val="1"/>
          <w:color w:val="auto"/>
        </w:rPr>
        <w:t xml:space="preserve">NGIS NQDCP </w:t>
      </w:r>
      <w:r>
        <w:rPr>
          <w:rFonts w:ascii="Arial" w:cs="Arial" w:eastAsia="Arial" w:hAnsi="Arial"/>
          <w:sz w:val="18"/>
          <w:szCs w:val="18"/>
          <w:color w:val="auto"/>
        </w:rPr>
        <w:t>is the Northrop Grumman Innovation Systems Nonqualified Deferred Compensation Plan. In 2019, this plan was closed</w:t>
      </w:r>
      <w:r>
        <w:rPr>
          <w:rFonts w:ascii="Arial" w:cs="Arial" w:eastAsia="Arial" w:hAnsi="Arial"/>
          <w:sz w:val="18"/>
          <w:szCs w:val="18"/>
          <w:b w:val="1"/>
          <w:bCs w:val="1"/>
          <w:color w:val="auto"/>
        </w:rPr>
        <w:t xml:space="preserve"> </w:t>
      </w:r>
      <w:r>
        <w:rPr>
          <w:rFonts w:ascii="Arial" w:cs="Arial" w:eastAsia="Arial" w:hAnsi="Arial"/>
          <w:sz w:val="18"/>
          <w:szCs w:val="18"/>
          <w:color w:val="auto"/>
        </w:rPr>
        <w:t>and contributions ceased to be made to plan participants. Prior to 2019, certain heritage Orbital ATK executives could defer up to 70% of salary and 100% of cash or equity incentive compensation. In addition, the Company could credit additional amounts relating to matching contributions foregone under the 401(k) Plan due to IRS compensation limits in that plan. The Company could also make additional discretionary contributions to participants' accounts.</w:t>
      </w:r>
    </w:p>
    <w:p>
      <w:pPr>
        <w:spacing w:after="0" w:line="107" w:lineRule="exact"/>
        <w:rPr>
          <w:rFonts w:ascii="Arial" w:cs="Arial" w:eastAsia="Arial" w:hAnsi="Arial"/>
          <w:sz w:val="22"/>
          <w:szCs w:val="22"/>
          <w:color w:val="00249C"/>
        </w:rPr>
      </w:pPr>
    </w:p>
    <w:p>
      <w:pPr>
        <w:ind w:left="340" w:right="120" w:hanging="332"/>
        <w:spacing w:after="0" w:line="237" w:lineRule="auto"/>
        <w:tabs>
          <w:tab w:leader="none" w:pos="308" w:val="left"/>
        </w:tabs>
        <w:numPr>
          <w:ilvl w:val="0"/>
          <w:numId w:val="82"/>
        </w:numPr>
        <w:rPr>
          <w:rFonts w:ascii="Arial" w:cs="Arial" w:eastAsia="Arial" w:hAnsi="Arial"/>
          <w:sz w:val="22"/>
          <w:szCs w:val="22"/>
          <w:color w:val="00249C"/>
        </w:rPr>
      </w:pPr>
      <w:r>
        <w:rPr>
          <w:rFonts w:ascii="Arial" w:cs="Arial" w:eastAsia="Arial" w:hAnsi="Arial"/>
          <w:sz w:val="18"/>
          <w:szCs w:val="18"/>
          <w:b w:val="1"/>
          <w:bCs w:val="1"/>
          <w:color w:val="auto"/>
        </w:rPr>
        <w:t xml:space="preserve">ORAC </w:t>
      </w:r>
      <w:r>
        <w:rPr>
          <w:rFonts w:ascii="Arial" w:cs="Arial" w:eastAsia="Arial" w:hAnsi="Arial"/>
          <w:sz w:val="18"/>
          <w:szCs w:val="18"/>
          <w:color w:val="auto"/>
        </w:rPr>
        <w:t>is the Northrop Grumman Officers Retirement Account Contribution Plan. This plan allows eligible executives, including NEOs,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a Company contribution of 4% of base salary and bonus.</w:t>
      </w:r>
    </w:p>
    <w:p>
      <w:pPr>
        <w:spacing w:after="0" w:line="99" w:lineRule="exact"/>
        <w:rPr>
          <w:rFonts w:ascii="Arial" w:cs="Arial" w:eastAsia="Arial" w:hAnsi="Arial"/>
          <w:sz w:val="22"/>
          <w:szCs w:val="22"/>
          <w:color w:val="00249C"/>
        </w:rPr>
      </w:pPr>
    </w:p>
    <w:p>
      <w:pPr>
        <w:ind w:left="340" w:right="20" w:hanging="332"/>
        <w:spacing w:after="0" w:line="244" w:lineRule="auto"/>
        <w:tabs>
          <w:tab w:leader="none" w:pos="308" w:val="left"/>
        </w:tabs>
        <w:numPr>
          <w:ilvl w:val="0"/>
          <w:numId w:val="82"/>
        </w:numPr>
        <w:rPr>
          <w:rFonts w:ascii="Arial" w:cs="Arial" w:eastAsia="Arial" w:hAnsi="Arial"/>
          <w:sz w:val="22"/>
          <w:szCs w:val="22"/>
          <w:color w:val="00249C"/>
        </w:rPr>
      </w:pPr>
      <w:r>
        <w:rPr>
          <w:rFonts w:ascii="Arial" w:cs="Arial" w:eastAsia="Arial" w:hAnsi="Arial"/>
          <w:sz w:val="18"/>
          <w:szCs w:val="18"/>
          <w:b w:val="1"/>
          <w:bCs w:val="1"/>
          <w:color w:val="auto"/>
        </w:rPr>
        <w:t xml:space="preserve">Savings Excess Plan </w:t>
      </w:r>
      <w:r>
        <w:rPr>
          <w:rFonts w:ascii="Arial" w:cs="Arial" w:eastAsia="Arial" w:hAnsi="Arial"/>
          <w:sz w:val="18"/>
          <w:szCs w:val="18"/>
          <w:color w:val="auto"/>
        </w:rPr>
        <w:t>is the Northrop Grumman Savings Excess Plan. This plan allows eligible employees, including the NEOs, to (i)</w:t>
      </w:r>
      <w:r>
        <w:rPr>
          <w:rFonts w:ascii="Arial" w:cs="Arial" w:eastAsia="Arial" w:hAnsi="Arial"/>
          <w:sz w:val="18"/>
          <w:szCs w:val="18"/>
          <w:b w:val="1"/>
          <w:bCs w:val="1"/>
          <w:color w:val="auto"/>
        </w:rPr>
        <w:t xml:space="preserve"> </w:t>
      </w:r>
      <w:r>
        <w:rPr>
          <w:rFonts w:ascii="Arial" w:cs="Arial" w:eastAsia="Arial" w:hAnsi="Arial"/>
          <w:sz w:val="18"/>
          <w:szCs w:val="18"/>
          <w:color w:val="auto"/>
        </w:rPr>
        <w:t>defer up to 50% of their salary and bonus beyond the compensation limits of the tax qualified plans and receive a Company matching contribution of up to 4.5% of pay and (ii) receive Retirement Account Contributions (RAC) beyond the compensation limits in the qualified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69</w:t>
      </w:r>
    </w:p>
    <w:p>
      <w:pPr>
        <w:sectPr>
          <w:pgSz w:w="11900" w:h="16838" w:orient="portrait"/>
          <w:cols w:equalWidth="0" w:num="1">
            <w:col w:w="11240"/>
          </w:cols>
          <w:pgMar w:left="320" w:top="607" w:right="339" w:bottom="1440" w:gutter="0" w:footer="0" w:header="0"/>
        </w:sectPr>
      </w:pPr>
    </w:p>
    <w:bookmarkStart w:id="75" w:name="page76"/>
    <w:bookmarkEnd w:id="75"/>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320675</wp:posOffset>
            </wp:positionV>
            <wp:extent cx="7132320" cy="3086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308610"/>
                    </a:xfrm>
                    <a:prstGeom prst="rect">
                      <a:avLst/>
                    </a:prstGeom>
                    <a:noFill/>
                  </pic:spPr>
                </pic:pic>
              </a:graphicData>
            </a:graphic>
          </wp:anchor>
        </w:drawing>
        <w:t>TERMINATION PAYMENTS AND BENEFITS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Termination Payments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following table summarizes certain payments and benefits the NEOs may receive upon termination, subject to the referenced plans and terms and conditions of the awards.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60" w:type="dxa"/>
            <w:vAlign w:val="bottom"/>
            <w:shd w:val="clear" w:color="auto" w:fill="00249C"/>
          </w:tcPr>
          <w:p>
            <w:pPr>
              <w:spacing w:after="0"/>
              <w:rPr>
                <w:sz w:val="14"/>
                <w:szCs w:val="14"/>
                <w:color w:val="auto"/>
              </w:rPr>
            </w:pPr>
          </w:p>
        </w:tc>
        <w:tc>
          <w:tcPr>
            <w:tcW w:w="2100" w:type="dxa"/>
            <w:vAlign w:val="bottom"/>
            <w:shd w:val="clear" w:color="auto" w:fill="00249C"/>
          </w:tcPr>
          <w:p>
            <w:pPr>
              <w:spacing w:after="0"/>
              <w:rPr>
                <w:sz w:val="14"/>
                <w:szCs w:val="14"/>
                <w:color w:val="auto"/>
              </w:rPr>
            </w:pPr>
          </w:p>
        </w:tc>
        <w:tc>
          <w:tcPr>
            <w:tcW w:w="2200" w:type="dxa"/>
            <w:vAlign w:val="bottom"/>
            <w:shd w:val="clear" w:color="auto" w:fill="00249C"/>
          </w:tcPr>
          <w:p>
            <w:pPr>
              <w:spacing w:after="0"/>
              <w:rPr>
                <w:sz w:val="14"/>
                <w:szCs w:val="14"/>
                <w:color w:val="auto"/>
              </w:rPr>
            </w:pPr>
          </w:p>
        </w:tc>
        <w:tc>
          <w:tcPr>
            <w:tcW w:w="2880" w:type="dxa"/>
            <w:vAlign w:val="bottom"/>
            <w:shd w:val="clear" w:color="auto" w:fill="00249C"/>
          </w:tcPr>
          <w:p>
            <w:pPr>
              <w:jc w:val="center"/>
              <w:ind w:left="28"/>
              <w:spacing w:after="0"/>
              <w:rPr>
                <w:sz w:val="20"/>
                <w:szCs w:val="20"/>
                <w:color w:val="auto"/>
              </w:rPr>
            </w:pPr>
            <w:r>
              <w:rPr>
                <w:rFonts w:ascii="Arial" w:cs="Arial" w:eastAsia="Arial" w:hAnsi="Arial"/>
                <w:sz w:val="14"/>
                <w:szCs w:val="14"/>
                <w:b w:val="1"/>
                <w:bCs w:val="1"/>
                <w:color w:val="FFFFFF"/>
              </w:rPr>
              <w:t>Post-CIC</w:t>
            </w:r>
          </w:p>
        </w:tc>
        <w:tc>
          <w:tcPr>
            <w:tcW w:w="2300" w:type="dxa"/>
            <w:vAlign w:val="bottom"/>
            <w:shd w:val="clear" w:color="auto" w:fill="00249C"/>
          </w:tcPr>
          <w:p>
            <w:pPr>
              <w:spacing w:after="0"/>
              <w:rPr>
                <w:sz w:val="14"/>
                <w:szCs w:val="14"/>
                <w:color w:val="auto"/>
              </w:rPr>
            </w:pPr>
          </w:p>
        </w:tc>
        <w:tc>
          <w:tcPr>
            <w:tcW w:w="20" w:type="dxa"/>
            <w:vAlign w:val="bottom"/>
            <w:shd w:val="clear" w:color="auto" w:fill="00249C"/>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760" w:type="dxa"/>
            <w:vAlign w:val="bottom"/>
            <w:shd w:val="clear" w:color="auto" w:fill="00249C"/>
          </w:tcPr>
          <w:p>
            <w:pPr>
              <w:spacing w:after="0"/>
              <w:rPr>
                <w:sz w:val="11"/>
                <w:szCs w:val="11"/>
                <w:color w:val="auto"/>
              </w:rPr>
            </w:pPr>
          </w:p>
        </w:tc>
        <w:tc>
          <w:tcPr>
            <w:tcW w:w="2100" w:type="dxa"/>
            <w:vAlign w:val="bottom"/>
            <w:vMerge w:val="restart"/>
            <w:shd w:val="clear" w:color="auto" w:fill="00249C"/>
          </w:tcPr>
          <w:p>
            <w:pPr>
              <w:ind w:left="760"/>
              <w:spacing w:after="0"/>
              <w:rPr>
                <w:sz w:val="20"/>
                <w:szCs w:val="20"/>
                <w:color w:val="auto"/>
              </w:rPr>
            </w:pPr>
            <w:r>
              <w:rPr>
                <w:rFonts w:ascii="Arial" w:cs="Arial" w:eastAsia="Arial" w:hAnsi="Arial"/>
                <w:sz w:val="14"/>
                <w:szCs w:val="14"/>
                <w:b w:val="1"/>
                <w:bCs w:val="1"/>
                <w:color w:val="FFFFFF"/>
              </w:rPr>
              <w:t>Voluntary</w:t>
            </w:r>
          </w:p>
        </w:tc>
        <w:tc>
          <w:tcPr>
            <w:tcW w:w="2200" w:type="dxa"/>
            <w:vAlign w:val="bottom"/>
            <w:vMerge w:val="restart"/>
            <w:shd w:val="clear" w:color="auto" w:fill="00249C"/>
          </w:tcPr>
          <w:p>
            <w:pPr>
              <w:ind w:left="360"/>
              <w:spacing w:after="0"/>
              <w:rPr>
                <w:sz w:val="20"/>
                <w:szCs w:val="20"/>
                <w:color w:val="auto"/>
              </w:rPr>
            </w:pPr>
            <w:r>
              <w:rPr>
                <w:rFonts w:ascii="Arial" w:cs="Arial" w:eastAsia="Arial" w:hAnsi="Arial"/>
                <w:sz w:val="14"/>
                <w:szCs w:val="14"/>
                <w:b w:val="1"/>
                <w:bCs w:val="1"/>
                <w:color w:val="FFFFFF"/>
              </w:rPr>
              <w:t>Involuntary Termination</w:t>
            </w:r>
          </w:p>
        </w:tc>
        <w:tc>
          <w:tcPr>
            <w:tcW w:w="2880" w:type="dxa"/>
            <w:vAlign w:val="bottom"/>
            <w:shd w:val="clear" w:color="auto" w:fill="00249C"/>
          </w:tcPr>
          <w:p>
            <w:pPr>
              <w:jc w:val="center"/>
              <w:ind w:left="28"/>
              <w:spacing w:after="0" w:line="135" w:lineRule="exact"/>
              <w:rPr>
                <w:sz w:val="20"/>
                <w:szCs w:val="20"/>
                <w:color w:val="auto"/>
              </w:rPr>
            </w:pPr>
            <w:r>
              <w:rPr>
                <w:rFonts w:ascii="Arial" w:cs="Arial" w:eastAsia="Arial" w:hAnsi="Arial"/>
                <w:sz w:val="14"/>
                <w:szCs w:val="14"/>
                <w:b w:val="1"/>
                <w:bCs w:val="1"/>
                <w:color w:val="FFFFFF"/>
              </w:rPr>
              <w:t>Involuntary</w:t>
            </w:r>
          </w:p>
        </w:tc>
        <w:tc>
          <w:tcPr>
            <w:tcW w:w="2300" w:type="dxa"/>
            <w:vAlign w:val="bottom"/>
            <w:vMerge w:val="restart"/>
            <w:shd w:val="clear" w:color="auto" w:fill="00249C"/>
          </w:tcPr>
          <w:p>
            <w:pPr>
              <w:jc w:val="center"/>
              <w:spacing w:after="0"/>
              <w:rPr>
                <w:sz w:val="20"/>
                <w:szCs w:val="20"/>
                <w:color w:val="auto"/>
              </w:rPr>
            </w:pPr>
            <w:r>
              <w:rPr>
                <w:rFonts w:ascii="Arial" w:cs="Arial" w:eastAsia="Arial" w:hAnsi="Arial"/>
                <w:sz w:val="14"/>
                <w:szCs w:val="14"/>
                <w:b w:val="1"/>
                <w:bCs w:val="1"/>
                <w:color w:val="FFFFFF"/>
              </w:rPr>
              <w:t>Death or</w:t>
            </w:r>
          </w:p>
        </w:tc>
        <w:tc>
          <w:tcPr>
            <w:tcW w:w="20" w:type="dxa"/>
            <w:vAlign w:val="bottom"/>
            <w:shd w:val="clear" w:color="auto" w:fill="00249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shd w:val="clear" w:color="auto" w:fill="00249C"/>
          </w:tcPr>
          <w:p>
            <w:pPr>
              <w:spacing w:after="0"/>
              <w:rPr>
                <w:sz w:val="11"/>
                <w:szCs w:val="11"/>
                <w:color w:val="auto"/>
              </w:rPr>
            </w:pPr>
          </w:p>
        </w:tc>
        <w:tc>
          <w:tcPr>
            <w:tcW w:w="2100" w:type="dxa"/>
            <w:vAlign w:val="bottom"/>
            <w:vMerge w:val="continue"/>
            <w:shd w:val="clear" w:color="auto" w:fill="00249C"/>
          </w:tcPr>
          <w:p>
            <w:pPr>
              <w:spacing w:after="0"/>
              <w:rPr>
                <w:sz w:val="11"/>
                <w:szCs w:val="11"/>
                <w:color w:val="auto"/>
              </w:rPr>
            </w:pPr>
          </w:p>
        </w:tc>
        <w:tc>
          <w:tcPr>
            <w:tcW w:w="2200" w:type="dxa"/>
            <w:vAlign w:val="bottom"/>
            <w:vMerge w:val="continue"/>
            <w:shd w:val="clear" w:color="auto" w:fill="00249C"/>
          </w:tcPr>
          <w:p>
            <w:pPr>
              <w:spacing w:after="0"/>
              <w:rPr>
                <w:sz w:val="11"/>
                <w:szCs w:val="11"/>
                <w:color w:val="auto"/>
              </w:rPr>
            </w:pPr>
          </w:p>
        </w:tc>
        <w:tc>
          <w:tcPr>
            <w:tcW w:w="2880" w:type="dxa"/>
            <w:vAlign w:val="bottom"/>
            <w:shd w:val="clear" w:color="auto" w:fill="00249C"/>
          </w:tcPr>
          <w:p>
            <w:pPr>
              <w:jc w:val="center"/>
              <w:ind w:left="8"/>
              <w:spacing w:after="0" w:line="135" w:lineRule="exact"/>
              <w:rPr>
                <w:sz w:val="20"/>
                <w:szCs w:val="20"/>
                <w:color w:val="auto"/>
              </w:rPr>
            </w:pPr>
            <w:r>
              <w:rPr>
                <w:rFonts w:ascii="Arial" w:cs="Arial" w:eastAsia="Arial" w:hAnsi="Arial"/>
                <w:sz w:val="14"/>
                <w:szCs w:val="14"/>
                <w:b w:val="1"/>
                <w:bCs w:val="1"/>
                <w:color w:val="FFFFFF"/>
              </w:rPr>
              <w:t>or Good Reason</w:t>
            </w:r>
          </w:p>
        </w:tc>
        <w:tc>
          <w:tcPr>
            <w:tcW w:w="2300" w:type="dxa"/>
            <w:vAlign w:val="bottom"/>
            <w:vMerge w:val="continue"/>
            <w:shd w:val="clear" w:color="auto" w:fill="00249C"/>
          </w:tcPr>
          <w:p>
            <w:pPr>
              <w:spacing w:after="0"/>
              <w:rPr>
                <w:sz w:val="11"/>
                <w:szCs w:val="11"/>
                <w:color w:val="auto"/>
              </w:rPr>
            </w:pPr>
          </w:p>
        </w:tc>
        <w:tc>
          <w:tcPr>
            <w:tcW w:w="20" w:type="dxa"/>
            <w:vAlign w:val="bottom"/>
            <w:shd w:val="clear" w:color="auto" w:fill="00249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00249C"/>
          </w:tcPr>
          <w:p>
            <w:pPr>
              <w:spacing w:after="0"/>
              <w:rPr>
                <w:sz w:val="16"/>
                <w:szCs w:val="16"/>
                <w:color w:val="auto"/>
              </w:rPr>
            </w:pPr>
          </w:p>
        </w:tc>
        <w:tc>
          <w:tcPr>
            <w:tcW w:w="2100" w:type="dxa"/>
            <w:vAlign w:val="bottom"/>
            <w:shd w:val="clear" w:color="auto" w:fill="00249C"/>
          </w:tcPr>
          <w:p>
            <w:pPr>
              <w:ind w:left="580"/>
              <w:spacing w:after="0"/>
              <w:rPr>
                <w:sz w:val="20"/>
                <w:szCs w:val="20"/>
                <w:color w:val="auto"/>
              </w:rPr>
            </w:pPr>
            <w:r>
              <w:rPr>
                <w:rFonts w:ascii="Arial" w:cs="Arial" w:eastAsia="Arial" w:hAnsi="Arial"/>
                <w:sz w:val="14"/>
                <w:szCs w:val="14"/>
                <w:b w:val="1"/>
                <w:bCs w:val="1"/>
                <w:color w:val="FFFFFF"/>
              </w:rPr>
              <w:t>Termination (3)</w:t>
            </w:r>
          </w:p>
        </w:tc>
        <w:tc>
          <w:tcPr>
            <w:tcW w:w="2200" w:type="dxa"/>
            <w:vAlign w:val="bottom"/>
            <w:shd w:val="clear" w:color="auto" w:fill="00249C"/>
          </w:tcPr>
          <w:p>
            <w:pPr>
              <w:ind w:left="580"/>
              <w:spacing w:after="0"/>
              <w:rPr>
                <w:sz w:val="20"/>
                <w:szCs w:val="20"/>
                <w:color w:val="auto"/>
              </w:rPr>
            </w:pPr>
            <w:r>
              <w:rPr>
                <w:rFonts w:ascii="Arial" w:cs="Arial" w:eastAsia="Arial" w:hAnsi="Arial"/>
                <w:sz w:val="14"/>
                <w:szCs w:val="14"/>
                <w:b w:val="1"/>
                <w:bCs w:val="1"/>
                <w:color w:val="FFFFFF"/>
              </w:rPr>
              <w:t>Not For Cause (3)</w:t>
            </w:r>
          </w:p>
        </w:tc>
        <w:tc>
          <w:tcPr>
            <w:tcW w:w="2880" w:type="dxa"/>
            <w:vAlign w:val="bottom"/>
            <w:shd w:val="clear" w:color="auto" w:fill="00249C"/>
          </w:tcPr>
          <w:p>
            <w:pPr>
              <w:jc w:val="center"/>
              <w:ind w:left="28"/>
              <w:spacing w:after="0"/>
              <w:rPr>
                <w:sz w:val="20"/>
                <w:szCs w:val="20"/>
                <w:color w:val="auto"/>
              </w:rPr>
            </w:pPr>
            <w:r>
              <w:rPr>
                <w:rFonts w:ascii="Arial" w:cs="Arial" w:eastAsia="Arial" w:hAnsi="Arial"/>
                <w:sz w:val="14"/>
                <w:szCs w:val="14"/>
                <w:b w:val="1"/>
                <w:bCs w:val="1"/>
                <w:color w:val="FFFFFF"/>
              </w:rPr>
              <w:t>Termination</w:t>
            </w:r>
          </w:p>
        </w:tc>
        <w:tc>
          <w:tcPr>
            <w:tcW w:w="230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Disability (3)</w:t>
            </w:r>
          </w:p>
        </w:tc>
        <w:tc>
          <w:tcPr>
            <w:tcW w:w="20" w:type="dxa"/>
            <w:vAlign w:val="bottom"/>
            <w:shd w:val="clear" w:color="auto" w:fill="00249C"/>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760" w:type="dxa"/>
            <w:vAlign w:val="bottom"/>
            <w:shd w:val="clear" w:color="auto" w:fill="CCD4DB"/>
          </w:tcPr>
          <w:p>
            <w:pPr>
              <w:spacing w:after="0"/>
              <w:rPr>
                <w:sz w:val="13"/>
                <w:szCs w:val="13"/>
                <w:color w:val="auto"/>
              </w:rPr>
            </w:pPr>
          </w:p>
        </w:tc>
        <w:tc>
          <w:tcPr>
            <w:tcW w:w="2100" w:type="dxa"/>
            <w:vAlign w:val="bottom"/>
            <w:vMerge w:val="restart"/>
            <w:shd w:val="clear" w:color="auto" w:fill="CCD4DB"/>
          </w:tcPr>
          <w:p>
            <w:pPr>
              <w:ind w:left="20"/>
              <w:spacing w:after="0"/>
              <w:rPr>
                <w:sz w:val="20"/>
                <w:szCs w:val="20"/>
                <w:color w:val="auto"/>
              </w:rPr>
            </w:pPr>
            <w:r>
              <w:rPr>
                <w:rFonts w:ascii="Arial" w:cs="Arial" w:eastAsia="Arial" w:hAnsi="Arial"/>
                <w:sz w:val="14"/>
                <w:szCs w:val="14"/>
                <w:color w:val="auto"/>
              </w:rPr>
              <w:t>Unvested RSRs are forfeited,</w:t>
            </w:r>
          </w:p>
        </w:tc>
        <w:tc>
          <w:tcPr>
            <w:tcW w:w="2200" w:type="dxa"/>
            <w:vAlign w:val="bottom"/>
            <w:vMerge w:val="restart"/>
            <w:shd w:val="clear" w:color="auto" w:fill="CCD4DB"/>
          </w:tcPr>
          <w:p>
            <w:pPr>
              <w:ind w:left="100"/>
              <w:spacing w:after="0"/>
              <w:rPr>
                <w:sz w:val="20"/>
                <w:szCs w:val="20"/>
                <w:color w:val="auto"/>
              </w:rPr>
            </w:pPr>
            <w:r>
              <w:rPr>
                <w:rFonts w:ascii="Arial" w:cs="Arial" w:eastAsia="Arial" w:hAnsi="Arial"/>
                <w:sz w:val="14"/>
                <w:szCs w:val="14"/>
                <w:color w:val="auto"/>
              </w:rPr>
              <w:t>Unvested RSRs are forfeited,</w:t>
            </w:r>
          </w:p>
        </w:tc>
        <w:tc>
          <w:tcPr>
            <w:tcW w:w="2880" w:type="dxa"/>
            <w:vAlign w:val="bottom"/>
            <w:shd w:val="clear" w:color="auto" w:fill="CCD4DB"/>
          </w:tcPr>
          <w:p>
            <w:pPr>
              <w:ind w:left="100"/>
              <w:spacing w:after="0" w:line="153" w:lineRule="exact"/>
              <w:rPr>
                <w:sz w:val="20"/>
                <w:szCs w:val="20"/>
                <w:color w:val="auto"/>
              </w:rPr>
            </w:pPr>
            <w:r>
              <w:rPr>
                <w:rFonts w:ascii="Arial" w:cs="Arial" w:eastAsia="Arial" w:hAnsi="Arial"/>
                <w:sz w:val="14"/>
                <w:szCs w:val="14"/>
                <w:color w:val="auto"/>
              </w:rPr>
              <w:t>For certain change in control events as set</w:t>
            </w:r>
          </w:p>
        </w:tc>
        <w:tc>
          <w:tcPr>
            <w:tcW w:w="2300" w:type="dxa"/>
            <w:vAlign w:val="bottom"/>
            <w:shd w:val="clear" w:color="auto" w:fill="CCD4DB"/>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60" w:type="dxa"/>
            <w:vAlign w:val="bottom"/>
            <w:shd w:val="clear" w:color="auto" w:fill="CCD4DB"/>
          </w:tcPr>
          <w:p>
            <w:pPr>
              <w:spacing w:after="0"/>
              <w:rPr>
                <w:sz w:val="11"/>
                <w:szCs w:val="11"/>
                <w:color w:val="auto"/>
              </w:rPr>
            </w:pPr>
          </w:p>
        </w:tc>
        <w:tc>
          <w:tcPr>
            <w:tcW w:w="2100" w:type="dxa"/>
            <w:vAlign w:val="bottom"/>
            <w:vMerge w:val="continue"/>
            <w:shd w:val="clear" w:color="auto" w:fill="CCD4DB"/>
          </w:tcPr>
          <w:p>
            <w:pPr>
              <w:spacing w:after="0"/>
              <w:rPr>
                <w:sz w:val="11"/>
                <w:szCs w:val="11"/>
                <w:color w:val="auto"/>
              </w:rPr>
            </w:pPr>
          </w:p>
        </w:tc>
        <w:tc>
          <w:tcPr>
            <w:tcW w:w="2200" w:type="dxa"/>
            <w:vAlign w:val="bottom"/>
            <w:vMerge w:val="continue"/>
            <w:shd w:val="clear" w:color="auto" w:fill="CCD4DB"/>
          </w:tcPr>
          <w:p>
            <w:pPr>
              <w:spacing w:after="0"/>
              <w:rPr>
                <w:sz w:val="11"/>
                <w:szCs w:val="11"/>
                <w:color w:val="auto"/>
              </w:rPr>
            </w:pPr>
          </w:p>
        </w:tc>
        <w:tc>
          <w:tcPr>
            <w:tcW w:w="2880" w:type="dxa"/>
            <w:vAlign w:val="bottom"/>
            <w:shd w:val="clear" w:color="auto" w:fill="CCD4DB"/>
          </w:tcPr>
          <w:p>
            <w:pPr>
              <w:ind w:left="100"/>
              <w:spacing w:after="0" w:line="135" w:lineRule="exact"/>
              <w:rPr>
                <w:sz w:val="20"/>
                <w:szCs w:val="20"/>
                <w:color w:val="auto"/>
              </w:rPr>
            </w:pPr>
            <w:r>
              <w:rPr>
                <w:rFonts w:ascii="Arial" w:cs="Arial" w:eastAsia="Arial" w:hAnsi="Arial"/>
                <w:sz w:val="14"/>
                <w:szCs w:val="14"/>
                <w:color w:val="auto"/>
              </w:rPr>
              <w:t>forth in the 2011 Plan (CIC), unvested</w:t>
            </w:r>
          </w:p>
        </w:tc>
        <w:tc>
          <w:tcPr>
            <w:tcW w:w="2300" w:type="dxa"/>
            <w:vAlign w:val="bottom"/>
            <w:shd w:val="clear" w:color="auto" w:fill="CCD4DB"/>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shd w:val="clear" w:color="auto" w:fill="CCD4DB"/>
          </w:tcPr>
          <w:p>
            <w:pPr>
              <w:spacing w:after="0"/>
              <w:rPr>
                <w:sz w:val="11"/>
                <w:szCs w:val="11"/>
                <w:color w:val="auto"/>
              </w:rPr>
            </w:pPr>
          </w:p>
        </w:tc>
        <w:tc>
          <w:tcPr>
            <w:tcW w:w="2100" w:type="dxa"/>
            <w:vAlign w:val="bottom"/>
            <w:shd w:val="clear" w:color="auto" w:fill="CCD4DB"/>
          </w:tcPr>
          <w:p>
            <w:pPr>
              <w:ind w:left="20"/>
              <w:spacing w:after="0" w:line="135" w:lineRule="exact"/>
              <w:rPr>
                <w:sz w:val="20"/>
                <w:szCs w:val="20"/>
                <w:color w:val="auto"/>
              </w:rPr>
            </w:pPr>
            <w:r>
              <w:rPr>
                <w:rFonts w:ascii="Arial" w:cs="Arial" w:eastAsia="Arial" w:hAnsi="Arial"/>
                <w:sz w:val="14"/>
                <w:szCs w:val="14"/>
                <w:color w:val="auto"/>
              </w:rPr>
              <w:t>except in the case of early</w:t>
            </w:r>
          </w:p>
        </w:tc>
        <w:tc>
          <w:tcPr>
            <w:tcW w:w="2200" w:type="dxa"/>
            <w:vAlign w:val="bottom"/>
            <w:shd w:val="clear" w:color="auto" w:fill="CCD4DB"/>
          </w:tcPr>
          <w:p>
            <w:pPr>
              <w:ind w:left="100"/>
              <w:spacing w:after="0" w:line="135" w:lineRule="exact"/>
              <w:rPr>
                <w:sz w:val="20"/>
                <w:szCs w:val="20"/>
                <w:color w:val="auto"/>
              </w:rPr>
            </w:pPr>
            <w:r>
              <w:rPr>
                <w:rFonts w:ascii="Arial" w:cs="Arial" w:eastAsia="Arial" w:hAnsi="Arial"/>
                <w:sz w:val="14"/>
                <w:szCs w:val="14"/>
                <w:color w:val="auto"/>
              </w:rPr>
              <w:t>except in the case of early</w:t>
            </w:r>
          </w:p>
        </w:tc>
        <w:tc>
          <w:tcPr>
            <w:tcW w:w="2880" w:type="dxa"/>
            <w:vAlign w:val="bottom"/>
            <w:shd w:val="clear" w:color="auto" w:fill="CCD4DB"/>
          </w:tcPr>
          <w:p>
            <w:pPr>
              <w:ind w:left="100"/>
              <w:spacing w:after="0" w:line="135" w:lineRule="exact"/>
              <w:rPr>
                <w:sz w:val="20"/>
                <w:szCs w:val="20"/>
                <w:color w:val="auto"/>
              </w:rPr>
            </w:pPr>
            <w:r>
              <w:rPr>
                <w:rFonts w:ascii="Arial" w:cs="Arial" w:eastAsia="Arial" w:hAnsi="Arial"/>
                <w:sz w:val="14"/>
                <w:szCs w:val="14"/>
                <w:color w:val="auto"/>
              </w:rPr>
              <w:t>RSRs will vest and payment is accelerated,</w:t>
            </w:r>
          </w:p>
        </w:tc>
        <w:tc>
          <w:tcPr>
            <w:tcW w:w="2300" w:type="dxa"/>
            <w:vAlign w:val="bottom"/>
            <w:shd w:val="clear" w:color="auto" w:fill="CCD4DB"/>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shd w:val="clear" w:color="auto" w:fill="CCD4DB"/>
          </w:tcPr>
          <w:p>
            <w:pPr>
              <w:spacing w:after="0"/>
              <w:rPr>
                <w:sz w:val="11"/>
                <w:szCs w:val="11"/>
                <w:color w:val="auto"/>
              </w:rPr>
            </w:pPr>
          </w:p>
        </w:tc>
        <w:tc>
          <w:tcPr>
            <w:tcW w:w="2100" w:type="dxa"/>
            <w:vAlign w:val="bottom"/>
            <w:shd w:val="clear" w:color="auto" w:fill="CCD4DB"/>
          </w:tcPr>
          <w:p>
            <w:pPr>
              <w:ind w:left="20"/>
              <w:spacing w:after="0" w:line="135" w:lineRule="exact"/>
              <w:rPr>
                <w:sz w:val="20"/>
                <w:szCs w:val="20"/>
                <w:color w:val="auto"/>
              </w:rPr>
            </w:pPr>
            <w:r>
              <w:rPr>
                <w:rFonts w:ascii="Arial" w:cs="Arial" w:eastAsia="Arial" w:hAnsi="Arial"/>
                <w:sz w:val="14"/>
                <w:szCs w:val="14"/>
                <w:color w:val="auto"/>
              </w:rPr>
              <w:t>retirement where the RSRs are</w:t>
            </w:r>
          </w:p>
        </w:tc>
        <w:tc>
          <w:tcPr>
            <w:tcW w:w="2200" w:type="dxa"/>
            <w:vAlign w:val="bottom"/>
            <w:shd w:val="clear" w:color="auto" w:fill="CCD4DB"/>
          </w:tcPr>
          <w:p>
            <w:pPr>
              <w:ind w:left="100"/>
              <w:spacing w:after="0" w:line="135" w:lineRule="exact"/>
              <w:rPr>
                <w:sz w:val="20"/>
                <w:szCs w:val="20"/>
                <w:color w:val="auto"/>
              </w:rPr>
            </w:pPr>
            <w:r>
              <w:rPr>
                <w:rFonts w:ascii="Arial" w:cs="Arial" w:eastAsia="Arial" w:hAnsi="Arial"/>
                <w:sz w:val="14"/>
                <w:szCs w:val="14"/>
                <w:color w:val="auto"/>
              </w:rPr>
              <w:t>retirement where the RSRs are</w:t>
            </w:r>
          </w:p>
        </w:tc>
        <w:tc>
          <w:tcPr>
            <w:tcW w:w="2880" w:type="dxa"/>
            <w:vAlign w:val="bottom"/>
            <w:shd w:val="clear" w:color="auto" w:fill="CCD4DB"/>
          </w:tcPr>
          <w:p>
            <w:pPr>
              <w:ind w:left="100"/>
              <w:spacing w:after="0" w:line="135" w:lineRule="exact"/>
              <w:rPr>
                <w:sz w:val="20"/>
                <w:szCs w:val="20"/>
                <w:color w:val="auto"/>
              </w:rPr>
            </w:pPr>
            <w:r>
              <w:rPr>
                <w:rFonts w:ascii="Arial" w:cs="Arial" w:eastAsia="Arial" w:hAnsi="Arial"/>
                <w:sz w:val="14"/>
                <w:szCs w:val="14"/>
                <w:color w:val="auto"/>
              </w:rPr>
              <w:t>only in the event of a double trigger (CIC</w:t>
            </w:r>
          </w:p>
        </w:tc>
        <w:tc>
          <w:tcPr>
            <w:tcW w:w="2300" w:type="dxa"/>
            <w:vAlign w:val="bottom"/>
            <w:vMerge w:val="restart"/>
            <w:shd w:val="clear" w:color="auto" w:fill="CCD4DB"/>
          </w:tcPr>
          <w:p>
            <w:pPr>
              <w:ind w:left="20"/>
              <w:spacing w:after="0"/>
              <w:rPr>
                <w:sz w:val="20"/>
                <w:szCs w:val="20"/>
                <w:color w:val="auto"/>
              </w:rPr>
            </w:pPr>
            <w:r>
              <w:rPr>
                <w:rFonts w:ascii="Arial" w:cs="Arial" w:eastAsia="Arial" w:hAnsi="Arial"/>
                <w:sz w:val="14"/>
                <w:szCs w:val="14"/>
                <w:color w:val="auto"/>
              </w:rPr>
              <w:t>Unvested RSRs will fully vest and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vMerge w:val="restart"/>
            <w:shd w:val="clear" w:color="auto" w:fill="CCD4DB"/>
          </w:tcPr>
          <w:p>
            <w:pPr>
              <w:ind w:left="20"/>
              <w:spacing w:after="0"/>
              <w:rPr>
                <w:sz w:val="20"/>
                <w:szCs w:val="20"/>
                <w:color w:val="auto"/>
              </w:rPr>
            </w:pPr>
            <w:r>
              <w:rPr>
                <w:rFonts w:ascii="Arial" w:cs="Arial" w:eastAsia="Arial" w:hAnsi="Arial"/>
                <w:sz w:val="14"/>
                <w:szCs w:val="14"/>
                <w:color w:val="auto"/>
              </w:rPr>
              <w:t>RSRs (1)</w:t>
            </w:r>
          </w:p>
        </w:tc>
        <w:tc>
          <w:tcPr>
            <w:tcW w:w="2100" w:type="dxa"/>
            <w:vAlign w:val="bottom"/>
            <w:shd w:val="clear" w:color="auto" w:fill="CCD4DB"/>
          </w:tcPr>
          <w:p>
            <w:pPr>
              <w:ind w:left="20"/>
              <w:spacing w:after="0" w:line="135" w:lineRule="exact"/>
              <w:rPr>
                <w:sz w:val="20"/>
                <w:szCs w:val="20"/>
                <w:color w:val="auto"/>
              </w:rPr>
            </w:pPr>
            <w:r>
              <w:rPr>
                <w:rFonts w:ascii="Arial" w:cs="Arial" w:eastAsia="Arial" w:hAnsi="Arial"/>
                <w:sz w:val="14"/>
                <w:szCs w:val="14"/>
                <w:color w:val="auto"/>
              </w:rPr>
              <w:t>prorated and mandatory</w:t>
            </w:r>
          </w:p>
        </w:tc>
        <w:tc>
          <w:tcPr>
            <w:tcW w:w="2200" w:type="dxa"/>
            <w:vAlign w:val="bottom"/>
            <w:shd w:val="clear" w:color="auto" w:fill="CCD4DB"/>
          </w:tcPr>
          <w:p>
            <w:pPr>
              <w:ind w:left="100"/>
              <w:spacing w:after="0" w:line="135" w:lineRule="exact"/>
              <w:rPr>
                <w:sz w:val="20"/>
                <w:szCs w:val="20"/>
                <w:color w:val="auto"/>
              </w:rPr>
            </w:pPr>
            <w:r>
              <w:rPr>
                <w:rFonts w:ascii="Arial" w:cs="Arial" w:eastAsia="Arial" w:hAnsi="Arial"/>
                <w:sz w:val="14"/>
                <w:szCs w:val="14"/>
                <w:color w:val="auto"/>
              </w:rPr>
              <w:t>prorated and mandatory</w:t>
            </w:r>
          </w:p>
        </w:tc>
        <w:tc>
          <w:tcPr>
            <w:tcW w:w="2880" w:type="dxa"/>
            <w:vAlign w:val="bottom"/>
            <w:shd w:val="clear" w:color="auto" w:fill="CCD4DB"/>
          </w:tcPr>
          <w:p>
            <w:pPr>
              <w:ind w:left="100"/>
              <w:spacing w:after="0" w:line="135" w:lineRule="exact"/>
              <w:rPr>
                <w:sz w:val="20"/>
                <w:szCs w:val="20"/>
                <w:color w:val="auto"/>
              </w:rPr>
            </w:pPr>
            <w:r>
              <w:rPr>
                <w:rFonts w:ascii="Arial" w:cs="Arial" w:eastAsia="Arial" w:hAnsi="Arial"/>
                <w:sz w:val="14"/>
                <w:szCs w:val="14"/>
                <w:color w:val="auto"/>
              </w:rPr>
              <w:t>and termination other than for cause within</w:t>
            </w:r>
          </w:p>
        </w:tc>
        <w:tc>
          <w:tcPr>
            <w:tcW w:w="2300" w:type="dxa"/>
            <w:vAlign w:val="bottom"/>
            <w:vMerge w:val="continue"/>
            <w:shd w:val="clear" w:color="auto" w:fill="CCD4DB"/>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760" w:type="dxa"/>
            <w:vAlign w:val="bottom"/>
            <w:vMerge w:val="continue"/>
            <w:shd w:val="clear" w:color="auto" w:fill="CCD4DB"/>
          </w:tcPr>
          <w:p>
            <w:pPr>
              <w:spacing w:after="0"/>
              <w:rPr>
                <w:sz w:val="9"/>
                <w:szCs w:val="9"/>
                <w:color w:val="auto"/>
              </w:rPr>
            </w:pPr>
          </w:p>
        </w:tc>
        <w:tc>
          <w:tcPr>
            <w:tcW w:w="2100" w:type="dxa"/>
            <w:vAlign w:val="bottom"/>
            <w:vMerge w:val="restart"/>
            <w:shd w:val="clear" w:color="auto" w:fill="CCD4DB"/>
          </w:tcPr>
          <w:p>
            <w:pPr>
              <w:ind w:left="20"/>
              <w:spacing w:after="0" w:line="135" w:lineRule="exact"/>
              <w:rPr>
                <w:sz w:val="20"/>
                <w:szCs w:val="20"/>
                <w:color w:val="auto"/>
              </w:rPr>
            </w:pPr>
            <w:r>
              <w:rPr>
                <w:rFonts w:ascii="Arial" w:cs="Arial" w:eastAsia="Arial" w:hAnsi="Arial"/>
                <w:sz w:val="14"/>
                <w:szCs w:val="14"/>
                <w:color w:val="auto"/>
              </w:rPr>
              <w:t>retirement (age 65) where they</w:t>
            </w:r>
          </w:p>
        </w:tc>
        <w:tc>
          <w:tcPr>
            <w:tcW w:w="2200" w:type="dxa"/>
            <w:vAlign w:val="bottom"/>
            <w:vMerge w:val="restart"/>
            <w:shd w:val="clear" w:color="auto" w:fill="CCD4DB"/>
          </w:tcPr>
          <w:p>
            <w:pPr>
              <w:ind w:left="100"/>
              <w:spacing w:after="0" w:line="135" w:lineRule="exact"/>
              <w:rPr>
                <w:sz w:val="20"/>
                <w:szCs w:val="20"/>
                <w:color w:val="auto"/>
              </w:rPr>
            </w:pPr>
            <w:r>
              <w:rPr>
                <w:rFonts w:ascii="Arial" w:cs="Arial" w:eastAsia="Arial" w:hAnsi="Arial"/>
                <w:sz w:val="14"/>
                <w:szCs w:val="14"/>
                <w:color w:val="auto"/>
              </w:rPr>
              <w:t>retirement (age 65) where they</w:t>
            </w:r>
          </w:p>
        </w:tc>
        <w:tc>
          <w:tcPr>
            <w:tcW w:w="2880" w:type="dxa"/>
            <w:vAlign w:val="bottom"/>
            <w:vMerge w:val="restart"/>
            <w:shd w:val="clear" w:color="auto" w:fill="CCD4DB"/>
          </w:tcPr>
          <w:p>
            <w:pPr>
              <w:ind w:left="100"/>
              <w:spacing w:after="0" w:line="135" w:lineRule="exact"/>
              <w:rPr>
                <w:sz w:val="20"/>
                <w:szCs w:val="20"/>
                <w:color w:val="auto"/>
              </w:rPr>
            </w:pPr>
            <w:r>
              <w:rPr>
                <w:rFonts w:ascii="Arial" w:cs="Arial" w:eastAsia="Arial" w:hAnsi="Arial"/>
                <w:sz w:val="14"/>
                <w:szCs w:val="14"/>
                <w:color w:val="auto"/>
              </w:rPr>
              <w:t>the specified period), or if the acquiring</w:t>
            </w:r>
          </w:p>
        </w:tc>
        <w:tc>
          <w:tcPr>
            <w:tcW w:w="2300" w:type="dxa"/>
            <w:vAlign w:val="bottom"/>
            <w:vMerge w:val="restart"/>
            <w:shd w:val="clear" w:color="auto" w:fill="CCD4DB"/>
          </w:tcPr>
          <w:p>
            <w:pPr>
              <w:ind w:left="20"/>
              <w:spacing w:after="0" w:line="135" w:lineRule="exact"/>
              <w:rPr>
                <w:sz w:val="20"/>
                <w:szCs w:val="20"/>
                <w:color w:val="auto"/>
              </w:rPr>
            </w:pPr>
            <w:r>
              <w:rPr>
                <w:rFonts w:ascii="Arial" w:cs="Arial" w:eastAsia="Arial" w:hAnsi="Arial"/>
                <w:sz w:val="14"/>
                <w:szCs w:val="14"/>
                <w:color w:val="auto"/>
              </w:rPr>
              <w:t>payment is accelerated</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760" w:type="dxa"/>
            <w:vAlign w:val="bottom"/>
            <w:shd w:val="clear" w:color="auto" w:fill="CCD4DB"/>
          </w:tcPr>
          <w:p>
            <w:pPr>
              <w:spacing w:after="0"/>
              <w:rPr>
                <w:sz w:val="2"/>
                <w:szCs w:val="2"/>
                <w:color w:val="auto"/>
              </w:rPr>
            </w:pPr>
          </w:p>
        </w:tc>
        <w:tc>
          <w:tcPr>
            <w:tcW w:w="2100" w:type="dxa"/>
            <w:vAlign w:val="bottom"/>
            <w:vMerge w:val="continue"/>
            <w:shd w:val="clear" w:color="auto" w:fill="CCD4DB"/>
          </w:tcPr>
          <w:p>
            <w:pPr>
              <w:spacing w:after="0"/>
              <w:rPr>
                <w:sz w:val="2"/>
                <w:szCs w:val="2"/>
                <w:color w:val="auto"/>
              </w:rPr>
            </w:pPr>
          </w:p>
        </w:tc>
        <w:tc>
          <w:tcPr>
            <w:tcW w:w="2200" w:type="dxa"/>
            <w:vAlign w:val="bottom"/>
            <w:vMerge w:val="continue"/>
            <w:shd w:val="clear" w:color="auto" w:fill="CCD4DB"/>
          </w:tcPr>
          <w:p>
            <w:pPr>
              <w:spacing w:after="0"/>
              <w:rPr>
                <w:sz w:val="2"/>
                <w:szCs w:val="2"/>
                <w:color w:val="auto"/>
              </w:rPr>
            </w:pPr>
          </w:p>
        </w:tc>
        <w:tc>
          <w:tcPr>
            <w:tcW w:w="2880" w:type="dxa"/>
            <w:vAlign w:val="bottom"/>
            <w:vMerge w:val="continue"/>
            <w:shd w:val="clear" w:color="auto" w:fill="CCD4DB"/>
          </w:tcPr>
          <w:p>
            <w:pPr>
              <w:spacing w:after="0"/>
              <w:rPr>
                <w:sz w:val="2"/>
                <w:szCs w:val="2"/>
                <w:color w:val="auto"/>
              </w:rPr>
            </w:pPr>
          </w:p>
        </w:tc>
        <w:tc>
          <w:tcPr>
            <w:tcW w:w="2300" w:type="dxa"/>
            <w:vAlign w:val="bottom"/>
            <w:vMerge w:val="continue"/>
            <w:shd w:val="clear" w:color="auto" w:fill="CCD4DB"/>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760" w:type="dxa"/>
            <w:vAlign w:val="bottom"/>
            <w:shd w:val="clear" w:color="auto" w:fill="CCD4DB"/>
          </w:tcPr>
          <w:p>
            <w:pPr>
              <w:spacing w:after="0"/>
              <w:rPr>
                <w:sz w:val="11"/>
                <w:szCs w:val="11"/>
                <w:color w:val="auto"/>
              </w:rPr>
            </w:pPr>
          </w:p>
        </w:tc>
        <w:tc>
          <w:tcPr>
            <w:tcW w:w="2100" w:type="dxa"/>
            <w:vAlign w:val="bottom"/>
            <w:shd w:val="clear" w:color="auto" w:fill="CCD4DB"/>
          </w:tcPr>
          <w:p>
            <w:pPr>
              <w:ind w:left="20"/>
              <w:spacing w:after="0" w:line="135" w:lineRule="exact"/>
              <w:rPr>
                <w:sz w:val="20"/>
                <w:szCs w:val="20"/>
                <w:color w:val="auto"/>
              </w:rPr>
            </w:pPr>
            <w:r>
              <w:rPr>
                <w:rFonts w:ascii="Arial" w:cs="Arial" w:eastAsia="Arial" w:hAnsi="Arial"/>
                <w:sz w:val="14"/>
                <w:szCs w:val="14"/>
                <w:color w:val="auto"/>
              </w:rPr>
              <w:t>will fully vest. Retention awards</w:t>
            </w:r>
          </w:p>
        </w:tc>
        <w:tc>
          <w:tcPr>
            <w:tcW w:w="2200" w:type="dxa"/>
            <w:vAlign w:val="bottom"/>
            <w:shd w:val="clear" w:color="auto" w:fill="CCD4DB"/>
          </w:tcPr>
          <w:p>
            <w:pPr>
              <w:ind w:left="100"/>
              <w:spacing w:after="0" w:line="135" w:lineRule="exact"/>
              <w:rPr>
                <w:sz w:val="20"/>
                <w:szCs w:val="20"/>
                <w:color w:val="auto"/>
              </w:rPr>
            </w:pPr>
            <w:r>
              <w:rPr>
                <w:rFonts w:ascii="Arial" w:cs="Arial" w:eastAsia="Arial" w:hAnsi="Arial"/>
                <w:sz w:val="14"/>
                <w:szCs w:val="14"/>
                <w:color w:val="auto"/>
              </w:rPr>
              <w:t>will fully vest. Retention awards</w:t>
            </w:r>
          </w:p>
        </w:tc>
        <w:tc>
          <w:tcPr>
            <w:tcW w:w="2880" w:type="dxa"/>
            <w:vAlign w:val="bottom"/>
            <w:shd w:val="clear" w:color="auto" w:fill="CCD4DB"/>
          </w:tcPr>
          <w:p>
            <w:pPr>
              <w:ind w:left="100"/>
              <w:spacing w:after="0" w:line="135" w:lineRule="exact"/>
              <w:rPr>
                <w:sz w:val="20"/>
                <w:szCs w:val="20"/>
                <w:color w:val="auto"/>
              </w:rPr>
            </w:pPr>
            <w:r>
              <w:rPr>
                <w:rFonts w:ascii="Arial" w:cs="Arial" w:eastAsia="Arial" w:hAnsi="Arial"/>
                <w:sz w:val="14"/>
                <w:szCs w:val="14"/>
                <w:color w:val="auto"/>
              </w:rPr>
              <w:t>company fails to assume the awards;</w:t>
            </w:r>
          </w:p>
        </w:tc>
        <w:tc>
          <w:tcPr>
            <w:tcW w:w="2300" w:type="dxa"/>
            <w:vAlign w:val="bottom"/>
            <w:shd w:val="clear" w:color="auto" w:fill="CCD4DB"/>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shd w:val="clear" w:color="auto" w:fill="CCD4DB"/>
          </w:tcPr>
          <w:p>
            <w:pPr>
              <w:spacing w:after="0"/>
              <w:rPr>
                <w:sz w:val="11"/>
                <w:szCs w:val="11"/>
                <w:color w:val="auto"/>
              </w:rPr>
            </w:pPr>
          </w:p>
        </w:tc>
        <w:tc>
          <w:tcPr>
            <w:tcW w:w="2100" w:type="dxa"/>
            <w:vAlign w:val="bottom"/>
            <w:shd w:val="clear" w:color="auto" w:fill="CCD4DB"/>
          </w:tcPr>
          <w:p>
            <w:pPr>
              <w:ind w:left="20"/>
              <w:spacing w:after="0" w:line="135" w:lineRule="exact"/>
              <w:rPr>
                <w:sz w:val="20"/>
                <w:szCs w:val="20"/>
                <w:color w:val="auto"/>
              </w:rPr>
            </w:pPr>
            <w:r>
              <w:rPr>
                <w:rFonts w:ascii="Arial" w:cs="Arial" w:eastAsia="Arial" w:hAnsi="Arial"/>
                <w:sz w:val="14"/>
                <w:szCs w:val="14"/>
                <w:color w:val="auto"/>
              </w:rPr>
              <w:t>do not include retirement</w:t>
            </w:r>
          </w:p>
        </w:tc>
        <w:tc>
          <w:tcPr>
            <w:tcW w:w="2200" w:type="dxa"/>
            <w:vAlign w:val="bottom"/>
            <w:shd w:val="clear" w:color="auto" w:fill="CCD4DB"/>
          </w:tcPr>
          <w:p>
            <w:pPr>
              <w:ind w:left="100"/>
              <w:spacing w:after="0" w:line="135" w:lineRule="exact"/>
              <w:rPr>
                <w:sz w:val="20"/>
                <w:szCs w:val="20"/>
                <w:color w:val="auto"/>
              </w:rPr>
            </w:pPr>
            <w:r>
              <w:rPr>
                <w:rFonts w:ascii="Arial" w:cs="Arial" w:eastAsia="Arial" w:hAnsi="Arial"/>
                <w:sz w:val="14"/>
                <w:szCs w:val="14"/>
                <w:color w:val="auto"/>
              </w:rPr>
              <w:t>do not include retirement</w:t>
            </w:r>
          </w:p>
        </w:tc>
        <w:tc>
          <w:tcPr>
            <w:tcW w:w="2880" w:type="dxa"/>
            <w:vAlign w:val="bottom"/>
            <w:shd w:val="clear" w:color="auto" w:fill="CCD4DB"/>
          </w:tcPr>
          <w:p>
            <w:pPr>
              <w:ind w:left="100"/>
              <w:spacing w:after="0" w:line="135" w:lineRule="exact"/>
              <w:rPr>
                <w:sz w:val="20"/>
                <w:szCs w:val="20"/>
                <w:color w:val="auto"/>
              </w:rPr>
            </w:pPr>
            <w:r>
              <w:rPr>
                <w:rFonts w:ascii="Arial" w:cs="Arial" w:eastAsia="Arial" w:hAnsi="Arial"/>
                <w:sz w:val="14"/>
                <w:szCs w:val="14"/>
                <w:color w:val="auto"/>
              </w:rPr>
              <w:t>subject to certain limitations to the extent</w:t>
            </w:r>
          </w:p>
        </w:tc>
        <w:tc>
          <w:tcPr>
            <w:tcW w:w="2300" w:type="dxa"/>
            <w:vAlign w:val="bottom"/>
            <w:shd w:val="clear" w:color="auto" w:fill="CCD4DB"/>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shd w:val="clear" w:color="auto" w:fill="CCD4DB"/>
          </w:tcPr>
          <w:p>
            <w:pPr>
              <w:spacing w:after="0"/>
              <w:rPr>
                <w:sz w:val="11"/>
                <w:szCs w:val="11"/>
                <w:color w:val="auto"/>
              </w:rPr>
            </w:pPr>
          </w:p>
        </w:tc>
        <w:tc>
          <w:tcPr>
            <w:tcW w:w="2100" w:type="dxa"/>
            <w:vAlign w:val="bottom"/>
            <w:shd w:val="clear" w:color="auto" w:fill="CCD4DB"/>
          </w:tcPr>
          <w:p>
            <w:pPr>
              <w:ind w:left="20"/>
              <w:spacing w:after="0" w:line="135" w:lineRule="exact"/>
              <w:rPr>
                <w:sz w:val="20"/>
                <w:szCs w:val="20"/>
                <w:color w:val="auto"/>
              </w:rPr>
            </w:pPr>
            <w:r>
              <w:rPr>
                <w:rFonts w:ascii="Arial" w:cs="Arial" w:eastAsia="Arial" w:hAnsi="Arial"/>
                <w:sz w:val="14"/>
                <w:szCs w:val="14"/>
                <w:color w:val="auto"/>
              </w:rPr>
              <w:t>provisions</w:t>
            </w:r>
          </w:p>
        </w:tc>
        <w:tc>
          <w:tcPr>
            <w:tcW w:w="2200" w:type="dxa"/>
            <w:vAlign w:val="bottom"/>
            <w:shd w:val="clear" w:color="auto" w:fill="CCD4DB"/>
          </w:tcPr>
          <w:p>
            <w:pPr>
              <w:ind w:left="100"/>
              <w:spacing w:after="0" w:line="135" w:lineRule="exact"/>
              <w:rPr>
                <w:sz w:val="20"/>
                <w:szCs w:val="20"/>
                <w:color w:val="auto"/>
              </w:rPr>
            </w:pPr>
            <w:r>
              <w:rPr>
                <w:rFonts w:ascii="Arial" w:cs="Arial" w:eastAsia="Arial" w:hAnsi="Arial"/>
                <w:sz w:val="14"/>
                <w:szCs w:val="14"/>
                <w:color w:val="auto"/>
              </w:rPr>
              <w:t>provisions</w:t>
            </w:r>
          </w:p>
        </w:tc>
        <w:tc>
          <w:tcPr>
            <w:tcW w:w="2880" w:type="dxa"/>
            <w:vAlign w:val="bottom"/>
            <w:shd w:val="clear" w:color="auto" w:fill="CCD4DB"/>
          </w:tcPr>
          <w:p>
            <w:pPr>
              <w:ind w:left="100"/>
              <w:spacing w:after="0" w:line="135" w:lineRule="exact"/>
              <w:rPr>
                <w:sz w:val="20"/>
                <w:szCs w:val="20"/>
                <w:color w:val="auto"/>
              </w:rPr>
            </w:pPr>
            <w:r>
              <w:rPr>
                <w:rFonts w:ascii="Arial" w:cs="Arial" w:eastAsia="Arial" w:hAnsi="Arial"/>
                <w:sz w:val="14"/>
                <w:szCs w:val="14"/>
                <w:color w:val="auto"/>
              </w:rPr>
              <w:t>such accelerated payments would</w:t>
            </w:r>
          </w:p>
        </w:tc>
        <w:tc>
          <w:tcPr>
            <w:tcW w:w="2300" w:type="dxa"/>
            <w:vAlign w:val="bottom"/>
            <w:shd w:val="clear" w:color="auto" w:fill="CCD4DB"/>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760" w:type="dxa"/>
            <w:vAlign w:val="bottom"/>
            <w:shd w:val="clear" w:color="auto" w:fill="CCD4DB"/>
          </w:tcPr>
          <w:p>
            <w:pPr>
              <w:spacing w:after="0"/>
              <w:rPr>
                <w:sz w:val="14"/>
                <w:szCs w:val="14"/>
                <w:color w:val="auto"/>
              </w:rPr>
            </w:pPr>
          </w:p>
        </w:tc>
        <w:tc>
          <w:tcPr>
            <w:tcW w:w="2100" w:type="dxa"/>
            <w:vAlign w:val="bottom"/>
            <w:shd w:val="clear" w:color="auto" w:fill="CCD4DB"/>
          </w:tcPr>
          <w:p>
            <w:pPr>
              <w:spacing w:after="0"/>
              <w:rPr>
                <w:sz w:val="14"/>
                <w:szCs w:val="14"/>
                <w:color w:val="auto"/>
              </w:rPr>
            </w:pPr>
          </w:p>
        </w:tc>
        <w:tc>
          <w:tcPr>
            <w:tcW w:w="2200" w:type="dxa"/>
            <w:vAlign w:val="bottom"/>
            <w:shd w:val="clear" w:color="auto" w:fill="CCD4DB"/>
          </w:tcPr>
          <w:p>
            <w:pPr>
              <w:spacing w:after="0"/>
              <w:rPr>
                <w:sz w:val="14"/>
                <w:szCs w:val="14"/>
                <w:color w:val="auto"/>
              </w:rPr>
            </w:pPr>
          </w:p>
        </w:tc>
        <w:tc>
          <w:tcPr>
            <w:tcW w:w="2880" w:type="dxa"/>
            <w:vAlign w:val="bottom"/>
            <w:shd w:val="clear" w:color="auto" w:fill="CCD4DB"/>
          </w:tcPr>
          <w:p>
            <w:pPr>
              <w:ind w:left="100"/>
              <w:spacing w:after="0"/>
              <w:rPr>
                <w:sz w:val="20"/>
                <w:szCs w:val="20"/>
                <w:color w:val="auto"/>
              </w:rPr>
            </w:pPr>
            <w:r>
              <w:rPr>
                <w:rFonts w:ascii="Arial" w:cs="Arial" w:eastAsia="Arial" w:hAnsi="Arial"/>
                <w:sz w:val="14"/>
                <w:szCs w:val="14"/>
                <w:color w:val="auto"/>
              </w:rPr>
              <w:t>otherwise trigger an excise tax</w:t>
            </w:r>
          </w:p>
        </w:tc>
        <w:tc>
          <w:tcPr>
            <w:tcW w:w="2300" w:type="dxa"/>
            <w:vAlign w:val="bottom"/>
            <w:shd w:val="clear" w:color="auto" w:fill="CCD4DB"/>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60"/>
          </w:cols>
          <w:pgMar w:left="320" w:top="59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RPSRs (1)(2)</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tabs>
          <w:tab w:leader="none" w:pos="2160" w:val="left"/>
        </w:tabs>
        <w:rPr>
          <w:sz w:val="20"/>
          <w:szCs w:val="20"/>
          <w:color w:val="auto"/>
        </w:rPr>
      </w:pPr>
      <w:r>
        <w:rPr>
          <w:rFonts w:ascii="Arial" w:cs="Arial" w:eastAsia="Arial" w:hAnsi="Arial"/>
          <w:sz w:val="14"/>
          <w:szCs w:val="14"/>
          <w:color w:val="auto"/>
        </w:rPr>
        <w:t>Unvested RPSRs are forfeited</w:t>
      </w:r>
      <w:r>
        <w:rPr>
          <w:sz w:val="20"/>
          <w:szCs w:val="20"/>
          <w:color w:val="auto"/>
        </w:rPr>
        <w:tab/>
      </w:r>
      <w:r>
        <w:rPr>
          <w:rFonts w:ascii="Arial" w:cs="Arial" w:eastAsia="Arial" w:hAnsi="Arial"/>
          <w:sz w:val="14"/>
          <w:szCs w:val="14"/>
          <w:color w:val="auto"/>
        </w:rPr>
        <w:t>Unvested RPSRs are forfeited</w:t>
      </w:r>
    </w:p>
    <w:p>
      <w:pPr>
        <w:spacing w:after="0" w:line="201" w:lineRule="auto"/>
        <w:tabs>
          <w:tab w:leader="none" w:pos="2160" w:val="left"/>
        </w:tabs>
        <w:rPr>
          <w:sz w:val="20"/>
          <w:szCs w:val="20"/>
          <w:color w:val="auto"/>
        </w:rPr>
      </w:pPr>
      <w:r>
        <w:rPr>
          <w:rFonts w:ascii="Arial" w:cs="Arial" w:eastAsia="Arial" w:hAnsi="Arial"/>
          <w:sz w:val="14"/>
          <w:szCs w:val="14"/>
          <w:color w:val="auto"/>
        </w:rPr>
        <w:t>except in the case of early</w:t>
      </w:r>
      <w:r>
        <w:rPr>
          <w:sz w:val="20"/>
          <w:szCs w:val="20"/>
          <w:color w:val="auto"/>
        </w:rPr>
        <w:tab/>
      </w:r>
      <w:r>
        <w:rPr>
          <w:rFonts w:ascii="Arial" w:cs="Arial" w:eastAsia="Arial" w:hAnsi="Arial"/>
          <w:sz w:val="14"/>
          <w:szCs w:val="14"/>
          <w:color w:val="auto"/>
        </w:rPr>
        <w:t>except in the case of early</w:t>
      </w:r>
    </w:p>
    <w:p>
      <w:pPr>
        <w:spacing w:after="0" w:line="201" w:lineRule="auto"/>
        <w:rPr>
          <w:sz w:val="20"/>
          <w:szCs w:val="20"/>
          <w:color w:val="auto"/>
        </w:rPr>
      </w:pPr>
      <w:r>
        <w:rPr>
          <w:rFonts w:ascii="Arial" w:cs="Arial" w:eastAsia="Arial" w:hAnsi="Arial"/>
          <w:sz w:val="14"/>
          <w:szCs w:val="14"/>
          <w:color w:val="auto"/>
        </w:rPr>
        <w:t>retirement where the RPSRs are retirement where the RPSRs are</w:t>
      </w:r>
    </w:p>
    <w:p>
      <w:pPr>
        <w:spacing w:after="0" w:line="201" w:lineRule="auto"/>
        <w:tabs>
          <w:tab w:leader="none" w:pos="2160" w:val="left"/>
        </w:tabs>
        <w:rPr>
          <w:sz w:val="20"/>
          <w:szCs w:val="20"/>
          <w:color w:val="auto"/>
        </w:rPr>
      </w:pPr>
      <w:r>
        <w:rPr>
          <w:rFonts w:ascii="Arial" w:cs="Arial" w:eastAsia="Arial" w:hAnsi="Arial"/>
          <w:sz w:val="14"/>
          <w:szCs w:val="14"/>
          <w:color w:val="auto"/>
        </w:rPr>
        <w:t>prorated and mandatory</w:t>
      </w:r>
      <w:r>
        <w:rPr>
          <w:sz w:val="20"/>
          <w:szCs w:val="20"/>
          <w:color w:val="auto"/>
        </w:rPr>
        <w:tab/>
      </w:r>
      <w:r>
        <w:rPr>
          <w:rFonts w:ascii="Arial" w:cs="Arial" w:eastAsia="Arial" w:hAnsi="Arial"/>
          <w:sz w:val="14"/>
          <w:szCs w:val="14"/>
          <w:color w:val="auto"/>
        </w:rPr>
        <w:t>prorated and mandatory</w:t>
      </w:r>
    </w:p>
    <w:p>
      <w:pPr>
        <w:spacing w:after="0" w:line="202" w:lineRule="auto"/>
        <w:tabs>
          <w:tab w:leader="none" w:pos="2160" w:val="left"/>
        </w:tabs>
        <w:rPr>
          <w:sz w:val="20"/>
          <w:szCs w:val="20"/>
          <w:color w:val="auto"/>
        </w:rPr>
      </w:pPr>
      <w:r>
        <w:rPr>
          <w:rFonts w:ascii="Arial" w:cs="Arial" w:eastAsia="Arial" w:hAnsi="Arial"/>
          <w:sz w:val="14"/>
          <w:szCs w:val="14"/>
          <w:color w:val="auto"/>
        </w:rPr>
        <w:t>retirement (age 65) where they</w:t>
        <w:tab/>
        <w:t>retirement (age 65) where they</w:t>
      </w:r>
    </w:p>
    <w:p>
      <w:pPr>
        <w:spacing w:after="0"/>
        <w:tabs>
          <w:tab w:leader="none" w:pos="2160" w:val="left"/>
        </w:tabs>
        <w:rPr>
          <w:sz w:val="20"/>
          <w:szCs w:val="20"/>
          <w:color w:val="auto"/>
        </w:rPr>
      </w:pPr>
      <w:r>
        <w:rPr>
          <w:rFonts w:ascii="Arial" w:cs="Arial" w:eastAsia="Arial" w:hAnsi="Arial"/>
          <w:sz w:val="14"/>
          <w:szCs w:val="14"/>
          <w:color w:val="auto"/>
        </w:rPr>
        <w:t>fully vest</w:t>
      </w:r>
      <w:r>
        <w:rPr>
          <w:sz w:val="20"/>
          <w:szCs w:val="20"/>
          <w:color w:val="auto"/>
        </w:rPr>
        <w:tab/>
      </w:r>
      <w:r>
        <w:rPr>
          <w:rFonts w:ascii="Arial" w:cs="Arial" w:eastAsia="Arial" w:hAnsi="Arial"/>
          <w:sz w:val="14"/>
          <w:szCs w:val="14"/>
          <w:color w:val="auto"/>
        </w:rPr>
        <w:t>fully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-1124585</wp:posOffset>
            </wp:positionH>
            <wp:positionV relativeFrom="paragraph">
              <wp:posOffset>177800</wp:posOffset>
            </wp:positionV>
            <wp:extent cx="7132320" cy="3771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2740" w:type="dxa"/>
            <w:vAlign w:val="bottom"/>
          </w:tcPr>
          <w:p>
            <w:pPr>
              <w:spacing w:after="0" w:line="153" w:lineRule="exact"/>
              <w:rPr>
                <w:sz w:val="20"/>
                <w:szCs w:val="20"/>
                <w:color w:val="auto"/>
              </w:rPr>
            </w:pPr>
            <w:r>
              <w:rPr>
                <w:rFonts w:ascii="Arial" w:cs="Arial" w:eastAsia="Arial" w:hAnsi="Arial"/>
                <w:sz w:val="14"/>
                <w:szCs w:val="14"/>
                <w:color w:val="auto"/>
              </w:rPr>
              <w:t>For a CIC, unvested RPSRs will fully vest</w:t>
            </w: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line="135" w:lineRule="exact"/>
              <w:rPr>
                <w:sz w:val="20"/>
                <w:szCs w:val="20"/>
                <w:color w:val="auto"/>
              </w:rPr>
            </w:pPr>
            <w:r>
              <w:rPr>
                <w:rFonts w:ascii="Arial" w:cs="Arial" w:eastAsia="Arial" w:hAnsi="Arial"/>
                <w:sz w:val="14"/>
                <w:szCs w:val="14"/>
                <w:color w:val="auto"/>
              </w:rPr>
              <w:t>and payment is accelerated based on a</w:t>
            </w: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line="135" w:lineRule="exact"/>
              <w:rPr>
                <w:sz w:val="20"/>
                <w:szCs w:val="20"/>
                <w:color w:val="auto"/>
              </w:rPr>
            </w:pPr>
            <w:r>
              <w:rPr>
                <w:rFonts w:ascii="Arial" w:cs="Arial" w:eastAsia="Arial" w:hAnsi="Arial"/>
                <w:sz w:val="14"/>
                <w:szCs w:val="14"/>
                <w:color w:val="auto"/>
              </w:rPr>
              <w:t>truncated performance period, only in the</w:t>
            </w: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line="135" w:lineRule="exact"/>
              <w:rPr>
                <w:sz w:val="20"/>
                <w:szCs w:val="20"/>
                <w:color w:val="auto"/>
              </w:rPr>
            </w:pPr>
            <w:r>
              <w:rPr>
                <w:rFonts w:ascii="Arial" w:cs="Arial" w:eastAsia="Arial" w:hAnsi="Arial"/>
                <w:sz w:val="14"/>
                <w:szCs w:val="14"/>
                <w:color w:val="auto"/>
              </w:rPr>
              <w:t>event of a double trigger (CIC and</w:t>
            </w:r>
          </w:p>
        </w:tc>
        <w:tc>
          <w:tcPr>
            <w:tcW w:w="2280" w:type="dxa"/>
            <w:vAlign w:val="bottom"/>
            <w:vMerge w:val="restart"/>
          </w:tcPr>
          <w:p>
            <w:pPr>
              <w:ind w:left="60"/>
              <w:spacing w:after="0"/>
              <w:rPr>
                <w:sz w:val="20"/>
                <w:szCs w:val="20"/>
                <w:color w:val="auto"/>
              </w:rPr>
            </w:pPr>
            <w:r>
              <w:rPr>
                <w:rFonts w:ascii="Arial" w:cs="Arial" w:eastAsia="Arial" w:hAnsi="Arial"/>
                <w:sz w:val="14"/>
                <w:szCs w:val="14"/>
                <w:color w:val="auto"/>
              </w:rPr>
              <w:t>Unvested RPSRs are prorated and</w:t>
            </w:r>
          </w:p>
        </w:tc>
        <w:tc>
          <w:tcPr>
            <w:tcW w:w="0" w:type="dxa"/>
            <w:vAlign w:val="bottom"/>
          </w:tcPr>
          <w:p>
            <w:pPr>
              <w:spacing w:after="0"/>
              <w:rPr>
                <w:sz w:val="1"/>
                <w:szCs w:val="1"/>
                <w:color w:val="auto"/>
              </w:rPr>
            </w:pPr>
          </w:p>
        </w:tc>
      </w:tr>
      <w:tr>
        <w:trPr>
          <w:trHeight w:val="135"/>
        </w:trPr>
        <w:tc>
          <w:tcPr>
            <w:tcW w:w="2740" w:type="dxa"/>
            <w:vAlign w:val="bottom"/>
          </w:tcPr>
          <w:p>
            <w:pPr>
              <w:spacing w:after="0" w:line="135" w:lineRule="exact"/>
              <w:rPr>
                <w:sz w:val="20"/>
                <w:szCs w:val="20"/>
                <w:color w:val="auto"/>
              </w:rPr>
            </w:pPr>
            <w:r>
              <w:rPr>
                <w:rFonts w:ascii="Arial" w:cs="Arial" w:eastAsia="Arial" w:hAnsi="Arial"/>
                <w:sz w:val="14"/>
                <w:szCs w:val="14"/>
                <w:color w:val="auto"/>
              </w:rPr>
              <w:t>termination other than for cause within the</w:t>
            </w:r>
          </w:p>
        </w:tc>
        <w:tc>
          <w:tcPr>
            <w:tcW w:w="2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line="135" w:lineRule="exact"/>
              <w:rPr>
                <w:sz w:val="20"/>
                <w:szCs w:val="20"/>
                <w:color w:val="auto"/>
              </w:rPr>
            </w:pPr>
            <w:r>
              <w:rPr>
                <w:rFonts w:ascii="Arial" w:cs="Arial" w:eastAsia="Arial" w:hAnsi="Arial"/>
                <w:sz w:val="14"/>
                <w:szCs w:val="14"/>
                <w:color w:val="auto"/>
              </w:rPr>
              <w:t>specified period), or if the acquiring</w:t>
            </w:r>
          </w:p>
        </w:tc>
        <w:tc>
          <w:tcPr>
            <w:tcW w:w="2280" w:type="dxa"/>
            <w:vAlign w:val="bottom"/>
          </w:tcPr>
          <w:p>
            <w:pPr>
              <w:ind w:left="60"/>
              <w:spacing w:after="0" w:line="135" w:lineRule="exact"/>
              <w:rPr>
                <w:sz w:val="20"/>
                <w:szCs w:val="20"/>
                <w:color w:val="auto"/>
              </w:rPr>
            </w:pPr>
            <w:r>
              <w:rPr>
                <w:rFonts w:ascii="Arial" w:cs="Arial" w:eastAsia="Arial" w:hAnsi="Arial"/>
                <w:sz w:val="14"/>
                <w:szCs w:val="14"/>
                <w:color w:val="auto"/>
              </w:rPr>
              <w:t>payment, at target, is accelerated</w:t>
            </w:r>
          </w:p>
        </w:tc>
        <w:tc>
          <w:tcPr>
            <w:tcW w:w="0" w:type="dxa"/>
            <w:vAlign w:val="bottom"/>
          </w:tcPr>
          <w:p>
            <w:pPr>
              <w:spacing w:after="0"/>
              <w:rPr>
                <w:sz w:val="1"/>
                <w:szCs w:val="1"/>
                <w:color w:val="auto"/>
              </w:rPr>
            </w:pPr>
          </w:p>
        </w:tc>
      </w:tr>
      <w:tr>
        <w:trPr>
          <w:trHeight w:val="135"/>
        </w:trPr>
        <w:tc>
          <w:tcPr>
            <w:tcW w:w="2740" w:type="dxa"/>
            <w:vAlign w:val="bottom"/>
          </w:tcPr>
          <w:p>
            <w:pPr>
              <w:spacing w:after="0" w:line="135" w:lineRule="exact"/>
              <w:rPr>
                <w:sz w:val="20"/>
                <w:szCs w:val="20"/>
                <w:color w:val="auto"/>
              </w:rPr>
            </w:pPr>
            <w:r>
              <w:rPr>
                <w:rFonts w:ascii="Arial" w:cs="Arial" w:eastAsia="Arial" w:hAnsi="Arial"/>
                <w:sz w:val="14"/>
                <w:szCs w:val="14"/>
                <w:color w:val="auto"/>
              </w:rPr>
              <w:t>company fails to assume the awards;</w:t>
            </w: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line="135" w:lineRule="exact"/>
              <w:rPr>
                <w:sz w:val="20"/>
                <w:szCs w:val="20"/>
                <w:color w:val="auto"/>
              </w:rPr>
            </w:pPr>
            <w:r>
              <w:rPr>
                <w:rFonts w:ascii="Arial" w:cs="Arial" w:eastAsia="Arial" w:hAnsi="Arial"/>
                <w:sz w:val="14"/>
                <w:szCs w:val="14"/>
                <w:color w:val="auto"/>
              </w:rPr>
              <w:t>subject to certain limitations to the extent</w:t>
            </w: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line="135" w:lineRule="exact"/>
              <w:rPr>
                <w:sz w:val="20"/>
                <w:szCs w:val="20"/>
                <w:color w:val="auto"/>
              </w:rPr>
            </w:pPr>
            <w:r>
              <w:rPr>
                <w:rFonts w:ascii="Arial" w:cs="Arial" w:eastAsia="Arial" w:hAnsi="Arial"/>
                <w:sz w:val="14"/>
                <w:szCs w:val="14"/>
                <w:color w:val="auto"/>
              </w:rPr>
              <w:t>such accelerated payments would</w:t>
            </w: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740" w:type="dxa"/>
            <w:vAlign w:val="bottom"/>
          </w:tcPr>
          <w:p>
            <w:pPr>
              <w:spacing w:after="0"/>
              <w:rPr>
                <w:sz w:val="20"/>
                <w:szCs w:val="20"/>
                <w:color w:val="auto"/>
              </w:rPr>
            </w:pPr>
            <w:r>
              <w:rPr>
                <w:rFonts w:ascii="Arial" w:cs="Arial" w:eastAsia="Arial" w:hAnsi="Arial"/>
                <w:sz w:val="14"/>
                <w:szCs w:val="14"/>
                <w:color w:val="auto"/>
              </w:rPr>
              <w:t>otherwise trigger an excise tax</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sectPr>
          <w:pgSz w:w="11900" w:h="16838" w:orient="portrait"/>
          <w:cols w:equalWidth="0" w:num="3">
            <w:col w:w="1060" w:space="720"/>
            <w:col w:w="4260" w:space="120"/>
            <w:col w:w="5100"/>
          </w:cols>
          <w:pgMar w:left="320" w:top="593" w:right="319" w:bottom="1440" w:gutter="0" w:footer="0" w:header="0"/>
          <w:type w:val="continuous"/>
        </w:sect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Severance</w:t>
      </w:r>
    </w:p>
    <w:p>
      <w:pPr>
        <w:spacing w:after="0" w:line="366" w:lineRule="exact"/>
        <w:rPr>
          <w:sz w:val="20"/>
          <w:szCs w:val="20"/>
          <w:color w:val="auto"/>
        </w:rPr>
      </w:pPr>
    </w:p>
    <w:p>
      <w:pPr>
        <w:ind w:left="20"/>
        <w:spacing w:after="0"/>
        <w:rPr>
          <w:sz w:val="20"/>
          <w:szCs w:val="20"/>
          <w:color w:val="auto"/>
        </w:rPr>
      </w:pPr>
      <w:r>
        <w:rPr>
          <w:rFonts w:ascii="Arial" w:cs="Arial" w:eastAsia="Arial" w:hAnsi="Arial"/>
          <w:sz w:val="14"/>
          <w:szCs w:val="14"/>
          <w:color w:val="auto"/>
        </w:rPr>
        <w:t>Medical</w:t>
      </w:r>
    </w:p>
    <w:p>
      <w:pPr>
        <w:spacing w:after="0" w:line="298" w:lineRule="exact"/>
        <w:rPr>
          <w:sz w:val="20"/>
          <w:szCs w:val="20"/>
          <w:color w:val="auto"/>
        </w:rPr>
      </w:pPr>
    </w:p>
    <w:p>
      <w:pPr>
        <w:ind w:left="20"/>
        <w:spacing w:after="0"/>
        <w:rPr>
          <w:sz w:val="20"/>
          <w:szCs w:val="20"/>
          <w:color w:val="auto"/>
        </w:rPr>
      </w:pPr>
      <w:r>
        <w:rPr>
          <w:rFonts w:ascii="Arial" w:cs="Arial" w:eastAsia="Arial" w:hAnsi="Arial"/>
          <w:sz w:val="14"/>
          <w:szCs w:val="14"/>
          <w:color w:val="auto"/>
        </w:rPr>
        <w:t>Financial Planning</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Outplacement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No payment</w:t>
      </w: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auto"/>
        </w:rPr>
        <w:t>No payment</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No payment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No payment</w:t>
      </w:r>
    </w:p>
    <w:p>
      <w:pPr>
        <w:spacing w:after="0" w:line="20" w:lineRule="exact"/>
        <w:rPr>
          <w:sz w:val="20"/>
          <w:szCs w:val="20"/>
          <w:color w:val="auto"/>
        </w:rPr>
      </w:pPr>
      <w:r>
        <w:rPr>
          <w:sz w:val="20"/>
          <w:szCs w:val="20"/>
          <w:color w:val="auto"/>
        </w:rPr>
        <w:br w:type="column"/>
      </w:r>
    </w:p>
    <w:p>
      <w:pPr>
        <w:spacing w:after="0" w:line="215" w:lineRule="auto"/>
        <w:rPr>
          <w:sz w:val="20"/>
          <w:szCs w:val="20"/>
          <w:color w:val="auto"/>
        </w:rPr>
      </w:pPr>
      <w:r>
        <w:rPr>
          <w:rFonts w:ascii="Arial" w:cs="Arial" w:eastAsia="Arial" w:hAnsi="Arial"/>
          <w:sz w:val="14"/>
          <w:szCs w:val="14"/>
          <w:color w:val="auto"/>
        </w:rPr>
        <w:t>Lump sum equal to 1.5x base salary and bonus target and a prorated performance bonus for the year of termination</w:t>
      </w:r>
    </w:p>
    <w:p>
      <w:pPr>
        <w:spacing w:after="0" w:line="17" w:lineRule="exact"/>
        <w:rPr>
          <w:sz w:val="20"/>
          <w:szCs w:val="20"/>
          <w:color w:val="auto"/>
        </w:rPr>
      </w:pPr>
    </w:p>
    <w:p>
      <w:pPr>
        <w:ind w:right="120"/>
        <w:spacing w:after="0" w:line="219" w:lineRule="auto"/>
        <w:rPr>
          <w:sz w:val="20"/>
          <w:szCs w:val="20"/>
          <w:color w:val="auto"/>
        </w:rPr>
      </w:pPr>
      <w:r>
        <w:rPr>
          <w:rFonts w:ascii="Arial" w:cs="Arial" w:eastAsia="Arial" w:hAnsi="Arial"/>
          <w:sz w:val="14"/>
          <w:szCs w:val="14"/>
          <w:color w:val="auto"/>
        </w:rPr>
        <w:t>Continued medical and dental coverage for the 18-month severance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0</wp:posOffset>
            </wp:positionV>
            <wp:extent cx="7132320" cy="2914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right="100"/>
        <w:spacing w:after="0" w:line="219" w:lineRule="auto"/>
        <w:rPr>
          <w:sz w:val="20"/>
          <w:szCs w:val="20"/>
          <w:color w:val="auto"/>
        </w:rPr>
      </w:pPr>
      <w:r>
        <w:rPr>
          <w:rFonts w:ascii="Arial" w:cs="Arial" w:eastAsia="Arial" w:hAnsi="Arial"/>
          <w:sz w:val="14"/>
          <w:szCs w:val="14"/>
          <w:color w:val="auto"/>
        </w:rPr>
        <w:t>Reimbursement of fees for the year of termination and the following year</w:t>
      </w:r>
    </w:p>
    <w:p>
      <w:pPr>
        <w:spacing w:after="0" w:line="18" w:lineRule="exact"/>
        <w:rPr>
          <w:sz w:val="20"/>
          <w:szCs w:val="20"/>
          <w:color w:val="auto"/>
        </w:rPr>
      </w:pPr>
    </w:p>
    <w:p>
      <w:pPr>
        <w:ind w:right="200"/>
        <w:spacing w:after="0" w:line="229" w:lineRule="auto"/>
        <w:rPr>
          <w:sz w:val="20"/>
          <w:szCs w:val="20"/>
          <w:color w:val="auto"/>
        </w:rPr>
      </w:pPr>
      <w:r>
        <w:rPr>
          <w:rFonts w:ascii="Arial" w:cs="Arial" w:eastAsia="Arial" w:hAnsi="Arial"/>
          <w:sz w:val="14"/>
          <w:szCs w:val="14"/>
          <w:color w:val="auto"/>
        </w:rPr>
        <w:t>Expenses up to 15% of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0</wp:posOffset>
            </wp:positionV>
            <wp:extent cx="71323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tabs>
          <w:tab w:leader="none" w:pos="2780" w:val="left"/>
        </w:tabs>
        <w:rPr>
          <w:sz w:val="20"/>
          <w:szCs w:val="20"/>
          <w:color w:val="auto"/>
        </w:rPr>
      </w:pPr>
      <w:r>
        <w:rPr>
          <w:rFonts w:ascii="Arial" w:cs="Arial" w:eastAsia="Arial" w:hAnsi="Arial"/>
          <w:sz w:val="14"/>
          <w:szCs w:val="14"/>
          <w:color w:val="auto"/>
        </w:rPr>
        <w:t>No payment</w:t>
      </w:r>
      <w:r>
        <w:rPr>
          <w:sz w:val="20"/>
          <w:szCs w:val="20"/>
          <w:color w:val="auto"/>
        </w:rPr>
        <w:tab/>
      </w:r>
      <w:r>
        <w:rPr>
          <w:rFonts w:ascii="Arial" w:cs="Arial" w:eastAsia="Arial" w:hAnsi="Arial"/>
          <w:sz w:val="14"/>
          <w:szCs w:val="14"/>
          <w:color w:val="auto"/>
        </w:rPr>
        <w:t>No payment</w:t>
      </w:r>
    </w:p>
    <w:p>
      <w:pPr>
        <w:spacing w:after="0" w:line="366" w:lineRule="exact"/>
        <w:rPr>
          <w:sz w:val="20"/>
          <w:szCs w:val="20"/>
          <w:color w:val="auto"/>
        </w:rPr>
      </w:pPr>
    </w:p>
    <w:p>
      <w:pPr>
        <w:spacing w:after="0"/>
        <w:tabs>
          <w:tab w:leader="none" w:pos="2780" w:val="left"/>
        </w:tabs>
        <w:rPr>
          <w:sz w:val="20"/>
          <w:szCs w:val="20"/>
          <w:color w:val="auto"/>
        </w:rPr>
      </w:pPr>
      <w:r>
        <w:rPr>
          <w:rFonts w:ascii="Arial" w:cs="Arial" w:eastAsia="Arial" w:hAnsi="Arial"/>
          <w:sz w:val="14"/>
          <w:szCs w:val="14"/>
          <w:color w:val="auto"/>
        </w:rPr>
        <w:t>No payment</w:t>
      </w:r>
      <w:r>
        <w:rPr>
          <w:sz w:val="20"/>
          <w:szCs w:val="20"/>
          <w:color w:val="auto"/>
        </w:rPr>
        <w:tab/>
      </w:r>
      <w:r>
        <w:rPr>
          <w:rFonts w:ascii="Arial" w:cs="Arial" w:eastAsia="Arial" w:hAnsi="Arial"/>
          <w:sz w:val="14"/>
          <w:szCs w:val="14"/>
          <w:color w:val="auto"/>
        </w:rPr>
        <w:t>No payment</w:t>
      </w:r>
    </w:p>
    <w:p>
      <w:pPr>
        <w:spacing w:after="0" w:line="298" w:lineRule="exact"/>
        <w:rPr>
          <w:sz w:val="20"/>
          <w:szCs w:val="20"/>
          <w:color w:val="auto"/>
        </w:rPr>
      </w:pPr>
    </w:p>
    <w:p>
      <w:pPr>
        <w:spacing w:after="0"/>
        <w:tabs>
          <w:tab w:leader="none" w:pos="2780" w:val="left"/>
        </w:tabs>
        <w:rPr>
          <w:sz w:val="20"/>
          <w:szCs w:val="20"/>
          <w:color w:val="auto"/>
        </w:rPr>
      </w:pPr>
      <w:r>
        <w:rPr>
          <w:rFonts w:ascii="Arial" w:cs="Arial" w:eastAsia="Arial" w:hAnsi="Arial"/>
          <w:sz w:val="14"/>
          <w:szCs w:val="14"/>
          <w:color w:val="auto"/>
        </w:rPr>
        <w:t>No payment</w:t>
      </w:r>
      <w:r>
        <w:rPr>
          <w:sz w:val="20"/>
          <w:szCs w:val="20"/>
          <w:color w:val="auto"/>
        </w:rPr>
        <w:tab/>
      </w:r>
      <w:r>
        <w:rPr>
          <w:rFonts w:ascii="Arial" w:cs="Arial" w:eastAsia="Arial" w:hAnsi="Arial"/>
          <w:sz w:val="14"/>
          <w:szCs w:val="14"/>
          <w:color w:val="auto"/>
        </w:rPr>
        <w:t>No payment</w:t>
      </w:r>
    </w:p>
    <w:p>
      <w:pPr>
        <w:spacing w:after="0" w:line="231" w:lineRule="exact"/>
        <w:rPr>
          <w:sz w:val="20"/>
          <w:szCs w:val="20"/>
          <w:color w:val="auto"/>
        </w:rPr>
      </w:pPr>
    </w:p>
    <w:p>
      <w:pPr>
        <w:spacing w:after="0"/>
        <w:tabs>
          <w:tab w:leader="none" w:pos="2780" w:val="left"/>
        </w:tabs>
        <w:rPr>
          <w:sz w:val="20"/>
          <w:szCs w:val="20"/>
          <w:color w:val="auto"/>
        </w:rPr>
      </w:pPr>
      <w:r>
        <w:rPr>
          <w:rFonts w:ascii="Arial" w:cs="Arial" w:eastAsia="Arial" w:hAnsi="Arial"/>
          <w:sz w:val="14"/>
          <w:szCs w:val="14"/>
          <w:color w:val="auto"/>
        </w:rPr>
        <w:t>No payment</w:t>
      </w:r>
      <w:r>
        <w:rPr>
          <w:sz w:val="20"/>
          <w:szCs w:val="20"/>
          <w:color w:val="auto"/>
        </w:rPr>
        <w:tab/>
      </w:r>
      <w:r>
        <w:rPr>
          <w:rFonts w:ascii="Arial" w:cs="Arial" w:eastAsia="Arial" w:hAnsi="Arial"/>
          <w:sz w:val="14"/>
          <w:szCs w:val="14"/>
          <w:color w:val="auto"/>
        </w:rPr>
        <w:t>No payment</w:t>
      </w:r>
    </w:p>
    <w:p>
      <w:pPr>
        <w:spacing w:after="0" w:line="108" w:lineRule="exact"/>
        <w:rPr>
          <w:sz w:val="20"/>
          <w:szCs w:val="20"/>
          <w:color w:val="auto"/>
        </w:rPr>
      </w:pPr>
    </w:p>
    <w:p>
      <w:pPr>
        <w:sectPr>
          <w:pgSz w:w="11900" w:h="16838" w:orient="portrait"/>
          <w:cols w:equalWidth="0" w:num="4">
            <w:col w:w="1200" w:space="580"/>
            <w:col w:w="1460" w:space="720"/>
            <w:col w:w="2020" w:space="180"/>
            <w:col w:w="5100"/>
          </w:cols>
          <w:pgMar w:left="320" w:top="593" w:right="319" w:bottom="1440" w:gutter="0" w:footer="0" w:header="0"/>
          <w:type w:val="continuous"/>
        </w:sectPr>
      </w:pPr>
    </w:p>
    <w:p>
      <w:pPr>
        <w:ind w:left="240" w:hanging="214"/>
        <w:spacing w:after="0"/>
        <w:tabs>
          <w:tab w:leader="none" w:pos="2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Terms of equity awards granted to the NEOs under the 2011 Plan</w:t>
      </w:r>
    </w:p>
    <w:p>
      <w:pPr>
        <w:spacing w:after="0" w:line="28" w:lineRule="exact"/>
        <w:rPr>
          <w:rFonts w:ascii="Arial" w:cs="Arial" w:eastAsia="Arial" w:hAnsi="Arial"/>
          <w:sz w:val="14"/>
          <w:szCs w:val="14"/>
          <w:color w:val="auto"/>
        </w:rPr>
      </w:pPr>
    </w:p>
    <w:p>
      <w:pPr>
        <w:ind w:left="240" w:hanging="214"/>
        <w:spacing w:after="0"/>
        <w:tabs>
          <w:tab w:leader="none" w:pos="2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Subject to the Compensation Committee's approval of the earnout percentage based on the RPSR performance metrics</w:t>
      </w:r>
    </w:p>
    <w:p>
      <w:pPr>
        <w:spacing w:after="0" w:line="28" w:lineRule="exact"/>
        <w:rPr>
          <w:rFonts w:ascii="Arial" w:cs="Arial" w:eastAsia="Arial" w:hAnsi="Arial"/>
          <w:sz w:val="14"/>
          <w:szCs w:val="14"/>
          <w:color w:val="auto"/>
        </w:rPr>
      </w:pPr>
    </w:p>
    <w:p>
      <w:pPr>
        <w:ind w:left="20" w:right="200" w:firstLine="6"/>
        <w:spacing w:after="0" w:line="229" w:lineRule="auto"/>
        <w:tabs>
          <w:tab w:leader="none" w:pos="236" w:val="left"/>
        </w:tabs>
        <w:numPr>
          <w:ilvl w:val="0"/>
          <w:numId w:val="83"/>
        </w:numPr>
        <w:rPr>
          <w:rFonts w:ascii="Arial" w:cs="Arial" w:eastAsia="Arial" w:hAnsi="Arial"/>
          <w:sz w:val="14"/>
          <w:szCs w:val="14"/>
          <w:color w:val="auto"/>
        </w:rPr>
      </w:pPr>
      <w:r>
        <w:rPr>
          <w:rFonts w:ascii="Arial" w:cs="Arial" w:eastAsia="Arial" w:hAnsi="Arial"/>
          <w:sz w:val="14"/>
          <w:szCs w:val="14"/>
          <w:color w:val="auto"/>
        </w:rPr>
        <w:t>Any retirement treatment requires employment for at least six months following the grant date with respect to RSRs and at least six months of the performance period with respect to RPSRs</w:t>
      </w:r>
    </w:p>
    <w:p>
      <w:pPr>
        <w:spacing w:after="0" w:line="200" w:lineRule="exact"/>
        <w:rPr>
          <w:sz w:val="20"/>
          <w:szCs w:val="20"/>
          <w:color w:val="auto"/>
        </w:rPr>
      </w:pPr>
    </w:p>
    <w:p>
      <w:pPr>
        <w:spacing w:after="0" w:line="2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Potential Termination Payments Table provides estimated payments and benefits that the Company would have provided to each NEO if his or her employment had terminated on December 31, 2020 for the reasons set forth in the table below. The Company stock price is assumed to be $304.72, the closing market price on December 31, 2020, the last trading day of the year. These payments and benefits are payable based on:</w:t>
      </w:r>
    </w:p>
    <w:p>
      <w:pPr>
        <w:spacing w:after="0" w:line="87" w:lineRule="exact"/>
        <w:rPr>
          <w:sz w:val="20"/>
          <w:szCs w:val="20"/>
          <w:color w:val="auto"/>
        </w:rPr>
      </w:pPr>
    </w:p>
    <w:p>
      <w:pPr>
        <w:ind w:left="300" w:hanging="292"/>
        <w:spacing w:after="0"/>
        <w:tabs>
          <w:tab w:leader="none" w:pos="300" w:val="left"/>
        </w:tabs>
        <w:numPr>
          <w:ilvl w:val="0"/>
          <w:numId w:val="84"/>
        </w:numPr>
        <w:rPr>
          <w:rFonts w:ascii="Arial" w:cs="Arial" w:eastAsia="Arial" w:hAnsi="Arial"/>
          <w:sz w:val="22"/>
          <w:szCs w:val="22"/>
          <w:color w:val="00249C"/>
        </w:rPr>
      </w:pPr>
      <w:r>
        <w:rPr>
          <w:rFonts w:ascii="Arial" w:cs="Arial" w:eastAsia="Arial" w:hAnsi="Arial"/>
          <w:sz w:val="18"/>
          <w:szCs w:val="18"/>
          <w:color w:val="auto"/>
        </w:rPr>
        <w:t>the Severance Plan; and</w:t>
      </w:r>
    </w:p>
    <w:p>
      <w:pPr>
        <w:spacing w:after="0" w:line="84" w:lineRule="exact"/>
        <w:rPr>
          <w:rFonts w:ascii="Arial" w:cs="Arial" w:eastAsia="Arial" w:hAnsi="Arial"/>
          <w:sz w:val="22"/>
          <w:szCs w:val="22"/>
          <w:color w:val="00249C"/>
        </w:rPr>
      </w:pPr>
    </w:p>
    <w:p>
      <w:pPr>
        <w:ind w:left="300" w:hanging="292"/>
        <w:spacing w:after="0"/>
        <w:tabs>
          <w:tab w:leader="none" w:pos="300" w:val="left"/>
        </w:tabs>
        <w:numPr>
          <w:ilvl w:val="0"/>
          <w:numId w:val="84"/>
        </w:numPr>
        <w:rPr>
          <w:rFonts w:ascii="Arial" w:cs="Arial" w:eastAsia="Arial" w:hAnsi="Arial"/>
          <w:sz w:val="22"/>
          <w:szCs w:val="22"/>
          <w:color w:val="00249C"/>
        </w:rPr>
      </w:pPr>
      <w:r>
        <w:rPr>
          <w:rFonts w:ascii="Arial" w:cs="Arial" w:eastAsia="Arial" w:hAnsi="Arial"/>
          <w:sz w:val="18"/>
          <w:szCs w:val="18"/>
          <w:color w:val="auto"/>
        </w:rPr>
        <w:t>the 2011 Plan and the terms and conditions of equity awards made pursuant to the plan.</w:t>
      </w:r>
    </w:p>
    <w:p>
      <w:pPr>
        <w:spacing w:after="0" w:line="94"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Due to the many factors that affect the nature and amount of any benefits provided upon termination events, actual amounts paid or distributed to NEOs may be different from the values shown in the table. Factors that may affect these amounts include timing during the year of the occurrence of the event, our stock price, the NEO's age, and the terms and circumstances of the event. The amounts described below are in addition to an NEO's benefits described in the Pension Benefits and Nonqualified Deferred Compensation Tables on pages 63 and 68, respectively, as well as benefits generally available to our employees such as distributions under our savings plan, disability or life insurance benefits and accrued vacation.</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70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1260"/>
          </w:cols>
          <w:pgMar w:left="320" w:top="593" w:right="319" w:bottom="1440" w:gutter="0" w:footer="0" w:header="0"/>
          <w:type w:val="continuous"/>
        </w:sectPr>
      </w:pPr>
    </w:p>
    <w:bookmarkStart w:id="76" w:name="page77"/>
    <w:bookmarkEnd w:id="76"/>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320675</wp:posOffset>
            </wp:positionV>
            <wp:extent cx="7132320" cy="3086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t>TERMINATION PAYMENTS AND BENEFITS</w:t>
      </w:r>
    </w:p>
    <w:p>
      <w:pPr>
        <w:spacing w:after="0" w:line="200" w:lineRule="exact"/>
        <w:rPr>
          <w:sz w:val="20"/>
          <w:szCs w:val="20"/>
          <w:color w:val="auto"/>
        </w:rPr>
      </w:pPr>
    </w:p>
    <w:p>
      <w:pPr>
        <w:spacing w:after="0" w:line="38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Mr. Bedingfield left the Company February 21, 2020. On February 6, 2020, the Company filed a Form 8-K including, as an exhibit, the Separation Agreement with Mr. Bedingfield. He received a lump-sum cash severance payment, $2,517,000, and an additional cash severance payment equal to the pro rata portion of the bonus he would have received for the 2020 performance year, $185,000, calculated based on the number of days active during the calendar year. He is eligible for continued medical and dental coverage for 18 months from his February 21, 2020 separation date, financial planning reimbursement for fees incurred in 2020 and 2021, subject to a maximum reimbursement of $18,500 for each year, and outplacement services no greater than $125,850 under the Severance Plan. All of Mr. Bedingfield's outstanding RSRs and RPSRs were forfeited upon termination.</w:t>
      </w: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71</w:t>
      </w:r>
    </w:p>
    <w:p>
      <w:pPr>
        <w:sectPr>
          <w:pgSz w:w="11900" w:h="16838" w:orient="portrait"/>
          <w:cols w:equalWidth="0" w:num="1">
            <w:col w:w="11240"/>
          </w:cols>
          <w:pgMar w:left="320" w:top="593" w:right="339" w:bottom="1440" w:gutter="0" w:footer="0" w:header="0"/>
        </w:sectPr>
      </w:pPr>
    </w:p>
    <w:bookmarkStart w:id="77" w:name="page78"/>
    <w:bookmarkEnd w:id="77"/>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53149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TERMINATION PAYMENTS AND BENEFITS | T</w:t>
      </w:r>
      <w:r>
        <w:rPr>
          <w:rFonts w:ascii="Arial" w:cs="Arial" w:eastAsia="Arial" w:hAnsi="Arial"/>
          <w:sz w:val="17"/>
          <w:szCs w:val="17"/>
          <w:b w:val="1"/>
          <w:bCs w:val="1"/>
          <w:color w:val="FFFFFF"/>
        </w:rPr>
        <w:t>ERMINATION</w:t>
      </w:r>
      <w:r>
        <w:rPr>
          <w:rFonts w:ascii="Arial" w:cs="Arial" w:eastAsia="Arial" w:hAnsi="Arial"/>
          <w:sz w:val="22"/>
          <w:szCs w:val="22"/>
          <w:b w:val="1"/>
          <w:bCs w:val="1"/>
          <w:color w:val="FFFFFF"/>
        </w:rPr>
        <w:t xml:space="preserve"> P</w:t>
      </w:r>
      <w:r>
        <w:rPr>
          <w:rFonts w:ascii="Arial" w:cs="Arial" w:eastAsia="Arial" w:hAnsi="Arial"/>
          <w:sz w:val="17"/>
          <w:szCs w:val="17"/>
          <w:b w:val="1"/>
          <w:bCs w:val="1"/>
          <w:color w:val="FFFFFF"/>
        </w:rPr>
        <w:t>AYMENT</w:t>
      </w:r>
      <w:r>
        <w:rPr>
          <w:rFonts w:ascii="Arial" w:cs="Arial" w:eastAsia="Arial" w:hAnsi="Arial"/>
          <w:sz w:val="22"/>
          <w:szCs w:val="22"/>
          <w:b w:val="1"/>
          <w:bCs w:val="1"/>
          <w:color w:val="FFFFFF"/>
        </w:rPr>
        <w:t xml:space="preserve"> T</w:t>
      </w:r>
      <w:r>
        <w:rPr>
          <w:rFonts w:ascii="Arial" w:cs="Arial" w:eastAsia="Arial" w:hAnsi="Arial"/>
          <w:sz w:val="17"/>
          <w:szCs w:val="17"/>
          <w:b w:val="1"/>
          <w:bCs w:val="1"/>
          <w:color w:val="FFFFFF"/>
        </w:rPr>
        <w:t>ABLE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Termination Payment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Potential Termination Payments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shd w:val="clear" w:color="auto" w:fill="00249C"/>
          </w:tcPr>
          <w:p>
            <w:pPr>
              <w:spacing w:after="0"/>
              <w:rPr>
                <w:sz w:val="14"/>
                <w:szCs w:val="14"/>
                <w:color w:val="auto"/>
              </w:rPr>
            </w:pPr>
          </w:p>
        </w:tc>
        <w:tc>
          <w:tcPr>
            <w:tcW w:w="3220" w:type="dxa"/>
            <w:vAlign w:val="bottom"/>
            <w:shd w:val="clear" w:color="auto" w:fill="00249C"/>
          </w:tcPr>
          <w:p>
            <w:pPr>
              <w:spacing w:after="0"/>
              <w:rPr>
                <w:sz w:val="14"/>
                <w:szCs w:val="14"/>
                <w:color w:val="auto"/>
              </w:rPr>
            </w:pPr>
          </w:p>
        </w:tc>
        <w:tc>
          <w:tcPr>
            <w:tcW w:w="1940" w:type="dxa"/>
            <w:vAlign w:val="bottom"/>
            <w:shd w:val="clear" w:color="auto" w:fill="00249C"/>
          </w:tcPr>
          <w:p>
            <w:pPr>
              <w:spacing w:after="0"/>
              <w:rPr>
                <w:sz w:val="14"/>
                <w:szCs w:val="14"/>
                <w:color w:val="auto"/>
              </w:rPr>
            </w:pPr>
          </w:p>
        </w:tc>
        <w:tc>
          <w:tcPr>
            <w:tcW w:w="1520" w:type="dxa"/>
            <w:vAlign w:val="bottom"/>
            <w:vMerge w:val="restart"/>
            <w:shd w:val="clear" w:color="auto" w:fill="00249C"/>
          </w:tcPr>
          <w:p>
            <w:pPr>
              <w:jc w:val="center"/>
              <w:spacing w:after="0"/>
              <w:rPr>
                <w:sz w:val="20"/>
                <w:szCs w:val="20"/>
                <w:color w:val="auto"/>
              </w:rPr>
            </w:pPr>
            <w:r>
              <w:rPr>
                <w:rFonts w:ascii="Arial" w:cs="Arial" w:eastAsia="Arial" w:hAnsi="Arial"/>
                <w:sz w:val="14"/>
                <w:szCs w:val="14"/>
                <w:b w:val="1"/>
                <w:bCs w:val="1"/>
                <w:color w:val="FFFFFF"/>
              </w:rPr>
              <w:t>Involuntary</w:t>
            </w:r>
          </w:p>
        </w:tc>
        <w:tc>
          <w:tcPr>
            <w:tcW w:w="1500" w:type="dxa"/>
            <w:vAlign w:val="bottom"/>
            <w:shd w:val="clear" w:color="auto" w:fill="00249C"/>
          </w:tcPr>
          <w:p>
            <w:pPr>
              <w:jc w:val="center"/>
              <w:ind w:right="28"/>
              <w:spacing w:after="0"/>
              <w:rPr>
                <w:sz w:val="20"/>
                <w:szCs w:val="20"/>
                <w:color w:val="auto"/>
              </w:rPr>
            </w:pPr>
            <w:r>
              <w:rPr>
                <w:rFonts w:ascii="Arial" w:cs="Arial" w:eastAsia="Arial" w:hAnsi="Arial"/>
                <w:sz w:val="14"/>
                <w:szCs w:val="14"/>
                <w:b w:val="1"/>
                <w:bCs w:val="1"/>
                <w:color w:val="FFFFFF"/>
              </w:rPr>
              <w:t>Post-CIC</w:t>
            </w:r>
          </w:p>
        </w:tc>
        <w:tc>
          <w:tcPr>
            <w:tcW w:w="1320" w:type="dxa"/>
            <w:vAlign w:val="bottom"/>
            <w:shd w:val="clear" w:color="auto" w:fill="00249C"/>
          </w:tcPr>
          <w:p>
            <w:pPr>
              <w:spacing w:after="0"/>
              <w:rPr>
                <w:sz w:val="14"/>
                <w:szCs w:val="14"/>
                <w:color w:val="auto"/>
              </w:rPr>
            </w:pPr>
          </w:p>
        </w:tc>
        <w:tc>
          <w:tcPr>
            <w:tcW w:w="20" w:type="dxa"/>
            <w:vAlign w:val="bottom"/>
            <w:shd w:val="clear" w:color="auto" w:fill="00249C"/>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740" w:type="dxa"/>
            <w:vAlign w:val="bottom"/>
            <w:shd w:val="clear" w:color="auto" w:fill="00249C"/>
          </w:tcPr>
          <w:p>
            <w:pPr>
              <w:spacing w:after="0"/>
              <w:rPr>
                <w:sz w:val="11"/>
                <w:szCs w:val="11"/>
                <w:color w:val="auto"/>
              </w:rPr>
            </w:pPr>
          </w:p>
        </w:tc>
        <w:tc>
          <w:tcPr>
            <w:tcW w:w="3220" w:type="dxa"/>
            <w:vAlign w:val="bottom"/>
            <w:shd w:val="clear" w:color="auto" w:fill="00249C"/>
          </w:tcPr>
          <w:p>
            <w:pPr>
              <w:spacing w:after="0"/>
              <w:rPr>
                <w:sz w:val="11"/>
                <w:szCs w:val="11"/>
                <w:color w:val="auto"/>
              </w:rPr>
            </w:pPr>
          </w:p>
        </w:tc>
        <w:tc>
          <w:tcPr>
            <w:tcW w:w="1940" w:type="dxa"/>
            <w:vAlign w:val="bottom"/>
            <w:vMerge w:val="restart"/>
            <w:shd w:val="clear" w:color="auto" w:fill="00249C"/>
          </w:tcPr>
          <w:p>
            <w:pPr>
              <w:jc w:val="center"/>
              <w:ind w:left="628"/>
              <w:spacing w:after="0"/>
              <w:rPr>
                <w:sz w:val="20"/>
                <w:szCs w:val="20"/>
                <w:color w:val="auto"/>
              </w:rPr>
            </w:pPr>
            <w:r>
              <w:rPr>
                <w:rFonts w:ascii="Arial" w:cs="Arial" w:eastAsia="Arial" w:hAnsi="Arial"/>
                <w:sz w:val="14"/>
                <w:szCs w:val="14"/>
                <w:b w:val="1"/>
                <w:bCs w:val="1"/>
                <w:color w:val="FFFFFF"/>
                <w:w w:val="99"/>
              </w:rPr>
              <w:t>Voluntary</w:t>
            </w:r>
          </w:p>
        </w:tc>
        <w:tc>
          <w:tcPr>
            <w:tcW w:w="1520" w:type="dxa"/>
            <w:vAlign w:val="bottom"/>
            <w:vMerge w:val="continue"/>
            <w:shd w:val="clear" w:color="auto" w:fill="00249C"/>
          </w:tcPr>
          <w:p>
            <w:pPr>
              <w:spacing w:after="0"/>
              <w:rPr>
                <w:sz w:val="11"/>
                <w:szCs w:val="11"/>
                <w:color w:val="auto"/>
              </w:rPr>
            </w:pPr>
          </w:p>
        </w:tc>
        <w:tc>
          <w:tcPr>
            <w:tcW w:w="1500" w:type="dxa"/>
            <w:vAlign w:val="bottom"/>
            <w:shd w:val="clear" w:color="auto" w:fill="00249C"/>
          </w:tcPr>
          <w:p>
            <w:pPr>
              <w:jc w:val="center"/>
              <w:ind w:right="48"/>
              <w:spacing w:after="0" w:line="135" w:lineRule="exact"/>
              <w:rPr>
                <w:sz w:val="20"/>
                <w:szCs w:val="20"/>
                <w:color w:val="auto"/>
              </w:rPr>
            </w:pPr>
            <w:r>
              <w:rPr>
                <w:rFonts w:ascii="Arial" w:cs="Arial" w:eastAsia="Arial" w:hAnsi="Arial"/>
                <w:sz w:val="14"/>
                <w:szCs w:val="14"/>
                <w:b w:val="1"/>
                <w:bCs w:val="1"/>
                <w:color w:val="FFFFFF"/>
              </w:rPr>
              <w:t>Involuntary</w:t>
            </w:r>
          </w:p>
        </w:tc>
        <w:tc>
          <w:tcPr>
            <w:tcW w:w="1320" w:type="dxa"/>
            <w:vAlign w:val="bottom"/>
            <w:vMerge w:val="restart"/>
            <w:shd w:val="clear" w:color="auto" w:fill="00249C"/>
          </w:tcPr>
          <w:p>
            <w:pPr>
              <w:jc w:val="center"/>
              <w:ind w:right="28"/>
              <w:spacing w:after="0"/>
              <w:rPr>
                <w:sz w:val="20"/>
                <w:szCs w:val="20"/>
                <w:color w:val="auto"/>
              </w:rPr>
            </w:pPr>
            <w:r>
              <w:rPr>
                <w:rFonts w:ascii="Arial" w:cs="Arial" w:eastAsia="Arial" w:hAnsi="Arial"/>
                <w:sz w:val="14"/>
                <w:szCs w:val="14"/>
                <w:b w:val="1"/>
                <w:bCs w:val="1"/>
                <w:color w:val="FFFFFF"/>
              </w:rPr>
              <w:t>Death or</w:t>
            </w:r>
          </w:p>
        </w:tc>
        <w:tc>
          <w:tcPr>
            <w:tcW w:w="20" w:type="dxa"/>
            <w:vAlign w:val="bottom"/>
            <w:shd w:val="clear" w:color="auto" w:fill="00249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shd w:val="clear" w:color="auto" w:fill="00249C"/>
          </w:tcPr>
          <w:p>
            <w:pPr>
              <w:spacing w:after="0"/>
              <w:rPr>
                <w:sz w:val="11"/>
                <w:szCs w:val="11"/>
                <w:color w:val="auto"/>
              </w:rPr>
            </w:pPr>
          </w:p>
        </w:tc>
        <w:tc>
          <w:tcPr>
            <w:tcW w:w="3220" w:type="dxa"/>
            <w:vAlign w:val="bottom"/>
            <w:shd w:val="clear" w:color="auto" w:fill="00249C"/>
          </w:tcPr>
          <w:p>
            <w:pPr>
              <w:spacing w:after="0"/>
              <w:rPr>
                <w:sz w:val="11"/>
                <w:szCs w:val="11"/>
                <w:color w:val="auto"/>
              </w:rPr>
            </w:pPr>
          </w:p>
        </w:tc>
        <w:tc>
          <w:tcPr>
            <w:tcW w:w="1940" w:type="dxa"/>
            <w:vAlign w:val="bottom"/>
            <w:vMerge w:val="continue"/>
            <w:shd w:val="clear" w:color="auto" w:fill="00249C"/>
          </w:tcPr>
          <w:p>
            <w:pPr>
              <w:spacing w:after="0"/>
              <w:rPr>
                <w:sz w:val="11"/>
                <w:szCs w:val="11"/>
                <w:color w:val="auto"/>
              </w:rPr>
            </w:pPr>
          </w:p>
        </w:tc>
        <w:tc>
          <w:tcPr>
            <w:tcW w:w="1520" w:type="dxa"/>
            <w:vAlign w:val="bottom"/>
            <w:shd w:val="clear" w:color="auto" w:fill="00249C"/>
          </w:tcPr>
          <w:p>
            <w:pPr>
              <w:jc w:val="center"/>
              <w:ind w:left="8"/>
              <w:spacing w:after="0" w:line="135" w:lineRule="exact"/>
              <w:rPr>
                <w:sz w:val="20"/>
                <w:szCs w:val="20"/>
                <w:color w:val="auto"/>
              </w:rPr>
            </w:pPr>
            <w:r>
              <w:rPr>
                <w:rFonts w:ascii="Arial" w:cs="Arial" w:eastAsia="Arial" w:hAnsi="Arial"/>
                <w:sz w:val="14"/>
                <w:szCs w:val="14"/>
                <w:b w:val="1"/>
                <w:bCs w:val="1"/>
                <w:color w:val="FFFFFF"/>
                <w:w w:val="99"/>
              </w:rPr>
              <w:t>Termination</w:t>
            </w:r>
          </w:p>
        </w:tc>
        <w:tc>
          <w:tcPr>
            <w:tcW w:w="1500" w:type="dxa"/>
            <w:vAlign w:val="bottom"/>
            <w:shd w:val="clear" w:color="auto" w:fill="00249C"/>
          </w:tcPr>
          <w:p>
            <w:pPr>
              <w:jc w:val="center"/>
              <w:ind w:right="28"/>
              <w:spacing w:after="0" w:line="135" w:lineRule="exact"/>
              <w:rPr>
                <w:sz w:val="20"/>
                <w:szCs w:val="20"/>
                <w:color w:val="auto"/>
              </w:rPr>
            </w:pPr>
            <w:r>
              <w:rPr>
                <w:rFonts w:ascii="Arial" w:cs="Arial" w:eastAsia="Arial" w:hAnsi="Arial"/>
                <w:sz w:val="14"/>
                <w:szCs w:val="14"/>
                <w:b w:val="1"/>
                <w:bCs w:val="1"/>
                <w:color w:val="FFFFFF"/>
              </w:rPr>
              <w:t>or Good Reason</w:t>
            </w:r>
          </w:p>
        </w:tc>
        <w:tc>
          <w:tcPr>
            <w:tcW w:w="1320" w:type="dxa"/>
            <w:vAlign w:val="bottom"/>
            <w:vMerge w:val="continue"/>
            <w:shd w:val="clear" w:color="auto" w:fill="00249C"/>
          </w:tcPr>
          <w:p>
            <w:pPr>
              <w:spacing w:after="0"/>
              <w:rPr>
                <w:sz w:val="11"/>
                <w:szCs w:val="11"/>
                <w:color w:val="auto"/>
              </w:rPr>
            </w:pPr>
          </w:p>
        </w:tc>
        <w:tc>
          <w:tcPr>
            <w:tcW w:w="20" w:type="dxa"/>
            <w:vAlign w:val="bottom"/>
            <w:shd w:val="clear" w:color="auto" w:fill="00249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vMerge w:val="restart"/>
            <w:shd w:val="clear" w:color="auto" w:fill="00249C"/>
          </w:tcPr>
          <w:p>
            <w:pPr>
              <w:ind w:left="40"/>
              <w:spacing w:after="0"/>
              <w:rPr>
                <w:sz w:val="20"/>
                <w:szCs w:val="20"/>
                <w:color w:val="auto"/>
              </w:rPr>
            </w:pPr>
            <w:r>
              <w:rPr>
                <w:rFonts w:ascii="Arial" w:cs="Arial" w:eastAsia="Arial" w:hAnsi="Arial"/>
                <w:sz w:val="14"/>
                <w:szCs w:val="14"/>
                <w:b w:val="1"/>
                <w:bCs w:val="1"/>
                <w:color w:val="FFFFFF"/>
              </w:rPr>
              <w:t>Name (1)</w:t>
            </w:r>
          </w:p>
        </w:tc>
        <w:tc>
          <w:tcPr>
            <w:tcW w:w="3220" w:type="dxa"/>
            <w:vAlign w:val="bottom"/>
            <w:vMerge w:val="restart"/>
            <w:shd w:val="clear" w:color="auto" w:fill="00249C"/>
          </w:tcPr>
          <w:p>
            <w:pPr>
              <w:ind w:left="20"/>
              <w:spacing w:after="0"/>
              <w:rPr>
                <w:sz w:val="20"/>
                <w:szCs w:val="20"/>
                <w:color w:val="auto"/>
              </w:rPr>
            </w:pPr>
            <w:r>
              <w:rPr>
                <w:rFonts w:ascii="Arial" w:cs="Arial" w:eastAsia="Arial" w:hAnsi="Arial"/>
                <w:sz w:val="14"/>
                <w:szCs w:val="14"/>
                <w:b w:val="1"/>
                <w:bCs w:val="1"/>
                <w:color w:val="FFFFFF"/>
              </w:rPr>
              <w:t>Executive Benefits</w:t>
            </w:r>
          </w:p>
        </w:tc>
        <w:tc>
          <w:tcPr>
            <w:tcW w:w="1940" w:type="dxa"/>
            <w:vAlign w:val="bottom"/>
            <w:shd w:val="clear" w:color="auto" w:fill="00249C"/>
          </w:tcPr>
          <w:p>
            <w:pPr>
              <w:jc w:val="center"/>
              <w:ind w:left="628"/>
              <w:spacing w:after="0" w:line="135" w:lineRule="exact"/>
              <w:rPr>
                <w:sz w:val="20"/>
                <w:szCs w:val="20"/>
                <w:color w:val="auto"/>
              </w:rPr>
            </w:pPr>
            <w:r>
              <w:rPr>
                <w:rFonts w:ascii="Arial" w:cs="Arial" w:eastAsia="Arial" w:hAnsi="Arial"/>
                <w:sz w:val="14"/>
                <w:szCs w:val="14"/>
                <w:b w:val="1"/>
                <w:bCs w:val="1"/>
                <w:color w:val="FFFFFF"/>
                <w:w w:val="99"/>
              </w:rPr>
              <w:t>Termination</w:t>
            </w:r>
          </w:p>
        </w:tc>
        <w:tc>
          <w:tcPr>
            <w:tcW w:w="1520" w:type="dxa"/>
            <w:vAlign w:val="bottom"/>
            <w:shd w:val="clear" w:color="auto" w:fill="00249C"/>
          </w:tcPr>
          <w:p>
            <w:pPr>
              <w:jc w:val="center"/>
              <w:ind w:left="8"/>
              <w:spacing w:after="0" w:line="135" w:lineRule="exact"/>
              <w:rPr>
                <w:sz w:val="20"/>
                <w:szCs w:val="20"/>
                <w:color w:val="auto"/>
              </w:rPr>
            </w:pPr>
            <w:r>
              <w:rPr>
                <w:rFonts w:ascii="Arial" w:cs="Arial" w:eastAsia="Arial" w:hAnsi="Arial"/>
                <w:sz w:val="14"/>
                <w:szCs w:val="14"/>
                <w:b w:val="1"/>
                <w:bCs w:val="1"/>
                <w:color w:val="FFFFFF"/>
              </w:rPr>
              <w:t>Not For Cause (2)</w:t>
            </w:r>
          </w:p>
        </w:tc>
        <w:tc>
          <w:tcPr>
            <w:tcW w:w="1500" w:type="dxa"/>
            <w:vAlign w:val="bottom"/>
            <w:shd w:val="clear" w:color="auto" w:fill="00249C"/>
          </w:tcPr>
          <w:p>
            <w:pPr>
              <w:jc w:val="center"/>
              <w:ind w:right="88"/>
              <w:spacing w:after="0" w:line="135" w:lineRule="exact"/>
              <w:rPr>
                <w:sz w:val="20"/>
                <w:szCs w:val="20"/>
                <w:color w:val="auto"/>
              </w:rPr>
            </w:pPr>
            <w:r>
              <w:rPr>
                <w:rFonts w:ascii="Arial" w:cs="Arial" w:eastAsia="Arial" w:hAnsi="Arial"/>
                <w:sz w:val="14"/>
                <w:szCs w:val="14"/>
                <w:b w:val="1"/>
                <w:bCs w:val="1"/>
                <w:color w:val="FFFFFF"/>
              </w:rPr>
              <w:t>Termination (3)</w:t>
            </w:r>
          </w:p>
        </w:tc>
        <w:tc>
          <w:tcPr>
            <w:tcW w:w="1320" w:type="dxa"/>
            <w:vAlign w:val="bottom"/>
            <w:shd w:val="clear" w:color="auto" w:fill="00249C"/>
          </w:tcPr>
          <w:p>
            <w:pPr>
              <w:jc w:val="center"/>
              <w:ind w:right="8"/>
              <w:spacing w:after="0" w:line="135" w:lineRule="exact"/>
              <w:rPr>
                <w:sz w:val="20"/>
                <w:szCs w:val="20"/>
                <w:color w:val="auto"/>
              </w:rPr>
            </w:pPr>
            <w:r>
              <w:rPr>
                <w:rFonts w:ascii="Arial" w:cs="Arial" w:eastAsia="Arial" w:hAnsi="Arial"/>
                <w:sz w:val="14"/>
                <w:szCs w:val="14"/>
                <w:b w:val="1"/>
                <w:bCs w:val="1"/>
                <w:color w:val="FFFFFF"/>
              </w:rPr>
              <w:t>Disability</w:t>
            </w:r>
          </w:p>
        </w:tc>
        <w:tc>
          <w:tcPr>
            <w:tcW w:w="20" w:type="dxa"/>
            <w:vAlign w:val="bottom"/>
            <w:shd w:val="clear" w:color="auto" w:fill="00249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40" w:type="dxa"/>
            <w:vAlign w:val="bottom"/>
            <w:vMerge w:val="continue"/>
            <w:shd w:val="clear" w:color="auto" w:fill="00249C"/>
          </w:tcPr>
          <w:p>
            <w:pPr>
              <w:spacing w:after="0"/>
              <w:rPr>
                <w:sz w:val="16"/>
                <w:szCs w:val="16"/>
                <w:color w:val="auto"/>
              </w:rPr>
            </w:pPr>
          </w:p>
        </w:tc>
        <w:tc>
          <w:tcPr>
            <w:tcW w:w="3220" w:type="dxa"/>
            <w:vAlign w:val="bottom"/>
            <w:vMerge w:val="continue"/>
            <w:shd w:val="clear" w:color="auto" w:fill="00249C"/>
          </w:tcPr>
          <w:p>
            <w:pPr>
              <w:spacing w:after="0"/>
              <w:rPr>
                <w:sz w:val="16"/>
                <w:szCs w:val="16"/>
                <w:color w:val="auto"/>
              </w:rPr>
            </w:pPr>
          </w:p>
        </w:tc>
        <w:tc>
          <w:tcPr>
            <w:tcW w:w="1940" w:type="dxa"/>
            <w:vAlign w:val="bottom"/>
            <w:shd w:val="clear" w:color="auto" w:fill="00249C"/>
          </w:tcPr>
          <w:p>
            <w:pPr>
              <w:jc w:val="center"/>
              <w:ind w:left="628"/>
              <w:spacing w:after="0"/>
              <w:rPr>
                <w:sz w:val="20"/>
                <w:szCs w:val="20"/>
                <w:color w:val="auto"/>
              </w:rPr>
            </w:pPr>
            <w:r>
              <w:rPr>
                <w:rFonts w:ascii="Arial" w:cs="Arial" w:eastAsia="Arial" w:hAnsi="Arial"/>
                <w:sz w:val="14"/>
                <w:szCs w:val="14"/>
                <w:b w:val="1"/>
                <w:bCs w:val="1"/>
                <w:color w:val="FFFFFF"/>
                <w:w w:val="93"/>
              </w:rPr>
              <w:t>($)</w:t>
            </w:r>
          </w:p>
        </w:tc>
        <w:tc>
          <w:tcPr>
            <w:tcW w:w="1520" w:type="dxa"/>
            <w:vAlign w:val="bottom"/>
            <w:shd w:val="clear" w:color="auto" w:fill="00249C"/>
          </w:tcPr>
          <w:p>
            <w:pPr>
              <w:jc w:val="center"/>
              <w:spacing w:after="0"/>
              <w:rPr>
                <w:sz w:val="20"/>
                <w:szCs w:val="20"/>
                <w:color w:val="auto"/>
              </w:rPr>
            </w:pPr>
            <w:r>
              <w:rPr>
                <w:rFonts w:ascii="Arial" w:cs="Arial" w:eastAsia="Arial" w:hAnsi="Arial"/>
                <w:sz w:val="14"/>
                <w:szCs w:val="14"/>
                <w:b w:val="1"/>
                <w:bCs w:val="1"/>
                <w:color w:val="FFFFFF"/>
              </w:rPr>
              <w:t>($)</w:t>
            </w:r>
          </w:p>
        </w:tc>
        <w:tc>
          <w:tcPr>
            <w:tcW w:w="1500" w:type="dxa"/>
            <w:vAlign w:val="bottom"/>
            <w:shd w:val="clear" w:color="auto" w:fill="00249C"/>
          </w:tcPr>
          <w:p>
            <w:pPr>
              <w:jc w:val="center"/>
              <w:ind w:right="48"/>
              <w:spacing w:after="0"/>
              <w:rPr>
                <w:sz w:val="20"/>
                <w:szCs w:val="20"/>
                <w:color w:val="auto"/>
              </w:rPr>
            </w:pPr>
            <w:r>
              <w:rPr>
                <w:rFonts w:ascii="Arial" w:cs="Arial" w:eastAsia="Arial" w:hAnsi="Arial"/>
                <w:sz w:val="14"/>
                <w:szCs w:val="14"/>
                <w:b w:val="1"/>
                <w:bCs w:val="1"/>
                <w:color w:val="FFFFFF"/>
              </w:rPr>
              <w:t>($)</w:t>
            </w:r>
          </w:p>
        </w:tc>
        <w:tc>
          <w:tcPr>
            <w:tcW w:w="1320" w:type="dxa"/>
            <w:vAlign w:val="bottom"/>
            <w:shd w:val="clear" w:color="auto" w:fill="00249C"/>
          </w:tcPr>
          <w:p>
            <w:pPr>
              <w:jc w:val="center"/>
              <w:ind w:right="28"/>
              <w:spacing w:after="0"/>
              <w:rPr>
                <w:sz w:val="20"/>
                <w:szCs w:val="20"/>
                <w:color w:val="auto"/>
              </w:rPr>
            </w:pPr>
            <w:r>
              <w:rPr>
                <w:rFonts w:ascii="Arial" w:cs="Arial" w:eastAsia="Arial" w:hAnsi="Arial"/>
                <w:sz w:val="14"/>
                <w:szCs w:val="14"/>
                <w:b w:val="1"/>
                <w:bCs w:val="1"/>
                <w:color w:val="FFFFFF"/>
              </w:rPr>
              <w:t>($)</w:t>
            </w:r>
          </w:p>
        </w:tc>
        <w:tc>
          <w:tcPr>
            <w:tcW w:w="20" w:type="dxa"/>
            <w:vAlign w:val="bottom"/>
            <w:shd w:val="clear" w:color="auto" w:fill="00249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3220" w:type="dxa"/>
            <w:vAlign w:val="bottom"/>
            <w:shd w:val="clear" w:color="auto" w:fill="CCD4DB"/>
          </w:tcPr>
          <w:p>
            <w:pPr>
              <w:ind w:left="20"/>
              <w:spacing w:after="0"/>
              <w:rPr>
                <w:sz w:val="20"/>
                <w:szCs w:val="20"/>
                <w:color w:val="auto"/>
              </w:rPr>
            </w:pPr>
            <w:r>
              <w:rPr>
                <w:rFonts w:ascii="Arial" w:cs="Arial" w:eastAsia="Arial" w:hAnsi="Arial"/>
                <w:sz w:val="14"/>
                <w:szCs w:val="14"/>
                <w:color w:val="auto"/>
              </w:rPr>
              <w:t>RSRs (4)</w:t>
            </w:r>
          </w:p>
        </w:tc>
        <w:tc>
          <w:tcPr>
            <w:tcW w:w="1940" w:type="dxa"/>
            <w:vAlign w:val="bottom"/>
            <w:shd w:val="clear" w:color="auto" w:fill="CCD4DB"/>
          </w:tcPr>
          <w:p>
            <w:pPr>
              <w:jc w:val="center"/>
              <w:ind w:left="6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D4DB"/>
          </w:tcPr>
          <w:p>
            <w:pPr>
              <w:jc w:val="center"/>
              <w:spacing w:after="0"/>
              <w:rPr>
                <w:sz w:val="20"/>
                <w:szCs w:val="20"/>
                <w:color w:val="auto"/>
              </w:rPr>
            </w:pPr>
            <w:r>
              <w:rPr>
                <w:rFonts w:ascii="Arial" w:cs="Arial" w:eastAsia="Arial" w:hAnsi="Arial"/>
                <w:sz w:val="14"/>
                <w:szCs w:val="14"/>
                <w:color w:val="auto"/>
                <w:w w:val="99"/>
              </w:rPr>
              <w:t>—</w:t>
            </w:r>
          </w:p>
        </w:tc>
        <w:tc>
          <w:tcPr>
            <w:tcW w:w="1500" w:type="dxa"/>
            <w:vAlign w:val="bottom"/>
            <w:shd w:val="clear" w:color="auto" w:fill="CCD4DB"/>
          </w:tcPr>
          <w:p>
            <w:pPr>
              <w:jc w:val="center"/>
              <w:ind w:right="28"/>
              <w:spacing w:after="0"/>
              <w:rPr>
                <w:sz w:val="20"/>
                <w:szCs w:val="20"/>
                <w:color w:val="auto"/>
              </w:rPr>
            </w:pPr>
            <w:r>
              <w:rPr>
                <w:rFonts w:ascii="Arial" w:cs="Arial" w:eastAsia="Arial" w:hAnsi="Arial"/>
                <w:sz w:val="14"/>
                <w:szCs w:val="14"/>
                <w:color w:val="auto"/>
              </w:rPr>
              <w:t>10,707,556</w:t>
            </w:r>
          </w:p>
        </w:tc>
        <w:tc>
          <w:tcPr>
            <w:tcW w:w="1320" w:type="dxa"/>
            <w:vAlign w:val="bottom"/>
            <w:shd w:val="clear" w:color="auto" w:fill="CCD4DB"/>
          </w:tcPr>
          <w:p>
            <w:pPr>
              <w:jc w:val="center"/>
              <w:ind w:right="8"/>
              <w:spacing w:after="0"/>
              <w:rPr>
                <w:sz w:val="20"/>
                <w:szCs w:val="20"/>
                <w:color w:val="auto"/>
              </w:rPr>
            </w:pPr>
            <w:r>
              <w:rPr>
                <w:rFonts w:ascii="Arial" w:cs="Arial" w:eastAsia="Arial" w:hAnsi="Arial"/>
                <w:sz w:val="14"/>
                <w:szCs w:val="14"/>
                <w:color w:val="auto"/>
              </w:rPr>
              <w:t>10,707,556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3220" w:type="dxa"/>
            <w:vAlign w:val="bottom"/>
          </w:tcPr>
          <w:p>
            <w:pPr>
              <w:ind w:left="20"/>
              <w:spacing w:after="0"/>
              <w:rPr>
                <w:sz w:val="20"/>
                <w:szCs w:val="20"/>
                <w:color w:val="auto"/>
              </w:rPr>
            </w:pPr>
            <w:r>
              <w:rPr>
                <w:rFonts w:ascii="Arial" w:cs="Arial" w:eastAsia="Arial" w:hAnsi="Arial"/>
                <w:sz w:val="14"/>
                <w:szCs w:val="14"/>
                <w:color w:val="auto"/>
              </w:rPr>
              <w:t>RPSRs (4)</w:t>
            </w:r>
          </w:p>
        </w:tc>
        <w:tc>
          <w:tcPr>
            <w:tcW w:w="1940" w:type="dxa"/>
            <w:vAlign w:val="bottom"/>
          </w:tcPr>
          <w:p>
            <w:pPr>
              <w:jc w:val="center"/>
              <w:ind w:left="628"/>
              <w:spacing w:after="0"/>
              <w:rPr>
                <w:sz w:val="20"/>
                <w:szCs w:val="20"/>
                <w:color w:val="auto"/>
              </w:rPr>
            </w:pPr>
            <w:r>
              <w:rPr>
                <w:rFonts w:ascii="Arial" w:cs="Arial" w:eastAsia="Arial" w:hAnsi="Arial"/>
                <w:sz w:val="14"/>
                <w:szCs w:val="14"/>
                <w:color w:val="auto"/>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00" w:type="dxa"/>
            <w:vAlign w:val="bottom"/>
          </w:tcPr>
          <w:p>
            <w:pPr>
              <w:jc w:val="center"/>
              <w:ind w:right="28"/>
              <w:spacing w:after="0"/>
              <w:rPr>
                <w:sz w:val="20"/>
                <w:szCs w:val="20"/>
                <w:color w:val="auto"/>
              </w:rPr>
            </w:pPr>
            <w:r>
              <w:rPr>
                <w:rFonts w:ascii="Arial" w:cs="Arial" w:eastAsia="Arial" w:hAnsi="Arial"/>
                <w:sz w:val="14"/>
                <w:szCs w:val="14"/>
                <w:color w:val="auto"/>
              </w:rPr>
              <w:t>18,468,775</w:t>
            </w:r>
          </w:p>
        </w:tc>
        <w:tc>
          <w:tcPr>
            <w:tcW w:w="1320" w:type="dxa"/>
            <w:vAlign w:val="bottom"/>
          </w:tcPr>
          <w:p>
            <w:pPr>
              <w:jc w:val="center"/>
              <w:ind w:right="8"/>
              <w:spacing w:after="0"/>
              <w:rPr>
                <w:sz w:val="20"/>
                <w:szCs w:val="20"/>
                <w:color w:val="auto"/>
              </w:rPr>
            </w:pPr>
            <w:r>
              <w:rPr>
                <w:rFonts w:ascii="Arial" w:cs="Arial" w:eastAsia="Arial" w:hAnsi="Arial"/>
                <w:sz w:val="14"/>
                <w:szCs w:val="14"/>
                <w:color w:val="auto"/>
              </w:rPr>
              <w:t>9,573,998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40" w:type="dxa"/>
            <w:vAlign w:val="bottom"/>
          </w:tcPr>
          <w:p>
            <w:pPr>
              <w:spacing w:after="0"/>
              <w:rPr>
                <w:sz w:val="17"/>
                <w:szCs w:val="17"/>
                <w:color w:val="auto"/>
              </w:rPr>
            </w:pPr>
          </w:p>
        </w:tc>
        <w:tc>
          <w:tcPr>
            <w:tcW w:w="3220" w:type="dxa"/>
            <w:vAlign w:val="bottom"/>
            <w:tcBorders>
              <w:bottom w:val="single" w:sz="8" w:color="CCD4DB"/>
            </w:tcBorders>
            <w:shd w:val="clear" w:color="auto" w:fill="CCD4DB"/>
          </w:tcPr>
          <w:p>
            <w:pPr>
              <w:ind w:left="20"/>
              <w:spacing w:after="0"/>
              <w:rPr>
                <w:sz w:val="20"/>
                <w:szCs w:val="20"/>
                <w:color w:val="auto"/>
              </w:rPr>
            </w:pPr>
            <w:r>
              <w:rPr>
                <w:rFonts w:ascii="Arial" w:cs="Arial" w:eastAsia="Arial" w:hAnsi="Arial"/>
                <w:sz w:val="14"/>
                <w:szCs w:val="14"/>
                <w:color w:val="auto"/>
              </w:rPr>
              <w:t>Severance Benefits (5)</w:t>
            </w:r>
          </w:p>
        </w:tc>
        <w:tc>
          <w:tcPr>
            <w:tcW w:w="1940" w:type="dxa"/>
            <w:vAlign w:val="bottom"/>
            <w:tcBorders>
              <w:bottom w:val="single" w:sz="8" w:color="CCD4DB"/>
            </w:tcBorders>
            <w:shd w:val="clear" w:color="auto" w:fill="CCD4DB"/>
          </w:tcPr>
          <w:p>
            <w:pPr>
              <w:spacing w:after="0"/>
              <w:rPr>
                <w:sz w:val="17"/>
                <w:szCs w:val="17"/>
                <w:color w:val="auto"/>
              </w:rPr>
            </w:pPr>
          </w:p>
        </w:tc>
        <w:tc>
          <w:tcPr>
            <w:tcW w:w="1520" w:type="dxa"/>
            <w:vAlign w:val="bottom"/>
            <w:tcBorders>
              <w:bottom w:val="single" w:sz="8" w:color="CCD4DB"/>
            </w:tcBorders>
            <w:shd w:val="clear" w:color="auto" w:fill="CCD4DB"/>
          </w:tcPr>
          <w:p>
            <w:pPr>
              <w:spacing w:after="0"/>
              <w:rPr>
                <w:sz w:val="17"/>
                <w:szCs w:val="17"/>
                <w:color w:val="auto"/>
              </w:rPr>
            </w:pPr>
          </w:p>
        </w:tc>
        <w:tc>
          <w:tcPr>
            <w:tcW w:w="1500" w:type="dxa"/>
            <w:vAlign w:val="bottom"/>
            <w:tcBorders>
              <w:bottom w:val="single" w:sz="8" w:color="CCD4DB"/>
            </w:tcBorders>
            <w:shd w:val="clear" w:color="auto" w:fill="CCD4DB"/>
          </w:tcPr>
          <w:p>
            <w:pPr>
              <w:spacing w:after="0"/>
              <w:rPr>
                <w:sz w:val="17"/>
                <w:szCs w:val="17"/>
                <w:color w:val="auto"/>
              </w:rPr>
            </w:pPr>
          </w:p>
        </w:tc>
        <w:tc>
          <w:tcPr>
            <w:tcW w:w="1320" w:type="dxa"/>
            <w:vAlign w:val="bottom"/>
            <w:tcBorders>
              <w:bottom w:val="single" w:sz="8" w:color="CCD4DB"/>
            </w:tcBorders>
            <w:shd w:val="clear" w:color="auto" w:fill="CCD4DB"/>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40" w:type="dxa"/>
            <w:vAlign w:val="bottom"/>
          </w:tcPr>
          <w:p>
            <w:pPr>
              <w:ind w:left="20"/>
              <w:spacing w:after="0"/>
              <w:rPr>
                <w:sz w:val="20"/>
                <w:szCs w:val="20"/>
                <w:color w:val="auto"/>
              </w:rPr>
            </w:pPr>
            <w:r>
              <w:rPr>
                <w:rFonts w:ascii="Arial" w:cs="Arial" w:eastAsia="Arial" w:hAnsi="Arial"/>
                <w:sz w:val="14"/>
                <w:szCs w:val="14"/>
                <w:color w:val="auto"/>
              </w:rPr>
              <w:t>Kathy J. Warden</w:t>
            </w:r>
          </w:p>
        </w:tc>
        <w:tc>
          <w:tcPr>
            <w:tcW w:w="3220" w:type="dxa"/>
            <w:vAlign w:val="bottom"/>
          </w:tcPr>
          <w:p>
            <w:pPr>
              <w:ind w:left="360"/>
              <w:spacing w:after="0"/>
              <w:rPr>
                <w:sz w:val="20"/>
                <w:szCs w:val="20"/>
                <w:color w:val="auto"/>
              </w:rPr>
            </w:pPr>
            <w:r>
              <w:rPr>
                <w:rFonts w:ascii="Arial" w:cs="Arial" w:eastAsia="Arial" w:hAnsi="Arial"/>
                <w:sz w:val="14"/>
                <w:szCs w:val="14"/>
                <w:color w:val="auto"/>
              </w:rPr>
              <w:t>Cash Severance</w:t>
            </w:r>
          </w:p>
        </w:tc>
        <w:tc>
          <w:tcPr>
            <w:tcW w:w="1940" w:type="dxa"/>
            <w:vAlign w:val="bottom"/>
          </w:tcPr>
          <w:p>
            <w:pPr>
              <w:jc w:val="center"/>
              <w:ind w:left="628"/>
              <w:spacing w:after="0"/>
              <w:rPr>
                <w:sz w:val="20"/>
                <w:szCs w:val="20"/>
                <w:color w:val="auto"/>
              </w:rPr>
            </w:pPr>
            <w:r>
              <w:rPr>
                <w:rFonts w:ascii="Arial" w:cs="Arial" w:eastAsia="Arial" w:hAnsi="Arial"/>
                <w:sz w:val="14"/>
                <w:szCs w:val="14"/>
                <w:color w:val="auto"/>
              </w:rPr>
              <w:t>—</w:t>
            </w:r>
          </w:p>
        </w:tc>
        <w:tc>
          <w:tcPr>
            <w:tcW w:w="1520" w:type="dxa"/>
            <w:vAlign w:val="bottom"/>
          </w:tcPr>
          <w:p>
            <w:pPr>
              <w:jc w:val="center"/>
              <w:ind w:left="8"/>
              <w:spacing w:after="0"/>
              <w:rPr>
                <w:sz w:val="20"/>
                <w:szCs w:val="20"/>
                <w:color w:val="auto"/>
              </w:rPr>
            </w:pPr>
            <w:r>
              <w:rPr>
                <w:rFonts w:ascii="Arial" w:cs="Arial" w:eastAsia="Arial" w:hAnsi="Arial"/>
                <w:sz w:val="14"/>
                <w:szCs w:val="14"/>
                <w:color w:val="auto"/>
              </w:rPr>
              <w:t>6,489,000</w:t>
            </w:r>
          </w:p>
        </w:tc>
        <w:tc>
          <w:tcPr>
            <w:tcW w:w="1500" w:type="dxa"/>
            <w:vAlign w:val="bottom"/>
          </w:tcPr>
          <w:p>
            <w:pPr>
              <w:jc w:val="center"/>
              <w:ind w:right="48"/>
              <w:spacing w:after="0"/>
              <w:rPr>
                <w:sz w:val="20"/>
                <w:szCs w:val="20"/>
                <w:color w:val="auto"/>
              </w:rPr>
            </w:pPr>
            <w:r>
              <w:rPr>
                <w:rFonts w:ascii="Arial" w:cs="Arial" w:eastAsia="Arial" w:hAnsi="Arial"/>
                <w:sz w:val="14"/>
                <w:szCs w:val="14"/>
                <w:color w:val="auto"/>
                <w:w w:val="99"/>
              </w:rPr>
              <w:t>—</w:t>
            </w:r>
          </w:p>
        </w:tc>
        <w:tc>
          <w:tcPr>
            <w:tcW w:w="1320" w:type="dxa"/>
            <w:vAlign w:val="bottom"/>
          </w:tcPr>
          <w:p>
            <w:pPr>
              <w:jc w:val="center"/>
              <w:ind w:right="2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40" w:type="dxa"/>
            <w:vAlign w:val="bottom"/>
          </w:tcPr>
          <w:p>
            <w:pPr>
              <w:spacing w:after="0"/>
              <w:rPr>
                <w:sz w:val="19"/>
                <w:szCs w:val="19"/>
                <w:color w:val="auto"/>
              </w:rPr>
            </w:pPr>
          </w:p>
        </w:tc>
        <w:tc>
          <w:tcPr>
            <w:tcW w:w="3220" w:type="dxa"/>
            <w:vAlign w:val="bottom"/>
            <w:shd w:val="clear" w:color="auto" w:fill="CCD4DB"/>
          </w:tcPr>
          <w:p>
            <w:pPr>
              <w:ind w:left="360"/>
              <w:spacing w:after="0"/>
              <w:rPr>
                <w:sz w:val="20"/>
                <w:szCs w:val="20"/>
                <w:color w:val="auto"/>
              </w:rPr>
            </w:pPr>
            <w:r>
              <w:rPr>
                <w:rFonts w:ascii="Arial" w:cs="Arial" w:eastAsia="Arial" w:hAnsi="Arial"/>
                <w:sz w:val="14"/>
                <w:szCs w:val="14"/>
                <w:color w:val="auto"/>
              </w:rPr>
              <w:t>Medical/Dental Continuation</w:t>
            </w:r>
          </w:p>
        </w:tc>
        <w:tc>
          <w:tcPr>
            <w:tcW w:w="1940" w:type="dxa"/>
            <w:vAlign w:val="bottom"/>
            <w:shd w:val="clear" w:color="auto" w:fill="CCD4DB"/>
          </w:tcPr>
          <w:p>
            <w:pPr>
              <w:jc w:val="center"/>
              <w:ind w:left="6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D4DB"/>
          </w:tcPr>
          <w:p>
            <w:pPr>
              <w:jc w:val="center"/>
              <w:ind w:left="8"/>
              <w:spacing w:after="0"/>
              <w:rPr>
                <w:sz w:val="20"/>
                <w:szCs w:val="20"/>
                <w:color w:val="auto"/>
              </w:rPr>
            </w:pPr>
            <w:r>
              <w:rPr>
                <w:rFonts w:ascii="Arial" w:cs="Arial" w:eastAsia="Arial" w:hAnsi="Arial"/>
                <w:sz w:val="14"/>
                <w:szCs w:val="14"/>
                <w:color w:val="auto"/>
              </w:rPr>
              <w:t>15,382</w:t>
            </w:r>
          </w:p>
        </w:tc>
        <w:tc>
          <w:tcPr>
            <w:tcW w:w="1500" w:type="dxa"/>
            <w:vAlign w:val="bottom"/>
            <w:shd w:val="clear" w:color="auto" w:fill="CCD4DB"/>
          </w:tcPr>
          <w:p>
            <w:pPr>
              <w:jc w:val="center"/>
              <w:ind w:right="48"/>
              <w:spacing w:after="0"/>
              <w:rPr>
                <w:sz w:val="20"/>
                <w:szCs w:val="20"/>
                <w:color w:val="auto"/>
              </w:rPr>
            </w:pPr>
            <w:r>
              <w:rPr>
                <w:rFonts w:ascii="Arial" w:cs="Arial" w:eastAsia="Arial" w:hAnsi="Arial"/>
                <w:sz w:val="14"/>
                <w:szCs w:val="14"/>
                <w:color w:val="auto"/>
                <w:w w:val="99"/>
              </w:rPr>
              <w:t>—</w:t>
            </w:r>
          </w:p>
        </w:tc>
        <w:tc>
          <w:tcPr>
            <w:tcW w:w="1320" w:type="dxa"/>
            <w:vAlign w:val="bottom"/>
            <w:shd w:val="clear" w:color="auto" w:fill="CCD4DB"/>
          </w:tcPr>
          <w:p>
            <w:pPr>
              <w:jc w:val="center"/>
              <w:ind w:right="2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3220" w:type="dxa"/>
            <w:vAlign w:val="bottom"/>
          </w:tcPr>
          <w:p>
            <w:pPr>
              <w:ind w:left="360"/>
              <w:spacing w:after="0"/>
              <w:rPr>
                <w:sz w:val="20"/>
                <w:szCs w:val="20"/>
                <w:color w:val="auto"/>
              </w:rPr>
            </w:pPr>
            <w:r>
              <w:rPr>
                <w:rFonts w:ascii="Arial" w:cs="Arial" w:eastAsia="Arial" w:hAnsi="Arial"/>
                <w:sz w:val="14"/>
                <w:szCs w:val="14"/>
                <w:color w:val="auto"/>
              </w:rPr>
              <w:t>Financial Planning/Income Tax</w:t>
            </w:r>
          </w:p>
        </w:tc>
        <w:tc>
          <w:tcPr>
            <w:tcW w:w="1940" w:type="dxa"/>
            <w:vAlign w:val="bottom"/>
          </w:tcPr>
          <w:p>
            <w:pPr>
              <w:jc w:val="center"/>
              <w:ind w:left="628"/>
              <w:spacing w:after="0"/>
              <w:rPr>
                <w:sz w:val="20"/>
                <w:szCs w:val="20"/>
                <w:color w:val="auto"/>
              </w:rPr>
            </w:pPr>
            <w:r>
              <w:rPr>
                <w:rFonts w:ascii="Arial" w:cs="Arial" w:eastAsia="Arial" w:hAnsi="Arial"/>
                <w:sz w:val="14"/>
                <w:szCs w:val="14"/>
                <w:color w:val="auto"/>
              </w:rPr>
              <w:t>—</w:t>
            </w:r>
          </w:p>
        </w:tc>
        <w:tc>
          <w:tcPr>
            <w:tcW w:w="1520" w:type="dxa"/>
            <w:vAlign w:val="bottom"/>
          </w:tcPr>
          <w:p>
            <w:pPr>
              <w:jc w:val="center"/>
              <w:ind w:left="8"/>
              <w:spacing w:after="0"/>
              <w:rPr>
                <w:sz w:val="20"/>
                <w:szCs w:val="20"/>
                <w:color w:val="auto"/>
              </w:rPr>
            </w:pPr>
            <w:r>
              <w:rPr>
                <w:rFonts w:ascii="Arial" w:cs="Arial" w:eastAsia="Arial" w:hAnsi="Arial"/>
                <w:sz w:val="14"/>
                <w:szCs w:val="14"/>
                <w:color w:val="auto"/>
              </w:rPr>
              <w:t>30,000</w:t>
            </w:r>
          </w:p>
        </w:tc>
        <w:tc>
          <w:tcPr>
            <w:tcW w:w="1500" w:type="dxa"/>
            <w:vAlign w:val="bottom"/>
          </w:tcPr>
          <w:p>
            <w:pPr>
              <w:jc w:val="center"/>
              <w:ind w:right="48"/>
              <w:spacing w:after="0"/>
              <w:rPr>
                <w:sz w:val="20"/>
                <w:szCs w:val="20"/>
                <w:color w:val="auto"/>
              </w:rPr>
            </w:pPr>
            <w:r>
              <w:rPr>
                <w:rFonts w:ascii="Arial" w:cs="Arial" w:eastAsia="Arial" w:hAnsi="Arial"/>
                <w:sz w:val="14"/>
                <w:szCs w:val="14"/>
                <w:color w:val="auto"/>
                <w:w w:val="99"/>
              </w:rPr>
              <w:t>—</w:t>
            </w:r>
          </w:p>
        </w:tc>
        <w:tc>
          <w:tcPr>
            <w:tcW w:w="1320" w:type="dxa"/>
            <w:vAlign w:val="bottom"/>
          </w:tcPr>
          <w:p>
            <w:pPr>
              <w:jc w:val="center"/>
              <w:ind w:right="2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bottom w:val="single" w:sz="8" w:color="00249C"/>
            </w:tcBorders>
          </w:tcPr>
          <w:p>
            <w:pPr>
              <w:spacing w:after="0"/>
              <w:rPr>
                <w:sz w:val="18"/>
                <w:szCs w:val="18"/>
                <w:color w:val="auto"/>
              </w:rPr>
            </w:pPr>
          </w:p>
        </w:tc>
        <w:tc>
          <w:tcPr>
            <w:tcW w:w="3220" w:type="dxa"/>
            <w:vAlign w:val="bottom"/>
            <w:tcBorders>
              <w:bottom w:val="single" w:sz="8" w:color="00249C"/>
            </w:tcBorders>
            <w:shd w:val="clear" w:color="auto" w:fill="CCD4DB"/>
          </w:tcPr>
          <w:p>
            <w:pPr>
              <w:ind w:left="360"/>
              <w:spacing w:after="0"/>
              <w:rPr>
                <w:sz w:val="20"/>
                <w:szCs w:val="20"/>
                <w:color w:val="auto"/>
              </w:rPr>
            </w:pPr>
            <w:r>
              <w:rPr>
                <w:rFonts w:ascii="Arial" w:cs="Arial" w:eastAsia="Arial" w:hAnsi="Arial"/>
                <w:sz w:val="14"/>
                <w:szCs w:val="14"/>
                <w:color w:val="auto"/>
              </w:rPr>
              <w:t>Outplacement Services</w:t>
            </w:r>
          </w:p>
        </w:tc>
        <w:tc>
          <w:tcPr>
            <w:tcW w:w="1940" w:type="dxa"/>
            <w:vAlign w:val="bottom"/>
            <w:tcBorders>
              <w:bottom w:val="single" w:sz="8" w:color="00249C"/>
            </w:tcBorders>
            <w:shd w:val="clear" w:color="auto" w:fill="CCD4DB"/>
          </w:tcPr>
          <w:p>
            <w:pPr>
              <w:jc w:val="center"/>
              <w:ind w:left="6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00249C"/>
            </w:tcBorders>
            <w:shd w:val="clear" w:color="auto" w:fill="CCD4DB"/>
          </w:tcPr>
          <w:p>
            <w:pPr>
              <w:jc w:val="center"/>
              <w:ind w:left="8"/>
              <w:spacing w:after="0"/>
              <w:rPr>
                <w:sz w:val="20"/>
                <w:szCs w:val="20"/>
                <w:color w:val="auto"/>
              </w:rPr>
            </w:pPr>
            <w:r>
              <w:rPr>
                <w:rFonts w:ascii="Arial" w:cs="Arial" w:eastAsia="Arial" w:hAnsi="Arial"/>
                <w:sz w:val="14"/>
                <w:szCs w:val="14"/>
                <w:color w:val="auto"/>
              </w:rPr>
              <w:t>231,750</w:t>
            </w:r>
          </w:p>
        </w:tc>
        <w:tc>
          <w:tcPr>
            <w:tcW w:w="1500" w:type="dxa"/>
            <w:vAlign w:val="bottom"/>
            <w:tcBorders>
              <w:bottom w:val="single" w:sz="8" w:color="00249C"/>
            </w:tcBorders>
            <w:shd w:val="clear" w:color="auto" w:fill="CCD4DB"/>
          </w:tcPr>
          <w:p>
            <w:pPr>
              <w:jc w:val="center"/>
              <w:ind w:right="48"/>
              <w:spacing w:after="0"/>
              <w:rPr>
                <w:sz w:val="20"/>
                <w:szCs w:val="20"/>
                <w:color w:val="auto"/>
              </w:rPr>
            </w:pPr>
            <w:r>
              <w:rPr>
                <w:rFonts w:ascii="Arial" w:cs="Arial" w:eastAsia="Arial" w:hAnsi="Arial"/>
                <w:sz w:val="14"/>
                <w:szCs w:val="14"/>
                <w:color w:val="auto"/>
                <w:w w:val="99"/>
              </w:rPr>
              <w:t>—</w:t>
            </w:r>
          </w:p>
        </w:tc>
        <w:tc>
          <w:tcPr>
            <w:tcW w:w="1320" w:type="dxa"/>
            <w:vAlign w:val="bottom"/>
            <w:tcBorders>
              <w:bottom w:val="single" w:sz="8" w:color="00249C"/>
            </w:tcBorders>
            <w:shd w:val="clear" w:color="auto" w:fill="CCD4DB"/>
          </w:tcPr>
          <w:p>
            <w:pPr>
              <w:jc w:val="center"/>
              <w:ind w:right="2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740" w:type="dxa"/>
            <w:vAlign w:val="bottom"/>
          </w:tcPr>
          <w:p>
            <w:pPr>
              <w:spacing w:after="0"/>
              <w:rPr>
                <w:sz w:val="17"/>
                <w:szCs w:val="17"/>
                <w:color w:val="auto"/>
              </w:rPr>
            </w:pPr>
          </w:p>
        </w:tc>
        <w:tc>
          <w:tcPr>
            <w:tcW w:w="3220" w:type="dxa"/>
            <w:vAlign w:val="bottom"/>
          </w:tcPr>
          <w:p>
            <w:pPr>
              <w:ind w:left="20"/>
              <w:spacing w:after="0"/>
              <w:rPr>
                <w:sz w:val="20"/>
                <w:szCs w:val="20"/>
                <w:color w:val="auto"/>
              </w:rPr>
            </w:pPr>
            <w:r>
              <w:rPr>
                <w:rFonts w:ascii="Arial" w:cs="Arial" w:eastAsia="Arial" w:hAnsi="Arial"/>
                <w:sz w:val="14"/>
                <w:szCs w:val="14"/>
                <w:color w:val="auto"/>
              </w:rPr>
              <w:t>RSRs (4)</w:t>
            </w:r>
          </w:p>
        </w:tc>
        <w:tc>
          <w:tcPr>
            <w:tcW w:w="1940" w:type="dxa"/>
            <w:vAlign w:val="bottom"/>
          </w:tcPr>
          <w:p>
            <w:pPr>
              <w:jc w:val="center"/>
              <w:ind w:left="628"/>
              <w:spacing w:after="0"/>
              <w:rPr>
                <w:sz w:val="20"/>
                <w:szCs w:val="20"/>
                <w:color w:val="auto"/>
              </w:rPr>
            </w:pPr>
            <w:r>
              <w:rPr>
                <w:rFonts w:ascii="Arial" w:cs="Arial" w:eastAsia="Arial" w:hAnsi="Arial"/>
                <w:sz w:val="14"/>
                <w:szCs w:val="14"/>
                <w:color w:val="auto"/>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00" w:type="dxa"/>
            <w:vAlign w:val="bottom"/>
          </w:tcPr>
          <w:p>
            <w:pPr>
              <w:jc w:val="center"/>
              <w:ind w:right="28"/>
              <w:spacing w:after="0"/>
              <w:rPr>
                <w:sz w:val="20"/>
                <w:szCs w:val="20"/>
                <w:color w:val="auto"/>
              </w:rPr>
            </w:pPr>
            <w:r>
              <w:rPr>
                <w:rFonts w:ascii="Arial" w:cs="Arial" w:eastAsia="Arial" w:hAnsi="Arial"/>
                <w:sz w:val="14"/>
                <w:szCs w:val="14"/>
                <w:color w:val="auto"/>
              </w:rPr>
              <w:t>1,172,258</w:t>
            </w:r>
          </w:p>
        </w:tc>
        <w:tc>
          <w:tcPr>
            <w:tcW w:w="1320" w:type="dxa"/>
            <w:vAlign w:val="bottom"/>
          </w:tcPr>
          <w:p>
            <w:pPr>
              <w:jc w:val="center"/>
              <w:ind w:right="8"/>
              <w:spacing w:after="0"/>
              <w:rPr>
                <w:sz w:val="20"/>
                <w:szCs w:val="20"/>
                <w:color w:val="auto"/>
              </w:rPr>
            </w:pPr>
            <w:r>
              <w:rPr>
                <w:rFonts w:ascii="Arial" w:cs="Arial" w:eastAsia="Arial" w:hAnsi="Arial"/>
                <w:sz w:val="14"/>
                <w:szCs w:val="14"/>
                <w:color w:val="auto"/>
              </w:rPr>
              <w:t>1,172,258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740" w:type="dxa"/>
            <w:vAlign w:val="bottom"/>
          </w:tcPr>
          <w:p>
            <w:pPr>
              <w:spacing w:after="0"/>
              <w:rPr>
                <w:sz w:val="19"/>
                <w:szCs w:val="19"/>
                <w:color w:val="auto"/>
              </w:rPr>
            </w:pPr>
          </w:p>
        </w:tc>
        <w:tc>
          <w:tcPr>
            <w:tcW w:w="3220" w:type="dxa"/>
            <w:vAlign w:val="bottom"/>
            <w:shd w:val="clear" w:color="auto" w:fill="CCD4DB"/>
          </w:tcPr>
          <w:p>
            <w:pPr>
              <w:ind w:left="20"/>
              <w:spacing w:after="0"/>
              <w:rPr>
                <w:sz w:val="20"/>
                <w:szCs w:val="20"/>
                <w:color w:val="auto"/>
              </w:rPr>
            </w:pPr>
            <w:r>
              <w:rPr>
                <w:rFonts w:ascii="Arial" w:cs="Arial" w:eastAsia="Arial" w:hAnsi="Arial"/>
                <w:sz w:val="14"/>
                <w:szCs w:val="14"/>
                <w:color w:val="auto"/>
              </w:rPr>
              <w:t>RPSRs (4)</w:t>
            </w:r>
          </w:p>
        </w:tc>
        <w:tc>
          <w:tcPr>
            <w:tcW w:w="1940" w:type="dxa"/>
            <w:vAlign w:val="bottom"/>
            <w:shd w:val="clear" w:color="auto" w:fill="CCD4DB"/>
          </w:tcPr>
          <w:p>
            <w:pPr>
              <w:jc w:val="center"/>
              <w:ind w:left="6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D4DB"/>
          </w:tcPr>
          <w:p>
            <w:pPr>
              <w:jc w:val="center"/>
              <w:spacing w:after="0"/>
              <w:rPr>
                <w:sz w:val="20"/>
                <w:szCs w:val="20"/>
                <w:color w:val="auto"/>
              </w:rPr>
            </w:pPr>
            <w:r>
              <w:rPr>
                <w:rFonts w:ascii="Arial" w:cs="Arial" w:eastAsia="Arial" w:hAnsi="Arial"/>
                <w:sz w:val="14"/>
                <w:szCs w:val="14"/>
                <w:color w:val="auto"/>
                <w:w w:val="99"/>
              </w:rPr>
              <w:t>—</w:t>
            </w:r>
          </w:p>
        </w:tc>
        <w:tc>
          <w:tcPr>
            <w:tcW w:w="1500" w:type="dxa"/>
            <w:vAlign w:val="bottom"/>
            <w:shd w:val="clear" w:color="auto" w:fill="CCD4DB"/>
          </w:tcPr>
          <w:p>
            <w:pPr>
              <w:jc w:val="center"/>
              <w:ind w:right="28"/>
              <w:spacing w:after="0"/>
              <w:rPr>
                <w:sz w:val="20"/>
                <w:szCs w:val="20"/>
                <w:color w:val="auto"/>
              </w:rPr>
            </w:pPr>
            <w:r>
              <w:rPr>
                <w:rFonts w:ascii="Arial" w:cs="Arial" w:eastAsia="Arial" w:hAnsi="Arial"/>
                <w:sz w:val="14"/>
                <w:szCs w:val="14"/>
                <w:color w:val="auto"/>
              </w:rPr>
              <w:t>2,667,214</w:t>
            </w:r>
          </w:p>
        </w:tc>
        <w:tc>
          <w:tcPr>
            <w:tcW w:w="1320" w:type="dxa"/>
            <w:vAlign w:val="bottom"/>
            <w:shd w:val="clear" w:color="auto" w:fill="CCD4DB"/>
          </w:tcPr>
          <w:p>
            <w:pPr>
              <w:jc w:val="center"/>
              <w:ind w:right="8"/>
              <w:spacing w:after="0"/>
              <w:rPr>
                <w:sz w:val="20"/>
                <w:szCs w:val="20"/>
                <w:color w:val="auto"/>
              </w:rPr>
            </w:pPr>
            <w:r>
              <w:rPr>
                <w:rFonts w:ascii="Arial" w:cs="Arial" w:eastAsia="Arial" w:hAnsi="Arial"/>
                <w:sz w:val="14"/>
                <w:szCs w:val="14"/>
                <w:color w:val="auto"/>
              </w:rPr>
              <w:t>890,392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740" w:type="dxa"/>
            <w:vAlign w:val="bottom"/>
          </w:tcPr>
          <w:p>
            <w:pPr>
              <w:spacing w:after="0"/>
              <w:rPr>
                <w:sz w:val="16"/>
                <w:szCs w:val="16"/>
                <w:color w:val="auto"/>
              </w:rPr>
            </w:pPr>
          </w:p>
        </w:tc>
        <w:tc>
          <w:tcPr>
            <w:tcW w:w="3220" w:type="dxa"/>
            <w:vAlign w:val="bottom"/>
          </w:tcPr>
          <w:p>
            <w:pPr>
              <w:ind w:left="20"/>
              <w:spacing w:after="0"/>
              <w:rPr>
                <w:sz w:val="20"/>
                <w:szCs w:val="20"/>
                <w:color w:val="auto"/>
              </w:rPr>
            </w:pPr>
            <w:r>
              <w:rPr>
                <w:rFonts w:ascii="Arial" w:cs="Arial" w:eastAsia="Arial" w:hAnsi="Arial"/>
                <w:sz w:val="14"/>
                <w:szCs w:val="14"/>
                <w:color w:val="auto"/>
              </w:rPr>
              <w:t>Severance Benefits (5)</w:t>
            </w:r>
          </w:p>
        </w:tc>
        <w:tc>
          <w:tcPr>
            <w:tcW w:w="19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7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40" w:type="dxa"/>
            <w:vAlign w:val="bottom"/>
          </w:tcPr>
          <w:p>
            <w:pPr>
              <w:ind w:left="20"/>
              <w:spacing w:after="0"/>
              <w:rPr>
                <w:sz w:val="20"/>
                <w:szCs w:val="20"/>
                <w:color w:val="auto"/>
              </w:rPr>
            </w:pPr>
            <w:r>
              <w:rPr>
                <w:rFonts w:ascii="Arial" w:cs="Arial" w:eastAsia="Arial" w:hAnsi="Arial"/>
                <w:sz w:val="14"/>
                <w:szCs w:val="14"/>
                <w:color w:val="auto"/>
              </w:rPr>
              <w:t>David F. Keffer</w:t>
            </w:r>
          </w:p>
        </w:tc>
        <w:tc>
          <w:tcPr>
            <w:tcW w:w="3220" w:type="dxa"/>
            <w:vAlign w:val="bottom"/>
            <w:shd w:val="clear" w:color="auto" w:fill="CCD4DB"/>
          </w:tcPr>
          <w:p>
            <w:pPr>
              <w:ind w:left="360"/>
              <w:spacing w:after="0"/>
              <w:rPr>
                <w:sz w:val="20"/>
                <w:szCs w:val="20"/>
                <w:color w:val="auto"/>
              </w:rPr>
            </w:pPr>
            <w:r>
              <w:rPr>
                <w:rFonts w:ascii="Arial" w:cs="Arial" w:eastAsia="Arial" w:hAnsi="Arial"/>
                <w:sz w:val="14"/>
                <w:szCs w:val="14"/>
                <w:color w:val="auto"/>
              </w:rPr>
              <w:t>Cash Severance</w:t>
            </w:r>
          </w:p>
        </w:tc>
        <w:tc>
          <w:tcPr>
            <w:tcW w:w="1940" w:type="dxa"/>
            <w:vAlign w:val="bottom"/>
            <w:shd w:val="clear" w:color="auto" w:fill="CCD4DB"/>
          </w:tcPr>
          <w:p>
            <w:pPr>
              <w:jc w:val="center"/>
              <w:ind w:left="6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D4DB"/>
          </w:tcPr>
          <w:p>
            <w:pPr>
              <w:jc w:val="center"/>
              <w:ind w:left="8"/>
              <w:spacing w:after="0"/>
              <w:rPr>
                <w:sz w:val="20"/>
                <w:szCs w:val="20"/>
                <w:color w:val="auto"/>
              </w:rPr>
            </w:pPr>
            <w:r>
              <w:rPr>
                <w:rFonts w:ascii="Arial" w:cs="Arial" w:eastAsia="Arial" w:hAnsi="Arial"/>
                <w:sz w:val="14"/>
                <w:szCs w:val="14"/>
                <w:color w:val="auto"/>
              </w:rPr>
              <w:t>2,250,000</w:t>
            </w:r>
          </w:p>
        </w:tc>
        <w:tc>
          <w:tcPr>
            <w:tcW w:w="1500" w:type="dxa"/>
            <w:vAlign w:val="bottom"/>
            <w:shd w:val="clear" w:color="auto" w:fill="CCD4DB"/>
          </w:tcPr>
          <w:p>
            <w:pPr>
              <w:jc w:val="center"/>
              <w:ind w:right="48"/>
              <w:spacing w:after="0"/>
              <w:rPr>
                <w:sz w:val="20"/>
                <w:szCs w:val="20"/>
                <w:color w:val="auto"/>
              </w:rPr>
            </w:pPr>
            <w:r>
              <w:rPr>
                <w:rFonts w:ascii="Arial" w:cs="Arial" w:eastAsia="Arial" w:hAnsi="Arial"/>
                <w:sz w:val="14"/>
                <w:szCs w:val="14"/>
                <w:color w:val="auto"/>
                <w:w w:val="99"/>
              </w:rPr>
              <w:t>—</w:t>
            </w:r>
          </w:p>
        </w:tc>
        <w:tc>
          <w:tcPr>
            <w:tcW w:w="1320" w:type="dxa"/>
            <w:vAlign w:val="bottom"/>
            <w:shd w:val="clear" w:color="auto" w:fill="CCD4DB"/>
          </w:tcPr>
          <w:p>
            <w:pPr>
              <w:jc w:val="center"/>
              <w:ind w:right="2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3220" w:type="dxa"/>
            <w:vAlign w:val="bottom"/>
          </w:tcPr>
          <w:p>
            <w:pPr>
              <w:ind w:left="360"/>
              <w:spacing w:after="0"/>
              <w:rPr>
                <w:sz w:val="20"/>
                <w:szCs w:val="20"/>
                <w:color w:val="auto"/>
              </w:rPr>
            </w:pPr>
            <w:r>
              <w:rPr>
                <w:rFonts w:ascii="Arial" w:cs="Arial" w:eastAsia="Arial" w:hAnsi="Arial"/>
                <w:sz w:val="14"/>
                <w:szCs w:val="14"/>
                <w:color w:val="auto"/>
              </w:rPr>
              <w:t>Medical/Dental Continuation</w:t>
            </w:r>
          </w:p>
        </w:tc>
        <w:tc>
          <w:tcPr>
            <w:tcW w:w="1940" w:type="dxa"/>
            <w:vAlign w:val="bottom"/>
          </w:tcPr>
          <w:p>
            <w:pPr>
              <w:jc w:val="center"/>
              <w:ind w:left="628"/>
              <w:spacing w:after="0"/>
              <w:rPr>
                <w:sz w:val="20"/>
                <w:szCs w:val="20"/>
                <w:color w:val="auto"/>
              </w:rPr>
            </w:pPr>
            <w:r>
              <w:rPr>
                <w:rFonts w:ascii="Arial" w:cs="Arial" w:eastAsia="Arial" w:hAnsi="Arial"/>
                <w:sz w:val="14"/>
                <w:szCs w:val="14"/>
                <w:color w:val="auto"/>
              </w:rPr>
              <w:t>—</w:t>
            </w:r>
          </w:p>
        </w:tc>
        <w:tc>
          <w:tcPr>
            <w:tcW w:w="1520" w:type="dxa"/>
            <w:vAlign w:val="bottom"/>
          </w:tcPr>
          <w:p>
            <w:pPr>
              <w:jc w:val="center"/>
              <w:ind w:left="8"/>
              <w:spacing w:after="0"/>
              <w:rPr>
                <w:sz w:val="20"/>
                <w:szCs w:val="20"/>
                <w:color w:val="auto"/>
              </w:rPr>
            </w:pPr>
            <w:r>
              <w:rPr>
                <w:rFonts w:ascii="Arial" w:cs="Arial" w:eastAsia="Arial" w:hAnsi="Arial"/>
                <w:sz w:val="14"/>
                <w:szCs w:val="14"/>
                <w:color w:val="auto"/>
              </w:rPr>
              <w:t>15,382</w:t>
            </w:r>
          </w:p>
        </w:tc>
        <w:tc>
          <w:tcPr>
            <w:tcW w:w="1500" w:type="dxa"/>
            <w:vAlign w:val="bottom"/>
          </w:tcPr>
          <w:p>
            <w:pPr>
              <w:jc w:val="center"/>
              <w:ind w:right="48"/>
              <w:spacing w:after="0"/>
              <w:rPr>
                <w:sz w:val="20"/>
                <w:szCs w:val="20"/>
                <w:color w:val="auto"/>
              </w:rPr>
            </w:pPr>
            <w:r>
              <w:rPr>
                <w:rFonts w:ascii="Arial" w:cs="Arial" w:eastAsia="Arial" w:hAnsi="Arial"/>
                <w:sz w:val="14"/>
                <w:szCs w:val="14"/>
                <w:color w:val="auto"/>
                <w:w w:val="99"/>
              </w:rPr>
              <w:t>—</w:t>
            </w:r>
          </w:p>
        </w:tc>
        <w:tc>
          <w:tcPr>
            <w:tcW w:w="1320" w:type="dxa"/>
            <w:vAlign w:val="bottom"/>
          </w:tcPr>
          <w:p>
            <w:pPr>
              <w:jc w:val="center"/>
              <w:ind w:right="2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40" w:type="dxa"/>
            <w:vAlign w:val="bottom"/>
          </w:tcPr>
          <w:p>
            <w:pPr>
              <w:spacing w:after="0"/>
              <w:rPr>
                <w:sz w:val="19"/>
                <w:szCs w:val="19"/>
                <w:color w:val="auto"/>
              </w:rPr>
            </w:pPr>
          </w:p>
        </w:tc>
        <w:tc>
          <w:tcPr>
            <w:tcW w:w="3220" w:type="dxa"/>
            <w:vAlign w:val="bottom"/>
            <w:shd w:val="clear" w:color="auto" w:fill="CCD4DB"/>
          </w:tcPr>
          <w:p>
            <w:pPr>
              <w:ind w:left="360"/>
              <w:spacing w:after="0"/>
              <w:rPr>
                <w:sz w:val="20"/>
                <w:szCs w:val="20"/>
                <w:color w:val="auto"/>
              </w:rPr>
            </w:pPr>
            <w:r>
              <w:rPr>
                <w:rFonts w:ascii="Arial" w:cs="Arial" w:eastAsia="Arial" w:hAnsi="Arial"/>
                <w:sz w:val="14"/>
                <w:szCs w:val="14"/>
                <w:color w:val="auto"/>
              </w:rPr>
              <w:t>Financial Planning/Income Tax</w:t>
            </w:r>
          </w:p>
        </w:tc>
        <w:tc>
          <w:tcPr>
            <w:tcW w:w="1940" w:type="dxa"/>
            <w:vAlign w:val="bottom"/>
            <w:shd w:val="clear" w:color="auto" w:fill="CCD4DB"/>
          </w:tcPr>
          <w:p>
            <w:pPr>
              <w:jc w:val="center"/>
              <w:ind w:left="6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D4DB"/>
          </w:tcPr>
          <w:p>
            <w:pPr>
              <w:jc w:val="center"/>
              <w:ind w:left="8"/>
              <w:spacing w:after="0"/>
              <w:rPr>
                <w:sz w:val="20"/>
                <w:szCs w:val="20"/>
                <w:color w:val="auto"/>
              </w:rPr>
            </w:pPr>
            <w:r>
              <w:rPr>
                <w:rFonts w:ascii="Arial" w:cs="Arial" w:eastAsia="Arial" w:hAnsi="Arial"/>
                <w:sz w:val="14"/>
                <w:szCs w:val="14"/>
                <w:color w:val="auto"/>
              </w:rPr>
              <w:t>18,500</w:t>
            </w:r>
          </w:p>
        </w:tc>
        <w:tc>
          <w:tcPr>
            <w:tcW w:w="1500" w:type="dxa"/>
            <w:vAlign w:val="bottom"/>
            <w:shd w:val="clear" w:color="auto" w:fill="CCD4DB"/>
          </w:tcPr>
          <w:p>
            <w:pPr>
              <w:jc w:val="center"/>
              <w:ind w:right="48"/>
              <w:spacing w:after="0"/>
              <w:rPr>
                <w:sz w:val="20"/>
                <w:szCs w:val="20"/>
                <w:color w:val="auto"/>
              </w:rPr>
            </w:pPr>
            <w:r>
              <w:rPr>
                <w:rFonts w:ascii="Arial" w:cs="Arial" w:eastAsia="Arial" w:hAnsi="Arial"/>
                <w:sz w:val="14"/>
                <w:szCs w:val="14"/>
                <w:color w:val="auto"/>
                <w:w w:val="99"/>
              </w:rPr>
              <w:t>—</w:t>
            </w:r>
          </w:p>
        </w:tc>
        <w:tc>
          <w:tcPr>
            <w:tcW w:w="1320" w:type="dxa"/>
            <w:vAlign w:val="bottom"/>
            <w:shd w:val="clear" w:color="auto" w:fill="CCD4DB"/>
          </w:tcPr>
          <w:p>
            <w:pPr>
              <w:jc w:val="center"/>
              <w:ind w:right="2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40" w:type="dxa"/>
            <w:vAlign w:val="bottom"/>
            <w:tcBorders>
              <w:bottom w:val="single" w:sz="8" w:color="00249C"/>
            </w:tcBorders>
          </w:tcPr>
          <w:p>
            <w:pPr>
              <w:spacing w:after="0"/>
              <w:rPr>
                <w:sz w:val="18"/>
                <w:szCs w:val="18"/>
                <w:color w:val="auto"/>
              </w:rPr>
            </w:pPr>
          </w:p>
        </w:tc>
        <w:tc>
          <w:tcPr>
            <w:tcW w:w="3220" w:type="dxa"/>
            <w:vAlign w:val="bottom"/>
            <w:tcBorders>
              <w:bottom w:val="single" w:sz="8" w:color="00249C"/>
            </w:tcBorders>
          </w:tcPr>
          <w:p>
            <w:pPr>
              <w:ind w:left="360"/>
              <w:spacing w:after="0"/>
              <w:rPr>
                <w:sz w:val="20"/>
                <w:szCs w:val="20"/>
                <w:color w:val="auto"/>
              </w:rPr>
            </w:pPr>
            <w:r>
              <w:rPr>
                <w:rFonts w:ascii="Arial" w:cs="Arial" w:eastAsia="Arial" w:hAnsi="Arial"/>
                <w:sz w:val="14"/>
                <w:szCs w:val="14"/>
                <w:color w:val="auto"/>
              </w:rPr>
              <w:t>Outplacement Services</w:t>
            </w:r>
          </w:p>
        </w:tc>
        <w:tc>
          <w:tcPr>
            <w:tcW w:w="1940" w:type="dxa"/>
            <w:vAlign w:val="bottom"/>
            <w:tcBorders>
              <w:bottom w:val="single" w:sz="8" w:color="00249C"/>
            </w:tcBorders>
          </w:tcPr>
          <w:p>
            <w:pPr>
              <w:jc w:val="center"/>
              <w:ind w:left="6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00249C"/>
            </w:tcBorders>
          </w:tcPr>
          <w:p>
            <w:pPr>
              <w:jc w:val="center"/>
              <w:ind w:left="8"/>
              <w:spacing w:after="0"/>
              <w:rPr>
                <w:sz w:val="20"/>
                <w:szCs w:val="20"/>
                <w:color w:val="auto"/>
              </w:rPr>
            </w:pPr>
            <w:r>
              <w:rPr>
                <w:rFonts w:ascii="Arial" w:cs="Arial" w:eastAsia="Arial" w:hAnsi="Arial"/>
                <w:sz w:val="14"/>
                <w:szCs w:val="14"/>
                <w:color w:val="auto"/>
              </w:rPr>
              <w:t>112,500</w:t>
            </w:r>
          </w:p>
        </w:tc>
        <w:tc>
          <w:tcPr>
            <w:tcW w:w="1500" w:type="dxa"/>
            <w:vAlign w:val="bottom"/>
            <w:tcBorders>
              <w:bottom w:val="single" w:sz="8" w:color="00249C"/>
            </w:tcBorders>
          </w:tcPr>
          <w:p>
            <w:pPr>
              <w:jc w:val="center"/>
              <w:ind w:right="48"/>
              <w:spacing w:after="0"/>
              <w:rPr>
                <w:sz w:val="20"/>
                <w:szCs w:val="20"/>
                <w:color w:val="auto"/>
              </w:rPr>
            </w:pPr>
            <w:r>
              <w:rPr>
                <w:rFonts w:ascii="Arial" w:cs="Arial" w:eastAsia="Arial" w:hAnsi="Arial"/>
                <w:sz w:val="14"/>
                <w:szCs w:val="14"/>
                <w:color w:val="auto"/>
                <w:w w:val="99"/>
              </w:rPr>
              <w:t>—</w:t>
            </w:r>
          </w:p>
        </w:tc>
        <w:tc>
          <w:tcPr>
            <w:tcW w:w="1320" w:type="dxa"/>
            <w:vAlign w:val="bottom"/>
            <w:tcBorders>
              <w:bottom w:val="single" w:sz="8" w:color="00249C"/>
            </w:tcBorders>
          </w:tcPr>
          <w:p>
            <w:pPr>
              <w:jc w:val="center"/>
              <w:ind w:right="2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40" w:type="dxa"/>
            <w:vAlign w:val="bottom"/>
          </w:tcPr>
          <w:p>
            <w:pPr>
              <w:spacing w:after="0"/>
              <w:rPr>
                <w:sz w:val="17"/>
                <w:szCs w:val="17"/>
                <w:color w:val="auto"/>
              </w:rPr>
            </w:pPr>
          </w:p>
        </w:tc>
        <w:tc>
          <w:tcPr>
            <w:tcW w:w="3220" w:type="dxa"/>
            <w:vAlign w:val="bottom"/>
            <w:shd w:val="clear" w:color="auto" w:fill="CCD4DB"/>
          </w:tcPr>
          <w:p>
            <w:pPr>
              <w:ind w:left="20"/>
              <w:spacing w:after="0"/>
              <w:rPr>
                <w:sz w:val="20"/>
                <w:szCs w:val="20"/>
                <w:color w:val="auto"/>
              </w:rPr>
            </w:pPr>
            <w:r>
              <w:rPr>
                <w:rFonts w:ascii="Arial" w:cs="Arial" w:eastAsia="Arial" w:hAnsi="Arial"/>
                <w:sz w:val="14"/>
                <w:szCs w:val="14"/>
                <w:color w:val="auto"/>
              </w:rPr>
              <w:t>RSRs (4)</w:t>
            </w:r>
          </w:p>
        </w:tc>
        <w:tc>
          <w:tcPr>
            <w:tcW w:w="1940" w:type="dxa"/>
            <w:vAlign w:val="bottom"/>
            <w:shd w:val="clear" w:color="auto" w:fill="CCD4DB"/>
          </w:tcPr>
          <w:p>
            <w:pPr>
              <w:jc w:val="center"/>
              <w:ind w:left="628"/>
              <w:spacing w:after="0"/>
              <w:rPr>
                <w:sz w:val="20"/>
                <w:szCs w:val="20"/>
                <w:color w:val="auto"/>
              </w:rPr>
            </w:pPr>
            <w:r>
              <w:rPr>
                <w:rFonts w:ascii="Arial" w:cs="Arial" w:eastAsia="Arial" w:hAnsi="Arial"/>
                <w:sz w:val="14"/>
                <w:szCs w:val="14"/>
                <w:color w:val="auto"/>
              </w:rPr>
              <w:t>1,885,303</w:t>
            </w:r>
          </w:p>
        </w:tc>
        <w:tc>
          <w:tcPr>
            <w:tcW w:w="1520" w:type="dxa"/>
            <w:vAlign w:val="bottom"/>
            <w:shd w:val="clear" w:color="auto" w:fill="CCD4DB"/>
          </w:tcPr>
          <w:p>
            <w:pPr>
              <w:jc w:val="center"/>
              <w:ind w:left="8"/>
              <w:spacing w:after="0"/>
              <w:rPr>
                <w:sz w:val="20"/>
                <w:szCs w:val="20"/>
                <w:color w:val="auto"/>
              </w:rPr>
            </w:pPr>
            <w:r>
              <w:rPr>
                <w:rFonts w:ascii="Arial" w:cs="Arial" w:eastAsia="Arial" w:hAnsi="Arial"/>
                <w:sz w:val="14"/>
                <w:szCs w:val="14"/>
                <w:color w:val="auto"/>
              </w:rPr>
              <w:t>1,885,303</w:t>
            </w:r>
          </w:p>
        </w:tc>
        <w:tc>
          <w:tcPr>
            <w:tcW w:w="1500" w:type="dxa"/>
            <w:vAlign w:val="bottom"/>
            <w:shd w:val="clear" w:color="auto" w:fill="CCD4DB"/>
          </w:tcPr>
          <w:p>
            <w:pPr>
              <w:jc w:val="center"/>
              <w:ind w:right="28"/>
              <w:spacing w:after="0"/>
              <w:rPr>
                <w:sz w:val="20"/>
                <w:szCs w:val="20"/>
                <w:color w:val="auto"/>
              </w:rPr>
            </w:pPr>
            <w:r>
              <w:rPr>
                <w:rFonts w:ascii="Arial" w:cs="Arial" w:eastAsia="Arial" w:hAnsi="Arial"/>
                <w:sz w:val="14"/>
                <w:szCs w:val="14"/>
                <w:color w:val="auto"/>
              </w:rPr>
              <w:t>3,410,122</w:t>
            </w:r>
          </w:p>
        </w:tc>
        <w:tc>
          <w:tcPr>
            <w:tcW w:w="1320" w:type="dxa"/>
            <w:vAlign w:val="bottom"/>
            <w:shd w:val="clear" w:color="auto" w:fill="CCD4DB"/>
          </w:tcPr>
          <w:p>
            <w:pPr>
              <w:jc w:val="center"/>
              <w:ind w:right="8"/>
              <w:spacing w:after="0"/>
              <w:rPr>
                <w:sz w:val="20"/>
                <w:szCs w:val="20"/>
                <w:color w:val="auto"/>
              </w:rPr>
            </w:pPr>
            <w:r>
              <w:rPr>
                <w:rFonts w:ascii="Arial" w:cs="Arial" w:eastAsia="Arial" w:hAnsi="Arial"/>
                <w:sz w:val="14"/>
                <w:szCs w:val="14"/>
                <w:color w:val="auto"/>
              </w:rPr>
              <w:t>3,410,122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3220" w:type="dxa"/>
            <w:vAlign w:val="bottom"/>
          </w:tcPr>
          <w:p>
            <w:pPr>
              <w:ind w:left="20"/>
              <w:spacing w:after="0"/>
              <w:rPr>
                <w:sz w:val="20"/>
                <w:szCs w:val="20"/>
                <w:color w:val="auto"/>
              </w:rPr>
            </w:pPr>
            <w:r>
              <w:rPr>
                <w:rFonts w:ascii="Arial" w:cs="Arial" w:eastAsia="Arial" w:hAnsi="Arial"/>
                <w:sz w:val="14"/>
                <w:szCs w:val="14"/>
                <w:color w:val="auto"/>
              </w:rPr>
              <w:t>RPSRs (4)</w:t>
            </w:r>
          </w:p>
        </w:tc>
        <w:tc>
          <w:tcPr>
            <w:tcW w:w="1940" w:type="dxa"/>
            <w:vAlign w:val="bottom"/>
          </w:tcPr>
          <w:p>
            <w:pPr>
              <w:jc w:val="center"/>
              <w:ind w:left="628"/>
              <w:spacing w:after="0"/>
              <w:rPr>
                <w:sz w:val="20"/>
                <w:szCs w:val="20"/>
                <w:color w:val="auto"/>
              </w:rPr>
            </w:pPr>
            <w:r>
              <w:rPr>
                <w:rFonts w:ascii="Arial" w:cs="Arial" w:eastAsia="Arial" w:hAnsi="Arial"/>
                <w:sz w:val="14"/>
                <w:szCs w:val="14"/>
                <w:color w:val="auto"/>
              </w:rPr>
              <w:t>2,448,120</w:t>
            </w:r>
          </w:p>
        </w:tc>
        <w:tc>
          <w:tcPr>
            <w:tcW w:w="1520" w:type="dxa"/>
            <w:vAlign w:val="bottom"/>
          </w:tcPr>
          <w:p>
            <w:pPr>
              <w:jc w:val="center"/>
              <w:ind w:left="8"/>
              <w:spacing w:after="0"/>
              <w:rPr>
                <w:sz w:val="20"/>
                <w:szCs w:val="20"/>
                <w:color w:val="auto"/>
              </w:rPr>
            </w:pPr>
            <w:r>
              <w:rPr>
                <w:rFonts w:ascii="Arial" w:cs="Arial" w:eastAsia="Arial" w:hAnsi="Arial"/>
                <w:sz w:val="14"/>
                <w:szCs w:val="14"/>
                <w:color w:val="auto"/>
              </w:rPr>
              <w:t>2,448,120</w:t>
            </w:r>
          </w:p>
        </w:tc>
        <w:tc>
          <w:tcPr>
            <w:tcW w:w="1500" w:type="dxa"/>
            <w:vAlign w:val="bottom"/>
          </w:tcPr>
          <w:p>
            <w:pPr>
              <w:jc w:val="center"/>
              <w:ind w:right="28"/>
              <w:spacing w:after="0"/>
              <w:rPr>
                <w:sz w:val="20"/>
                <w:szCs w:val="20"/>
                <w:color w:val="auto"/>
              </w:rPr>
            </w:pPr>
            <w:r>
              <w:rPr>
                <w:rFonts w:ascii="Arial" w:cs="Arial" w:eastAsia="Arial" w:hAnsi="Arial"/>
                <w:sz w:val="14"/>
                <w:szCs w:val="14"/>
                <w:color w:val="auto"/>
              </w:rPr>
              <w:t>4,585,121</w:t>
            </w:r>
          </w:p>
        </w:tc>
        <w:tc>
          <w:tcPr>
            <w:tcW w:w="1320" w:type="dxa"/>
            <w:vAlign w:val="bottom"/>
          </w:tcPr>
          <w:p>
            <w:pPr>
              <w:jc w:val="center"/>
              <w:ind w:right="8"/>
              <w:spacing w:after="0"/>
              <w:rPr>
                <w:sz w:val="20"/>
                <w:szCs w:val="20"/>
                <w:color w:val="auto"/>
              </w:rPr>
            </w:pPr>
            <w:r>
              <w:rPr>
                <w:rFonts w:ascii="Arial" w:cs="Arial" w:eastAsia="Arial" w:hAnsi="Arial"/>
                <w:sz w:val="14"/>
                <w:szCs w:val="14"/>
                <w:color w:val="auto"/>
              </w:rPr>
              <w:t>2,448,120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40" w:type="dxa"/>
            <w:vAlign w:val="bottom"/>
          </w:tcPr>
          <w:p>
            <w:pPr>
              <w:spacing w:after="0"/>
              <w:rPr>
                <w:sz w:val="17"/>
                <w:szCs w:val="17"/>
                <w:color w:val="auto"/>
              </w:rPr>
            </w:pPr>
          </w:p>
        </w:tc>
        <w:tc>
          <w:tcPr>
            <w:tcW w:w="3220" w:type="dxa"/>
            <w:vAlign w:val="bottom"/>
            <w:tcBorders>
              <w:bottom w:val="single" w:sz="8" w:color="CCD4DB"/>
            </w:tcBorders>
            <w:shd w:val="clear" w:color="auto" w:fill="CCD4DB"/>
          </w:tcPr>
          <w:p>
            <w:pPr>
              <w:ind w:left="20"/>
              <w:spacing w:after="0"/>
              <w:rPr>
                <w:sz w:val="20"/>
                <w:szCs w:val="20"/>
                <w:color w:val="auto"/>
              </w:rPr>
            </w:pPr>
            <w:r>
              <w:rPr>
                <w:rFonts w:ascii="Arial" w:cs="Arial" w:eastAsia="Arial" w:hAnsi="Arial"/>
                <w:sz w:val="14"/>
                <w:szCs w:val="14"/>
                <w:color w:val="auto"/>
              </w:rPr>
              <w:t>Severance Benefits (5)</w:t>
            </w:r>
          </w:p>
        </w:tc>
        <w:tc>
          <w:tcPr>
            <w:tcW w:w="1940" w:type="dxa"/>
            <w:vAlign w:val="bottom"/>
            <w:tcBorders>
              <w:bottom w:val="single" w:sz="8" w:color="CCD4DB"/>
            </w:tcBorders>
            <w:shd w:val="clear" w:color="auto" w:fill="CCD4DB"/>
          </w:tcPr>
          <w:p>
            <w:pPr>
              <w:spacing w:after="0"/>
              <w:rPr>
                <w:sz w:val="17"/>
                <w:szCs w:val="17"/>
                <w:color w:val="auto"/>
              </w:rPr>
            </w:pPr>
          </w:p>
        </w:tc>
        <w:tc>
          <w:tcPr>
            <w:tcW w:w="1520" w:type="dxa"/>
            <w:vAlign w:val="bottom"/>
            <w:tcBorders>
              <w:bottom w:val="single" w:sz="8" w:color="CCD4DB"/>
            </w:tcBorders>
            <w:shd w:val="clear" w:color="auto" w:fill="CCD4DB"/>
          </w:tcPr>
          <w:p>
            <w:pPr>
              <w:spacing w:after="0"/>
              <w:rPr>
                <w:sz w:val="17"/>
                <w:szCs w:val="17"/>
                <w:color w:val="auto"/>
              </w:rPr>
            </w:pPr>
          </w:p>
        </w:tc>
        <w:tc>
          <w:tcPr>
            <w:tcW w:w="1500" w:type="dxa"/>
            <w:vAlign w:val="bottom"/>
            <w:tcBorders>
              <w:bottom w:val="single" w:sz="8" w:color="CCD4DB"/>
            </w:tcBorders>
            <w:shd w:val="clear" w:color="auto" w:fill="CCD4DB"/>
          </w:tcPr>
          <w:p>
            <w:pPr>
              <w:spacing w:after="0"/>
              <w:rPr>
                <w:sz w:val="17"/>
                <w:szCs w:val="17"/>
                <w:color w:val="auto"/>
              </w:rPr>
            </w:pPr>
          </w:p>
        </w:tc>
        <w:tc>
          <w:tcPr>
            <w:tcW w:w="1320" w:type="dxa"/>
            <w:vAlign w:val="bottom"/>
            <w:tcBorders>
              <w:bottom w:val="single" w:sz="8" w:color="CCD4DB"/>
            </w:tcBorders>
            <w:shd w:val="clear" w:color="auto" w:fill="CCD4DB"/>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40" w:type="dxa"/>
            <w:vAlign w:val="bottom"/>
          </w:tcPr>
          <w:p>
            <w:pPr>
              <w:ind w:left="20"/>
              <w:spacing w:after="0"/>
              <w:rPr>
                <w:sz w:val="20"/>
                <w:szCs w:val="20"/>
                <w:color w:val="auto"/>
              </w:rPr>
            </w:pPr>
            <w:r>
              <w:rPr>
                <w:rFonts w:ascii="Arial" w:cs="Arial" w:eastAsia="Arial" w:hAnsi="Arial"/>
                <w:sz w:val="14"/>
                <w:szCs w:val="14"/>
                <w:color w:val="auto"/>
              </w:rPr>
              <w:t>Mark A. Caylor</w:t>
            </w:r>
          </w:p>
        </w:tc>
        <w:tc>
          <w:tcPr>
            <w:tcW w:w="3220" w:type="dxa"/>
            <w:vAlign w:val="bottom"/>
          </w:tcPr>
          <w:p>
            <w:pPr>
              <w:ind w:left="360"/>
              <w:spacing w:after="0"/>
              <w:rPr>
                <w:sz w:val="20"/>
                <w:szCs w:val="20"/>
                <w:color w:val="auto"/>
              </w:rPr>
            </w:pPr>
            <w:r>
              <w:rPr>
                <w:rFonts w:ascii="Arial" w:cs="Arial" w:eastAsia="Arial" w:hAnsi="Arial"/>
                <w:sz w:val="14"/>
                <w:szCs w:val="14"/>
                <w:color w:val="auto"/>
              </w:rPr>
              <w:t>Cash Severance</w:t>
            </w:r>
          </w:p>
        </w:tc>
        <w:tc>
          <w:tcPr>
            <w:tcW w:w="1940" w:type="dxa"/>
            <w:vAlign w:val="bottom"/>
          </w:tcPr>
          <w:p>
            <w:pPr>
              <w:jc w:val="center"/>
              <w:ind w:left="628"/>
              <w:spacing w:after="0"/>
              <w:rPr>
                <w:sz w:val="20"/>
                <w:szCs w:val="20"/>
                <w:color w:val="auto"/>
              </w:rPr>
            </w:pPr>
            <w:r>
              <w:rPr>
                <w:rFonts w:ascii="Arial" w:cs="Arial" w:eastAsia="Arial" w:hAnsi="Arial"/>
                <w:sz w:val="14"/>
                <w:szCs w:val="14"/>
                <w:color w:val="auto"/>
              </w:rPr>
              <w:t>—</w:t>
            </w:r>
          </w:p>
        </w:tc>
        <w:tc>
          <w:tcPr>
            <w:tcW w:w="1520" w:type="dxa"/>
            <w:vAlign w:val="bottom"/>
          </w:tcPr>
          <w:p>
            <w:pPr>
              <w:jc w:val="center"/>
              <w:ind w:left="8"/>
              <w:spacing w:after="0"/>
              <w:rPr>
                <w:sz w:val="20"/>
                <w:szCs w:val="20"/>
                <w:color w:val="auto"/>
              </w:rPr>
            </w:pPr>
            <w:r>
              <w:rPr>
                <w:rFonts w:ascii="Arial" w:cs="Arial" w:eastAsia="Arial" w:hAnsi="Arial"/>
                <w:sz w:val="14"/>
                <w:szCs w:val="14"/>
                <w:color w:val="auto"/>
              </w:rPr>
              <w:t>2,565,000</w:t>
            </w:r>
          </w:p>
        </w:tc>
        <w:tc>
          <w:tcPr>
            <w:tcW w:w="1500" w:type="dxa"/>
            <w:vAlign w:val="bottom"/>
          </w:tcPr>
          <w:p>
            <w:pPr>
              <w:jc w:val="center"/>
              <w:ind w:right="48"/>
              <w:spacing w:after="0"/>
              <w:rPr>
                <w:sz w:val="20"/>
                <w:szCs w:val="20"/>
                <w:color w:val="auto"/>
              </w:rPr>
            </w:pPr>
            <w:r>
              <w:rPr>
                <w:rFonts w:ascii="Arial" w:cs="Arial" w:eastAsia="Arial" w:hAnsi="Arial"/>
                <w:sz w:val="14"/>
                <w:szCs w:val="14"/>
                <w:color w:val="auto"/>
                <w:w w:val="99"/>
              </w:rPr>
              <w:t>—</w:t>
            </w:r>
          </w:p>
        </w:tc>
        <w:tc>
          <w:tcPr>
            <w:tcW w:w="1320" w:type="dxa"/>
            <w:vAlign w:val="bottom"/>
          </w:tcPr>
          <w:p>
            <w:pPr>
              <w:jc w:val="center"/>
              <w:ind w:right="2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40" w:type="dxa"/>
            <w:vAlign w:val="bottom"/>
          </w:tcPr>
          <w:p>
            <w:pPr>
              <w:spacing w:after="0"/>
              <w:rPr>
                <w:sz w:val="19"/>
                <w:szCs w:val="19"/>
                <w:color w:val="auto"/>
              </w:rPr>
            </w:pPr>
          </w:p>
        </w:tc>
        <w:tc>
          <w:tcPr>
            <w:tcW w:w="3220" w:type="dxa"/>
            <w:vAlign w:val="bottom"/>
            <w:shd w:val="clear" w:color="auto" w:fill="CCD4DB"/>
          </w:tcPr>
          <w:p>
            <w:pPr>
              <w:ind w:left="360"/>
              <w:spacing w:after="0"/>
              <w:rPr>
                <w:sz w:val="20"/>
                <w:szCs w:val="20"/>
                <w:color w:val="auto"/>
              </w:rPr>
            </w:pPr>
            <w:r>
              <w:rPr>
                <w:rFonts w:ascii="Arial" w:cs="Arial" w:eastAsia="Arial" w:hAnsi="Arial"/>
                <w:sz w:val="14"/>
                <w:szCs w:val="14"/>
                <w:color w:val="auto"/>
              </w:rPr>
              <w:t>Medical/Dental Continuation</w:t>
            </w:r>
          </w:p>
        </w:tc>
        <w:tc>
          <w:tcPr>
            <w:tcW w:w="1940" w:type="dxa"/>
            <w:vAlign w:val="bottom"/>
            <w:shd w:val="clear" w:color="auto" w:fill="CCD4DB"/>
          </w:tcPr>
          <w:p>
            <w:pPr>
              <w:jc w:val="center"/>
              <w:ind w:left="6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D4DB"/>
          </w:tcPr>
          <w:p>
            <w:pPr>
              <w:jc w:val="center"/>
              <w:ind w:left="8"/>
              <w:spacing w:after="0"/>
              <w:rPr>
                <w:sz w:val="20"/>
                <w:szCs w:val="20"/>
                <w:color w:val="auto"/>
              </w:rPr>
            </w:pPr>
            <w:r>
              <w:rPr>
                <w:rFonts w:ascii="Arial" w:cs="Arial" w:eastAsia="Arial" w:hAnsi="Arial"/>
                <w:sz w:val="14"/>
                <w:szCs w:val="14"/>
                <w:color w:val="auto"/>
              </w:rPr>
              <w:t>5,418</w:t>
            </w:r>
          </w:p>
        </w:tc>
        <w:tc>
          <w:tcPr>
            <w:tcW w:w="1500" w:type="dxa"/>
            <w:vAlign w:val="bottom"/>
            <w:shd w:val="clear" w:color="auto" w:fill="CCD4DB"/>
          </w:tcPr>
          <w:p>
            <w:pPr>
              <w:jc w:val="center"/>
              <w:ind w:right="48"/>
              <w:spacing w:after="0"/>
              <w:rPr>
                <w:sz w:val="20"/>
                <w:szCs w:val="20"/>
                <w:color w:val="auto"/>
              </w:rPr>
            </w:pPr>
            <w:r>
              <w:rPr>
                <w:rFonts w:ascii="Arial" w:cs="Arial" w:eastAsia="Arial" w:hAnsi="Arial"/>
                <w:sz w:val="14"/>
                <w:szCs w:val="14"/>
                <w:color w:val="auto"/>
                <w:w w:val="99"/>
              </w:rPr>
              <w:t>—</w:t>
            </w:r>
          </w:p>
        </w:tc>
        <w:tc>
          <w:tcPr>
            <w:tcW w:w="1320" w:type="dxa"/>
            <w:vAlign w:val="bottom"/>
            <w:shd w:val="clear" w:color="auto" w:fill="CCD4DB"/>
          </w:tcPr>
          <w:p>
            <w:pPr>
              <w:jc w:val="center"/>
              <w:ind w:right="2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3220" w:type="dxa"/>
            <w:vAlign w:val="bottom"/>
          </w:tcPr>
          <w:p>
            <w:pPr>
              <w:ind w:left="360"/>
              <w:spacing w:after="0"/>
              <w:rPr>
                <w:sz w:val="20"/>
                <w:szCs w:val="20"/>
                <w:color w:val="auto"/>
              </w:rPr>
            </w:pPr>
            <w:r>
              <w:rPr>
                <w:rFonts w:ascii="Arial" w:cs="Arial" w:eastAsia="Arial" w:hAnsi="Arial"/>
                <w:sz w:val="14"/>
                <w:szCs w:val="14"/>
                <w:color w:val="auto"/>
              </w:rPr>
              <w:t>Financial Planning/Income Tax</w:t>
            </w:r>
          </w:p>
        </w:tc>
        <w:tc>
          <w:tcPr>
            <w:tcW w:w="1940" w:type="dxa"/>
            <w:vAlign w:val="bottom"/>
          </w:tcPr>
          <w:p>
            <w:pPr>
              <w:jc w:val="center"/>
              <w:ind w:left="628"/>
              <w:spacing w:after="0"/>
              <w:rPr>
                <w:sz w:val="20"/>
                <w:szCs w:val="20"/>
                <w:color w:val="auto"/>
              </w:rPr>
            </w:pPr>
            <w:r>
              <w:rPr>
                <w:rFonts w:ascii="Arial" w:cs="Arial" w:eastAsia="Arial" w:hAnsi="Arial"/>
                <w:sz w:val="14"/>
                <w:szCs w:val="14"/>
                <w:color w:val="auto"/>
              </w:rPr>
              <w:t>—</w:t>
            </w:r>
          </w:p>
        </w:tc>
        <w:tc>
          <w:tcPr>
            <w:tcW w:w="1520" w:type="dxa"/>
            <w:vAlign w:val="bottom"/>
          </w:tcPr>
          <w:p>
            <w:pPr>
              <w:jc w:val="center"/>
              <w:ind w:left="8"/>
              <w:spacing w:after="0"/>
              <w:rPr>
                <w:sz w:val="20"/>
                <w:szCs w:val="20"/>
                <w:color w:val="auto"/>
              </w:rPr>
            </w:pPr>
            <w:r>
              <w:rPr>
                <w:rFonts w:ascii="Arial" w:cs="Arial" w:eastAsia="Arial" w:hAnsi="Arial"/>
                <w:sz w:val="14"/>
                <w:szCs w:val="14"/>
                <w:color w:val="auto"/>
              </w:rPr>
              <w:t>18,500</w:t>
            </w:r>
          </w:p>
        </w:tc>
        <w:tc>
          <w:tcPr>
            <w:tcW w:w="1500" w:type="dxa"/>
            <w:vAlign w:val="bottom"/>
          </w:tcPr>
          <w:p>
            <w:pPr>
              <w:jc w:val="center"/>
              <w:ind w:right="48"/>
              <w:spacing w:after="0"/>
              <w:rPr>
                <w:sz w:val="20"/>
                <w:szCs w:val="20"/>
                <w:color w:val="auto"/>
              </w:rPr>
            </w:pPr>
            <w:r>
              <w:rPr>
                <w:rFonts w:ascii="Arial" w:cs="Arial" w:eastAsia="Arial" w:hAnsi="Arial"/>
                <w:sz w:val="14"/>
                <w:szCs w:val="14"/>
                <w:color w:val="auto"/>
                <w:w w:val="99"/>
              </w:rPr>
              <w:t>—</w:t>
            </w:r>
          </w:p>
        </w:tc>
        <w:tc>
          <w:tcPr>
            <w:tcW w:w="1320" w:type="dxa"/>
            <w:vAlign w:val="bottom"/>
          </w:tcPr>
          <w:p>
            <w:pPr>
              <w:jc w:val="center"/>
              <w:ind w:right="2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bottom w:val="single" w:sz="8" w:color="00249C"/>
            </w:tcBorders>
          </w:tcPr>
          <w:p>
            <w:pPr>
              <w:spacing w:after="0"/>
              <w:rPr>
                <w:sz w:val="18"/>
                <w:szCs w:val="18"/>
                <w:color w:val="auto"/>
              </w:rPr>
            </w:pPr>
          </w:p>
        </w:tc>
        <w:tc>
          <w:tcPr>
            <w:tcW w:w="3220" w:type="dxa"/>
            <w:vAlign w:val="bottom"/>
            <w:tcBorders>
              <w:bottom w:val="single" w:sz="8" w:color="00249C"/>
            </w:tcBorders>
            <w:shd w:val="clear" w:color="auto" w:fill="CCD4DB"/>
          </w:tcPr>
          <w:p>
            <w:pPr>
              <w:ind w:left="360"/>
              <w:spacing w:after="0"/>
              <w:rPr>
                <w:sz w:val="20"/>
                <w:szCs w:val="20"/>
                <w:color w:val="auto"/>
              </w:rPr>
            </w:pPr>
            <w:r>
              <w:rPr>
                <w:rFonts w:ascii="Arial" w:cs="Arial" w:eastAsia="Arial" w:hAnsi="Arial"/>
                <w:sz w:val="14"/>
                <w:szCs w:val="14"/>
                <w:color w:val="auto"/>
              </w:rPr>
              <w:t>Outplacement Services</w:t>
            </w:r>
          </w:p>
        </w:tc>
        <w:tc>
          <w:tcPr>
            <w:tcW w:w="1940" w:type="dxa"/>
            <w:vAlign w:val="bottom"/>
            <w:tcBorders>
              <w:bottom w:val="single" w:sz="8" w:color="00249C"/>
            </w:tcBorders>
            <w:shd w:val="clear" w:color="auto" w:fill="CCD4DB"/>
          </w:tcPr>
          <w:p>
            <w:pPr>
              <w:jc w:val="center"/>
              <w:ind w:left="6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00249C"/>
            </w:tcBorders>
            <w:shd w:val="clear" w:color="auto" w:fill="CCD4DB"/>
          </w:tcPr>
          <w:p>
            <w:pPr>
              <w:jc w:val="center"/>
              <w:ind w:left="8"/>
              <w:spacing w:after="0"/>
              <w:rPr>
                <w:sz w:val="20"/>
                <w:szCs w:val="20"/>
                <w:color w:val="auto"/>
              </w:rPr>
            </w:pPr>
            <w:r>
              <w:rPr>
                <w:rFonts w:ascii="Arial" w:cs="Arial" w:eastAsia="Arial" w:hAnsi="Arial"/>
                <w:sz w:val="14"/>
                <w:szCs w:val="14"/>
                <w:color w:val="auto"/>
              </w:rPr>
              <w:t>128,250</w:t>
            </w:r>
          </w:p>
        </w:tc>
        <w:tc>
          <w:tcPr>
            <w:tcW w:w="1500" w:type="dxa"/>
            <w:vAlign w:val="bottom"/>
            <w:tcBorders>
              <w:bottom w:val="single" w:sz="8" w:color="00249C"/>
            </w:tcBorders>
            <w:shd w:val="clear" w:color="auto" w:fill="CCD4DB"/>
          </w:tcPr>
          <w:p>
            <w:pPr>
              <w:jc w:val="center"/>
              <w:ind w:right="48"/>
              <w:spacing w:after="0"/>
              <w:rPr>
                <w:sz w:val="20"/>
                <w:szCs w:val="20"/>
                <w:color w:val="auto"/>
              </w:rPr>
            </w:pPr>
            <w:r>
              <w:rPr>
                <w:rFonts w:ascii="Arial" w:cs="Arial" w:eastAsia="Arial" w:hAnsi="Arial"/>
                <w:sz w:val="14"/>
                <w:szCs w:val="14"/>
                <w:color w:val="auto"/>
                <w:w w:val="99"/>
              </w:rPr>
              <w:t>—</w:t>
            </w:r>
          </w:p>
        </w:tc>
        <w:tc>
          <w:tcPr>
            <w:tcW w:w="1320" w:type="dxa"/>
            <w:vAlign w:val="bottom"/>
            <w:tcBorders>
              <w:bottom w:val="single" w:sz="8" w:color="00249C"/>
            </w:tcBorders>
            <w:shd w:val="clear" w:color="auto" w:fill="CCD4DB"/>
          </w:tcPr>
          <w:p>
            <w:pPr>
              <w:jc w:val="center"/>
              <w:ind w:right="2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740" w:type="dxa"/>
            <w:vAlign w:val="bottom"/>
          </w:tcPr>
          <w:p>
            <w:pPr>
              <w:spacing w:after="0"/>
              <w:rPr>
                <w:sz w:val="17"/>
                <w:szCs w:val="17"/>
                <w:color w:val="auto"/>
              </w:rPr>
            </w:pPr>
          </w:p>
        </w:tc>
        <w:tc>
          <w:tcPr>
            <w:tcW w:w="3220" w:type="dxa"/>
            <w:vAlign w:val="bottom"/>
          </w:tcPr>
          <w:p>
            <w:pPr>
              <w:ind w:left="20"/>
              <w:spacing w:after="0"/>
              <w:rPr>
                <w:sz w:val="20"/>
                <w:szCs w:val="20"/>
                <w:color w:val="auto"/>
              </w:rPr>
            </w:pPr>
            <w:r>
              <w:rPr>
                <w:rFonts w:ascii="Arial" w:cs="Arial" w:eastAsia="Arial" w:hAnsi="Arial"/>
                <w:sz w:val="14"/>
                <w:szCs w:val="14"/>
                <w:color w:val="auto"/>
              </w:rPr>
              <w:t>RSRs (4)</w:t>
            </w:r>
          </w:p>
        </w:tc>
        <w:tc>
          <w:tcPr>
            <w:tcW w:w="1940" w:type="dxa"/>
            <w:vAlign w:val="bottom"/>
          </w:tcPr>
          <w:p>
            <w:pPr>
              <w:jc w:val="center"/>
              <w:ind w:left="628"/>
              <w:spacing w:after="0"/>
              <w:rPr>
                <w:sz w:val="20"/>
                <w:szCs w:val="20"/>
                <w:color w:val="auto"/>
              </w:rPr>
            </w:pPr>
            <w:r>
              <w:rPr>
                <w:rFonts w:ascii="Arial" w:cs="Arial" w:eastAsia="Arial" w:hAnsi="Arial"/>
                <w:sz w:val="14"/>
                <w:szCs w:val="14"/>
                <w:color w:val="auto"/>
              </w:rPr>
              <w:t>1,589,420</w:t>
            </w:r>
          </w:p>
        </w:tc>
        <w:tc>
          <w:tcPr>
            <w:tcW w:w="1520" w:type="dxa"/>
            <w:vAlign w:val="bottom"/>
          </w:tcPr>
          <w:p>
            <w:pPr>
              <w:jc w:val="center"/>
              <w:ind w:left="8"/>
              <w:spacing w:after="0"/>
              <w:rPr>
                <w:sz w:val="20"/>
                <w:szCs w:val="20"/>
                <w:color w:val="auto"/>
              </w:rPr>
            </w:pPr>
            <w:r>
              <w:rPr>
                <w:rFonts w:ascii="Arial" w:cs="Arial" w:eastAsia="Arial" w:hAnsi="Arial"/>
                <w:sz w:val="14"/>
                <w:szCs w:val="14"/>
                <w:color w:val="auto"/>
              </w:rPr>
              <w:t>1,589,420</w:t>
            </w:r>
          </w:p>
        </w:tc>
        <w:tc>
          <w:tcPr>
            <w:tcW w:w="1500" w:type="dxa"/>
            <w:vAlign w:val="bottom"/>
          </w:tcPr>
          <w:p>
            <w:pPr>
              <w:jc w:val="center"/>
              <w:ind w:right="28"/>
              <w:spacing w:after="0"/>
              <w:rPr>
                <w:sz w:val="20"/>
                <w:szCs w:val="20"/>
                <w:color w:val="auto"/>
              </w:rPr>
            </w:pPr>
            <w:r>
              <w:rPr>
                <w:rFonts w:ascii="Arial" w:cs="Arial" w:eastAsia="Arial" w:hAnsi="Arial"/>
                <w:sz w:val="14"/>
                <w:szCs w:val="14"/>
                <w:color w:val="auto"/>
              </w:rPr>
              <w:t>3,069,444</w:t>
            </w:r>
          </w:p>
        </w:tc>
        <w:tc>
          <w:tcPr>
            <w:tcW w:w="1320" w:type="dxa"/>
            <w:vAlign w:val="bottom"/>
          </w:tcPr>
          <w:p>
            <w:pPr>
              <w:jc w:val="center"/>
              <w:ind w:right="8"/>
              <w:spacing w:after="0"/>
              <w:rPr>
                <w:sz w:val="20"/>
                <w:szCs w:val="20"/>
                <w:color w:val="auto"/>
              </w:rPr>
            </w:pPr>
            <w:r>
              <w:rPr>
                <w:rFonts w:ascii="Arial" w:cs="Arial" w:eastAsia="Arial" w:hAnsi="Arial"/>
                <w:sz w:val="14"/>
                <w:szCs w:val="14"/>
                <w:color w:val="auto"/>
              </w:rPr>
              <w:t>3,069,445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740" w:type="dxa"/>
            <w:vAlign w:val="bottom"/>
          </w:tcPr>
          <w:p>
            <w:pPr>
              <w:spacing w:after="0"/>
              <w:rPr>
                <w:sz w:val="19"/>
                <w:szCs w:val="19"/>
                <w:color w:val="auto"/>
              </w:rPr>
            </w:pPr>
          </w:p>
        </w:tc>
        <w:tc>
          <w:tcPr>
            <w:tcW w:w="3220" w:type="dxa"/>
            <w:vAlign w:val="bottom"/>
            <w:shd w:val="clear" w:color="auto" w:fill="CCD4DB"/>
          </w:tcPr>
          <w:p>
            <w:pPr>
              <w:ind w:left="20"/>
              <w:spacing w:after="0"/>
              <w:rPr>
                <w:sz w:val="20"/>
                <w:szCs w:val="20"/>
                <w:color w:val="auto"/>
              </w:rPr>
            </w:pPr>
            <w:r>
              <w:rPr>
                <w:rFonts w:ascii="Arial" w:cs="Arial" w:eastAsia="Arial" w:hAnsi="Arial"/>
                <w:sz w:val="14"/>
                <w:szCs w:val="14"/>
                <w:color w:val="auto"/>
              </w:rPr>
              <w:t>RPSRs (4)</w:t>
            </w:r>
          </w:p>
        </w:tc>
        <w:tc>
          <w:tcPr>
            <w:tcW w:w="1940" w:type="dxa"/>
            <w:vAlign w:val="bottom"/>
            <w:shd w:val="clear" w:color="auto" w:fill="CCD4DB"/>
          </w:tcPr>
          <w:p>
            <w:pPr>
              <w:jc w:val="center"/>
              <w:ind w:left="628"/>
              <w:spacing w:after="0"/>
              <w:rPr>
                <w:sz w:val="20"/>
                <w:szCs w:val="20"/>
                <w:color w:val="auto"/>
              </w:rPr>
            </w:pPr>
            <w:r>
              <w:rPr>
                <w:rFonts w:ascii="Arial" w:cs="Arial" w:eastAsia="Arial" w:hAnsi="Arial"/>
                <w:sz w:val="14"/>
                <w:szCs w:val="14"/>
                <w:color w:val="auto"/>
              </w:rPr>
              <w:t>2,185,757</w:t>
            </w:r>
          </w:p>
        </w:tc>
        <w:tc>
          <w:tcPr>
            <w:tcW w:w="1520" w:type="dxa"/>
            <w:vAlign w:val="bottom"/>
            <w:shd w:val="clear" w:color="auto" w:fill="CCD4DB"/>
          </w:tcPr>
          <w:p>
            <w:pPr>
              <w:jc w:val="center"/>
              <w:ind w:left="8"/>
              <w:spacing w:after="0"/>
              <w:rPr>
                <w:sz w:val="20"/>
                <w:szCs w:val="20"/>
                <w:color w:val="auto"/>
              </w:rPr>
            </w:pPr>
            <w:r>
              <w:rPr>
                <w:rFonts w:ascii="Arial" w:cs="Arial" w:eastAsia="Arial" w:hAnsi="Arial"/>
                <w:sz w:val="14"/>
                <w:szCs w:val="14"/>
                <w:color w:val="auto"/>
              </w:rPr>
              <w:t>2,185,757</w:t>
            </w:r>
          </w:p>
        </w:tc>
        <w:tc>
          <w:tcPr>
            <w:tcW w:w="1500" w:type="dxa"/>
            <w:vAlign w:val="bottom"/>
            <w:shd w:val="clear" w:color="auto" w:fill="CCD4DB"/>
          </w:tcPr>
          <w:p>
            <w:pPr>
              <w:jc w:val="center"/>
              <w:ind w:right="28"/>
              <w:spacing w:after="0"/>
              <w:rPr>
                <w:sz w:val="20"/>
                <w:szCs w:val="20"/>
                <w:color w:val="auto"/>
              </w:rPr>
            </w:pPr>
            <w:r>
              <w:rPr>
                <w:rFonts w:ascii="Arial" w:cs="Arial" w:eastAsia="Arial" w:hAnsi="Arial"/>
                <w:sz w:val="14"/>
                <w:szCs w:val="14"/>
                <w:color w:val="auto"/>
              </w:rPr>
              <w:t>4,192,033</w:t>
            </w:r>
          </w:p>
        </w:tc>
        <w:tc>
          <w:tcPr>
            <w:tcW w:w="1320" w:type="dxa"/>
            <w:vAlign w:val="bottom"/>
            <w:shd w:val="clear" w:color="auto" w:fill="CCD4DB"/>
          </w:tcPr>
          <w:p>
            <w:pPr>
              <w:jc w:val="center"/>
              <w:ind w:right="8"/>
              <w:spacing w:after="0"/>
              <w:rPr>
                <w:sz w:val="20"/>
                <w:szCs w:val="20"/>
                <w:color w:val="auto"/>
              </w:rPr>
            </w:pPr>
            <w:r>
              <w:rPr>
                <w:rFonts w:ascii="Arial" w:cs="Arial" w:eastAsia="Arial" w:hAnsi="Arial"/>
                <w:sz w:val="14"/>
                <w:szCs w:val="14"/>
                <w:color w:val="auto"/>
              </w:rPr>
              <w:t>2,185,757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740" w:type="dxa"/>
            <w:vAlign w:val="bottom"/>
          </w:tcPr>
          <w:p>
            <w:pPr>
              <w:spacing w:after="0"/>
              <w:rPr>
                <w:sz w:val="16"/>
                <w:szCs w:val="16"/>
                <w:color w:val="auto"/>
              </w:rPr>
            </w:pPr>
          </w:p>
        </w:tc>
        <w:tc>
          <w:tcPr>
            <w:tcW w:w="3220" w:type="dxa"/>
            <w:vAlign w:val="bottom"/>
          </w:tcPr>
          <w:p>
            <w:pPr>
              <w:ind w:left="20"/>
              <w:spacing w:after="0"/>
              <w:rPr>
                <w:sz w:val="20"/>
                <w:szCs w:val="20"/>
                <w:color w:val="auto"/>
              </w:rPr>
            </w:pPr>
            <w:r>
              <w:rPr>
                <w:rFonts w:ascii="Arial" w:cs="Arial" w:eastAsia="Arial" w:hAnsi="Arial"/>
                <w:sz w:val="14"/>
                <w:szCs w:val="14"/>
                <w:color w:val="auto"/>
              </w:rPr>
              <w:t>Severance Benefits (5)</w:t>
            </w:r>
          </w:p>
        </w:tc>
        <w:tc>
          <w:tcPr>
            <w:tcW w:w="19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7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40" w:type="dxa"/>
            <w:vAlign w:val="bottom"/>
          </w:tcPr>
          <w:p>
            <w:pPr>
              <w:ind w:left="20"/>
              <w:spacing w:after="0"/>
              <w:rPr>
                <w:sz w:val="20"/>
                <w:szCs w:val="20"/>
                <w:color w:val="auto"/>
              </w:rPr>
            </w:pPr>
            <w:r>
              <w:rPr>
                <w:rFonts w:ascii="Arial" w:cs="Arial" w:eastAsia="Arial" w:hAnsi="Arial"/>
                <w:sz w:val="14"/>
                <w:szCs w:val="14"/>
                <w:color w:val="auto"/>
              </w:rPr>
              <w:t>Blake E. Larson</w:t>
            </w:r>
          </w:p>
        </w:tc>
        <w:tc>
          <w:tcPr>
            <w:tcW w:w="3220" w:type="dxa"/>
            <w:vAlign w:val="bottom"/>
            <w:shd w:val="clear" w:color="auto" w:fill="CCD4DB"/>
          </w:tcPr>
          <w:p>
            <w:pPr>
              <w:ind w:left="360"/>
              <w:spacing w:after="0"/>
              <w:rPr>
                <w:sz w:val="20"/>
                <w:szCs w:val="20"/>
                <w:color w:val="auto"/>
              </w:rPr>
            </w:pPr>
            <w:r>
              <w:rPr>
                <w:rFonts w:ascii="Arial" w:cs="Arial" w:eastAsia="Arial" w:hAnsi="Arial"/>
                <w:sz w:val="14"/>
                <w:szCs w:val="14"/>
                <w:color w:val="auto"/>
              </w:rPr>
              <w:t>Cash Severance</w:t>
            </w:r>
          </w:p>
        </w:tc>
        <w:tc>
          <w:tcPr>
            <w:tcW w:w="1940" w:type="dxa"/>
            <w:vAlign w:val="bottom"/>
            <w:shd w:val="clear" w:color="auto" w:fill="CCD4DB"/>
          </w:tcPr>
          <w:p>
            <w:pPr>
              <w:jc w:val="center"/>
              <w:ind w:left="6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D4DB"/>
          </w:tcPr>
          <w:p>
            <w:pPr>
              <w:jc w:val="center"/>
              <w:ind w:left="8"/>
              <w:spacing w:after="0"/>
              <w:rPr>
                <w:sz w:val="20"/>
                <w:szCs w:val="20"/>
                <w:color w:val="auto"/>
              </w:rPr>
            </w:pPr>
            <w:r>
              <w:rPr>
                <w:rFonts w:ascii="Arial" w:cs="Arial" w:eastAsia="Arial" w:hAnsi="Arial"/>
                <w:sz w:val="14"/>
                <w:szCs w:val="14"/>
                <w:color w:val="auto"/>
              </w:rPr>
              <w:t>2,433,000</w:t>
            </w:r>
          </w:p>
        </w:tc>
        <w:tc>
          <w:tcPr>
            <w:tcW w:w="1500" w:type="dxa"/>
            <w:vAlign w:val="bottom"/>
            <w:shd w:val="clear" w:color="auto" w:fill="CCD4DB"/>
          </w:tcPr>
          <w:p>
            <w:pPr>
              <w:jc w:val="center"/>
              <w:ind w:right="48"/>
              <w:spacing w:after="0"/>
              <w:rPr>
                <w:sz w:val="20"/>
                <w:szCs w:val="20"/>
                <w:color w:val="auto"/>
              </w:rPr>
            </w:pPr>
            <w:r>
              <w:rPr>
                <w:rFonts w:ascii="Arial" w:cs="Arial" w:eastAsia="Arial" w:hAnsi="Arial"/>
                <w:sz w:val="14"/>
                <w:szCs w:val="14"/>
                <w:color w:val="auto"/>
                <w:w w:val="99"/>
              </w:rPr>
              <w:t>—</w:t>
            </w:r>
          </w:p>
        </w:tc>
        <w:tc>
          <w:tcPr>
            <w:tcW w:w="1320" w:type="dxa"/>
            <w:vAlign w:val="bottom"/>
            <w:shd w:val="clear" w:color="auto" w:fill="CCD4DB"/>
          </w:tcPr>
          <w:p>
            <w:pPr>
              <w:jc w:val="center"/>
              <w:ind w:right="2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3220" w:type="dxa"/>
            <w:vAlign w:val="bottom"/>
          </w:tcPr>
          <w:p>
            <w:pPr>
              <w:ind w:left="360"/>
              <w:spacing w:after="0"/>
              <w:rPr>
                <w:sz w:val="20"/>
                <w:szCs w:val="20"/>
                <w:color w:val="auto"/>
              </w:rPr>
            </w:pPr>
            <w:r>
              <w:rPr>
                <w:rFonts w:ascii="Arial" w:cs="Arial" w:eastAsia="Arial" w:hAnsi="Arial"/>
                <w:sz w:val="14"/>
                <w:szCs w:val="14"/>
                <w:color w:val="auto"/>
              </w:rPr>
              <w:t>Medical/Dental Continuation</w:t>
            </w:r>
          </w:p>
        </w:tc>
        <w:tc>
          <w:tcPr>
            <w:tcW w:w="1940" w:type="dxa"/>
            <w:vAlign w:val="bottom"/>
          </w:tcPr>
          <w:p>
            <w:pPr>
              <w:jc w:val="center"/>
              <w:ind w:left="628"/>
              <w:spacing w:after="0"/>
              <w:rPr>
                <w:sz w:val="20"/>
                <w:szCs w:val="20"/>
                <w:color w:val="auto"/>
              </w:rPr>
            </w:pPr>
            <w:r>
              <w:rPr>
                <w:rFonts w:ascii="Arial" w:cs="Arial" w:eastAsia="Arial" w:hAnsi="Arial"/>
                <w:sz w:val="14"/>
                <w:szCs w:val="14"/>
                <w:color w:val="auto"/>
              </w:rPr>
              <w:t>—</w:t>
            </w:r>
          </w:p>
        </w:tc>
        <w:tc>
          <w:tcPr>
            <w:tcW w:w="1520" w:type="dxa"/>
            <w:vAlign w:val="bottom"/>
          </w:tcPr>
          <w:p>
            <w:pPr>
              <w:jc w:val="center"/>
              <w:ind w:left="8"/>
              <w:spacing w:after="0"/>
              <w:rPr>
                <w:sz w:val="20"/>
                <w:szCs w:val="20"/>
                <w:color w:val="auto"/>
              </w:rPr>
            </w:pPr>
            <w:r>
              <w:rPr>
                <w:rFonts w:ascii="Arial" w:cs="Arial" w:eastAsia="Arial" w:hAnsi="Arial"/>
                <w:sz w:val="14"/>
                <w:szCs w:val="14"/>
                <w:color w:val="auto"/>
              </w:rPr>
              <w:t>5,272</w:t>
            </w:r>
          </w:p>
        </w:tc>
        <w:tc>
          <w:tcPr>
            <w:tcW w:w="1500" w:type="dxa"/>
            <w:vAlign w:val="bottom"/>
          </w:tcPr>
          <w:p>
            <w:pPr>
              <w:jc w:val="center"/>
              <w:ind w:right="48"/>
              <w:spacing w:after="0"/>
              <w:rPr>
                <w:sz w:val="20"/>
                <w:szCs w:val="20"/>
                <w:color w:val="auto"/>
              </w:rPr>
            </w:pPr>
            <w:r>
              <w:rPr>
                <w:rFonts w:ascii="Arial" w:cs="Arial" w:eastAsia="Arial" w:hAnsi="Arial"/>
                <w:sz w:val="14"/>
                <w:szCs w:val="14"/>
                <w:color w:val="auto"/>
                <w:w w:val="99"/>
              </w:rPr>
              <w:t>—</w:t>
            </w:r>
          </w:p>
        </w:tc>
        <w:tc>
          <w:tcPr>
            <w:tcW w:w="1320" w:type="dxa"/>
            <w:vAlign w:val="bottom"/>
          </w:tcPr>
          <w:p>
            <w:pPr>
              <w:jc w:val="center"/>
              <w:ind w:right="2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40" w:type="dxa"/>
            <w:vAlign w:val="bottom"/>
          </w:tcPr>
          <w:p>
            <w:pPr>
              <w:spacing w:after="0"/>
              <w:rPr>
                <w:sz w:val="19"/>
                <w:szCs w:val="19"/>
                <w:color w:val="auto"/>
              </w:rPr>
            </w:pPr>
          </w:p>
        </w:tc>
        <w:tc>
          <w:tcPr>
            <w:tcW w:w="3220" w:type="dxa"/>
            <w:vAlign w:val="bottom"/>
            <w:shd w:val="clear" w:color="auto" w:fill="CCD4DB"/>
          </w:tcPr>
          <w:p>
            <w:pPr>
              <w:ind w:left="360"/>
              <w:spacing w:after="0"/>
              <w:rPr>
                <w:sz w:val="20"/>
                <w:szCs w:val="20"/>
                <w:color w:val="auto"/>
              </w:rPr>
            </w:pPr>
            <w:r>
              <w:rPr>
                <w:rFonts w:ascii="Arial" w:cs="Arial" w:eastAsia="Arial" w:hAnsi="Arial"/>
                <w:sz w:val="14"/>
                <w:szCs w:val="14"/>
                <w:color w:val="auto"/>
              </w:rPr>
              <w:t>Financial Planning/Income Tax</w:t>
            </w:r>
          </w:p>
        </w:tc>
        <w:tc>
          <w:tcPr>
            <w:tcW w:w="1940" w:type="dxa"/>
            <w:vAlign w:val="bottom"/>
            <w:shd w:val="clear" w:color="auto" w:fill="CCD4DB"/>
          </w:tcPr>
          <w:p>
            <w:pPr>
              <w:jc w:val="center"/>
              <w:ind w:left="6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D4DB"/>
          </w:tcPr>
          <w:p>
            <w:pPr>
              <w:jc w:val="center"/>
              <w:ind w:left="8"/>
              <w:spacing w:after="0"/>
              <w:rPr>
                <w:sz w:val="20"/>
                <w:szCs w:val="20"/>
                <w:color w:val="auto"/>
              </w:rPr>
            </w:pPr>
            <w:r>
              <w:rPr>
                <w:rFonts w:ascii="Arial" w:cs="Arial" w:eastAsia="Arial" w:hAnsi="Arial"/>
                <w:sz w:val="14"/>
                <w:szCs w:val="14"/>
                <w:color w:val="auto"/>
              </w:rPr>
              <w:t>18,500</w:t>
            </w:r>
          </w:p>
        </w:tc>
        <w:tc>
          <w:tcPr>
            <w:tcW w:w="1500" w:type="dxa"/>
            <w:vAlign w:val="bottom"/>
            <w:shd w:val="clear" w:color="auto" w:fill="CCD4DB"/>
          </w:tcPr>
          <w:p>
            <w:pPr>
              <w:jc w:val="center"/>
              <w:ind w:right="48"/>
              <w:spacing w:after="0"/>
              <w:rPr>
                <w:sz w:val="20"/>
                <w:szCs w:val="20"/>
                <w:color w:val="auto"/>
              </w:rPr>
            </w:pPr>
            <w:r>
              <w:rPr>
                <w:rFonts w:ascii="Arial" w:cs="Arial" w:eastAsia="Arial" w:hAnsi="Arial"/>
                <w:sz w:val="14"/>
                <w:szCs w:val="14"/>
                <w:color w:val="auto"/>
                <w:w w:val="99"/>
              </w:rPr>
              <w:t>—</w:t>
            </w:r>
          </w:p>
        </w:tc>
        <w:tc>
          <w:tcPr>
            <w:tcW w:w="1320" w:type="dxa"/>
            <w:vAlign w:val="bottom"/>
            <w:shd w:val="clear" w:color="auto" w:fill="CCD4DB"/>
          </w:tcPr>
          <w:p>
            <w:pPr>
              <w:jc w:val="center"/>
              <w:ind w:right="2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40" w:type="dxa"/>
            <w:vAlign w:val="bottom"/>
            <w:tcBorders>
              <w:bottom w:val="single" w:sz="8" w:color="00249C"/>
            </w:tcBorders>
          </w:tcPr>
          <w:p>
            <w:pPr>
              <w:spacing w:after="0"/>
              <w:rPr>
                <w:sz w:val="18"/>
                <w:szCs w:val="18"/>
                <w:color w:val="auto"/>
              </w:rPr>
            </w:pPr>
          </w:p>
        </w:tc>
        <w:tc>
          <w:tcPr>
            <w:tcW w:w="3220" w:type="dxa"/>
            <w:vAlign w:val="bottom"/>
            <w:tcBorders>
              <w:bottom w:val="single" w:sz="8" w:color="00249C"/>
            </w:tcBorders>
          </w:tcPr>
          <w:p>
            <w:pPr>
              <w:ind w:left="360"/>
              <w:spacing w:after="0"/>
              <w:rPr>
                <w:sz w:val="20"/>
                <w:szCs w:val="20"/>
                <w:color w:val="auto"/>
              </w:rPr>
            </w:pPr>
            <w:r>
              <w:rPr>
                <w:rFonts w:ascii="Arial" w:cs="Arial" w:eastAsia="Arial" w:hAnsi="Arial"/>
                <w:sz w:val="14"/>
                <w:szCs w:val="14"/>
                <w:color w:val="auto"/>
              </w:rPr>
              <w:t>Outplacement Services</w:t>
            </w:r>
          </w:p>
        </w:tc>
        <w:tc>
          <w:tcPr>
            <w:tcW w:w="1940" w:type="dxa"/>
            <w:vAlign w:val="bottom"/>
            <w:tcBorders>
              <w:bottom w:val="single" w:sz="8" w:color="00249C"/>
            </w:tcBorders>
          </w:tcPr>
          <w:p>
            <w:pPr>
              <w:jc w:val="center"/>
              <w:ind w:left="6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00249C"/>
            </w:tcBorders>
          </w:tcPr>
          <w:p>
            <w:pPr>
              <w:jc w:val="center"/>
              <w:ind w:left="8"/>
              <w:spacing w:after="0"/>
              <w:rPr>
                <w:sz w:val="20"/>
                <w:szCs w:val="20"/>
                <w:color w:val="auto"/>
              </w:rPr>
            </w:pPr>
            <w:r>
              <w:rPr>
                <w:rFonts w:ascii="Arial" w:cs="Arial" w:eastAsia="Arial" w:hAnsi="Arial"/>
                <w:sz w:val="14"/>
                <w:szCs w:val="14"/>
                <w:color w:val="auto"/>
              </w:rPr>
              <w:t>121,650</w:t>
            </w:r>
          </w:p>
        </w:tc>
        <w:tc>
          <w:tcPr>
            <w:tcW w:w="1500" w:type="dxa"/>
            <w:vAlign w:val="bottom"/>
            <w:tcBorders>
              <w:bottom w:val="single" w:sz="8" w:color="00249C"/>
            </w:tcBorders>
          </w:tcPr>
          <w:p>
            <w:pPr>
              <w:jc w:val="center"/>
              <w:ind w:right="48"/>
              <w:spacing w:after="0"/>
              <w:rPr>
                <w:sz w:val="20"/>
                <w:szCs w:val="20"/>
                <w:color w:val="auto"/>
              </w:rPr>
            </w:pPr>
            <w:r>
              <w:rPr>
                <w:rFonts w:ascii="Arial" w:cs="Arial" w:eastAsia="Arial" w:hAnsi="Arial"/>
                <w:sz w:val="14"/>
                <w:szCs w:val="14"/>
                <w:color w:val="auto"/>
                <w:w w:val="99"/>
              </w:rPr>
              <w:t>—</w:t>
            </w:r>
          </w:p>
        </w:tc>
        <w:tc>
          <w:tcPr>
            <w:tcW w:w="1320" w:type="dxa"/>
            <w:vAlign w:val="bottom"/>
            <w:tcBorders>
              <w:bottom w:val="single" w:sz="8" w:color="00249C"/>
            </w:tcBorders>
          </w:tcPr>
          <w:p>
            <w:pPr>
              <w:jc w:val="center"/>
              <w:ind w:right="2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40" w:type="dxa"/>
            <w:vAlign w:val="bottom"/>
          </w:tcPr>
          <w:p>
            <w:pPr>
              <w:spacing w:after="0"/>
              <w:rPr>
                <w:sz w:val="17"/>
                <w:szCs w:val="17"/>
                <w:color w:val="auto"/>
              </w:rPr>
            </w:pPr>
          </w:p>
        </w:tc>
        <w:tc>
          <w:tcPr>
            <w:tcW w:w="3220" w:type="dxa"/>
            <w:vAlign w:val="bottom"/>
            <w:shd w:val="clear" w:color="auto" w:fill="CCD4DB"/>
          </w:tcPr>
          <w:p>
            <w:pPr>
              <w:ind w:left="20"/>
              <w:spacing w:after="0"/>
              <w:rPr>
                <w:sz w:val="20"/>
                <w:szCs w:val="20"/>
                <w:color w:val="auto"/>
              </w:rPr>
            </w:pPr>
            <w:r>
              <w:rPr>
                <w:rFonts w:ascii="Arial" w:cs="Arial" w:eastAsia="Arial" w:hAnsi="Arial"/>
                <w:sz w:val="14"/>
                <w:szCs w:val="14"/>
                <w:color w:val="auto"/>
              </w:rPr>
              <w:t>RSRs (4)</w:t>
            </w:r>
          </w:p>
        </w:tc>
        <w:tc>
          <w:tcPr>
            <w:tcW w:w="1940" w:type="dxa"/>
            <w:vAlign w:val="bottom"/>
            <w:shd w:val="clear" w:color="auto" w:fill="CCD4DB"/>
          </w:tcPr>
          <w:p>
            <w:pPr>
              <w:jc w:val="center"/>
              <w:ind w:left="628"/>
              <w:spacing w:after="0"/>
              <w:rPr>
                <w:sz w:val="20"/>
                <w:szCs w:val="20"/>
                <w:color w:val="auto"/>
              </w:rPr>
            </w:pPr>
            <w:r>
              <w:rPr>
                <w:rFonts w:ascii="Arial" w:cs="Arial" w:eastAsia="Arial" w:hAnsi="Arial"/>
                <w:sz w:val="14"/>
                <w:szCs w:val="14"/>
                <w:color w:val="auto"/>
              </w:rPr>
              <w:t>1,885,303</w:t>
            </w:r>
          </w:p>
        </w:tc>
        <w:tc>
          <w:tcPr>
            <w:tcW w:w="1520" w:type="dxa"/>
            <w:vAlign w:val="bottom"/>
            <w:shd w:val="clear" w:color="auto" w:fill="CCD4DB"/>
          </w:tcPr>
          <w:p>
            <w:pPr>
              <w:jc w:val="center"/>
              <w:ind w:left="8"/>
              <w:spacing w:after="0"/>
              <w:rPr>
                <w:sz w:val="20"/>
                <w:szCs w:val="20"/>
                <w:color w:val="auto"/>
              </w:rPr>
            </w:pPr>
            <w:r>
              <w:rPr>
                <w:rFonts w:ascii="Arial" w:cs="Arial" w:eastAsia="Arial" w:hAnsi="Arial"/>
                <w:sz w:val="14"/>
                <w:szCs w:val="14"/>
                <w:color w:val="auto"/>
              </w:rPr>
              <w:t>1,885,303</w:t>
            </w:r>
          </w:p>
        </w:tc>
        <w:tc>
          <w:tcPr>
            <w:tcW w:w="1500" w:type="dxa"/>
            <w:vAlign w:val="bottom"/>
            <w:shd w:val="clear" w:color="auto" w:fill="CCD4DB"/>
          </w:tcPr>
          <w:p>
            <w:pPr>
              <w:jc w:val="center"/>
              <w:ind w:right="28"/>
              <w:spacing w:after="0"/>
              <w:rPr>
                <w:sz w:val="20"/>
                <w:szCs w:val="20"/>
                <w:color w:val="auto"/>
              </w:rPr>
            </w:pPr>
            <w:r>
              <w:rPr>
                <w:rFonts w:ascii="Arial" w:cs="Arial" w:eastAsia="Arial" w:hAnsi="Arial"/>
                <w:sz w:val="14"/>
                <w:szCs w:val="14"/>
                <w:color w:val="auto"/>
              </w:rPr>
              <w:t>3,336,684</w:t>
            </w:r>
          </w:p>
        </w:tc>
        <w:tc>
          <w:tcPr>
            <w:tcW w:w="1320" w:type="dxa"/>
            <w:vAlign w:val="bottom"/>
            <w:shd w:val="clear" w:color="auto" w:fill="CCD4DB"/>
          </w:tcPr>
          <w:p>
            <w:pPr>
              <w:jc w:val="center"/>
              <w:ind w:right="8"/>
              <w:spacing w:after="0"/>
              <w:rPr>
                <w:sz w:val="20"/>
                <w:szCs w:val="20"/>
                <w:color w:val="auto"/>
              </w:rPr>
            </w:pPr>
            <w:r>
              <w:rPr>
                <w:rFonts w:ascii="Arial" w:cs="Arial" w:eastAsia="Arial" w:hAnsi="Arial"/>
                <w:sz w:val="14"/>
                <w:szCs w:val="14"/>
                <w:color w:val="auto"/>
              </w:rPr>
              <w:t>3,336,684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3220" w:type="dxa"/>
            <w:vAlign w:val="bottom"/>
          </w:tcPr>
          <w:p>
            <w:pPr>
              <w:ind w:left="20"/>
              <w:spacing w:after="0"/>
              <w:rPr>
                <w:sz w:val="20"/>
                <w:szCs w:val="20"/>
                <w:color w:val="auto"/>
              </w:rPr>
            </w:pPr>
            <w:r>
              <w:rPr>
                <w:rFonts w:ascii="Arial" w:cs="Arial" w:eastAsia="Arial" w:hAnsi="Arial"/>
                <w:sz w:val="14"/>
                <w:szCs w:val="14"/>
                <w:color w:val="auto"/>
              </w:rPr>
              <w:t>RPSRs (4)</w:t>
            </w:r>
          </w:p>
        </w:tc>
        <w:tc>
          <w:tcPr>
            <w:tcW w:w="1940" w:type="dxa"/>
            <w:vAlign w:val="bottom"/>
          </w:tcPr>
          <w:p>
            <w:pPr>
              <w:jc w:val="center"/>
              <w:ind w:left="628"/>
              <w:spacing w:after="0"/>
              <w:rPr>
                <w:sz w:val="20"/>
                <w:szCs w:val="20"/>
                <w:color w:val="auto"/>
              </w:rPr>
            </w:pPr>
            <w:r>
              <w:rPr>
                <w:rFonts w:ascii="Arial" w:cs="Arial" w:eastAsia="Arial" w:hAnsi="Arial"/>
                <w:sz w:val="14"/>
                <w:szCs w:val="14"/>
                <w:color w:val="auto"/>
              </w:rPr>
              <w:t>2,448,120</w:t>
            </w:r>
          </w:p>
        </w:tc>
        <w:tc>
          <w:tcPr>
            <w:tcW w:w="1520" w:type="dxa"/>
            <w:vAlign w:val="bottom"/>
          </w:tcPr>
          <w:p>
            <w:pPr>
              <w:jc w:val="center"/>
              <w:ind w:left="8"/>
              <w:spacing w:after="0"/>
              <w:rPr>
                <w:sz w:val="20"/>
                <w:szCs w:val="20"/>
                <w:color w:val="auto"/>
              </w:rPr>
            </w:pPr>
            <w:r>
              <w:rPr>
                <w:rFonts w:ascii="Arial" w:cs="Arial" w:eastAsia="Arial" w:hAnsi="Arial"/>
                <w:sz w:val="14"/>
                <w:szCs w:val="14"/>
                <w:color w:val="auto"/>
              </w:rPr>
              <w:t>2,448,120</w:t>
            </w:r>
          </w:p>
        </w:tc>
        <w:tc>
          <w:tcPr>
            <w:tcW w:w="1500" w:type="dxa"/>
            <w:vAlign w:val="bottom"/>
          </w:tcPr>
          <w:p>
            <w:pPr>
              <w:jc w:val="center"/>
              <w:ind w:right="28"/>
              <w:spacing w:after="0"/>
              <w:rPr>
                <w:sz w:val="20"/>
                <w:szCs w:val="20"/>
                <w:color w:val="auto"/>
              </w:rPr>
            </w:pPr>
            <w:r>
              <w:rPr>
                <w:rFonts w:ascii="Arial" w:cs="Arial" w:eastAsia="Arial" w:hAnsi="Arial"/>
                <w:sz w:val="14"/>
                <w:szCs w:val="14"/>
                <w:color w:val="auto"/>
              </w:rPr>
              <w:t>4,585,121</w:t>
            </w:r>
          </w:p>
        </w:tc>
        <w:tc>
          <w:tcPr>
            <w:tcW w:w="1320" w:type="dxa"/>
            <w:vAlign w:val="bottom"/>
          </w:tcPr>
          <w:p>
            <w:pPr>
              <w:jc w:val="center"/>
              <w:ind w:right="8"/>
              <w:spacing w:after="0"/>
              <w:rPr>
                <w:sz w:val="20"/>
                <w:szCs w:val="20"/>
                <w:color w:val="auto"/>
              </w:rPr>
            </w:pPr>
            <w:r>
              <w:rPr>
                <w:rFonts w:ascii="Arial" w:cs="Arial" w:eastAsia="Arial" w:hAnsi="Arial"/>
                <w:sz w:val="14"/>
                <w:szCs w:val="14"/>
                <w:color w:val="auto"/>
              </w:rPr>
              <w:t>2,448,120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40" w:type="dxa"/>
            <w:vAlign w:val="bottom"/>
          </w:tcPr>
          <w:p>
            <w:pPr>
              <w:spacing w:after="0"/>
              <w:rPr>
                <w:sz w:val="17"/>
                <w:szCs w:val="17"/>
                <w:color w:val="auto"/>
              </w:rPr>
            </w:pPr>
          </w:p>
        </w:tc>
        <w:tc>
          <w:tcPr>
            <w:tcW w:w="3220" w:type="dxa"/>
            <w:vAlign w:val="bottom"/>
            <w:tcBorders>
              <w:bottom w:val="single" w:sz="8" w:color="CCD4DB"/>
            </w:tcBorders>
            <w:shd w:val="clear" w:color="auto" w:fill="CCD4DB"/>
          </w:tcPr>
          <w:p>
            <w:pPr>
              <w:ind w:left="20"/>
              <w:spacing w:after="0"/>
              <w:rPr>
                <w:sz w:val="20"/>
                <w:szCs w:val="20"/>
                <w:color w:val="auto"/>
              </w:rPr>
            </w:pPr>
            <w:r>
              <w:rPr>
                <w:rFonts w:ascii="Arial" w:cs="Arial" w:eastAsia="Arial" w:hAnsi="Arial"/>
                <w:sz w:val="14"/>
                <w:szCs w:val="14"/>
                <w:color w:val="auto"/>
              </w:rPr>
              <w:t>Severance Benefits (5)</w:t>
            </w:r>
          </w:p>
        </w:tc>
        <w:tc>
          <w:tcPr>
            <w:tcW w:w="1940" w:type="dxa"/>
            <w:vAlign w:val="bottom"/>
            <w:tcBorders>
              <w:bottom w:val="single" w:sz="8" w:color="CCD4DB"/>
            </w:tcBorders>
            <w:shd w:val="clear" w:color="auto" w:fill="CCD4DB"/>
          </w:tcPr>
          <w:p>
            <w:pPr>
              <w:spacing w:after="0"/>
              <w:rPr>
                <w:sz w:val="17"/>
                <w:szCs w:val="17"/>
                <w:color w:val="auto"/>
              </w:rPr>
            </w:pPr>
          </w:p>
        </w:tc>
        <w:tc>
          <w:tcPr>
            <w:tcW w:w="1520" w:type="dxa"/>
            <w:vAlign w:val="bottom"/>
            <w:tcBorders>
              <w:bottom w:val="single" w:sz="8" w:color="CCD4DB"/>
            </w:tcBorders>
            <w:shd w:val="clear" w:color="auto" w:fill="CCD4DB"/>
          </w:tcPr>
          <w:p>
            <w:pPr>
              <w:spacing w:after="0"/>
              <w:rPr>
                <w:sz w:val="17"/>
                <w:szCs w:val="17"/>
                <w:color w:val="auto"/>
              </w:rPr>
            </w:pPr>
          </w:p>
        </w:tc>
        <w:tc>
          <w:tcPr>
            <w:tcW w:w="1500" w:type="dxa"/>
            <w:vAlign w:val="bottom"/>
            <w:tcBorders>
              <w:bottom w:val="single" w:sz="8" w:color="CCD4DB"/>
            </w:tcBorders>
            <w:shd w:val="clear" w:color="auto" w:fill="CCD4DB"/>
          </w:tcPr>
          <w:p>
            <w:pPr>
              <w:spacing w:after="0"/>
              <w:rPr>
                <w:sz w:val="17"/>
                <w:szCs w:val="17"/>
                <w:color w:val="auto"/>
              </w:rPr>
            </w:pPr>
          </w:p>
        </w:tc>
        <w:tc>
          <w:tcPr>
            <w:tcW w:w="1320" w:type="dxa"/>
            <w:vAlign w:val="bottom"/>
            <w:tcBorders>
              <w:bottom w:val="single" w:sz="8" w:color="CCD4DB"/>
            </w:tcBorders>
            <w:shd w:val="clear" w:color="auto" w:fill="CCD4DB"/>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40" w:type="dxa"/>
            <w:vAlign w:val="bottom"/>
          </w:tcPr>
          <w:p>
            <w:pPr>
              <w:ind w:left="20"/>
              <w:spacing w:after="0"/>
              <w:rPr>
                <w:sz w:val="20"/>
                <w:szCs w:val="20"/>
                <w:color w:val="auto"/>
              </w:rPr>
            </w:pPr>
            <w:r>
              <w:rPr>
                <w:rFonts w:ascii="Arial" w:cs="Arial" w:eastAsia="Arial" w:hAnsi="Arial"/>
                <w:sz w:val="14"/>
                <w:szCs w:val="14"/>
                <w:color w:val="auto"/>
              </w:rPr>
              <w:t>Janis G. Pamiljans</w:t>
            </w:r>
          </w:p>
        </w:tc>
        <w:tc>
          <w:tcPr>
            <w:tcW w:w="3220" w:type="dxa"/>
            <w:vAlign w:val="bottom"/>
          </w:tcPr>
          <w:p>
            <w:pPr>
              <w:ind w:left="360"/>
              <w:spacing w:after="0"/>
              <w:rPr>
                <w:sz w:val="20"/>
                <w:szCs w:val="20"/>
                <w:color w:val="auto"/>
              </w:rPr>
            </w:pPr>
            <w:r>
              <w:rPr>
                <w:rFonts w:ascii="Arial" w:cs="Arial" w:eastAsia="Arial" w:hAnsi="Arial"/>
                <w:sz w:val="14"/>
                <w:szCs w:val="14"/>
                <w:color w:val="auto"/>
              </w:rPr>
              <w:t>Cash Severance</w:t>
            </w:r>
          </w:p>
        </w:tc>
        <w:tc>
          <w:tcPr>
            <w:tcW w:w="1940" w:type="dxa"/>
            <w:vAlign w:val="bottom"/>
          </w:tcPr>
          <w:p>
            <w:pPr>
              <w:jc w:val="center"/>
              <w:ind w:left="628"/>
              <w:spacing w:after="0"/>
              <w:rPr>
                <w:sz w:val="20"/>
                <w:szCs w:val="20"/>
                <w:color w:val="auto"/>
              </w:rPr>
            </w:pPr>
            <w:r>
              <w:rPr>
                <w:rFonts w:ascii="Arial" w:cs="Arial" w:eastAsia="Arial" w:hAnsi="Arial"/>
                <w:sz w:val="14"/>
                <w:szCs w:val="14"/>
                <w:color w:val="auto"/>
              </w:rPr>
              <w:t>—</w:t>
            </w:r>
          </w:p>
        </w:tc>
        <w:tc>
          <w:tcPr>
            <w:tcW w:w="1520" w:type="dxa"/>
            <w:vAlign w:val="bottom"/>
          </w:tcPr>
          <w:p>
            <w:pPr>
              <w:jc w:val="center"/>
              <w:ind w:left="8"/>
              <w:spacing w:after="0"/>
              <w:rPr>
                <w:sz w:val="20"/>
                <w:szCs w:val="20"/>
                <w:color w:val="auto"/>
              </w:rPr>
            </w:pPr>
            <w:r>
              <w:rPr>
                <w:rFonts w:ascii="Arial" w:cs="Arial" w:eastAsia="Arial" w:hAnsi="Arial"/>
                <w:sz w:val="14"/>
                <w:szCs w:val="14"/>
                <w:color w:val="auto"/>
              </w:rPr>
              <w:t>2,565,000</w:t>
            </w:r>
          </w:p>
        </w:tc>
        <w:tc>
          <w:tcPr>
            <w:tcW w:w="1500" w:type="dxa"/>
            <w:vAlign w:val="bottom"/>
          </w:tcPr>
          <w:p>
            <w:pPr>
              <w:jc w:val="center"/>
              <w:ind w:right="48"/>
              <w:spacing w:after="0"/>
              <w:rPr>
                <w:sz w:val="20"/>
                <w:szCs w:val="20"/>
                <w:color w:val="auto"/>
              </w:rPr>
            </w:pPr>
            <w:r>
              <w:rPr>
                <w:rFonts w:ascii="Arial" w:cs="Arial" w:eastAsia="Arial" w:hAnsi="Arial"/>
                <w:sz w:val="14"/>
                <w:szCs w:val="14"/>
                <w:color w:val="auto"/>
                <w:w w:val="99"/>
              </w:rPr>
              <w:t>—</w:t>
            </w:r>
          </w:p>
        </w:tc>
        <w:tc>
          <w:tcPr>
            <w:tcW w:w="1320" w:type="dxa"/>
            <w:vAlign w:val="bottom"/>
          </w:tcPr>
          <w:p>
            <w:pPr>
              <w:jc w:val="center"/>
              <w:ind w:right="2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40" w:type="dxa"/>
            <w:vAlign w:val="bottom"/>
          </w:tcPr>
          <w:p>
            <w:pPr>
              <w:spacing w:after="0"/>
              <w:rPr>
                <w:sz w:val="19"/>
                <w:szCs w:val="19"/>
                <w:color w:val="auto"/>
              </w:rPr>
            </w:pPr>
          </w:p>
        </w:tc>
        <w:tc>
          <w:tcPr>
            <w:tcW w:w="3220" w:type="dxa"/>
            <w:vAlign w:val="bottom"/>
            <w:shd w:val="clear" w:color="auto" w:fill="CCD4DB"/>
          </w:tcPr>
          <w:p>
            <w:pPr>
              <w:ind w:left="360"/>
              <w:spacing w:after="0"/>
              <w:rPr>
                <w:sz w:val="20"/>
                <w:szCs w:val="20"/>
                <w:color w:val="auto"/>
              </w:rPr>
            </w:pPr>
            <w:r>
              <w:rPr>
                <w:rFonts w:ascii="Arial" w:cs="Arial" w:eastAsia="Arial" w:hAnsi="Arial"/>
                <w:sz w:val="14"/>
                <w:szCs w:val="14"/>
                <w:color w:val="auto"/>
              </w:rPr>
              <w:t>Medical/Dental Continuation</w:t>
            </w:r>
          </w:p>
        </w:tc>
        <w:tc>
          <w:tcPr>
            <w:tcW w:w="1940" w:type="dxa"/>
            <w:vAlign w:val="bottom"/>
            <w:shd w:val="clear" w:color="auto" w:fill="CCD4DB"/>
          </w:tcPr>
          <w:p>
            <w:pPr>
              <w:jc w:val="center"/>
              <w:ind w:left="6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D4DB"/>
          </w:tcPr>
          <w:p>
            <w:pPr>
              <w:jc w:val="center"/>
              <w:ind w:left="8"/>
              <w:spacing w:after="0"/>
              <w:rPr>
                <w:sz w:val="20"/>
                <w:szCs w:val="20"/>
                <w:color w:val="auto"/>
              </w:rPr>
            </w:pPr>
            <w:r>
              <w:rPr>
                <w:rFonts w:ascii="Arial" w:cs="Arial" w:eastAsia="Arial" w:hAnsi="Arial"/>
                <w:sz w:val="14"/>
                <w:szCs w:val="14"/>
                <w:color w:val="auto"/>
              </w:rPr>
              <w:t>15,382</w:t>
            </w:r>
          </w:p>
        </w:tc>
        <w:tc>
          <w:tcPr>
            <w:tcW w:w="1500" w:type="dxa"/>
            <w:vAlign w:val="bottom"/>
            <w:shd w:val="clear" w:color="auto" w:fill="CCD4DB"/>
          </w:tcPr>
          <w:p>
            <w:pPr>
              <w:jc w:val="center"/>
              <w:ind w:right="48"/>
              <w:spacing w:after="0"/>
              <w:rPr>
                <w:sz w:val="20"/>
                <w:szCs w:val="20"/>
                <w:color w:val="auto"/>
              </w:rPr>
            </w:pPr>
            <w:r>
              <w:rPr>
                <w:rFonts w:ascii="Arial" w:cs="Arial" w:eastAsia="Arial" w:hAnsi="Arial"/>
                <w:sz w:val="14"/>
                <w:szCs w:val="14"/>
                <w:color w:val="auto"/>
                <w:w w:val="99"/>
              </w:rPr>
              <w:t>—</w:t>
            </w:r>
          </w:p>
        </w:tc>
        <w:tc>
          <w:tcPr>
            <w:tcW w:w="1320" w:type="dxa"/>
            <w:vAlign w:val="bottom"/>
            <w:shd w:val="clear" w:color="auto" w:fill="CCD4DB"/>
          </w:tcPr>
          <w:p>
            <w:pPr>
              <w:jc w:val="center"/>
              <w:ind w:right="2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3220" w:type="dxa"/>
            <w:vAlign w:val="bottom"/>
          </w:tcPr>
          <w:p>
            <w:pPr>
              <w:ind w:left="360"/>
              <w:spacing w:after="0"/>
              <w:rPr>
                <w:sz w:val="20"/>
                <w:szCs w:val="20"/>
                <w:color w:val="auto"/>
              </w:rPr>
            </w:pPr>
            <w:r>
              <w:rPr>
                <w:rFonts w:ascii="Arial" w:cs="Arial" w:eastAsia="Arial" w:hAnsi="Arial"/>
                <w:sz w:val="14"/>
                <w:szCs w:val="14"/>
                <w:color w:val="auto"/>
              </w:rPr>
              <w:t>Financial Planning/Income Tax</w:t>
            </w:r>
          </w:p>
        </w:tc>
        <w:tc>
          <w:tcPr>
            <w:tcW w:w="1940" w:type="dxa"/>
            <w:vAlign w:val="bottom"/>
          </w:tcPr>
          <w:p>
            <w:pPr>
              <w:jc w:val="center"/>
              <w:ind w:left="628"/>
              <w:spacing w:after="0"/>
              <w:rPr>
                <w:sz w:val="20"/>
                <w:szCs w:val="20"/>
                <w:color w:val="auto"/>
              </w:rPr>
            </w:pPr>
            <w:r>
              <w:rPr>
                <w:rFonts w:ascii="Arial" w:cs="Arial" w:eastAsia="Arial" w:hAnsi="Arial"/>
                <w:sz w:val="14"/>
                <w:szCs w:val="14"/>
                <w:color w:val="auto"/>
              </w:rPr>
              <w:t>—</w:t>
            </w:r>
          </w:p>
        </w:tc>
        <w:tc>
          <w:tcPr>
            <w:tcW w:w="1520" w:type="dxa"/>
            <w:vAlign w:val="bottom"/>
          </w:tcPr>
          <w:p>
            <w:pPr>
              <w:jc w:val="center"/>
              <w:ind w:left="8"/>
              <w:spacing w:after="0"/>
              <w:rPr>
                <w:sz w:val="20"/>
                <w:szCs w:val="20"/>
                <w:color w:val="auto"/>
              </w:rPr>
            </w:pPr>
            <w:r>
              <w:rPr>
                <w:rFonts w:ascii="Arial" w:cs="Arial" w:eastAsia="Arial" w:hAnsi="Arial"/>
                <w:sz w:val="14"/>
                <w:szCs w:val="14"/>
                <w:color w:val="auto"/>
              </w:rPr>
              <w:t>18,500</w:t>
            </w:r>
          </w:p>
        </w:tc>
        <w:tc>
          <w:tcPr>
            <w:tcW w:w="1500" w:type="dxa"/>
            <w:vAlign w:val="bottom"/>
          </w:tcPr>
          <w:p>
            <w:pPr>
              <w:jc w:val="center"/>
              <w:ind w:right="48"/>
              <w:spacing w:after="0"/>
              <w:rPr>
                <w:sz w:val="20"/>
                <w:szCs w:val="20"/>
                <w:color w:val="auto"/>
              </w:rPr>
            </w:pPr>
            <w:r>
              <w:rPr>
                <w:rFonts w:ascii="Arial" w:cs="Arial" w:eastAsia="Arial" w:hAnsi="Arial"/>
                <w:sz w:val="14"/>
                <w:szCs w:val="14"/>
                <w:color w:val="auto"/>
                <w:w w:val="99"/>
              </w:rPr>
              <w:t>—</w:t>
            </w:r>
          </w:p>
        </w:tc>
        <w:tc>
          <w:tcPr>
            <w:tcW w:w="1320" w:type="dxa"/>
            <w:vAlign w:val="bottom"/>
          </w:tcPr>
          <w:p>
            <w:pPr>
              <w:jc w:val="center"/>
              <w:ind w:right="2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bottom w:val="single" w:sz="8" w:color="00249C"/>
            </w:tcBorders>
          </w:tcPr>
          <w:p>
            <w:pPr>
              <w:spacing w:after="0"/>
              <w:rPr>
                <w:sz w:val="18"/>
                <w:szCs w:val="18"/>
                <w:color w:val="auto"/>
              </w:rPr>
            </w:pPr>
          </w:p>
        </w:tc>
        <w:tc>
          <w:tcPr>
            <w:tcW w:w="3220" w:type="dxa"/>
            <w:vAlign w:val="bottom"/>
            <w:tcBorders>
              <w:bottom w:val="single" w:sz="8" w:color="00249C"/>
            </w:tcBorders>
            <w:shd w:val="clear" w:color="auto" w:fill="CCD4DB"/>
          </w:tcPr>
          <w:p>
            <w:pPr>
              <w:ind w:left="360"/>
              <w:spacing w:after="0"/>
              <w:rPr>
                <w:sz w:val="20"/>
                <w:szCs w:val="20"/>
                <w:color w:val="auto"/>
              </w:rPr>
            </w:pPr>
            <w:r>
              <w:rPr>
                <w:rFonts w:ascii="Arial" w:cs="Arial" w:eastAsia="Arial" w:hAnsi="Arial"/>
                <w:sz w:val="14"/>
                <w:szCs w:val="14"/>
                <w:color w:val="auto"/>
              </w:rPr>
              <w:t>Outplacement Services</w:t>
            </w:r>
          </w:p>
        </w:tc>
        <w:tc>
          <w:tcPr>
            <w:tcW w:w="1940" w:type="dxa"/>
            <w:vAlign w:val="bottom"/>
            <w:tcBorders>
              <w:bottom w:val="single" w:sz="8" w:color="00249C"/>
            </w:tcBorders>
            <w:shd w:val="clear" w:color="auto" w:fill="CCD4DB"/>
          </w:tcPr>
          <w:p>
            <w:pPr>
              <w:jc w:val="center"/>
              <w:ind w:left="6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00249C"/>
            </w:tcBorders>
            <w:shd w:val="clear" w:color="auto" w:fill="CCD4DB"/>
          </w:tcPr>
          <w:p>
            <w:pPr>
              <w:jc w:val="center"/>
              <w:ind w:left="8"/>
              <w:spacing w:after="0"/>
              <w:rPr>
                <w:sz w:val="20"/>
                <w:szCs w:val="20"/>
                <w:color w:val="auto"/>
              </w:rPr>
            </w:pPr>
            <w:r>
              <w:rPr>
                <w:rFonts w:ascii="Arial" w:cs="Arial" w:eastAsia="Arial" w:hAnsi="Arial"/>
                <w:sz w:val="14"/>
                <w:szCs w:val="14"/>
                <w:color w:val="auto"/>
              </w:rPr>
              <w:t>128,250</w:t>
            </w:r>
          </w:p>
        </w:tc>
        <w:tc>
          <w:tcPr>
            <w:tcW w:w="1500" w:type="dxa"/>
            <w:vAlign w:val="bottom"/>
            <w:tcBorders>
              <w:bottom w:val="single" w:sz="8" w:color="00249C"/>
            </w:tcBorders>
            <w:shd w:val="clear" w:color="auto" w:fill="CCD4DB"/>
          </w:tcPr>
          <w:p>
            <w:pPr>
              <w:jc w:val="center"/>
              <w:ind w:right="48"/>
              <w:spacing w:after="0"/>
              <w:rPr>
                <w:sz w:val="20"/>
                <w:szCs w:val="20"/>
                <w:color w:val="auto"/>
              </w:rPr>
            </w:pPr>
            <w:r>
              <w:rPr>
                <w:rFonts w:ascii="Arial" w:cs="Arial" w:eastAsia="Arial" w:hAnsi="Arial"/>
                <w:sz w:val="14"/>
                <w:szCs w:val="14"/>
                <w:color w:val="auto"/>
                <w:w w:val="99"/>
              </w:rPr>
              <w:t>—</w:t>
            </w:r>
          </w:p>
        </w:tc>
        <w:tc>
          <w:tcPr>
            <w:tcW w:w="1320" w:type="dxa"/>
            <w:vAlign w:val="bottom"/>
            <w:tcBorders>
              <w:bottom w:val="single" w:sz="8" w:color="00249C"/>
            </w:tcBorders>
            <w:shd w:val="clear" w:color="auto" w:fill="CCD4DB"/>
          </w:tcPr>
          <w:p>
            <w:pPr>
              <w:jc w:val="center"/>
              <w:ind w:right="28"/>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40" w:hanging="432"/>
        <w:spacing w:after="0"/>
        <w:tabs>
          <w:tab w:leader="none" w:pos="4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Mr. Bedingfield is not included due to his last day of employment on February 21, 2020.</w:t>
      </w:r>
    </w:p>
    <w:p>
      <w:pPr>
        <w:spacing w:after="0" w:line="103" w:lineRule="exact"/>
        <w:rPr>
          <w:rFonts w:ascii="Arial" w:cs="Arial" w:eastAsia="Arial" w:hAnsi="Arial"/>
          <w:sz w:val="18"/>
          <w:szCs w:val="18"/>
          <w:color w:val="auto"/>
        </w:rPr>
      </w:pPr>
    </w:p>
    <w:p>
      <w:pPr>
        <w:ind w:left="420" w:right="460" w:hanging="412"/>
        <w:spacing w:after="0" w:line="291" w:lineRule="auto"/>
        <w:tabs>
          <w:tab w:leader="none" w:pos="437" w:val="left"/>
        </w:tabs>
        <w:numPr>
          <w:ilvl w:val="0"/>
          <w:numId w:val="85"/>
        </w:numPr>
        <w:rPr>
          <w:rFonts w:ascii="Arial" w:cs="Arial" w:eastAsia="Arial" w:hAnsi="Arial"/>
          <w:sz w:val="17"/>
          <w:szCs w:val="17"/>
          <w:color w:val="auto"/>
        </w:rPr>
      </w:pPr>
      <w:r>
        <w:rPr>
          <w:rFonts w:ascii="Arial" w:cs="Arial" w:eastAsia="Arial" w:hAnsi="Arial"/>
          <w:sz w:val="17"/>
          <w:szCs w:val="17"/>
          <w:color w:val="auto"/>
        </w:rPr>
        <w:t>Similar treatment provided for certain "good reason" terminations, as described in "Key Components of Our Programs - Severance Benefits" found on page 54; however, there would be no termination payment in the event of an involuntary termination for cause.</w:t>
      </w:r>
    </w:p>
    <w:p>
      <w:pPr>
        <w:spacing w:after="0" w:line="38" w:lineRule="exact"/>
        <w:rPr>
          <w:rFonts w:ascii="Arial" w:cs="Arial" w:eastAsia="Arial" w:hAnsi="Arial"/>
          <w:sz w:val="17"/>
          <w:szCs w:val="17"/>
          <w:color w:val="auto"/>
        </w:rPr>
      </w:pPr>
    </w:p>
    <w:p>
      <w:pPr>
        <w:ind w:left="420" w:right="140" w:hanging="412"/>
        <w:spacing w:after="0" w:line="261" w:lineRule="auto"/>
        <w:tabs>
          <w:tab w:leader="none" w:pos="437"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amounts assume full acceleration, which, as discussed above, may not occur to the extent that it would result in an excise tax that decreases the after-tax value of the awards to an NEO.</w:t>
      </w:r>
    </w:p>
    <w:p>
      <w:pPr>
        <w:spacing w:after="0" w:line="76" w:lineRule="exact"/>
        <w:rPr>
          <w:rFonts w:ascii="Arial" w:cs="Arial" w:eastAsia="Arial" w:hAnsi="Arial"/>
          <w:sz w:val="18"/>
          <w:szCs w:val="18"/>
          <w:color w:val="auto"/>
        </w:rPr>
      </w:pPr>
    </w:p>
    <w:p>
      <w:pPr>
        <w:ind w:left="420" w:right="180" w:hanging="412"/>
        <w:spacing w:after="0" w:line="261" w:lineRule="auto"/>
        <w:tabs>
          <w:tab w:leader="none" w:pos="437" w:val="left"/>
        </w:tabs>
        <w:numPr>
          <w:ilvl w:val="0"/>
          <w:numId w:val="85"/>
        </w:numPr>
        <w:rPr>
          <w:rFonts w:ascii="Arial" w:cs="Arial" w:eastAsia="Arial" w:hAnsi="Arial"/>
          <w:sz w:val="18"/>
          <w:szCs w:val="18"/>
          <w:color w:val="auto"/>
        </w:rPr>
      </w:pPr>
      <w:r>
        <w:rPr>
          <w:rFonts w:ascii="Arial" w:cs="Arial" w:eastAsia="Arial" w:hAnsi="Arial"/>
          <w:sz w:val="18"/>
          <w:szCs w:val="18"/>
          <w:color w:val="auto"/>
        </w:rPr>
        <w:t>Long-term Incentive awards result in a benefit under Voluntary Termination only if eligible for retirement treatment under the terms and conditions of the grants.</w:t>
      </w:r>
    </w:p>
    <w:p>
      <w:pPr>
        <w:spacing w:after="0" w:line="76" w:lineRule="exact"/>
        <w:rPr>
          <w:rFonts w:ascii="Arial" w:cs="Arial" w:eastAsia="Arial" w:hAnsi="Arial"/>
          <w:sz w:val="18"/>
          <w:szCs w:val="18"/>
          <w:color w:val="auto"/>
        </w:rPr>
      </w:pPr>
    </w:p>
    <w:p>
      <w:pPr>
        <w:ind w:left="420" w:right="280" w:hanging="412"/>
        <w:spacing w:after="0" w:line="261" w:lineRule="auto"/>
        <w:tabs>
          <w:tab w:leader="none" w:pos="437"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Represents the following benefits under the Severance Plan, assuming a termination date of December 31, 2020: (i) cash severance equivalent to one and a half times the sum of the annual base salary and target annual bonus, (ii) continued</w:t>
      </w:r>
    </w:p>
    <w:p>
      <w:pPr>
        <w:sectPr>
          <w:pgSz w:w="11900" w:h="16838" w:orient="portrait"/>
          <w:cols w:equalWidth="0" w:num="1">
            <w:col w:w="11260"/>
          </w:cols>
          <w:pgMar w:left="320" w:top="607" w:right="31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1260"/>
          </w:cols>
          <w:pgMar w:left="320" w:top="607" w:right="31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53149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TERMINATION PAYMENTS AND BENEFITS | T</w:t>
      </w:r>
      <w:r>
        <w:rPr>
          <w:rFonts w:ascii="Arial" w:cs="Arial" w:eastAsia="Arial" w:hAnsi="Arial"/>
          <w:sz w:val="17"/>
          <w:szCs w:val="17"/>
          <w:b w:val="1"/>
          <w:bCs w:val="1"/>
          <w:color w:val="FFFFFF"/>
        </w:rPr>
        <w:t>ERMINATION</w:t>
      </w:r>
      <w:r>
        <w:rPr>
          <w:rFonts w:ascii="Arial" w:cs="Arial" w:eastAsia="Arial" w:hAnsi="Arial"/>
          <w:sz w:val="22"/>
          <w:szCs w:val="22"/>
          <w:b w:val="1"/>
          <w:bCs w:val="1"/>
          <w:color w:val="FFFFFF"/>
        </w:rPr>
        <w:t xml:space="preserve"> P</w:t>
      </w:r>
      <w:r>
        <w:rPr>
          <w:rFonts w:ascii="Arial" w:cs="Arial" w:eastAsia="Arial" w:hAnsi="Arial"/>
          <w:sz w:val="17"/>
          <w:szCs w:val="17"/>
          <w:b w:val="1"/>
          <w:bCs w:val="1"/>
          <w:color w:val="FFFFFF"/>
        </w:rPr>
        <w:t>AYMENT</w:t>
      </w:r>
      <w:r>
        <w:rPr>
          <w:rFonts w:ascii="Arial" w:cs="Arial" w:eastAsia="Arial" w:hAnsi="Arial"/>
          <w:sz w:val="22"/>
          <w:szCs w:val="22"/>
          <w:b w:val="1"/>
          <w:bCs w:val="1"/>
          <w:color w:val="FFFFFF"/>
        </w:rPr>
        <w:t xml:space="preserve"> T</w:t>
      </w:r>
      <w:r>
        <w:rPr>
          <w:rFonts w:ascii="Arial" w:cs="Arial" w:eastAsia="Arial" w:hAnsi="Arial"/>
          <w:sz w:val="17"/>
          <w:szCs w:val="17"/>
          <w:b w:val="1"/>
          <w:bCs w:val="1"/>
          <w:color w:val="FFFFFF"/>
        </w:rPr>
        <w:t>ABLE</w:t>
      </w:r>
    </w:p>
    <w:p>
      <w:pPr>
        <w:spacing w:after="0" w:line="200" w:lineRule="exact"/>
        <w:rPr>
          <w:sz w:val="20"/>
          <w:szCs w:val="20"/>
          <w:color w:val="auto"/>
        </w:rPr>
      </w:pPr>
    </w:p>
    <w:p>
      <w:pPr>
        <w:spacing w:after="0" w:line="389" w:lineRule="exact"/>
        <w:rPr>
          <w:sz w:val="20"/>
          <w:szCs w:val="20"/>
          <w:color w:val="auto"/>
        </w:rPr>
      </w:pPr>
    </w:p>
    <w:p>
      <w:pPr>
        <w:ind w:left="400" w:right="180"/>
        <w:spacing w:after="0" w:line="261" w:lineRule="auto"/>
        <w:rPr>
          <w:sz w:val="20"/>
          <w:szCs w:val="20"/>
          <w:color w:val="auto"/>
        </w:rPr>
      </w:pPr>
      <w:r>
        <w:rPr>
          <w:rFonts w:ascii="Arial" w:cs="Arial" w:eastAsia="Arial" w:hAnsi="Arial"/>
          <w:sz w:val="18"/>
          <w:szCs w:val="18"/>
          <w:color w:val="auto"/>
        </w:rPr>
        <w:t>medical/dental coverage for the severance period, (iii) financial planning/income tax preparation fees for the year following termination and (iv) outplacement services up to 15% of salary.</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73</w:t>
      </w:r>
    </w:p>
    <w:p>
      <w:pPr>
        <w:sectPr>
          <w:pgSz w:w="11900" w:h="16838" w:orient="portrait"/>
          <w:cols w:equalWidth="0" w:num="1">
            <w:col w:w="11220"/>
          </w:cols>
          <w:pgMar w:left="340" w:top="607" w:right="339" w:bottom="1440" w:gutter="0" w:footer="0" w:header="0"/>
        </w:sectPr>
      </w:pPr>
    </w:p>
    <w:bookmarkStart w:id="79" w:name="page80"/>
    <w:bookmarkEnd w:id="79"/>
    <w:p>
      <w:pPr>
        <w:ind w:left="20"/>
        <w:spacing w:after="0"/>
        <w:rPr>
          <w:sz w:val="20"/>
          <w:szCs w:val="20"/>
          <w:color w:val="auto"/>
        </w:rPr>
      </w:pPr>
      <w:r>
        <w:rPr>
          <w:rFonts w:ascii="Arial" w:cs="Arial" w:eastAsia="Arial" w:hAnsi="Arial"/>
          <w:sz w:val="22"/>
          <w:szCs w:val="22"/>
          <w:b w:val="1"/>
          <w:bCs w:val="1"/>
          <w:color w:val="FFFFFF"/>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2020 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providing the following information about the relationship of the annual total compensation of our median employee and the annual total compensation of our Chief Executive Officer (CEO), Ms. Warden, as of our fiscal year-end December 31, 2020. We believe the pay ratio included in this information is a reasonable estimate calculated in a manner consistent with Item 402(u) of Regulation S-K.</w:t>
      </w:r>
    </w:p>
    <w:p>
      <w:pPr>
        <w:spacing w:after="0" w:line="8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accordance with SEC rules, we re-identified the median employee in 2020. We determined that as of October 31, 2020, the company's global employee population consisted of approximately 98,800 individuals. We selected October 31, 2020 to allow sufficient time to identify the median employee given the global scope of our operations. As a company we decided to scope in all employees in our domestic and international locations.</w:t>
      </w:r>
    </w:p>
    <w:p>
      <w:pPr>
        <w:spacing w:after="0" w:line="8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To identify the median employee, we used wages comprised of base salary, overtime pay, and shift premiums for the ten-month period ending October 31, 2020. We believe this measure provides a reasonably obtainable and reflective component of compensation from which to identify the median employee.</w:t>
      </w:r>
    </w:p>
    <w:p>
      <w:pPr>
        <w:spacing w:after="0" w:line="6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calculated the median employee’s annual total compensation in the same manner as the CEO’s annual total compensation as calculated in the Summary Compensation Table on page 58. The median employee’s annual total compensation was $101,601, which includes other forms of compensation such as financial and wellness benefits. The CEO’s annual total compensation was $20,807,144, as reported in the Summary Compensation Table. Based on this information, for 2020 the ratio of the annual total compensation of the CEO to the annual total compensation of the median employee was 205 : 1.</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1200"/>
          </w:cols>
          <w:pgMar w:left="320" w:top="593" w:right="379" w:bottom="1440" w:gutter="0" w:footer="0" w:header="0"/>
        </w:sectPr>
      </w:pPr>
    </w:p>
    <w:bookmarkStart w:id="80" w:name="page81"/>
    <w:bookmarkEnd w:id="80"/>
    <w:p>
      <w:pPr>
        <w:ind w:left="20"/>
        <w:spacing w:after="0"/>
        <w:rPr>
          <w:sz w:val="20"/>
          <w:szCs w:val="20"/>
          <w:color w:val="auto"/>
        </w:rPr>
      </w:pPr>
      <w:r>
        <w:rPr>
          <w:rFonts w:ascii="Arial" w:cs="Arial" w:eastAsia="Arial" w:hAnsi="Arial"/>
          <w:sz w:val="22"/>
          <w:szCs w:val="22"/>
          <w:b w:val="1"/>
          <w:bCs w:val="1"/>
          <w:color w:val="FFFFFF"/>
        </w:rPr>
        <w:t>PROPOSAL THREE: RATIFICATION OF APPOINTMENT OF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Audit and Risk Committee believes that the appointment of Deloitte &amp; Touche LLP (Deloitte) is in the best interests of the Company and its shareholders, and proposes and recommends that the shareholders ratify the Audit and Risk Committee's appointment of Deloitte as our independent auditor for 2021. Deloitte served as our independent auditor for 2020, and Deloitte or its predecessors have served as the independent auditor for the Company (including certain of its predecessor companies) since 1975. The Audit and Risk Committee is responsible for the appointment, compensation, retention, oversight, evaluation and termination, if necessary, of our independent auditor. The Audit and Risk Committee is responsible for reviewing and pre-approving audit and non-audit services and related fees for the independent auditor. In addition, the Audit and Risk Committee, at least annually, reviews and evaluates with management and our internal auditors Deloitte’s performance. The Audit and Risk Committee also reviews the performance of Deloitte’s lead audit partner, and the Audit and Risk Committee and its Chairman oversee the rotation of Deloitte’s lead audit partner and are involved in the selection and approval of the lead audit partner.</w:t>
      </w:r>
    </w:p>
    <w:p>
      <w:pPr>
        <w:spacing w:after="0" w:line="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Although ratification is not required by our Bylaws or otherwise, the Audit and Risk Committee is submitting the selection of Deloitte to shareholders as a matter of good corporate governance. If the shareholders fail to ratify the appointment of Deloitte, the Audit and Risk Committee will consider this in its selection of auditor for the following year. A representative from Deloitte will attend the Annual Meeting and will have the opportunity to make a statement and respond to appropriate questions.</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Audit Fees and All 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5"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The following table summarizes aggregate fees incurred for professional audit services for the audit of the Company's consolidated financial statement audits for the years ended December 31, 2020 and 2019, and fees billed for other services in fiscal years 2020 and 2019, in each case by Deloitte, the member firms of Deloitte Touche Tohmatsu Limited and their respective affiliates: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shd w:val="clear" w:color="auto" w:fill="00249C"/>
          </w:tcPr>
          <w:p>
            <w:pPr>
              <w:spacing w:after="0"/>
              <w:rPr>
                <w:sz w:val="19"/>
                <w:szCs w:val="19"/>
                <w:color w:val="auto"/>
              </w:rPr>
            </w:pPr>
          </w:p>
        </w:tc>
        <w:tc>
          <w:tcPr>
            <w:tcW w:w="480" w:type="dxa"/>
            <w:vAlign w:val="bottom"/>
            <w:shd w:val="clear" w:color="auto" w:fill="00249C"/>
          </w:tcPr>
          <w:p>
            <w:pPr>
              <w:spacing w:after="0"/>
              <w:rPr>
                <w:sz w:val="19"/>
                <w:szCs w:val="19"/>
                <w:color w:val="auto"/>
              </w:rPr>
            </w:pPr>
          </w:p>
        </w:tc>
        <w:tc>
          <w:tcPr>
            <w:tcW w:w="1460" w:type="dxa"/>
            <w:vAlign w:val="bottom"/>
            <w:shd w:val="clear" w:color="auto" w:fill="00249C"/>
          </w:tcPr>
          <w:p>
            <w:pPr>
              <w:jc w:val="center"/>
              <w:ind w:right="259"/>
              <w:spacing w:after="0"/>
              <w:rPr>
                <w:sz w:val="20"/>
                <w:szCs w:val="20"/>
                <w:color w:val="auto"/>
              </w:rPr>
            </w:pPr>
            <w:r>
              <w:rPr>
                <w:rFonts w:ascii="Arial" w:cs="Arial" w:eastAsia="Arial" w:hAnsi="Arial"/>
                <w:sz w:val="16"/>
                <w:szCs w:val="16"/>
                <w:b w:val="1"/>
                <w:bCs w:val="1"/>
                <w:color w:val="FFFFFF"/>
              </w:rPr>
              <w:t>2020</w:t>
            </w:r>
          </w:p>
        </w:tc>
        <w:tc>
          <w:tcPr>
            <w:tcW w:w="740" w:type="dxa"/>
            <w:vAlign w:val="bottom"/>
            <w:shd w:val="clear" w:color="auto" w:fill="00249C"/>
          </w:tcPr>
          <w:p>
            <w:pPr>
              <w:spacing w:after="0"/>
              <w:rPr>
                <w:sz w:val="19"/>
                <w:szCs w:val="19"/>
                <w:color w:val="auto"/>
              </w:rPr>
            </w:pPr>
          </w:p>
        </w:tc>
        <w:tc>
          <w:tcPr>
            <w:tcW w:w="1260" w:type="dxa"/>
            <w:vAlign w:val="bottom"/>
            <w:shd w:val="clear" w:color="auto" w:fill="00249C"/>
          </w:tcPr>
          <w:p>
            <w:pPr>
              <w:jc w:val="center"/>
              <w:ind w:right="59"/>
              <w:spacing w:after="0"/>
              <w:rPr>
                <w:sz w:val="20"/>
                <w:szCs w:val="20"/>
                <w:color w:val="auto"/>
              </w:rPr>
            </w:pPr>
            <w:r>
              <w:rPr>
                <w:rFonts w:ascii="Arial" w:cs="Arial" w:eastAsia="Arial" w:hAnsi="Arial"/>
                <w:sz w:val="16"/>
                <w:szCs w:val="16"/>
                <w:b w:val="1"/>
                <w:bCs w:val="1"/>
                <w:color w:val="FFFFFF"/>
              </w:rPr>
              <w:t>2019</w:t>
            </w:r>
          </w:p>
        </w:tc>
      </w:tr>
      <w:tr>
        <w:trPr>
          <w:trHeight w:val="216"/>
        </w:trPr>
        <w:tc>
          <w:tcPr>
            <w:tcW w:w="7180" w:type="dxa"/>
            <w:vAlign w:val="bottom"/>
            <w:shd w:val="clear" w:color="auto" w:fill="CCD4DB"/>
          </w:tcPr>
          <w:p>
            <w:pPr>
              <w:ind w:left="20"/>
              <w:spacing w:after="0"/>
              <w:rPr>
                <w:sz w:val="20"/>
                <w:szCs w:val="20"/>
                <w:color w:val="auto"/>
              </w:rPr>
            </w:pPr>
            <w:r>
              <w:rPr>
                <w:rFonts w:ascii="Arial" w:cs="Arial" w:eastAsia="Arial" w:hAnsi="Arial"/>
                <w:sz w:val="16"/>
                <w:szCs w:val="16"/>
                <w:color w:val="auto"/>
              </w:rPr>
              <w:t>Audit Fees (1)</w:t>
            </w:r>
          </w:p>
        </w:tc>
        <w:tc>
          <w:tcPr>
            <w:tcW w:w="480" w:type="dxa"/>
            <w:vAlign w:val="bottom"/>
            <w:shd w:val="clear" w:color="auto" w:fill="CCD4DB"/>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D4DB"/>
          </w:tcPr>
          <w:p>
            <w:pPr>
              <w:jc w:val="center"/>
              <w:ind w:right="259"/>
              <w:spacing w:after="0"/>
              <w:rPr>
                <w:sz w:val="20"/>
                <w:szCs w:val="20"/>
                <w:color w:val="auto"/>
              </w:rPr>
            </w:pPr>
            <w:r>
              <w:rPr>
                <w:rFonts w:ascii="Arial" w:cs="Arial" w:eastAsia="Arial" w:hAnsi="Arial"/>
                <w:sz w:val="16"/>
                <w:szCs w:val="16"/>
                <w:color w:val="auto"/>
                <w:w w:val="99"/>
              </w:rPr>
              <w:t>19,464,100</w:t>
            </w:r>
          </w:p>
        </w:tc>
        <w:tc>
          <w:tcPr>
            <w:tcW w:w="740" w:type="dxa"/>
            <w:vAlign w:val="bottom"/>
            <w:shd w:val="clear" w:color="auto" w:fill="CCD4DB"/>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D4DB"/>
          </w:tcPr>
          <w:p>
            <w:pPr>
              <w:jc w:val="center"/>
              <w:ind w:right="59"/>
              <w:spacing w:after="0"/>
              <w:rPr>
                <w:sz w:val="20"/>
                <w:szCs w:val="20"/>
                <w:color w:val="auto"/>
              </w:rPr>
            </w:pPr>
            <w:r>
              <w:rPr>
                <w:rFonts w:ascii="Arial" w:cs="Arial" w:eastAsia="Arial" w:hAnsi="Arial"/>
                <w:sz w:val="16"/>
                <w:szCs w:val="16"/>
                <w:color w:val="auto"/>
                <w:w w:val="99"/>
              </w:rPr>
              <w:t>17,889,100</w:t>
            </w:r>
          </w:p>
        </w:tc>
      </w:tr>
      <w:tr>
        <w:trPr>
          <w:trHeight w:val="213"/>
        </w:trPr>
        <w:tc>
          <w:tcPr>
            <w:tcW w:w="7180" w:type="dxa"/>
            <w:vAlign w:val="bottom"/>
          </w:tcPr>
          <w:p>
            <w:pPr>
              <w:ind w:left="20"/>
              <w:spacing w:after="0"/>
              <w:rPr>
                <w:sz w:val="20"/>
                <w:szCs w:val="20"/>
                <w:color w:val="auto"/>
              </w:rPr>
            </w:pPr>
            <w:r>
              <w:rPr>
                <w:rFonts w:ascii="Arial" w:cs="Arial" w:eastAsia="Arial" w:hAnsi="Arial"/>
                <w:sz w:val="16"/>
                <w:szCs w:val="16"/>
                <w:color w:val="auto"/>
              </w:rPr>
              <w:t>Audit-Related Fees (2)</w:t>
            </w:r>
          </w:p>
        </w:tc>
        <w:tc>
          <w:tcPr>
            <w:tcW w:w="480" w:type="dxa"/>
            <w:vAlign w:val="bottom"/>
          </w:tcPr>
          <w:p>
            <w:pPr>
              <w:spacing w:after="0"/>
              <w:rPr>
                <w:sz w:val="18"/>
                <w:szCs w:val="18"/>
                <w:color w:val="auto"/>
              </w:rPr>
            </w:pPr>
          </w:p>
        </w:tc>
        <w:tc>
          <w:tcPr>
            <w:tcW w:w="1460" w:type="dxa"/>
            <w:vAlign w:val="bottom"/>
          </w:tcPr>
          <w:p>
            <w:pPr>
              <w:jc w:val="center"/>
              <w:ind w:right="259"/>
              <w:spacing w:after="0"/>
              <w:rPr>
                <w:sz w:val="20"/>
                <w:szCs w:val="20"/>
                <w:color w:val="auto"/>
              </w:rPr>
            </w:pPr>
            <w:r>
              <w:rPr>
                <w:rFonts w:ascii="Arial" w:cs="Arial" w:eastAsia="Arial" w:hAnsi="Arial"/>
                <w:sz w:val="16"/>
                <w:szCs w:val="16"/>
                <w:color w:val="auto"/>
              </w:rPr>
              <w:t>1,575,000</w:t>
            </w:r>
          </w:p>
        </w:tc>
        <w:tc>
          <w:tcPr>
            <w:tcW w:w="740" w:type="dxa"/>
            <w:vAlign w:val="bottom"/>
          </w:tcPr>
          <w:p>
            <w:pPr>
              <w:spacing w:after="0"/>
              <w:rPr>
                <w:sz w:val="18"/>
                <w:szCs w:val="18"/>
                <w:color w:val="auto"/>
              </w:rPr>
            </w:pPr>
          </w:p>
        </w:tc>
        <w:tc>
          <w:tcPr>
            <w:tcW w:w="1260" w:type="dxa"/>
            <w:vAlign w:val="bottom"/>
          </w:tcPr>
          <w:p>
            <w:pPr>
              <w:jc w:val="center"/>
              <w:ind w:right="59"/>
              <w:spacing w:after="0"/>
              <w:rPr>
                <w:sz w:val="20"/>
                <w:szCs w:val="20"/>
                <w:color w:val="auto"/>
              </w:rPr>
            </w:pPr>
            <w:r>
              <w:rPr>
                <w:rFonts w:ascii="Arial" w:cs="Arial" w:eastAsia="Arial" w:hAnsi="Arial"/>
                <w:sz w:val="16"/>
                <w:szCs w:val="16"/>
                <w:color w:val="auto"/>
                <w:w w:val="99"/>
              </w:rPr>
              <w:t>—</w:t>
            </w:r>
          </w:p>
        </w:tc>
      </w:tr>
      <w:tr>
        <w:trPr>
          <w:trHeight w:val="219"/>
        </w:trPr>
        <w:tc>
          <w:tcPr>
            <w:tcW w:w="7180" w:type="dxa"/>
            <w:vAlign w:val="bottom"/>
            <w:shd w:val="clear" w:color="auto" w:fill="CCD4DB"/>
          </w:tcPr>
          <w:p>
            <w:pPr>
              <w:ind w:left="20"/>
              <w:spacing w:after="0"/>
              <w:rPr>
                <w:sz w:val="20"/>
                <w:szCs w:val="20"/>
                <w:color w:val="auto"/>
              </w:rPr>
            </w:pPr>
            <w:r>
              <w:rPr>
                <w:rFonts w:ascii="Arial" w:cs="Arial" w:eastAsia="Arial" w:hAnsi="Arial"/>
                <w:sz w:val="16"/>
                <w:szCs w:val="16"/>
                <w:color w:val="auto"/>
              </w:rPr>
              <w:t>Tax-Related Fees (3)</w:t>
            </w:r>
          </w:p>
        </w:tc>
        <w:tc>
          <w:tcPr>
            <w:tcW w:w="480" w:type="dxa"/>
            <w:vAlign w:val="bottom"/>
            <w:shd w:val="clear" w:color="auto" w:fill="CCD4DB"/>
          </w:tcPr>
          <w:p>
            <w:pPr>
              <w:spacing w:after="0"/>
              <w:rPr>
                <w:sz w:val="19"/>
                <w:szCs w:val="19"/>
                <w:color w:val="auto"/>
              </w:rPr>
            </w:pPr>
          </w:p>
        </w:tc>
        <w:tc>
          <w:tcPr>
            <w:tcW w:w="1460" w:type="dxa"/>
            <w:vAlign w:val="bottom"/>
            <w:shd w:val="clear" w:color="auto" w:fill="CCD4DB"/>
          </w:tcPr>
          <w:p>
            <w:pPr>
              <w:jc w:val="center"/>
              <w:ind w:right="239"/>
              <w:spacing w:after="0"/>
              <w:rPr>
                <w:sz w:val="20"/>
                <w:szCs w:val="20"/>
                <w:color w:val="auto"/>
              </w:rPr>
            </w:pPr>
            <w:r>
              <w:rPr>
                <w:rFonts w:ascii="Arial" w:cs="Arial" w:eastAsia="Arial" w:hAnsi="Arial"/>
                <w:sz w:val="16"/>
                <w:szCs w:val="16"/>
                <w:color w:val="auto"/>
              </w:rPr>
              <w:t>596,000</w:t>
            </w:r>
          </w:p>
        </w:tc>
        <w:tc>
          <w:tcPr>
            <w:tcW w:w="740" w:type="dxa"/>
            <w:vAlign w:val="bottom"/>
            <w:shd w:val="clear" w:color="auto" w:fill="CCD4DB"/>
          </w:tcPr>
          <w:p>
            <w:pPr>
              <w:spacing w:after="0"/>
              <w:rPr>
                <w:sz w:val="19"/>
                <w:szCs w:val="19"/>
                <w:color w:val="auto"/>
              </w:rPr>
            </w:pPr>
          </w:p>
        </w:tc>
        <w:tc>
          <w:tcPr>
            <w:tcW w:w="1260" w:type="dxa"/>
            <w:vAlign w:val="bottom"/>
            <w:shd w:val="clear" w:color="auto" w:fill="CCD4DB"/>
          </w:tcPr>
          <w:p>
            <w:pPr>
              <w:jc w:val="center"/>
              <w:ind w:right="39"/>
              <w:spacing w:after="0"/>
              <w:rPr>
                <w:sz w:val="20"/>
                <w:szCs w:val="20"/>
                <w:color w:val="auto"/>
              </w:rPr>
            </w:pPr>
            <w:r>
              <w:rPr>
                <w:rFonts w:ascii="Arial" w:cs="Arial" w:eastAsia="Arial" w:hAnsi="Arial"/>
                <w:sz w:val="16"/>
                <w:szCs w:val="16"/>
                <w:color w:val="auto"/>
              </w:rPr>
              <w:t>468,000</w:t>
            </w:r>
          </w:p>
        </w:tc>
      </w:tr>
      <w:tr>
        <w:trPr>
          <w:trHeight w:val="213"/>
        </w:trPr>
        <w:tc>
          <w:tcPr>
            <w:tcW w:w="7180" w:type="dxa"/>
            <w:vAlign w:val="bottom"/>
          </w:tcPr>
          <w:p>
            <w:pPr>
              <w:ind w:left="20"/>
              <w:spacing w:after="0"/>
              <w:rPr>
                <w:sz w:val="20"/>
                <w:szCs w:val="20"/>
                <w:color w:val="auto"/>
              </w:rPr>
            </w:pPr>
            <w:r>
              <w:rPr>
                <w:rFonts w:ascii="Arial" w:cs="Arial" w:eastAsia="Arial" w:hAnsi="Arial"/>
                <w:sz w:val="16"/>
                <w:szCs w:val="16"/>
                <w:color w:val="auto"/>
              </w:rPr>
              <w:t>All Other Fees</w:t>
            </w:r>
          </w:p>
        </w:tc>
        <w:tc>
          <w:tcPr>
            <w:tcW w:w="480" w:type="dxa"/>
            <w:vAlign w:val="bottom"/>
          </w:tcPr>
          <w:p>
            <w:pPr>
              <w:spacing w:after="0"/>
              <w:rPr>
                <w:sz w:val="18"/>
                <w:szCs w:val="18"/>
                <w:color w:val="auto"/>
              </w:rPr>
            </w:pPr>
          </w:p>
        </w:tc>
        <w:tc>
          <w:tcPr>
            <w:tcW w:w="1460" w:type="dxa"/>
            <w:vAlign w:val="bottom"/>
          </w:tcPr>
          <w:p>
            <w:pPr>
              <w:jc w:val="center"/>
              <w:ind w:right="259"/>
              <w:spacing w:after="0"/>
              <w:rPr>
                <w:sz w:val="20"/>
                <w:szCs w:val="20"/>
                <w:color w:val="auto"/>
              </w:rPr>
            </w:pPr>
            <w:r>
              <w:rPr>
                <w:rFonts w:ascii="Arial" w:cs="Arial" w:eastAsia="Arial" w:hAnsi="Arial"/>
                <w:sz w:val="16"/>
                <w:szCs w:val="16"/>
                <w:color w:val="auto"/>
                <w:w w:val="99"/>
              </w:rPr>
              <w:t>—</w:t>
            </w:r>
          </w:p>
        </w:tc>
        <w:tc>
          <w:tcPr>
            <w:tcW w:w="740" w:type="dxa"/>
            <w:vAlign w:val="bottom"/>
          </w:tcPr>
          <w:p>
            <w:pPr>
              <w:spacing w:after="0"/>
              <w:rPr>
                <w:sz w:val="18"/>
                <w:szCs w:val="18"/>
                <w:color w:val="auto"/>
              </w:rPr>
            </w:pPr>
          </w:p>
        </w:tc>
        <w:tc>
          <w:tcPr>
            <w:tcW w:w="1260" w:type="dxa"/>
            <w:vAlign w:val="bottom"/>
          </w:tcPr>
          <w:p>
            <w:pPr>
              <w:jc w:val="center"/>
              <w:ind w:right="59"/>
              <w:spacing w:after="0"/>
              <w:rPr>
                <w:sz w:val="20"/>
                <w:szCs w:val="20"/>
                <w:color w:val="auto"/>
              </w:rPr>
            </w:pPr>
            <w:r>
              <w:rPr>
                <w:rFonts w:ascii="Arial" w:cs="Arial" w:eastAsia="Arial" w:hAnsi="Arial"/>
                <w:sz w:val="16"/>
                <w:szCs w:val="16"/>
                <w:color w:val="auto"/>
                <w:w w:val="99"/>
              </w:rPr>
              <w:t>—</w:t>
            </w:r>
          </w:p>
        </w:tc>
      </w:tr>
      <w:tr>
        <w:trPr>
          <w:trHeight w:val="216"/>
        </w:trPr>
        <w:tc>
          <w:tcPr>
            <w:tcW w:w="7180" w:type="dxa"/>
            <w:vAlign w:val="bottom"/>
            <w:tcBorders>
              <w:bottom w:val="single" w:sz="8" w:color="00249C"/>
            </w:tcBorders>
            <w:shd w:val="clear" w:color="auto" w:fill="CCD4DB"/>
          </w:tcPr>
          <w:p>
            <w:pPr>
              <w:ind w:left="20"/>
              <w:spacing w:after="0"/>
              <w:rPr>
                <w:sz w:val="20"/>
                <w:szCs w:val="20"/>
                <w:color w:val="auto"/>
              </w:rPr>
            </w:pPr>
            <w:r>
              <w:rPr>
                <w:rFonts w:ascii="Arial" w:cs="Arial" w:eastAsia="Arial" w:hAnsi="Arial"/>
                <w:sz w:val="16"/>
                <w:szCs w:val="16"/>
                <w:color w:val="auto"/>
              </w:rPr>
              <w:t>Total Fees</w:t>
            </w:r>
          </w:p>
        </w:tc>
        <w:tc>
          <w:tcPr>
            <w:tcW w:w="480" w:type="dxa"/>
            <w:vAlign w:val="bottom"/>
            <w:tcBorders>
              <w:bottom w:val="single" w:sz="8" w:color="00249C"/>
            </w:tcBorders>
            <w:shd w:val="clear" w:color="auto" w:fill="CCD4DB"/>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00249C"/>
            </w:tcBorders>
            <w:shd w:val="clear" w:color="auto" w:fill="CCD4DB"/>
          </w:tcPr>
          <w:p>
            <w:pPr>
              <w:jc w:val="center"/>
              <w:ind w:right="259"/>
              <w:spacing w:after="0"/>
              <w:rPr>
                <w:sz w:val="20"/>
                <w:szCs w:val="20"/>
                <w:color w:val="auto"/>
              </w:rPr>
            </w:pPr>
            <w:r>
              <w:rPr>
                <w:rFonts w:ascii="Arial" w:cs="Arial" w:eastAsia="Arial" w:hAnsi="Arial"/>
                <w:sz w:val="16"/>
                <w:szCs w:val="16"/>
                <w:color w:val="auto"/>
                <w:w w:val="99"/>
              </w:rPr>
              <w:t>21,635,100</w:t>
            </w:r>
          </w:p>
        </w:tc>
        <w:tc>
          <w:tcPr>
            <w:tcW w:w="740" w:type="dxa"/>
            <w:vAlign w:val="bottom"/>
            <w:tcBorders>
              <w:bottom w:val="single" w:sz="8" w:color="00249C"/>
            </w:tcBorders>
            <w:shd w:val="clear" w:color="auto" w:fill="CCD4DB"/>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00249C"/>
            </w:tcBorders>
            <w:shd w:val="clear" w:color="auto" w:fill="CCD4DB"/>
          </w:tcPr>
          <w:p>
            <w:pPr>
              <w:jc w:val="center"/>
              <w:ind w:right="59"/>
              <w:spacing w:after="0"/>
              <w:rPr>
                <w:sz w:val="20"/>
                <w:szCs w:val="20"/>
                <w:color w:val="auto"/>
              </w:rPr>
            </w:pPr>
            <w:r>
              <w:rPr>
                <w:rFonts w:ascii="Arial" w:cs="Arial" w:eastAsia="Arial" w:hAnsi="Arial"/>
                <w:sz w:val="16"/>
                <w:szCs w:val="16"/>
                <w:color w:val="auto"/>
                <w:w w:val="99"/>
              </w:rPr>
              <w:t>18,357,100</w:t>
            </w:r>
          </w:p>
        </w:tc>
      </w:tr>
    </w:tbl>
    <w:p>
      <w:pPr>
        <w:spacing w:after="0" w:line="323" w:lineRule="exact"/>
        <w:rPr>
          <w:sz w:val="20"/>
          <w:szCs w:val="20"/>
          <w:color w:val="auto"/>
        </w:rPr>
      </w:pPr>
    </w:p>
    <w:p>
      <w:pPr>
        <w:ind w:left="420" w:right="40" w:hanging="412"/>
        <w:spacing w:after="0" w:line="251" w:lineRule="auto"/>
        <w:tabs>
          <w:tab w:leader="none" w:pos="437" w:val="left"/>
        </w:tabs>
        <w:numPr>
          <w:ilvl w:val="0"/>
          <w:numId w:val="86"/>
        </w:numPr>
        <w:rPr>
          <w:rFonts w:ascii="Arial" w:cs="Arial" w:eastAsia="Arial" w:hAnsi="Arial"/>
          <w:sz w:val="18"/>
          <w:szCs w:val="18"/>
          <w:color w:val="auto"/>
        </w:rPr>
      </w:pPr>
      <w:r>
        <w:rPr>
          <w:rFonts w:ascii="Arial" w:cs="Arial" w:eastAsia="Arial" w:hAnsi="Arial"/>
          <w:sz w:val="18"/>
          <w:szCs w:val="18"/>
          <w:color w:val="auto"/>
        </w:rPr>
        <w:t>Audit fees for 2020 and 2019 reflect fees of $17,175,000 and $15,950,000, respectively, for the consolidated financial statement audits and include the audit of internal controls pursuant to Section 404 of the Sarbanes-Oxley Act of 2002. Audit fees for 2020 and 2019 also include $1,920,000 and $1,855,000, respectively, for foreign statutory audits. Fees for foreign statutory audits are reported in the year in which the audits are performed. For example, foreign statutory audit fees reported in 2020 relate to audits of the Company's foreign entities for the fiscal year ended 2019. The remaining 2020 audit fees primarily relate to audit services associated with the Company's Form 8-K filing in connection with its sector realignment in April 2020, fees related to the Company's Form 8-K filing in connection with its debt offering in March 2020, fees related to the Company's shelf registration statement on Form S-3, and fees related to the recasting of certain unallowable costs as disclosed in the Company's Quarterly Report on Form 10-Q for the quarter ended June 30, 2020.</w:t>
      </w:r>
    </w:p>
    <w:p>
      <w:pPr>
        <w:spacing w:after="0" w:line="90" w:lineRule="exact"/>
        <w:rPr>
          <w:rFonts w:ascii="Arial" w:cs="Arial" w:eastAsia="Arial" w:hAnsi="Arial"/>
          <w:sz w:val="18"/>
          <w:szCs w:val="18"/>
          <w:color w:val="auto"/>
        </w:rPr>
      </w:pPr>
    </w:p>
    <w:p>
      <w:pPr>
        <w:ind w:left="420" w:right="200" w:hanging="412"/>
        <w:spacing w:after="0" w:line="256" w:lineRule="auto"/>
        <w:tabs>
          <w:tab w:leader="none" w:pos="437" w:val="left"/>
        </w:tabs>
        <w:numPr>
          <w:ilvl w:val="0"/>
          <w:numId w:val="86"/>
        </w:numPr>
        <w:rPr>
          <w:rFonts w:ascii="Arial" w:cs="Arial" w:eastAsia="Arial" w:hAnsi="Arial"/>
          <w:sz w:val="18"/>
          <w:szCs w:val="18"/>
          <w:color w:val="auto"/>
        </w:rPr>
      </w:pPr>
      <w:r>
        <w:rPr>
          <w:rFonts w:ascii="Arial" w:cs="Arial" w:eastAsia="Arial" w:hAnsi="Arial"/>
          <w:sz w:val="18"/>
          <w:szCs w:val="18"/>
          <w:color w:val="auto"/>
        </w:rPr>
        <w:t>Audit-related fees reflect fees for services that are reasonably related to the performance of the audit or review of the Company's financial statements, including fees related to the support of business divestiture activities. Audit-related fees exclude fees that totaled $1,494,500 and $1,320,000 for 2020 and 2019, respectively, related to benefit plan audits which are paid for by the plans.</w:t>
      </w:r>
    </w:p>
    <w:p>
      <w:pPr>
        <w:spacing w:after="0" w:line="80" w:lineRule="exact"/>
        <w:rPr>
          <w:rFonts w:ascii="Arial" w:cs="Arial" w:eastAsia="Arial" w:hAnsi="Arial"/>
          <w:sz w:val="18"/>
          <w:szCs w:val="18"/>
          <w:color w:val="auto"/>
        </w:rPr>
      </w:pPr>
    </w:p>
    <w:p>
      <w:pPr>
        <w:ind w:left="420" w:right="140" w:hanging="412"/>
        <w:spacing w:after="0" w:line="261" w:lineRule="auto"/>
        <w:tabs>
          <w:tab w:leader="none" w:pos="437" w:val="left"/>
        </w:tabs>
        <w:numPr>
          <w:ilvl w:val="0"/>
          <w:numId w:val="86"/>
        </w:numPr>
        <w:rPr>
          <w:rFonts w:ascii="Arial" w:cs="Arial" w:eastAsia="Arial" w:hAnsi="Arial"/>
          <w:sz w:val="18"/>
          <w:szCs w:val="18"/>
          <w:color w:val="auto"/>
        </w:rPr>
      </w:pPr>
      <w:r>
        <w:rPr>
          <w:rFonts w:ascii="Arial" w:cs="Arial" w:eastAsia="Arial" w:hAnsi="Arial"/>
          <w:sz w:val="18"/>
          <w:szCs w:val="18"/>
          <w:color w:val="auto"/>
        </w:rPr>
        <w:t>Tax-related fees during 2020 and 2019 reflect fees of $596,000 and $468,000, respectively, for services concerning foreign income tax compliance, foreign Value Added Tax compliance and other tax matters.</w:t>
      </w:r>
    </w:p>
    <w:p>
      <w:pPr>
        <w:spacing w:after="0" w:line="60" w:lineRule="exact"/>
        <w:rPr>
          <w:sz w:val="20"/>
          <w:szCs w:val="20"/>
          <w:color w:val="auto"/>
        </w:rPr>
      </w:pPr>
    </w:p>
    <w:p>
      <w:pPr>
        <w:ind w:left="20" w:right="920"/>
        <w:spacing w:after="0" w:line="243" w:lineRule="auto"/>
        <w:rPr>
          <w:sz w:val="20"/>
          <w:szCs w:val="20"/>
          <w:color w:val="auto"/>
        </w:rPr>
      </w:pPr>
      <w:r>
        <w:rPr>
          <w:rFonts w:ascii="Arial" w:cs="Arial" w:eastAsia="Arial" w:hAnsi="Arial"/>
          <w:sz w:val="25"/>
          <w:szCs w:val="25"/>
          <w:b w:val="1"/>
          <w:bCs w:val="1"/>
          <w:color w:val="auto"/>
        </w:rPr>
        <w:t>Policy on Audit and Risk Committee Pre-Approval of Audit and Permissible Non-Audit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It is the Audit and Risk Committee's policy to pre-approve all audit and permitted non-audit services provided by our independent auditor in order to provide reasonable assurance that the provision of these services does not impair the auditor's independence. Pre-approval may be given at any time. The Audit and Risk Committee has delegated pre-approval authority for any individual project up to $100,000 to the Chairman of the Audit and Risk Committee.</w:t>
      </w:r>
    </w:p>
    <w:p>
      <w:pPr>
        <w:spacing w:after="0" w:line="82"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The decisions of the Chairman to pre-approve a permitted service are reported to the Audit and Risk Committee at its next meeting. The independent auditor is required to periodically report to the full Audit and Risk Committee regarding the extent of services provided by the independent auditor in accordance with this pre-approval policy, as well as the fees for the services performed to date.</w:t>
      </w:r>
    </w:p>
    <w:p>
      <w:pPr>
        <w:sectPr>
          <w:pgSz w:w="11900" w:h="16838" w:orient="portrait"/>
          <w:cols w:equalWidth="0" w:num="1">
            <w:col w:w="11240"/>
          </w:cols>
          <w:pgMar w:left="320" w:top="485"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5220"/>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75</w:t>
      </w:r>
    </w:p>
    <w:p>
      <w:pPr>
        <w:sectPr>
          <w:pgSz w:w="11900" w:h="16838" w:orient="portrait"/>
          <w:cols w:equalWidth="0" w:num="1">
            <w:col w:w="11240"/>
          </w:cols>
          <w:pgMar w:left="320" w:top="485" w:right="339" w:bottom="1440" w:gutter="0" w:footer="0" w:header="0"/>
          <w:type w:val="continuous"/>
        </w:sectPr>
      </w:pPr>
    </w:p>
    <w:bookmarkStart w:id="81" w:name="page82"/>
    <w:bookmarkEnd w:id="81"/>
    <w:p>
      <w:pPr>
        <w:ind w:left="20"/>
        <w:spacing w:after="0"/>
        <w:rPr>
          <w:sz w:val="20"/>
          <w:szCs w:val="20"/>
          <w:color w:val="auto"/>
        </w:rPr>
      </w:pPr>
      <w:r>
        <w:rPr>
          <w:rFonts w:ascii="Arial" w:cs="Arial" w:eastAsia="Arial" w:hAnsi="Arial"/>
          <w:sz w:val="22"/>
          <w:szCs w:val="22"/>
          <w:b w:val="1"/>
          <w:bCs w:val="1"/>
          <w:color w:val="FFFFFF"/>
        </w:rPr>
        <w:t>PROPOSAL THREE: RATIFICATION OF APPOINTMENT OF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Audit and Risk Committee approved all audit and non-audit services provided by Deloitte, the member firms of Deloitte Touche Tohmatsu Limited and their respective affiliates during 2020 and 2019, in each case before being engaged to provide those services.</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Vote Required</w:t>
      </w:r>
    </w:p>
    <w:p>
      <w:pPr>
        <w:spacing w:after="0" w:line="10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Approval of this proposal requires that the votes cast "for" the proposal exceed the votes cast "against" the proposal. Abstentions and broker non-votes will have no effect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49465" cy="2057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05740"/>
                    </a:xfrm>
                    <a:prstGeom prst="rect">
                      <a:avLst/>
                    </a:prstGeom>
                    <a:noFill/>
                  </pic:spPr>
                </pic:pic>
              </a:graphicData>
            </a:graphic>
          </wp:anchor>
        </w:drawing>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2"/>
          <w:szCs w:val="22"/>
          <w:color w:val="00249C"/>
        </w:rPr>
        <w:t>THE BOARD OF DIRECTORS UNANIMOUSLY RECOMMENDS THAT YOU VOTE "FOR" PROPOSAL THREE.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76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1240"/>
          </w:cols>
          <w:pgMar w:left="320" w:top="485" w:right="339" w:bottom="1440" w:gutter="0" w:footer="0" w:header="0"/>
        </w:sectPr>
      </w:pPr>
    </w:p>
    <w:bookmarkStart w:id="82" w:name="page83"/>
    <w:bookmarkEnd w:id="82"/>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3086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t>AUDIT AND RISK COMMITTEE REPORT</w:t>
      </w:r>
    </w:p>
    <w:p>
      <w:pPr>
        <w:spacing w:after="0" w:line="200" w:lineRule="exact"/>
        <w:rPr>
          <w:sz w:val="20"/>
          <w:szCs w:val="20"/>
          <w:color w:val="auto"/>
        </w:rPr>
      </w:pPr>
    </w:p>
    <w:p>
      <w:pPr>
        <w:spacing w:after="0" w:line="375"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Audit and Risk Committee of the Board of Directors is responsible for assisting the Board of Directors in fulfilling its oversight responsibilities over the Company's accounting, auditing and financial reporting processes and financial risk assessment and management process, and for monitoring compliance with certain regulatory and compliance matters. The Audit and Risk Committee's written charter describes the Audit and Risk Committee's responsibilities and has been approved by the Board of Directors.</w:t>
      </w:r>
    </w:p>
    <w:p>
      <w:pPr>
        <w:spacing w:after="0" w:line="8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Management is responsible for preparing the Company's financial statements and for the financial reporting process, including evaluating the effectiveness of the Company's disclosure controls and procedures and internal control over financial reporting.</w:t>
      </w:r>
    </w:p>
    <w:p>
      <w:pPr>
        <w:spacing w:after="0" w:line="63"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Deloitte &amp; Touche LLP (Deloitte), the Company's independent auditor, is responsible for performing an independent audit of the Company's consolidated financial statements and expressing an opinion on the conformity of the financial statements with accounting principles generally accepted in the United States of America, and on the effectiveness of the Company's internal control over financial reporting.</w:t>
      </w:r>
    </w:p>
    <w:p>
      <w:pPr>
        <w:spacing w:after="0" w:line="6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connection with the preparation of the Company's financial statements as of and for the year ended December 31, 2020, the Audit and Risk Committee reviewed and discussed the audited financial statements with the Company's Chief Executive Officer, Chief Financial Officer and Deloitte. The Audit and Risk Committee also discussed with Deloitte the communications required under applicable requirements of the Public Company Accounting Oversight Board (PCAOB) and the SEC, including the matters required to be discussed by Auditing Standard No. 1301, Communications with Audit Committees, as adopted by the PCAOB, and, with and without management present, discussed and reviewed the results of Deloitte's examination of the financial statements. Additionally, the Audit and Risk Committee discussed with the Company's internal auditors the results of their audits completed during 2020.</w:t>
      </w:r>
    </w:p>
    <w:p>
      <w:pPr>
        <w:spacing w:after="0" w:line="8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Audit and Risk Committee received the written disclosures and the letter from Deloitte required by the applicable requirements of the PCAOB regarding the independent auditor's communications with the Audit and Risk Committee concerning independence. In addition, the Audit and Risk Committee discussed with Deloitte that firm's independence from the Company.</w:t>
      </w:r>
    </w:p>
    <w:p>
      <w:pPr>
        <w:spacing w:after="0" w:line="6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Based on the Audit and Risk Committee's review and discussions described in this report, the Audit and Risk Committee recommended to the Board of Directors that the audited financial statements for the year ended December 31, 2020 be included in the Company's Annual Report on Form 10-K for the year ended December 31, 2020 for filing with the SEC. The Audit and Risk Committee also reappointed Deloitte to serve as the Company's independent auditor for 2021, and requested that this appointment be submitted to shareholders for ratification at the Annual Meeting.</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AUDIT AND RISK COMMITTEE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WILLIAM H. HERNANDEZ, CHAIRPERSON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DAVID P. ABNEY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MARIANNE C. BROWN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 M. FUDGE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S. TURLEY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 A. WELSH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77</w:t>
      </w:r>
    </w:p>
    <w:p>
      <w:pPr>
        <w:sectPr>
          <w:pgSz w:w="11900" w:h="16838" w:orient="portrait"/>
          <w:cols w:equalWidth="0" w:num="1">
            <w:col w:w="11240"/>
          </w:cols>
          <w:pgMar w:left="320" w:top="607" w:right="339" w:bottom="1440" w:gutter="0" w:footer="0" w:header="0"/>
        </w:sectPr>
      </w:pPr>
    </w:p>
    <w:bookmarkStart w:id="83" w:name="page84"/>
    <w:bookmarkEnd w:id="83"/>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3086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t>PROPOSAL FOUR: SHAREHOLDER PROPOSAL</w:t>
      </w:r>
    </w:p>
    <w:p>
      <w:pPr>
        <w:spacing w:after="0" w:line="200" w:lineRule="exact"/>
        <w:rPr>
          <w:sz w:val="20"/>
          <w:szCs w:val="20"/>
          <w:color w:val="auto"/>
        </w:rPr>
      </w:pPr>
    </w:p>
    <w:p>
      <w:pPr>
        <w:spacing w:after="0" w:line="37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Sisters of St. Dominic of Caldwell New Jersey, 75 South Fullerton Avenue, Montclair, NJ 07042, a beneficial owner of 303 shares of common stock of the Company, the Sisters of St. Francis of Philadelphia, 609 S. Convent Road, Aston, PA 19014, a beneficial owner of 11 shares of common stock of the Company, and the School Sisters of Notre Dame Cooperative Investment Fund, 345 Belden Hill Road, Wilton, CT 06897, a beneficial owner of 88 shares of common stock of the Company, the co-proponents of a shareholder proposal, have each stated that it intends to present a proposal at the Annual Meeting. The proposal and supporting statement, for which the Board of Directors accepts no responsibility, is set forth below. The Board of Directors opposes the shareholder proposal for the reasons stated below.</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Proposal Four: Shareholder Proposal to Publish Human Rights Impact Assessment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the world’s fourth-largest defense company, Northrop Grumman’s most severe human rights impacts are likely to result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use of its products and services, such as controversial arms trade, military training, nuclear weapons, and border surveillance systems. Business relationships with the U.S. Government and foreign governments whose activities may be linked to human rights violations may expose Northrop Grumman to legal, financial, and reputational risks.</w:t>
      </w:r>
    </w:p>
    <w:p>
      <w:pPr>
        <w:spacing w:after="0" w:line="7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Under the UN Guiding Principles on Business and Human Rights (UNGPs), companies have a responsibility to respect human rights which is distinct from the duties of states. The high likelihood of severe impacts linked to business in conflict-affected and high-risk areas warrants heightened due diligence. A 2019 Amnesty International report found that the defense industry is failing to carry out effective human rights due diligence. This requires conducting human rights impact assessments to identify and evaluate the actual and potential adverse human rights impacts of the company’s business activities.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The findings from the impact assessments should inform business decision making, prevention and mitigation efforts, and public disclosure.</w:t>
      </w:r>
    </w:p>
    <w:p>
      <w:pPr>
        <w:spacing w:after="0" w:line="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Northrop Grumman has contracts with or supplies weapons to multiple states engaged in conflict, including Saudi Arabia, the United Arab Emirates, India, Israel, Morocco, and Colombia.</w:t>
      </w:r>
      <w:r>
        <w:rPr>
          <w:rFonts w:ascii="Arial" w:cs="Arial" w:eastAsia="Arial" w:hAnsi="Arial"/>
          <w:sz w:val="23"/>
          <w:szCs w:val="23"/>
          <w:color w:val="auto"/>
          <w:vertAlign w:val="superscript"/>
        </w:rPr>
        <w:t>2</w:t>
      </w:r>
    </w:p>
    <w:p>
      <w:pPr>
        <w:jc w:val="both"/>
        <w:spacing w:after="0" w:line="234" w:lineRule="auto"/>
        <w:rPr>
          <w:sz w:val="20"/>
          <w:szCs w:val="20"/>
          <w:color w:val="auto"/>
        </w:rPr>
      </w:pPr>
      <w:r>
        <w:rPr>
          <w:rFonts w:ascii="Arial" w:cs="Arial" w:eastAsia="Arial" w:hAnsi="Arial"/>
          <w:sz w:val="18"/>
          <w:szCs w:val="18"/>
          <w:color w:val="auto"/>
        </w:rPr>
        <w:t>Northrop Grumman is one of the Saudi Arabian Armed Forces’s largest defense partners, supplying weapons since 1971, and is heavily involved in military training.</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A 2020 report by the UN Human Rights Council alleges that Saudi-led coalition airstrikes in Yemen “may amount to war crimes” and the supply of weapons from the U.S. and other countries “has helped to perpetuate the conflict.”</w:t>
      </w:r>
      <w:r>
        <w:rPr>
          <w:rFonts w:ascii="Arial" w:cs="Arial" w:eastAsia="Arial" w:hAnsi="Arial"/>
          <w:sz w:val="23"/>
          <w:szCs w:val="23"/>
          <w:color w:val="auto"/>
          <w:vertAlign w:val="superscript"/>
        </w:rPr>
        <w:t>4</w:t>
      </w:r>
    </w:p>
    <w:p>
      <w:pPr>
        <w:spacing w:after="0" w:line="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Department of State’s 2020 due diligence guidance on foreign sales of “products or services that have surveillance capabilities” states companies should consider if “the end-user will likely misuse the product or service to carry out human rights violations.”</w:t>
      </w:r>
      <w:r>
        <w:rPr>
          <w:rFonts w:ascii="Arial" w:cs="Arial" w:eastAsia="Arial" w:hAnsi="Arial"/>
          <w:sz w:val="23"/>
          <w:szCs w:val="23"/>
          <w:color w:val="auto"/>
          <w:vertAlign w:val="superscript"/>
        </w:rPr>
        <w:t>5</w:t>
      </w:r>
    </w:p>
    <w:p>
      <w:pPr>
        <w:jc w:val="both"/>
        <w:spacing w:after="0" w:line="229" w:lineRule="auto"/>
        <w:rPr>
          <w:sz w:val="20"/>
          <w:szCs w:val="20"/>
          <w:color w:val="auto"/>
        </w:rPr>
      </w:pPr>
      <w:r>
        <w:rPr>
          <w:rFonts w:ascii="Arial" w:cs="Arial" w:eastAsia="Arial" w:hAnsi="Arial"/>
          <w:sz w:val="18"/>
          <w:szCs w:val="18"/>
          <w:color w:val="auto"/>
        </w:rPr>
        <w:t>The company also has at least $68.3 billion in outstanding nuclear weapons contracts with the U.S. and foreign governments.</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As the Treaty on the Prohibition of Nuclear Weapons enters into force in 2021, nuclear weapons sales expose Northrop Grumman to increasing regulatory and reputational risks.</w:t>
      </w:r>
    </w:p>
    <w:p>
      <w:pPr>
        <w:spacing w:after="0" w:line="9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Northrop Grumman has a contract with the U.S. Department of Homeland Security to develop infrastructure for the Homeland Advanced Recognition Technology (HART) database. It will hold sensitive biometric and biographical data for 260 million people, which presents risks of privacy rights violations, increased surveillance, racial bias, and harm to immigrant communities.</w:t>
      </w:r>
      <w:r>
        <w:rPr>
          <w:rFonts w:ascii="Arial" w:cs="Arial" w:eastAsia="Arial" w:hAnsi="Arial"/>
          <w:sz w:val="23"/>
          <w:szCs w:val="23"/>
          <w:color w:val="auto"/>
          <w:vertAlign w:val="superscript"/>
        </w:rPr>
        <w:t>7</w:t>
      </w:r>
    </w:p>
    <w:p>
      <w:pPr>
        <w:spacing w:after="0" w:line="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While Northrop Grumman has a Human Rights Policy, it does not disclose its salient human rights issues or the nature and extent of the participation of impacted rightsholders in its assessment process.</w:t>
      </w:r>
    </w:p>
    <w:p>
      <w:pPr>
        <w:spacing w:after="0" w:line="4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Shareholders request that Northrop Grumman publish a report, at reasonable cost and omitting proprietary information,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of human rights impact assessments examining the actual and potential human rights impacts associated with high-risk products and services, including those in conflict-affected areas.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45" w:lineRule="exact"/>
        <w:rPr>
          <w:sz w:val="20"/>
          <w:szCs w:val="20"/>
          <w:color w:val="auto"/>
        </w:rPr>
      </w:pPr>
    </w:p>
    <w:p>
      <w:pPr>
        <w:ind w:left="100" w:hanging="92"/>
        <w:spacing w:after="0"/>
        <w:tabs>
          <w:tab w:leader="none" w:pos="100" w:val="left"/>
        </w:tabs>
        <w:numPr>
          <w:ilvl w:val="0"/>
          <w:numId w:val="87"/>
        </w:numPr>
        <w:rPr>
          <w:rFonts w:ascii="Arial" w:cs="Arial" w:eastAsia="Arial" w:hAnsi="Arial"/>
          <w:sz w:val="23"/>
          <w:szCs w:val="23"/>
          <w:color w:val="auto"/>
          <w:vertAlign w:val="superscript"/>
        </w:rPr>
      </w:pPr>
      <w:r>
        <w:rPr>
          <w:rFonts w:ascii="Arial" w:cs="Arial" w:eastAsia="Arial" w:hAnsi="Arial"/>
          <w:sz w:val="18"/>
          <w:szCs w:val="18"/>
          <w:color w:val="auto"/>
        </w:rPr>
        <w:t>https://www.amnesty.org/download/Documents/ACT3008932019ENGLISH.PDF</w:t>
      </w:r>
    </w:p>
    <w:p>
      <w:pPr>
        <w:spacing w:after="0" w:line="10" w:lineRule="exact"/>
        <w:rPr>
          <w:sz w:val="20"/>
          <w:szCs w:val="20"/>
          <w:color w:val="auto"/>
        </w:rPr>
      </w:pPr>
    </w:p>
    <w:p>
      <w:pPr>
        <w:ind w:right="60" w:firstLine="8"/>
        <w:spacing w:after="0" w:line="229" w:lineRule="auto"/>
        <w:tabs>
          <w:tab w:leader="none" w:pos="97" w:val="left"/>
        </w:tabs>
        <w:numPr>
          <w:ilvl w:val="0"/>
          <w:numId w:val="88"/>
        </w:numPr>
        <w:rPr>
          <w:rFonts w:ascii="Arial" w:cs="Arial" w:eastAsia="Arial" w:hAnsi="Arial"/>
          <w:sz w:val="23"/>
          <w:szCs w:val="23"/>
          <w:color w:val="auto"/>
          <w:vertAlign w:val="superscript"/>
        </w:rPr>
      </w:pPr>
      <w:r>
        <w:rPr>
          <w:rFonts w:ascii="Arial" w:cs="Arial" w:eastAsia="Arial" w:hAnsi="Arial"/>
          <w:sz w:val="18"/>
          <w:szCs w:val="18"/>
          <w:color w:val="auto"/>
        </w:rPr>
        <w:t>www.northropgrumman.com/AboutUs/OurGlobalPresence/Pages/default.aspx; www.upi.com/DefenseNews/2015/10/16/Colombia-receives-Northrop-Grumman-ANTPS-78-radar/4871445000556/; www.moroccoworldnews.com/2018/05/246179/morocco-cargo-m1a2s-laser-tanks-us/; https://news.northropgrumman.com/news/releases/northrop-grumman-delivers-center-fuselage-for-firstisraeli-f-35-aircraft</w:t>
      </w:r>
    </w:p>
    <w:p>
      <w:pPr>
        <w:ind w:right="1240"/>
        <w:spacing w:after="0" w:line="196"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3</w:t>
      </w:r>
      <w:r>
        <w:rPr>
          <w:rFonts w:ascii="Arial" w:cs="Arial" w:eastAsia="Arial" w:hAnsi="Arial"/>
          <w:sz w:val="18"/>
          <w:szCs w:val="18"/>
          <w:color w:val="auto"/>
        </w:rPr>
        <w:t xml:space="preserve"> www.northropgrumman.com/AboutUs/OurGlobalPresence/MiddleEastAndAfrica/Pages/Who-We-Are-inthe-Middle-East.aspx </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https://www.ohchr.org/Documents/HRBodies/HRCouncil/GEE-Yemen/2020-09-09-report.pdf</w:t>
      </w:r>
    </w:p>
    <w:p>
      <w:pPr>
        <w:ind w:right="2540"/>
        <w:spacing w:after="0" w:line="196"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5</w:t>
      </w:r>
      <w:r>
        <w:rPr>
          <w:rFonts w:ascii="Arial" w:cs="Arial" w:eastAsia="Arial" w:hAnsi="Arial"/>
          <w:sz w:val="18"/>
          <w:szCs w:val="18"/>
          <w:color w:val="auto"/>
        </w:rPr>
        <w:t xml:space="preserve"> https://www.state.gov/wp-content/uploads/2020/10/DRL-Industry-Guidance-Project-FINAL-1-pager-5081.pdf </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https://www.dontbankonthebomb.com/northrop-grumman/</w:t>
      </w:r>
    </w:p>
    <w:p>
      <w:pPr>
        <w:ind w:right="800"/>
        <w:spacing w:after="0" w:line="220"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7</w:t>
      </w:r>
      <w:r>
        <w:rPr>
          <w:rFonts w:ascii="Arial" w:cs="Arial" w:eastAsia="Arial" w:hAnsi="Arial"/>
          <w:sz w:val="18"/>
          <w:szCs w:val="18"/>
          <w:color w:val="auto"/>
        </w:rPr>
        <w:t xml:space="preserve"> https://theintercept.com/2020/11/17/dhs-biometrics-dna/; http://www.documentcloud.org/documents/6542043-MSLS-Industry-Day-Presentation-FINAL.html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2805430</wp:posOffset>
            </wp:positionH>
            <wp:positionV relativeFrom="paragraph">
              <wp:posOffset>-984885</wp:posOffset>
            </wp:positionV>
            <wp:extent cx="3175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78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1240"/>
          </w:cols>
          <w:pgMar w:left="320" w:top="607" w:right="339" w:bottom="1440" w:gutter="0" w:footer="0" w:header="0"/>
        </w:sectPr>
      </w:pPr>
    </w:p>
    <w:bookmarkStart w:id="84" w:name="page85"/>
    <w:bookmarkEnd w:id="84"/>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3086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308610"/>
                    </a:xfrm>
                    <a:prstGeom prst="rect">
                      <a:avLst/>
                    </a:prstGeom>
                    <a:noFill/>
                  </pic:spPr>
                </pic:pic>
              </a:graphicData>
            </a:graphic>
          </wp:anchor>
        </w:drawing>
        <w:t>PROPOSAL FOUR: SHAREHOLDER PROPOSAL</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Board of Directors' Statement in Opposition to Proposal Four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Board of Directors has carefully considered Proposal Four and, for the reasons summarized below, unanimously recommends a vote against Proposal Four. The Company is, and has long been, deeply committed to human rights and to transparency, including in how the Company implements its human rights policies and practices. The Company is also committed to updating and refining its program, as we engage with our shareholders and receive their input, and as best practices evolve. Indeed, in 2020, the Company significantly refined its Policy and created a Human Rights Working Group to help ensure its effective implementation. However, the Board does not believe that the Company could implement the Proposal in a meaningful and constructive way, nor that it would serve the interests of our shareholders, or even progress what we believe is the Proponents' ultimate objective.</w:t>
      </w:r>
    </w:p>
    <w:p>
      <w:pPr>
        <w:spacing w:after="0" w:line="72"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Proposal Four is not entirely clear. The Proponents appear to be focused not so much on what the Company is doing, but on risks to the Company from doing business with our customers (the US and allied foreign governments), and their use of our products, particularly in areas of armed conflict. Proponents appear to recognize that the Company has a robust human rights policy, but express concern that notwithstanding the extensive list of issues addressed in the policy, we have somehow not disclosed our “salient human rights issues,” or the “nature and extent of the participation of [unidentified] impacted rightsholders.” They therefore request that the Company publish a report examining “the actual and potential impacts” associated with our customers’ future use of our products, including in conflict areas. While the Company is fully committed to advancing human rights, it is difficult to understand how the Proposal would serve our shareholders’ interest, or how the Company could effectively address what seems to be the Proponents’ underlying concern – namely how the US and other governments engage in armed conflict.</w:t>
      </w:r>
    </w:p>
    <w:p>
      <w:pPr>
        <w:spacing w:after="0" w:line="9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Board of Directors is concerned that Proponents’ request, which is both vague and overly broad, would impose unworkable requirements on the operations of the Company; adversely impact our ability to serve our largest customer, the US Government, and to shape the environment in which governments use our products and services, including to advance human rights; and ultimately harm our business and our ability to grow in service to our shareholders. The Board does not believe Proposal Four will enhance the Company’s ability to manage risk, progress a strong culture (including one that demands respect for human rights), influence our customers’ behavior or create long-term value for our stakeholders.</w:t>
      </w:r>
    </w:p>
    <w:p>
      <w:pPr>
        <w:spacing w:after="0" w:line="87"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Last year, our shareholders considered a similar proposal, and more than 75% of the shareholders who participated, voted against the proposal. The Board of Directors recommends our shareholders do so this year too.</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is Deeply Committed to Respecting Human Rights</w:t>
      </w:r>
    </w:p>
    <w:p>
      <w:pPr>
        <w:spacing w:after="0" w:line="126"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auto"/>
        </w:rPr>
        <w:t>The Company supports and maintains the highest standards of ethical conduct and is deeply committed to respecting human rights. This commitment is embedded in the Company’s culture, values, policies and practices and reflected in the Company’s robust Human Rights Policy and in our Standards of Business Conduct.</w:t>
      </w:r>
    </w:p>
    <w:p>
      <w:pPr>
        <w:spacing w:after="0" w:line="8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Company’s Human Rights Policy describes in some detail various components of the Company’s approach to protecting and advancing human rights, including:</w:t>
      </w:r>
    </w:p>
    <w:p>
      <w:pPr>
        <w:spacing w:after="0" w:line="63" w:lineRule="exact"/>
        <w:rPr>
          <w:sz w:val="20"/>
          <w:szCs w:val="20"/>
          <w:color w:val="auto"/>
        </w:rPr>
      </w:pPr>
    </w:p>
    <w:p>
      <w:pPr>
        <w:ind w:left="340" w:right="40" w:hanging="332"/>
        <w:spacing w:after="0" w:line="254" w:lineRule="auto"/>
        <w:tabs>
          <w:tab w:leader="none" w:pos="308" w:val="left"/>
        </w:tabs>
        <w:numPr>
          <w:ilvl w:val="0"/>
          <w:numId w:val="89"/>
        </w:numPr>
        <w:rPr>
          <w:rFonts w:ascii="Arial" w:cs="Arial" w:eastAsia="Arial" w:hAnsi="Arial"/>
          <w:sz w:val="18"/>
          <w:szCs w:val="18"/>
          <w:color w:val="00249C"/>
        </w:rPr>
      </w:pPr>
      <w:r>
        <w:rPr>
          <w:rFonts w:ascii="Arial" w:cs="Arial" w:eastAsia="Arial" w:hAnsi="Arial"/>
          <w:sz w:val="18"/>
          <w:szCs w:val="18"/>
          <w:color w:val="auto"/>
        </w:rPr>
        <w:t>Our People: We treat employees, suppliers, partners, customers and competitors with respect and dignity. We are committed to a diverse workforce, treated with equity and enabled in an inclusive environment. We do not tolerate any discrimination in employment based on an individual’s protected status. We strive to provide fair working conditions and do not tolerate the use of child labor, forced labor, bonded labor, or human trafficking;</w:t>
      </w:r>
    </w:p>
    <w:p>
      <w:pPr>
        <w:spacing w:after="0" w:line="82" w:lineRule="exact"/>
        <w:rPr>
          <w:rFonts w:ascii="Arial" w:cs="Arial" w:eastAsia="Arial" w:hAnsi="Arial"/>
          <w:sz w:val="18"/>
          <w:szCs w:val="18"/>
          <w:color w:val="00249C"/>
        </w:rPr>
      </w:pPr>
    </w:p>
    <w:p>
      <w:pPr>
        <w:ind w:left="340" w:right="120" w:hanging="332"/>
        <w:spacing w:after="0" w:line="256" w:lineRule="auto"/>
        <w:tabs>
          <w:tab w:leader="none" w:pos="308" w:val="left"/>
        </w:tabs>
        <w:numPr>
          <w:ilvl w:val="0"/>
          <w:numId w:val="89"/>
        </w:numPr>
        <w:rPr>
          <w:rFonts w:ascii="Arial" w:cs="Arial" w:eastAsia="Arial" w:hAnsi="Arial"/>
          <w:sz w:val="18"/>
          <w:szCs w:val="18"/>
          <w:color w:val="00249C"/>
        </w:rPr>
      </w:pPr>
      <w:r>
        <w:rPr>
          <w:rFonts w:ascii="Arial" w:cs="Arial" w:eastAsia="Arial" w:hAnsi="Arial"/>
          <w:sz w:val="18"/>
          <w:szCs w:val="18"/>
          <w:color w:val="auto"/>
        </w:rPr>
        <w:t>Our Supply Chain: We are committed to high standards of ethical and business conduct as it relates to the procurement of goods and services. And we require our suppliers to conduct themselves similarly, in a manner consistent with our values and our Supplier of Code of Conduct;</w:t>
      </w:r>
    </w:p>
    <w:p>
      <w:pPr>
        <w:spacing w:after="0" w:line="80" w:lineRule="exact"/>
        <w:rPr>
          <w:rFonts w:ascii="Arial" w:cs="Arial" w:eastAsia="Arial" w:hAnsi="Arial"/>
          <w:sz w:val="18"/>
          <w:szCs w:val="18"/>
          <w:color w:val="00249C"/>
        </w:rPr>
      </w:pPr>
    </w:p>
    <w:p>
      <w:pPr>
        <w:ind w:left="340" w:right="100" w:hanging="332"/>
        <w:spacing w:after="0" w:line="252" w:lineRule="auto"/>
        <w:tabs>
          <w:tab w:leader="none" w:pos="308" w:val="left"/>
        </w:tabs>
        <w:numPr>
          <w:ilvl w:val="0"/>
          <w:numId w:val="89"/>
        </w:numPr>
        <w:rPr>
          <w:rFonts w:ascii="Arial" w:cs="Arial" w:eastAsia="Arial" w:hAnsi="Arial"/>
          <w:sz w:val="18"/>
          <w:szCs w:val="18"/>
          <w:color w:val="00249C"/>
        </w:rPr>
      </w:pPr>
      <w:r>
        <w:rPr>
          <w:rFonts w:ascii="Arial" w:cs="Arial" w:eastAsia="Arial" w:hAnsi="Arial"/>
          <w:sz w:val="18"/>
          <w:szCs w:val="18"/>
          <w:color w:val="auto"/>
        </w:rPr>
        <w:t>Our Programs and Products: We are committed to high standards of ethical and business conduct as it relates to the development of our products, and to how we provide goods and services. We consider potential risks, including risks to human rights at different stages through the life cycle of a product. We are mindful of potential unintended uses of our products. We have robust processes to help ensure the Company does not do business in countries, or sell products to customers that are not properly approved by the government and consistent with U.S. law. The Company has procedures in place to engage in due diligence, to assess and potentially to mitigate risks before undertaking certain business opportunities, even if they are or would be approved;</w:t>
      </w:r>
    </w:p>
    <w:p>
      <w:pPr>
        <w:spacing w:after="0" w:line="72" w:lineRule="exact"/>
        <w:rPr>
          <w:rFonts w:ascii="Arial" w:cs="Arial" w:eastAsia="Arial" w:hAnsi="Arial"/>
          <w:sz w:val="18"/>
          <w:szCs w:val="18"/>
          <w:color w:val="00249C"/>
        </w:rPr>
      </w:pPr>
    </w:p>
    <w:p>
      <w:pPr>
        <w:ind w:left="340" w:right="380" w:hanging="332"/>
        <w:spacing w:after="0" w:line="261" w:lineRule="auto"/>
        <w:tabs>
          <w:tab w:leader="none" w:pos="308" w:val="left"/>
        </w:tabs>
        <w:numPr>
          <w:ilvl w:val="0"/>
          <w:numId w:val="89"/>
        </w:numPr>
        <w:rPr>
          <w:rFonts w:ascii="Arial" w:cs="Arial" w:eastAsia="Arial" w:hAnsi="Arial"/>
          <w:sz w:val="18"/>
          <w:szCs w:val="18"/>
          <w:color w:val="00249C"/>
        </w:rPr>
      </w:pPr>
      <w:r>
        <w:rPr>
          <w:rFonts w:ascii="Arial" w:cs="Arial" w:eastAsia="Arial" w:hAnsi="Arial"/>
          <w:sz w:val="18"/>
          <w:szCs w:val="18"/>
          <w:color w:val="auto"/>
        </w:rPr>
        <w:t>Our Communities: We invest in our communities, including providing funding and support to a wide range of for a wide range of local, national and international causes across the globe;</w:t>
      </w:r>
    </w:p>
    <w:p>
      <w:pPr>
        <w:spacing w:after="0" w:line="76" w:lineRule="exact"/>
        <w:rPr>
          <w:rFonts w:ascii="Arial" w:cs="Arial" w:eastAsia="Arial" w:hAnsi="Arial"/>
          <w:sz w:val="18"/>
          <w:szCs w:val="18"/>
          <w:color w:val="00249C"/>
        </w:rPr>
      </w:pPr>
    </w:p>
    <w:p>
      <w:pPr>
        <w:ind w:left="340" w:right="120" w:hanging="332"/>
        <w:spacing w:after="0" w:line="256" w:lineRule="auto"/>
        <w:tabs>
          <w:tab w:leader="none" w:pos="308" w:val="left"/>
        </w:tabs>
        <w:numPr>
          <w:ilvl w:val="0"/>
          <w:numId w:val="89"/>
        </w:numPr>
        <w:rPr>
          <w:rFonts w:ascii="Arial" w:cs="Arial" w:eastAsia="Arial" w:hAnsi="Arial"/>
          <w:sz w:val="18"/>
          <w:szCs w:val="18"/>
          <w:color w:val="00249C"/>
        </w:rPr>
      </w:pPr>
      <w:r>
        <w:rPr>
          <w:rFonts w:ascii="Arial" w:cs="Arial" w:eastAsia="Arial" w:hAnsi="Arial"/>
          <w:sz w:val="18"/>
          <w:szCs w:val="18"/>
          <w:color w:val="auto"/>
        </w:rPr>
        <w:t>Environment: We conduct our operations in an environmentally responsible manner, in compliance with all applicable legal requirements and Company-imposed objectives. We establish various specific environmental goals and then monitor our progress against them. We are committed to sustainability;</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5220"/>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79</w:t>
      </w:r>
    </w:p>
    <w:p>
      <w:pPr>
        <w:sectPr>
          <w:pgSz w:w="11900" w:h="16838" w:orient="portrait"/>
          <w:cols w:equalWidth="0" w:num="1">
            <w:col w:w="11240"/>
          </w:cols>
          <w:pgMar w:left="320" w:top="607" w:right="339" w:bottom="1440" w:gutter="0" w:footer="0" w:header="0"/>
          <w:type w:val="continuous"/>
        </w:sectPr>
      </w:pPr>
    </w:p>
    <w:bookmarkStart w:id="85" w:name="page86"/>
    <w:bookmarkEnd w:id="85"/>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3086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t>PROPOSAL FOUR: SHAREHOLDER PROPOSAL</w:t>
      </w:r>
    </w:p>
    <w:p>
      <w:pPr>
        <w:spacing w:after="0" w:line="200" w:lineRule="exact"/>
        <w:rPr>
          <w:sz w:val="20"/>
          <w:szCs w:val="20"/>
          <w:color w:val="auto"/>
        </w:rPr>
      </w:pPr>
    </w:p>
    <w:p>
      <w:pPr>
        <w:spacing w:after="0" w:line="375" w:lineRule="exact"/>
        <w:rPr>
          <w:sz w:val="20"/>
          <w:szCs w:val="20"/>
          <w:color w:val="auto"/>
        </w:rPr>
      </w:pPr>
    </w:p>
    <w:p>
      <w:pPr>
        <w:ind w:left="340" w:right="20" w:hanging="332"/>
        <w:spacing w:after="0" w:line="256" w:lineRule="auto"/>
        <w:tabs>
          <w:tab w:leader="none" w:pos="308" w:val="left"/>
        </w:tabs>
        <w:numPr>
          <w:ilvl w:val="0"/>
          <w:numId w:val="90"/>
        </w:numPr>
        <w:rPr>
          <w:rFonts w:ascii="Arial" w:cs="Arial" w:eastAsia="Arial" w:hAnsi="Arial"/>
          <w:sz w:val="18"/>
          <w:szCs w:val="18"/>
          <w:color w:val="00249C"/>
        </w:rPr>
      </w:pPr>
      <w:r>
        <w:rPr>
          <w:rFonts w:ascii="Arial" w:cs="Arial" w:eastAsia="Arial" w:hAnsi="Arial"/>
          <w:sz w:val="18"/>
          <w:szCs w:val="18"/>
          <w:color w:val="auto"/>
        </w:rPr>
        <w:t>Enforcement: We strive for an environment in which employees feel not only free to raise any concerns and report potential violations, but obligated to so. We maintain multiple channels for reporting and provide for prompt investigation of concerns and robust corrective actions, if needed.</w:t>
      </w:r>
    </w:p>
    <w:p>
      <w:pPr>
        <w:spacing w:after="0" w:line="8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Human Rights Working Group helps to ensure the Policy is effectively implemented. The Working Group includes senior representatives from different functions and our four business sectors. The Board of Directors, through its Policy Committee, provides further oversight of the Company’s Human Rights Policy and compliance with it. The Company provides for disclosure and transparency on the Company’s website, in the annual Proxy Statement, and in the Company’s annual Sustainability Report. The Board of Directors believes that the Company’s robust and enhanced policy, procedures, oversight and disclosure enable and demonstrate our commitment to human rights, as well as our responsiveness to shareholders.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Four Is Neither Practicable nor Constructive</w:t>
      </w:r>
    </w:p>
    <w:p>
      <w:pPr>
        <w:spacing w:after="0" w:line="12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noted above, Shareholder Proposal Four does not appear to question the Company’s commitment to human rights or the substance of our Human Rights Policy. Instead, the Proposal appears to challenge indirectly how the Company’s government customers might potentially use our products, and to require the Company somehow to anticipate, assess and disclose the risks that such potential government conduct might harm human rights.</w:t>
      </w:r>
    </w:p>
    <w:p>
      <w:pPr>
        <w:spacing w:after="0" w:line="8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Company can and does take seriously the identity of the customers to whom we can and do sell our products, and the potential consequences. As an initial matter, security and export controls limit significantly the customers to whom we can sell most of our products and services. Not surprisingly, our business is tied primarily to the US Government and U.S. Government allies. Before entering into specific contracts, the Company considers, among other things, the financial, legal, strategic, operational and reputational implications of doing so. The Company has additional procedures to review potential business activities when they involve certain countries of concern. Those procedures provide for additional focus on compliance and reputational risks, among others, before determining whether to proceed with the proposed business activity. As noted above, the Company is mindful of both intended and unintended uses of its products. The Company has at times decided not to do business in a certain country, even where it was legally permissible, after evaluating the potential risks to the Company. And, similarly, the Company has decided at times to exit or not to pursue certain businesses in light of potential risks to the Company, including risks related to potential human rights concerns.</w:t>
      </w:r>
    </w:p>
    <w:p>
      <w:pPr>
        <w:spacing w:after="0" w:line="7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Proposal Four goes beyond this, however, calling on the Company to examine and publicly report on how the US and other governments might use the products or services we provide, including in conflict, and what impacts might result to human rights. Such an effort would be impracticable and inappropriate and would not likely progress the Proponents' objectives of advancing human rights and reducing the Company's exposure to risk. It would, however, likely complicate how the Company operates on a day-to-day basis and how the Company serves its customers. It would require the Company to speculate about our customers, their current and future mission requirements and their behavior, including how our customers might use our products over time, depending on changes in policies and politics; the evolving threat environment; and what conflicts might arise, when and where. Such efforts, even if practicable, could significantly hinder the Company’s ability to operate and grow the business on a day-to-day basis, harm the Company’s reputation as a trusted partner, and create a competitive disadvantage.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10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Board of Directors and Company management share Proponents’ concern for human rights. The Company has a strong Human Rights Policy and regularly evaluates and enhances our programs to implement that policy. However, the Board does not believe that the efforts proposed by Proponents will enhance our current human rights program or be constructive. To the contrary, the Board believes strongly that the proposal is not in the best interests of the Company and our shareholders. The Board therefore opposes this proposal and unanimously recommends that it should not be adopted.</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Vote Required</w:t>
      </w:r>
    </w:p>
    <w:p>
      <w:pPr>
        <w:spacing w:after="0" w:line="12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Approval of this proposal requires that the votes cast "for" the proposal exceed the votes cast "against" the proposal. Abstentions and broker non-votes will have no effect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49465" cy="2057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05740"/>
                    </a:xfrm>
                    <a:prstGeom prst="rect">
                      <a:avLst/>
                    </a:prstGeom>
                    <a:noFill/>
                  </pic:spPr>
                </pic:pic>
              </a:graphicData>
            </a:graphic>
          </wp:anchor>
        </w:drawing>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1"/>
          <w:szCs w:val="21"/>
          <w:color w:val="00249C"/>
        </w:rPr>
        <w:t>THE BOARD OF DIRECTORS UNANIMOUSLY RECOMMENDS THAT YOU VOTE "AGAINST" PROPOSAL FOUR.</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80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1240"/>
          </w:cols>
          <w:pgMar w:left="320" w:top="607" w:right="339" w:bottom="1440" w:gutter="0" w:footer="0" w:header="0"/>
        </w:sectPr>
      </w:pPr>
    </w:p>
    <w:bookmarkStart w:id="86" w:name="page87"/>
    <w:bookmarkEnd w:id="86"/>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3086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t>PROPOSAL FIVE: SHAREHOLDER PROPOSAL</w:t>
      </w:r>
    </w:p>
    <w:p>
      <w:pPr>
        <w:spacing w:after="0" w:line="200" w:lineRule="exact"/>
        <w:rPr>
          <w:sz w:val="20"/>
          <w:szCs w:val="20"/>
          <w:color w:val="auto"/>
        </w:rPr>
      </w:pPr>
    </w:p>
    <w:p>
      <w:pPr>
        <w:spacing w:after="0" w:line="37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Mr. John Chevedden, 2215 Nelson Avenue, No. 205, Redondo Beach, California 90278, a beneficial owner of 20 shares of common stock of the Company, the proponent of a shareholder proposal, has stated that he intends to present a proposal at the Annual Meeting. The proposal and supporting statement, for which the Board of Directors accepts no responsibility, is set forth below. The Board of Directors opposes the shareholder proposal for the reasons stated below.</w:t>
      </w:r>
    </w:p>
    <w:p>
      <w:pPr>
        <w:spacing w:after="0" w:line="80" w:lineRule="exact"/>
        <w:rPr>
          <w:sz w:val="20"/>
          <w:szCs w:val="20"/>
          <w:color w:val="auto"/>
        </w:rPr>
      </w:pPr>
    </w:p>
    <w:p>
      <w:pPr>
        <w:ind w:left="20" w:right="140"/>
        <w:spacing w:after="0" w:line="243" w:lineRule="auto"/>
        <w:rPr>
          <w:sz w:val="20"/>
          <w:szCs w:val="20"/>
          <w:color w:val="auto"/>
        </w:rPr>
      </w:pPr>
      <w:r>
        <w:rPr>
          <w:rFonts w:ascii="Arial" w:cs="Arial" w:eastAsia="Arial" w:hAnsi="Arial"/>
          <w:sz w:val="25"/>
          <w:szCs w:val="25"/>
          <w:b w:val="1"/>
          <w:bCs w:val="1"/>
          <w:color w:val="auto"/>
        </w:rPr>
        <w:t>Proposal Five: Shareholder Proposal to Move to 10% Ownership Threshold for Shareholders to Request Action by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5 - Improve Shareholder Written Consent</w:t>
      </w:r>
    </w:p>
    <w:p>
      <w:pPr>
        <w:spacing w:after="0" w:line="126"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Shareholders request our board of directors take the steps necessary to enable 10% of shares to request a record date to initiate written consent.</w:t>
      </w:r>
    </w:p>
    <w:p>
      <w:pPr>
        <w:spacing w:after="0" w:line="6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Currently it takes the formal backing 30% of all shares that normally cast ballots at the annual meeting to do so little ask for a record date for written consent. Requiring the formal backing 30% of shares to do so little ask for a record date cuts shareholders off at the knees.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Why would anyone use the current written consent when the same 30% of shares can call a special meeting and succeed with a 51%-vote?</w:t>
      </w:r>
    </w:p>
    <w:p>
      <w:pPr>
        <w:spacing w:after="0" w:line="104"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Any action taken by written consent would still need 60% supermajority approval from the shares that normally cast ballots at the annual meeting. This 60% vote requirement gives overwhelming supermajority protection to management accountability.</w:t>
      </w:r>
    </w:p>
    <w:p>
      <w:pPr>
        <w:spacing w:after="0" w:line="6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Enabling 10% of shares to apply for a record date for written consent makes sense because scores of companies do not even require 01% of stock ownership to do so little as request a record date.</w:t>
      </w:r>
    </w:p>
    <w:p>
      <w:pPr>
        <w:spacing w:after="0" w:line="7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Taking action by written consent is a means shareholders can use to raise important matters outside the normal annual meeting cycle like the election of the new director. For instance shareholders might determine that a poor performing director is in need of replacement. This proposal would serve as an added motivator for good director performance as measured by the number of negative votes announced on EDGAR within 4-days of the annual meeting.</w:t>
      </w:r>
    </w:p>
    <w:p>
      <w:pPr>
        <w:spacing w:after="0" w:line="82"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Now more than ever shareholders need a more viable option to take action outside of a shareholder meeting since online shareholder meetings are a management accountability and shareholder engagement wasteland.</w:t>
      </w:r>
    </w:p>
    <w:p>
      <w:pPr>
        <w:spacing w:after="0" w:line="63"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With a near universal use of online annual shareholder meetings, which can be only 10-minutes of stilted formalities, shareholders no longer have the right for engagement with other shareholders, management and directors at a shareholder meeting. Special shareholder meetings can now be online meetings which have an inferior format to even a Zoom meeting.</w:t>
      </w:r>
    </w:p>
    <w:p>
      <w:pPr>
        <w:spacing w:after="0" w:line="8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Shareholders are also severely restricted in making their views known at online shareholder meetings because all challenging questions and comments can be screened out by management.</w:t>
      </w:r>
    </w:p>
    <w:p>
      <w:pPr>
        <w:spacing w:after="0" w:line="76" w:lineRule="exact"/>
        <w:rPr>
          <w:sz w:val="20"/>
          <w:szCs w:val="20"/>
          <w:color w:val="auto"/>
        </w:rPr>
      </w:pPr>
    </w:p>
    <w:p>
      <w:pPr>
        <w:ind w:right="920"/>
        <w:spacing w:after="0" w:line="261" w:lineRule="auto"/>
        <w:rPr>
          <w:sz w:val="20"/>
          <w:szCs w:val="20"/>
          <w:color w:val="auto"/>
        </w:rPr>
      </w:pPr>
      <w:r>
        <w:rPr>
          <w:rFonts w:ascii="Arial" w:cs="Arial" w:eastAsia="Arial" w:hAnsi="Arial"/>
          <w:sz w:val="18"/>
          <w:szCs w:val="18"/>
          <w:color w:val="auto"/>
        </w:rPr>
        <w:t>For instance the Goodyear shareholder meeting was spoiled by a trigger-happy management mute button that was used to quash constructive shareholder criticism. AT&amp;T, with 3000 institutional shareholders, would not even allow shareholders to speak.</w:t>
      </w:r>
    </w:p>
    <w:p>
      <w:pPr>
        <w:spacing w:after="0" w:line="6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And even if Northrop Grumman management pledges to follow best practices in conducting an online shareholder meeting management can change abruptly when storm clouds appear due to subpar management performance.</w:t>
      </w:r>
    </w:p>
    <w:p>
      <w:pPr>
        <w:spacing w:after="0" w:line="76"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Now more than ever shareholders need a more viable option to take action outside of a shareholder meeting since online shareholder meetings are a management accountability and shareholder engagement wasteland.</w:t>
      </w:r>
    </w:p>
    <w:p>
      <w:pPr>
        <w:spacing w:after="0" w:line="5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Proposal 5 - Improve Shareholder Written Consent</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Board of Directors' Statement in Opposition to Proposal Five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unanimously recommends that shareholders vote against this Proposal Five.</w:t>
      </w:r>
    </w:p>
    <w:p>
      <w:pPr>
        <w:spacing w:after="0" w:line="11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In 2012, after thoughtful deliberation with the benefit of significant input from our shareholders, the Board of Directors recommended, and shareholders overwhelmingly approved, amendments to the Company’s Certificate of Incorporation and Bylaws to adopt robust and well-balanced provisions for the right of shareholders to act by written consent. Among other things, these provisions provide for shareholders holding in aggregate 25% or more of the Company’s outstanding shares of common stock the right to act by written consent. In addition, our shareholders have the right to call a special meeting, to submit proposals to be considered at our annual meeting, to nominate directors through proxy access, and to meet with our directors and members of management. As this inclusive governance structure would suggest, our Board of Directors is, and has long been, committed to ensuring our shareholders have broad and meaningful rights to provide input and to influence the direction of our Company, and to do so in a way that respects the interests of all shareholders and enhances the Company’s ability to create long-term value. This</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5220"/>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81</w:t>
      </w:r>
    </w:p>
    <w:p>
      <w:pPr>
        <w:sectPr>
          <w:pgSz w:w="11900" w:h="16838" w:orient="portrait"/>
          <w:cols w:equalWidth="0" w:num="1">
            <w:col w:w="11240"/>
          </w:cols>
          <w:pgMar w:left="320" w:top="607" w:right="339" w:bottom="1440" w:gutter="0" w:footer="0" w:header="0"/>
          <w:type w:val="continuous"/>
        </w:sectPr>
      </w:pPr>
    </w:p>
    <w:bookmarkStart w:id="87" w:name="page88"/>
    <w:bookmarkEnd w:id="87"/>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3086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t>PROPOSAL FIVE: SHAREHOLDER PROPOSAL</w:t>
      </w:r>
    </w:p>
    <w:p>
      <w:pPr>
        <w:spacing w:after="0" w:line="200" w:lineRule="exact"/>
        <w:rPr>
          <w:sz w:val="20"/>
          <w:szCs w:val="20"/>
          <w:color w:val="auto"/>
        </w:rPr>
      </w:pPr>
    </w:p>
    <w:p>
      <w:pPr>
        <w:spacing w:after="0" w:line="375"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Proposal Five - which recommends reducing the threshold to seek action by written consent significantly from 25% to only 10% of the Company’s outstanding shares - is inaccurate, unnecessary and ill-advised.</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an initial matter, Proposal Five is difficult to follow, at best, and replete with significant errors. The Proponent seems to suggest that because many companies felt compelled to host a virtual shareholder meetings in the spring of 2020 – to protect health and well-being during the COVID-19 pandemic – shareholders “no longer have the right for engagement with other shareholders, management and directors at a</w:t>
      </w:r>
    </w:p>
    <w:p>
      <w:pPr>
        <w:spacing w:after="0" w:line="26" w:lineRule="exact"/>
        <w:rPr>
          <w:sz w:val="20"/>
          <w:szCs w:val="20"/>
          <w:color w:val="auto"/>
        </w:rPr>
      </w:pPr>
    </w:p>
    <w:p>
      <w:pPr>
        <w:jc w:val="both"/>
        <w:ind w:right="40"/>
        <w:spacing w:after="0" w:line="297" w:lineRule="auto"/>
        <w:rPr>
          <w:sz w:val="20"/>
          <w:szCs w:val="20"/>
          <w:color w:val="auto"/>
        </w:rPr>
      </w:pPr>
      <w:r>
        <w:rPr>
          <w:rFonts w:ascii="Arial" w:cs="Arial" w:eastAsia="Arial" w:hAnsi="Arial"/>
          <w:sz w:val="18"/>
          <w:szCs w:val="18"/>
          <w:color w:val="auto"/>
        </w:rPr>
        <w:t>shareholder meeting” and, therefore, holders of 10% should be able to initiate action by written consent. The Proponent suggests further that it would, in any event, take approval by a 60% supermajority to approve the action. The Proponent also suggests that it would currently take holders of 30% of the shares to initiate action. This logic is flawed and the underlying “facts” are inaccurate. Shareholders, and indeed the</w:t>
      </w:r>
    </w:p>
    <w:p>
      <w:pPr>
        <w:spacing w:after="0" w:line="1"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Proponent himself, engaged with management and directors at our 2020 annual meeting; Northrop Grumman does not require a supermajority to approve action by written consent (a simple majority suffices); and Northrop Grumman does not currently require holders of</w:t>
      </w:r>
    </w:p>
    <w:p>
      <w:pPr>
        <w:ind w:right="440"/>
        <w:spacing w:after="0" w:line="256" w:lineRule="auto"/>
        <w:rPr>
          <w:sz w:val="20"/>
          <w:szCs w:val="20"/>
          <w:color w:val="auto"/>
        </w:rPr>
      </w:pPr>
      <w:r>
        <w:rPr>
          <w:rFonts w:ascii="Arial" w:cs="Arial" w:eastAsia="Arial" w:hAnsi="Arial"/>
          <w:sz w:val="18"/>
          <w:szCs w:val="18"/>
          <w:color w:val="auto"/>
        </w:rPr>
        <w:t>30% to initiate action (the current standard is 25%). Moreover, even if these assertions were correct, it would not follow that because companies adopted virtual shareholder meetings this past year to protect their directors, employees and shareholders, our board should reduce the threshold for action by written consent.</w:t>
      </w:r>
    </w:p>
    <w:p>
      <w:pPr>
        <w:spacing w:after="0" w:line="6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To the contrary, and as noted above, the Board believes it is both unnecessary and unwise to lower the threshold from 25% to 10% to take action by written consent. In framing the provisions for written consent in 2012, the Board sought and was guided by input from our</w:t>
      </w:r>
    </w:p>
    <w:p>
      <w:pPr>
        <w:spacing w:after="0" w:line="9" w:lineRule="exact"/>
        <w:rPr>
          <w:sz w:val="20"/>
          <w:szCs w:val="20"/>
          <w:color w:val="auto"/>
        </w:rPr>
      </w:pPr>
    </w:p>
    <w:p>
      <w:pPr>
        <w:ind w:right="220"/>
        <w:spacing w:after="0" w:line="290" w:lineRule="auto"/>
        <w:rPr>
          <w:sz w:val="20"/>
          <w:szCs w:val="20"/>
          <w:color w:val="auto"/>
        </w:rPr>
      </w:pPr>
      <w:r>
        <w:rPr>
          <w:rFonts w:ascii="Arial" w:cs="Arial" w:eastAsia="Arial" w:hAnsi="Arial"/>
          <w:sz w:val="17"/>
          <w:szCs w:val="17"/>
          <w:color w:val="auto"/>
        </w:rPr>
        <w:t>shareholders. Our shareholders expressed support for such provisions generally, but also cautioned that the right of shareholders to act by written consent should be balanced and structured so as to ensure an orderly and transparent process, guard against misuse, protect the</w:t>
      </w:r>
    </w:p>
    <w:p>
      <w:pPr>
        <w:ind w:right="60"/>
        <w:spacing w:after="0" w:line="286" w:lineRule="auto"/>
        <w:rPr>
          <w:sz w:val="20"/>
          <w:szCs w:val="20"/>
          <w:color w:val="auto"/>
        </w:rPr>
      </w:pPr>
      <w:r>
        <w:rPr>
          <w:rFonts w:ascii="Arial" w:cs="Arial" w:eastAsia="Arial" w:hAnsi="Arial"/>
          <w:sz w:val="17"/>
          <w:szCs w:val="17"/>
          <w:color w:val="auto"/>
        </w:rPr>
        <w:t>interests of all shareholders, and promote good governance, all so as to enhance long-term value for our shareholders. Almost 80% of our shareholders supported the Company’s proposal to implement written consent at the 25% threshold. In 2020, when the Proponent presented a broadly similar shareholder proposal to reduce the ownership threshold to 3%, our shareholders overwhelmingly voted against it.</w:t>
      </w:r>
    </w:p>
    <w:p>
      <w:pPr>
        <w:spacing w:after="0" w:line="5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Board continues to believe that our provisions for written consent remain well aligned with our shareholders’ perspectives, best practices and the Company’s best interests. The Board believes they balance and promote the interests of all our shareholders, particularly in the</w:t>
      </w:r>
    </w:p>
    <w:p>
      <w:pPr>
        <w:spacing w:after="0" w:line="2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context of our broader governance construct. Proponent’s Proposal Five, if adopted, could result in a small minority of shareholders, potentially with narrow, short-term interests, requesting action by written consent to pursue matters that as many as 90% of shareholders may view as inappropriate for action, without regard to how the costs and other burdens might impact the interests of the Company and the</w:t>
      </w:r>
    </w:p>
    <w:p>
      <w:pPr>
        <w:spacing w:after="0" w:line="2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vast majority of shareholders. We value and benefit from extensive and regular feedback from our shareholders. But we do not believe this Proposal, or such a reduced threshold is necessary or appropriate to enable shareholders to bring matters of concern to the Company’s</w:t>
      </w:r>
    </w:p>
    <w:p>
      <w:pPr>
        <w:spacing w:after="0" w:line="22"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color w:val="auto"/>
        </w:rPr>
        <w:t>attention. As noted above, the Board is committed to facilitating shareholder input, and already provides numerous such opportunities, including through proxy access, the right to call a special meeting, and opportunities to discuss matters directly with the Board and management.</w:t>
      </w:r>
    </w:p>
    <w:p>
      <w:pPr>
        <w:spacing w:after="0" w:line="8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Recognizing the substantial administrative and financial burdens that maintaining and expanding the stockholder written consent process could impose on the Company and its shareholders, the Board believes that the Company’s existing 25% threshold strikes the appropriate balance between providing shareholders a meaningful mechanism to influence the direction of the Company and protecting against the risk that a small group of shareholders seek to act by shareholder written consent on matters that serve only a narrow agenda not favored by the majority of shareholders. The Proponent’s shareholder Proposal Five to lower the threshold to request shareholder action by written consent to 10% would undermine the balance our Board sought to preserve, which was supported by nearly 80% of our shareholders, create conditions for costly and needless processes that do not serve the interests of many, increase risks to the Company and shareholders, and detract from effective corporate governance.</w:t>
      </w:r>
    </w:p>
    <w:p>
      <w:pPr>
        <w:spacing w:after="0" w:line="7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Finally, we note that the Company’s current 25% threshold is consistent with best practices not only in our industry, but across industries. The majority of S&amp;P 250 do not provide for the explicit right to act by written consent at all. And among those that do, the Company’s current 25% threshold is one of the more common thresholds found in corporate governance documents.</w:t>
      </w:r>
    </w:p>
    <w:p>
      <w:pPr>
        <w:spacing w:after="0" w:line="80"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As we continue to engage with our shareholders, we remain confident that our provisions for shareholders to act by written consent, including the 25% ownership threshold, are consistent with best practices, provide our shareholders with meaningful and appropriate rights, and</w:t>
      </w:r>
    </w:p>
    <w:p>
      <w:pPr>
        <w:ind w:right="80"/>
        <w:spacing w:after="0" w:line="256" w:lineRule="auto"/>
        <w:rPr>
          <w:sz w:val="20"/>
          <w:szCs w:val="20"/>
          <w:color w:val="auto"/>
        </w:rPr>
      </w:pPr>
      <w:r>
        <w:rPr>
          <w:rFonts w:ascii="Arial" w:cs="Arial" w:eastAsia="Arial" w:hAnsi="Arial"/>
          <w:sz w:val="18"/>
          <w:szCs w:val="18"/>
          <w:color w:val="auto"/>
        </w:rPr>
        <w:t>balance the need to protect the interests of all of our shareholders. This right is an important element of a broader set of governance rights and principles that together, ensure meaningful engagement and effective oversight in the interests of all our shareholders. The Board believes that adoption of shareholder Proposal Five is unnecessary and contrary to the best interests of the Company and our shareholders.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1240"/>
          </w:cols>
          <w:pgMar w:left="320" w:top="607" w:right="339" w:bottom="1440" w:gutter="0" w:footer="0" w:header="0"/>
        </w:sectPr>
      </w:pPr>
    </w:p>
    <w:bookmarkStart w:id="88" w:name="page89"/>
    <w:bookmarkEnd w:id="88"/>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3086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t>PROPOSAL FIVE: SHAREHOLDER PROPOSAL</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Vote Required</w:t>
      </w:r>
    </w:p>
    <w:p>
      <w:pPr>
        <w:spacing w:after="0" w:line="12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Approval of this proposal requires that the votes cast "for" the proposal exceed the votes cast "against" the proposal. Abstentions and broker non-votes will have no effect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57785</wp:posOffset>
            </wp:positionV>
            <wp:extent cx="7149465" cy="2057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05740"/>
                    </a:xfrm>
                    <a:prstGeom prst="rect">
                      <a:avLst/>
                    </a:prstGeom>
                    <a:noFill/>
                  </pic:spPr>
                </pic:pic>
              </a:graphicData>
            </a:graphic>
          </wp:anchor>
        </w:drawing>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1"/>
          <w:szCs w:val="21"/>
          <w:color w:val="00249C"/>
        </w:rPr>
        <w:t>THE BOARD OF DIRECTORS UNANIMOUSLY RECOMMENDS THAT YOU VOTE "AGAINST" PROPOSAL FIVE.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83</w:t>
      </w:r>
    </w:p>
    <w:p>
      <w:pPr>
        <w:sectPr>
          <w:pgSz w:w="11900" w:h="16838" w:orient="portrait"/>
          <w:cols w:equalWidth="0" w:num="1">
            <w:col w:w="11240"/>
          </w:cols>
          <w:pgMar w:left="320" w:top="607" w:right="339" w:bottom="1440" w:gutter="0" w:footer="0" w:header="0"/>
        </w:sectPr>
      </w:pPr>
    </w:p>
    <w:bookmarkStart w:id="89" w:name="page90"/>
    <w:bookmarkEnd w:id="89"/>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53149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QUESTIONS AND ANSWERS ABOUT THE ANNUAL MEETING</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Why did I receive a "Notice of Internet Availability of Proxy Materials" but not a full set of proxy materials?</w:t>
      </w:r>
    </w:p>
    <w:p>
      <w:pPr>
        <w:spacing w:after="0" w:line="10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distribute our proxy materials to shareholders via the internet under the "Notice and Access" approach permitted by the rules of the SEC. This approach reduces the environmental impact of the Annual Meeting and our distribution costs, while providing a timely and convenient method of accessing the proxy materials and voting. On April 2, 2021, we mailed a "Notice of Internet Availability of Proxy Materials" to participating shareholders, containing instructions on how to access the proxy materials.</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 is entitled to vote at the Annual Meeting?</w:t>
      </w:r>
    </w:p>
    <w:p>
      <w:pPr>
        <w:spacing w:after="0" w:line="12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You may vote your shares of our common stock if you owned your shares as of the close of business on March 23, 2021 (Record Date). As of the Record Date, there were 160,962,047 shares of our common stock outstanding. You may cast one vote for each share of common stock you hold as of the Record Date on all matters presented.</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many votes must be present to hold the Annual Meeting?</w:t>
      </w:r>
    </w:p>
    <w:p>
      <w:pPr>
        <w:spacing w:after="0" w:line="1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presence virtually or by proxy of the holders of a majority of the shares entitled to vote at the Annual Meeting will constitute a quorum at the Annual Meeting. Persons returning executed proxy cards will be counted as present for purposes of establishing a quorum even if they abstain from voting on any or all proposals. Shares held by brokers who vote such shares on any proposal and broker non-votes will be counted as present for purposes of establishing a quorum.</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can I receive a paper copy of the proxy materials?</w:t>
      </w:r>
    </w:p>
    <w:p>
      <w:pPr>
        <w:spacing w:after="0" w:line="10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Instead of mailing a printed copy of this Proxy Statement and accompanying materials to each shareholder of record, we have elected to provide a Notice of Internet Availability of Proxy Materials (Notice) as permitted by the rules of the SEC. The Notice instructs you as to how you may access and review all of the proxy materials and how you may provide your proxy. If you would like to receive a printed or electronic copy of this Proxy Statement and accompanying materials, you must follow the instructions for requesting such materials included in the Notice.</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am I being asked to vote on and what are the Board of Directors' recommendations?</w:t>
      </w:r>
    </w:p>
    <w:p>
      <w:pPr>
        <w:spacing w:after="0" w:line="12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lists the proposals scheduled to be voted on, the vote required for approval of each proposal and the effect of abstentions and broker non-votes: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Proposal</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9"/>
              </w:rPr>
              <w:t>Board</w:t>
            </w:r>
          </w:p>
        </w:tc>
        <w:tc>
          <w:tcPr>
            <w:tcW w:w="19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Vote Required</w:t>
            </w:r>
          </w:p>
        </w:tc>
        <w:tc>
          <w:tcPr>
            <w:tcW w:w="12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Abstentions</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rPr>
              <w:t>Broker Non-</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rPr>
              <w:t>Unmarked Proxy</w:t>
            </w:r>
          </w:p>
        </w:tc>
        <w:tc>
          <w:tcPr>
            <w:tcW w:w="0" w:type="dxa"/>
            <w:vAlign w:val="bottom"/>
          </w:tcPr>
          <w:p>
            <w:pPr>
              <w:spacing w:after="0"/>
              <w:rPr>
                <w:sz w:val="1"/>
                <w:szCs w:val="1"/>
                <w:color w:val="auto"/>
              </w:rPr>
            </w:pPr>
          </w:p>
        </w:tc>
      </w:tr>
      <w:tr>
        <w:trPr>
          <w:trHeight w:val="215"/>
        </w:trPr>
        <w:tc>
          <w:tcPr>
            <w:tcW w:w="3280" w:type="dxa"/>
            <w:vAlign w:val="bottom"/>
            <w:vMerge w:val="continue"/>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rPr>
              <w:t>Recommendation</w:t>
            </w:r>
          </w:p>
        </w:tc>
        <w:tc>
          <w:tcPr>
            <w:tcW w:w="190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6"/>
              </w:rPr>
              <w:t>Votes</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rPr>
              <w:t>Cards</w:t>
            </w:r>
          </w:p>
        </w:tc>
        <w:tc>
          <w:tcPr>
            <w:tcW w:w="0" w:type="dxa"/>
            <w:vAlign w:val="bottom"/>
          </w:tcPr>
          <w:p>
            <w:pPr>
              <w:spacing w:after="0"/>
              <w:rPr>
                <w:sz w:val="1"/>
                <w:szCs w:val="1"/>
                <w:color w:val="auto"/>
              </w:rPr>
            </w:pPr>
          </w:p>
        </w:tc>
      </w:tr>
      <w:tr>
        <w:trPr>
          <w:trHeight w:val="96"/>
        </w:trPr>
        <w:tc>
          <w:tcPr>
            <w:tcW w:w="3280" w:type="dxa"/>
            <w:vAlign w:val="bottom"/>
            <w:tcBorders>
              <w:bottom w:val="single" w:sz="8" w:color="00249C"/>
            </w:tcBorders>
          </w:tcPr>
          <w:p>
            <w:pPr>
              <w:spacing w:after="0"/>
              <w:rPr>
                <w:sz w:val="8"/>
                <w:szCs w:val="8"/>
                <w:color w:val="auto"/>
              </w:rPr>
            </w:pPr>
          </w:p>
        </w:tc>
        <w:tc>
          <w:tcPr>
            <w:tcW w:w="1740" w:type="dxa"/>
            <w:vAlign w:val="bottom"/>
            <w:tcBorders>
              <w:bottom w:val="single" w:sz="8" w:color="00249C"/>
            </w:tcBorders>
          </w:tcPr>
          <w:p>
            <w:pPr>
              <w:spacing w:after="0"/>
              <w:rPr>
                <w:sz w:val="8"/>
                <w:szCs w:val="8"/>
                <w:color w:val="auto"/>
              </w:rPr>
            </w:pPr>
          </w:p>
        </w:tc>
        <w:tc>
          <w:tcPr>
            <w:tcW w:w="1900" w:type="dxa"/>
            <w:vAlign w:val="bottom"/>
            <w:tcBorders>
              <w:bottom w:val="single" w:sz="8" w:color="00249C"/>
            </w:tcBorders>
          </w:tcPr>
          <w:p>
            <w:pPr>
              <w:spacing w:after="0"/>
              <w:rPr>
                <w:sz w:val="8"/>
                <w:szCs w:val="8"/>
                <w:color w:val="auto"/>
              </w:rPr>
            </w:pPr>
          </w:p>
        </w:tc>
        <w:tc>
          <w:tcPr>
            <w:tcW w:w="1260" w:type="dxa"/>
            <w:vAlign w:val="bottom"/>
            <w:tcBorders>
              <w:bottom w:val="single" w:sz="8" w:color="00249C"/>
            </w:tcBorders>
          </w:tcPr>
          <w:p>
            <w:pPr>
              <w:spacing w:after="0"/>
              <w:rPr>
                <w:sz w:val="8"/>
                <w:szCs w:val="8"/>
                <w:color w:val="auto"/>
              </w:rPr>
            </w:pPr>
          </w:p>
        </w:tc>
        <w:tc>
          <w:tcPr>
            <w:tcW w:w="1300" w:type="dxa"/>
            <w:vAlign w:val="bottom"/>
            <w:tcBorders>
              <w:bottom w:val="single" w:sz="8" w:color="00249C"/>
            </w:tcBorders>
          </w:tcPr>
          <w:p>
            <w:pPr>
              <w:spacing w:after="0"/>
              <w:rPr>
                <w:sz w:val="8"/>
                <w:szCs w:val="8"/>
                <w:color w:val="auto"/>
              </w:rPr>
            </w:pPr>
          </w:p>
        </w:tc>
        <w:tc>
          <w:tcPr>
            <w:tcW w:w="1720" w:type="dxa"/>
            <w:vAlign w:val="bottom"/>
            <w:tcBorders>
              <w:bottom w:val="single" w:sz="8" w:color="00249C"/>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3280" w:type="dxa"/>
            <w:vAlign w:val="bottom"/>
          </w:tcPr>
          <w:p>
            <w:pPr>
              <w:ind w:left="20"/>
              <w:spacing w:after="0"/>
              <w:rPr>
                <w:sz w:val="20"/>
                <w:szCs w:val="20"/>
                <w:color w:val="auto"/>
              </w:rPr>
            </w:pPr>
            <w:r>
              <w:rPr>
                <w:rFonts w:ascii="Arial" w:cs="Arial" w:eastAsia="Arial" w:hAnsi="Arial"/>
                <w:sz w:val="16"/>
                <w:szCs w:val="16"/>
                <w:color w:val="auto"/>
              </w:rPr>
              <w:t>Election of Directors</w:t>
            </w:r>
          </w:p>
        </w:tc>
        <w:tc>
          <w:tcPr>
            <w:tcW w:w="1740" w:type="dxa"/>
            <w:vAlign w:val="bottom"/>
          </w:tcPr>
          <w:p>
            <w:pPr>
              <w:jc w:val="center"/>
              <w:spacing w:after="0"/>
              <w:rPr>
                <w:sz w:val="20"/>
                <w:szCs w:val="20"/>
                <w:color w:val="auto"/>
              </w:rPr>
            </w:pPr>
            <w:r>
              <w:rPr>
                <w:rFonts w:ascii="Arial" w:cs="Arial" w:eastAsia="Arial" w:hAnsi="Arial"/>
                <w:sz w:val="16"/>
                <w:szCs w:val="16"/>
                <w:b w:val="1"/>
                <w:bCs w:val="1"/>
                <w:color w:val="00249C"/>
              </w:rPr>
              <w:t>FOR</w:t>
            </w:r>
          </w:p>
        </w:tc>
        <w:tc>
          <w:tcPr>
            <w:tcW w:w="1900" w:type="dxa"/>
            <w:vAlign w:val="bottom"/>
          </w:tcPr>
          <w:p>
            <w:pPr>
              <w:jc w:val="center"/>
              <w:spacing w:after="0"/>
              <w:rPr>
                <w:sz w:val="20"/>
                <w:szCs w:val="20"/>
                <w:color w:val="auto"/>
              </w:rPr>
            </w:pPr>
            <w:r>
              <w:rPr>
                <w:rFonts w:ascii="Arial" w:cs="Arial" w:eastAsia="Arial" w:hAnsi="Arial"/>
                <w:sz w:val="16"/>
                <w:szCs w:val="16"/>
                <w:color w:val="auto"/>
              </w:rPr>
              <w:t>Majority of votes cast</w:t>
            </w:r>
          </w:p>
        </w:tc>
        <w:tc>
          <w:tcPr>
            <w:tcW w:w="1260" w:type="dxa"/>
            <w:vAlign w:val="bottom"/>
          </w:tcPr>
          <w:p>
            <w:pPr>
              <w:jc w:val="center"/>
              <w:spacing w:after="0"/>
              <w:rPr>
                <w:sz w:val="20"/>
                <w:szCs w:val="20"/>
                <w:color w:val="auto"/>
              </w:rPr>
            </w:pPr>
            <w:r>
              <w:rPr>
                <w:rFonts w:ascii="Arial" w:cs="Arial" w:eastAsia="Arial" w:hAnsi="Arial"/>
                <w:sz w:val="16"/>
                <w:szCs w:val="16"/>
                <w:color w:val="auto"/>
              </w:rPr>
              <w:t>No effect</w:t>
            </w:r>
          </w:p>
        </w:tc>
        <w:tc>
          <w:tcPr>
            <w:tcW w:w="1300" w:type="dxa"/>
            <w:vAlign w:val="bottom"/>
          </w:tcPr>
          <w:p>
            <w:pPr>
              <w:jc w:val="center"/>
              <w:spacing w:after="0"/>
              <w:rPr>
                <w:sz w:val="20"/>
                <w:szCs w:val="20"/>
                <w:color w:val="auto"/>
              </w:rPr>
            </w:pPr>
            <w:r>
              <w:rPr>
                <w:rFonts w:ascii="Arial" w:cs="Arial" w:eastAsia="Arial" w:hAnsi="Arial"/>
                <w:sz w:val="16"/>
                <w:szCs w:val="16"/>
                <w:color w:val="auto"/>
              </w:rPr>
              <w:t>No effect</w:t>
            </w:r>
          </w:p>
        </w:tc>
        <w:tc>
          <w:tcPr>
            <w:tcW w:w="1720" w:type="dxa"/>
            <w:vAlign w:val="bottom"/>
          </w:tcPr>
          <w:p>
            <w:pPr>
              <w:jc w:val="center"/>
              <w:spacing w:after="0"/>
              <w:rPr>
                <w:sz w:val="20"/>
                <w:szCs w:val="20"/>
                <w:color w:val="auto"/>
              </w:rPr>
            </w:pPr>
            <w:r>
              <w:rPr>
                <w:rFonts w:ascii="Arial" w:cs="Arial" w:eastAsia="Arial" w:hAnsi="Arial"/>
                <w:sz w:val="16"/>
                <w:szCs w:val="16"/>
                <w:color w:val="auto"/>
              </w:rPr>
              <w:t>Voted "FOR"</w:t>
            </w:r>
          </w:p>
        </w:tc>
        <w:tc>
          <w:tcPr>
            <w:tcW w:w="0" w:type="dxa"/>
            <w:vAlign w:val="bottom"/>
          </w:tcPr>
          <w:p>
            <w:pPr>
              <w:spacing w:after="0"/>
              <w:rPr>
                <w:sz w:val="1"/>
                <w:szCs w:val="1"/>
                <w:color w:val="auto"/>
              </w:rPr>
            </w:pPr>
          </w:p>
        </w:tc>
      </w:tr>
      <w:tr>
        <w:trPr>
          <w:trHeight w:val="252"/>
        </w:trPr>
        <w:tc>
          <w:tcPr>
            <w:tcW w:w="3280" w:type="dxa"/>
            <w:vAlign w:val="bottom"/>
          </w:tcPr>
          <w:p>
            <w:pPr>
              <w:ind w:left="20"/>
              <w:spacing w:after="0"/>
              <w:rPr>
                <w:sz w:val="20"/>
                <w:szCs w:val="20"/>
                <w:color w:val="auto"/>
              </w:rPr>
            </w:pPr>
            <w:r>
              <w:rPr>
                <w:rFonts w:ascii="Arial" w:cs="Arial" w:eastAsia="Arial" w:hAnsi="Arial"/>
                <w:sz w:val="16"/>
                <w:szCs w:val="16"/>
                <w:b w:val="1"/>
                <w:bCs w:val="1"/>
                <w:i w:val="1"/>
                <w:iCs w:val="1"/>
                <w:color w:val="00249C"/>
              </w:rPr>
              <w:t>(Proposal One)</w:t>
            </w:r>
          </w:p>
        </w:tc>
        <w:tc>
          <w:tcPr>
            <w:tcW w:w="17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328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3280" w:type="dxa"/>
            <w:vAlign w:val="bottom"/>
          </w:tcPr>
          <w:p>
            <w:pPr>
              <w:ind w:left="20"/>
              <w:spacing w:after="0" w:line="171" w:lineRule="exact"/>
              <w:rPr>
                <w:sz w:val="20"/>
                <w:szCs w:val="20"/>
                <w:color w:val="auto"/>
              </w:rPr>
            </w:pPr>
            <w:r>
              <w:rPr>
                <w:rFonts w:ascii="Arial" w:cs="Arial" w:eastAsia="Arial" w:hAnsi="Arial"/>
                <w:sz w:val="16"/>
                <w:szCs w:val="16"/>
                <w:color w:val="auto"/>
              </w:rPr>
              <w:t>Advisory Vote on Compensation of Named</w:t>
            </w:r>
          </w:p>
        </w:tc>
        <w:tc>
          <w:tcPr>
            <w:tcW w:w="1740" w:type="dxa"/>
            <w:vAlign w:val="bottom"/>
          </w:tcPr>
          <w:p>
            <w:pPr>
              <w:jc w:val="center"/>
              <w:spacing w:after="0" w:line="171" w:lineRule="exact"/>
              <w:rPr>
                <w:sz w:val="20"/>
                <w:szCs w:val="20"/>
                <w:color w:val="auto"/>
              </w:rPr>
            </w:pPr>
            <w:r>
              <w:rPr>
                <w:rFonts w:ascii="Arial" w:cs="Arial" w:eastAsia="Arial" w:hAnsi="Arial"/>
                <w:sz w:val="16"/>
                <w:szCs w:val="16"/>
                <w:b w:val="1"/>
                <w:bCs w:val="1"/>
                <w:color w:val="00249C"/>
              </w:rPr>
              <w:t>FOR</w:t>
            </w:r>
          </w:p>
        </w:tc>
        <w:tc>
          <w:tcPr>
            <w:tcW w:w="1900" w:type="dxa"/>
            <w:vAlign w:val="bottom"/>
          </w:tcPr>
          <w:p>
            <w:pPr>
              <w:jc w:val="center"/>
              <w:spacing w:after="0" w:line="171" w:lineRule="exact"/>
              <w:rPr>
                <w:sz w:val="20"/>
                <w:szCs w:val="20"/>
                <w:color w:val="auto"/>
              </w:rPr>
            </w:pPr>
            <w:r>
              <w:rPr>
                <w:rFonts w:ascii="Arial" w:cs="Arial" w:eastAsia="Arial" w:hAnsi="Arial"/>
                <w:sz w:val="16"/>
                <w:szCs w:val="16"/>
                <w:color w:val="auto"/>
              </w:rPr>
              <w:t>Majority of votes cast</w:t>
            </w:r>
          </w:p>
        </w:tc>
        <w:tc>
          <w:tcPr>
            <w:tcW w:w="1260" w:type="dxa"/>
            <w:vAlign w:val="bottom"/>
          </w:tcPr>
          <w:p>
            <w:pPr>
              <w:jc w:val="center"/>
              <w:spacing w:after="0" w:line="171" w:lineRule="exact"/>
              <w:rPr>
                <w:sz w:val="20"/>
                <w:szCs w:val="20"/>
                <w:color w:val="auto"/>
              </w:rPr>
            </w:pPr>
            <w:r>
              <w:rPr>
                <w:rFonts w:ascii="Arial" w:cs="Arial" w:eastAsia="Arial" w:hAnsi="Arial"/>
                <w:sz w:val="16"/>
                <w:szCs w:val="16"/>
                <w:color w:val="auto"/>
              </w:rPr>
              <w:t>No effect</w:t>
            </w:r>
          </w:p>
        </w:tc>
        <w:tc>
          <w:tcPr>
            <w:tcW w:w="1300" w:type="dxa"/>
            <w:vAlign w:val="bottom"/>
          </w:tcPr>
          <w:p>
            <w:pPr>
              <w:jc w:val="center"/>
              <w:spacing w:after="0" w:line="171" w:lineRule="exact"/>
              <w:rPr>
                <w:sz w:val="20"/>
                <w:szCs w:val="20"/>
                <w:color w:val="auto"/>
              </w:rPr>
            </w:pPr>
            <w:r>
              <w:rPr>
                <w:rFonts w:ascii="Arial" w:cs="Arial" w:eastAsia="Arial" w:hAnsi="Arial"/>
                <w:sz w:val="16"/>
                <w:szCs w:val="16"/>
                <w:color w:val="auto"/>
              </w:rPr>
              <w:t>No effect</w:t>
            </w:r>
          </w:p>
        </w:tc>
        <w:tc>
          <w:tcPr>
            <w:tcW w:w="1720" w:type="dxa"/>
            <w:vAlign w:val="bottom"/>
          </w:tcPr>
          <w:p>
            <w:pPr>
              <w:jc w:val="center"/>
              <w:spacing w:after="0" w:line="171" w:lineRule="exact"/>
              <w:rPr>
                <w:sz w:val="20"/>
                <w:szCs w:val="20"/>
                <w:color w:val="auto"/>
              </w:rPr>
            </w:pPr>
            <w:r>
              <w:rPr>
                <w:rFonts w:ascii="Arial" w:cs="Arial" w:eastAsia="Arial" w:hAnsi="Arial"/>
                <w:sz w:val="16"/>
                <w:szCs w:val="16"/>
                <w:color w:val="auto"/>
              </w:rPr>
              <w:t>Voted "FOR"</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Arial" w:cs="Arial" w:eastAsia="Arial" w:hAnsi="Arial"/>
                <w:sz w:val="16"/>
                <w:szCs w:val="16"/>
                <w:color w:val="auto"/>
              </w:rPr>
              <w:t>Executive Officers</w:t>
            </w:r>
          </w:p>
        </w:tc>
        <w:tc>
          <w:tcPr>
            <w:tcW w:w="17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280" w:type="dxa"/>
            <w:vAlign w:val="bottom"/>
          </w:tcPr>
          <w:p>
            <w:pPr>
              <w:ind w:left="20"/>
              <w:spacing w:after="0"/>
              <w:rPr>
                <w:sz w:val="20"/>
                <w:szCs w:val="20"/>
                <w:color w:val="auto"/>
              </w:rPr>
            </w:pPr>
            <w:r>
              <w:rPr>
                <w:rFonts w:ascii="Arial" w:cs="Arial" w:eastAsia="Arial" w:hAnsi="Arial"/>
                <w:sz w:val="16"/>
                <w:szCs w:val="16"/>
                <w:b w:val="1"/>
                <w:bCs w:val="1"/>
                <w:i w:val="1"/>
                <w:iCs w:val="1"/>
                <w:color w:val="00249C"/>
              </w:rPr>
              <w:t>(Proposal Two)</w:t>
            </w:r>
          </w:p>
        </w:tc>
        <w:tc>
          <w:tcPr>
            <w:tcW w:w="17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7"/>
        </w:trPr>
        <w:tc>
          <w:tcPr>
            <w:tcW w:w="328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3280" w:type="dxa"/>
            <w:vAlign w:val="bottom"/>
          </w:tcPr>
          <w:p>
            <w:pPr>
              <w:ind w:left="20"/>
              <w:spacing w:after="0" w:line="171" w:lineRule="exact"/>
              <w:rPr>
                <w:sz w:val="20"/>
                <w:szCs w:val="20"/>
                <w:color w:val="auto"/>
              </w:rPr>
            </w:pPr>
            <w:r>
              <w:rPr>
                <w:rFonts w:ascii="Arial" w:cs="Arial" w:eastAsia="Arial" w:hAnsi="Arial"/>
                <w:sz w:val="16"/>
                <w:szCs w:val="16"/>
                <w:color w:val="auto"/>
              </w:rPr>
              <w:t>Ratification of Appointment of Independent</w:t>
            </w:r>
          </w:p>
        </w:tc>
        <w:tc>
          <w:tcPr>
            <w:tcW w:w="1740" w:type="dxa"/>
            <w:vAlign w:val="bottom"/>
          </w:tcPr>
          <w:p>
            <w:pPr>
              <w:jc w:val="center"/>
              <w:spacing w:after="0" w:line="171" w:lineRule="exact"/>
              <w:rPr>
                <w:sz w:val="20"/>
                <w:szCs w:val="20"/>
                <w:color w:val="auto"/>
              </w:rPr>
            </w:pPr>
            <w:r>
              <w:rPr>
                <w:rFonts w:ascii="Arial" w:cs="Arial" w:eastAsia="Arial" w:hAnsi="Arial"/>
                <w:sz w:val="16"/>
                <w:szCs w:val="16"/>
                <w:b w:val="1"/>
                <w:bCs w:val="1"/>
                <w:color w:val="00249C"/>
              </w:rPr>
              <w:t>FOR</w:t>
            </w:r>
          </w:p>
        </w:tc>
        <w:tc>
          <w:tcPr>
            <w:tcW w:w="1900" w:type="dxa"/>
            <w:vAlign w:val="bottom"/>
          </w:tcPr>
          <w:p>
            <w:pPr>
              <w:jc w:val="center"/>
              <w:spacing w:after="0" w:line="171" w:lineRule="exact"/>
              <w:rPr>
                <w:sz w:val="20"/>
                <w:szCs w:val="20"/>
                <w:color w:val="auto"/>
              </w:rPr>
            </w:pPr>
            <w:r>
              <w:rPr>
                <w:rFonts w:ascii="Arial" w:cs="Arial" w:eastAsia="Arial" w:hAnsi="Arial"/>
                <w:sz w:val="16"/>
                <w:szCs w:val="16"/>
                <w:color w:val="auto"/>
              </w:rPr>
              <w:t>Majority of votes cast</w:t>
            </w:r>
          </w:p>
        </w:tc>
        <w:tc>
          <w:tcPr>
            <w:tcW w:w="1260" w:type="dxa"/>
            <w:vAlign w:val="bottom"/>
          </w:tcPr>
          <w:p>
            <w:pPr>
              <w:jc w:val="center"/>
              <w:spacing w:after="0" w:line="171" w:lineRule="exact"/>
              <w:rPr>
                <w:sz w:val="20"/>
                <w:szCs w:val="20"/>
                <w:color w:val="auto"/>
              </w:rPr>
            </w:pPr>
            <w:r>
              <w:rPr>
                <w:rFonts w:ascii="Arial" w:cs="Arial" w:eastAsia="Arial" w:hAnsi="Arial"/>
                <w:sz w:val="16"/>
                <w:szCs w:val="16"/>
                <w:color w:val="auto"/>
              </w:rPr>
              <w:t>No effect</w:t>
            </w:r>
          </w:p>
        </w:tc>
        <w:tc>
          <w:tcPr>
            <w:tcW w:w="1300" w:type="dxa"/>
            <w:vAlign w:val="bottom"/>
          </w:tcPr>
          <w:p>
            <w:pPr>
              <w:jc w:val="center"/>
              <w:spacing w:after="0" w:line="171" w:lineRule="exact"/>
              <w:rPr>
                <w:sz w:val="20"/>
                <w:szCs w:val="20"/>
                <w:color w:val="auto"/>
              </w:rPr>
            </w:pPr>
            <w:r>
              <w:rPr>
                <w:rFonts w:ascii="Arial" w:cs="Arial" w:eastAsia="Arial" w:hAnsi="Arial"/>
                <w:sz w:val="16"/>
                <w:szCs w:val="16"/>
                <w:color w:val="auto"/>
              </w:rPr>
              <w:t>No effect</w:t>
            </w:r>
          </w:p>
        </w:tc>
        <w:tc>
          <w:tcPr>
            <w:tcW w:w="1720" w:type="dxa"/>
            <w:vAlign w:val="bottom"/>
          </w:tcPr>
          <w:p>
            <w:pPr>
              <w:jc w:val="center"/>
              <w:spacing w:after="0" w:line="171" w:lineRule="exact"/>
              <w:rPr>
                <w:sz w:val="20"/>
                <w:szCs w:val="20"/>
                <w:color w:val="auto"/>
              </w:rPr>
            </w:pPr>
            <w:r>
              <w:rPr>
                <w:rFonts w:ascii="Arial" w:cs="Arial" w:eastAsia="Arial" w:hAnsi="Arial"/>
                <w:sz w:val="16"/>
                <w:szCs w:val="16"/>
                <w:color w:val="auto"/>
              </w:rPr>
              <w:t>Voted "FOR"</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Arial" w:cs="Arial" w:eastAsia="Arial" w:hAnsi="Arial"/>
                <w:sz w:val="16"/>
                <w:szCs w:val="16"/>
                <w:color w:val="auto"/>
              </w:rPr>
              <w:t>Auditor</w:t>
            </w:r>
          </w:p>
        </w:tc>
        <w:tc>
          <w:tcPr>
            <w:tcW w:w="17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280" w:type="dxa"/>
            <w:vAlign w:val="bottom"/>
          </w:tcPr>
          <w:p>
            <w:pPr>
              <w:ind w:left="20"/>
              <w:spacing w:after="0"/>
              <w:rPr>
                <w:sz w:val="20"/>
                <w:szCs w:val="20"/>
                <w:color w:val="auto"/>
              </w:rPr>
            </w:pPr>
            <w:r>
              <w:rPr>
                <w:rFonts w:ascii="Arial" w:cs="Arial" w:eastAsia="Arial" w:hAnsi="Arial"/>
                <w:sz w:val="16"/>
                <w:szCs w:val="16"/>
                <w:b w:val="1"/>
                <w:bCs w:val="1"/>
                <w:i w:val="1"/>
                <w:iCs w:val="1"/>
                <w:color w:val="00249C"/>
              </w:rPr>
              <w:t>(Proposal Three)</w:t>
            </w:r>
          </w:p>
        </w:tc>
        <w:tc>
          <w:tcPr>
            <w:tcW w:w="17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7"/>
        </w:trPr>
        <w:tc>
          <w:tcPr>
            <w:tcW w:w="328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3280" w:type="dxa"/>
            <w:vAlign w:val="bottom"/>
          </w:tcPr>
          <w:p>
            <w:pPr>
              <w:ind w:left="20"/>
              <w:spacing w:after="0" w:line="171" w:lineRule="exact"/>
              <w:rPr>
                <w:sz w:val="20"/>
                <w:szCs w:val="20"/>
                <w:color w:val="auto"/>
              </w:rPr>
            </w:pPr>
            <w:r>
              <w:rPr>
                <w:rFonts w:ascii="Arial" w:cs="Arial" w:eastAsia="Arial" w:hAnsi="Arial"/>
                <w:sz w:val="16"/>
                <w:szCs w:val="16"/>
                <w:color w:val="auto"/>
              </w:rPr>
              <w:t>Shareholder Proposal That the Company</w:t>
            </w:r>
          </w:p>
        </w:tc>
        <w:tc>
          <w:tcPr>
            <w:tcW w:w="1740" w:type="dxa"/>
            <w:vAlign w:val="bottom"/>
          </w:tcPr>
          <w:p>
            <w:pPr>
              <w:jc w:val="center"/>
              <w:spacing w:after="0" w:line="171" w:lineRule="exact"/>
              <w:rPr>
                <w:sz w:val="20"/>
                <w:szCs w:val="20"/>
                <w:color w:val="auto"/>
              </w:rPr>
            </w:pPr>
            <w:r>
              <w:rPr>
                <w:rFonts w:ascii="Arial" w:cs="Arial" w:eastAsia="Arial" w:hAnsi="Arial"/>
                <w:sz w:val="16"/>
                <w:szCs w:val="16"/>
                <w:b w:val="1"/>
                <w:bCs w:val="1"/>
                <w:color w:val="00249C"/>
              </w:rPr>
              <w:t>AGAINST</w:t>
            </w:r>
          </w:p>
        </w:tc>
        <w:tc>
          <w:tcPr>
            <w:tcW w:w="1900" w:type="dxa"/>
            <w:vAlign w:val="bottom"/>
          </w:tcPr>
          <w:p>
            <w:pPr>
              <w:jc w:val="center"/>
              <w:spacing w:after="0" w:line="171" w:lineRule="exact"/>
              <w:rPr>
                <w:sz w:val="20"/>
                <w:szCs w:val="20"/>
                <w:color w:val="auto"/>
              </w:rPr>
            </w:pPr>
            <w:r>
              <w:rPr>
                <w:rFonts w:ascii="Arial" w:cs="Arial" w:eastAsia="Arial" w:hAnsi="Arial"/>
                <w:sz w:val="16"/>
                <w:szCs w:val="16"/>
                <w:color w:val="auto"/>
              </w:rPr>
              <w:t>Majority of votes cast</w:t>
            </w:r>
          </w:p>
        </w:tc>
        <w:tc>
          <w:tcPr>
            <w:tcW w:w="1260" w:type="dxa"/>
            <w:vAlign w:val="bottom"/>
          </w:tcPr>
          <w:p>
            <w:pPr>
              <w:jc w:val="center"/>
              <w:spacing w:after="0" w:line="171" w:lineRule="exact"/>
              <w:rPr>
                <w:sz w:val="20"/>
                <w:szCs w:val="20"/>
                <w:color w:val="auto"/>
              </w:rPr>
            </w:pPr>
            <w:r>
              <w:rPr>
                <w:rFonts w:ascii="Arial" w:cs="Arial" w:eastAsia="Arial" w:hAnsi="Arial"/>
                <w:sz w:val="16"/>
                <w:szCs w:val="16"/>
                <w:color w:val="auto"/>
              </w:rPr>
              <w:t>No effect</w:t>
            </w:r>
          </w:p>
        </w:tc>
        <w:tc>
          <w:tcPr>
            <w:tcW w:w="1300" w:type="dxa"/>
            <w:vAlign w:val="bottom"/>
          </w:tcPr>
          <w:p>
            <w:pPr>
              <w:jc w:val="center"/>
              <w:spacing w:after="0" w:line="171" w:lineRule="exact"/>
              <w:rPr>
                <w:sz w:val="20"/>
                <w:szCs w:val="20"/>
                <w:color w:val="auto"/>
              </w:rPr>
            </w:pPr>
            <w:r>
              <w:rPr>
                <w:rFonts w:ascii="Arial" w:cs="Arial" w:eastAsia="Arial" w:hAnsi="Arial"/>
                <w:sz w:val="16"/>
                <w:szCs w:val="16"/>
                <w:color w:val="auto"/>
              </w:rPr>
              <w:t>No effect</w:t>
            </w:r>
          </w:p>
        </w:tc>
        <w:tc>
          <w:tcPr>
            <w:tcW w:w="1720" w:type="dxa"/>
            <w:vAlign w:val="bottom"/>
          </w:tcPr>
          <w:p>
            <w:pPr>
              <w:jc w:val="center"/>
              <w:spacing w:after="0" w:line="171" w:lineRule="exact"/>
              <w:rPr>
                <w:sz w:val="20"/>
                <w:szCs w:val="20"/>
                <w:color w:val="auto"/>
              </w:rPr>
            </w:pPr>
            <w:r>
              <w:rPr>
                <w:rFonts w:ascii="Arial" w:cs="Arial" w:eastAsia="Arial" w:hAnsi="Arial"/>
                <w:sz w:val="16"/>
                <w:szCs w:val="16"/>
                <w:color w:val="auto"/>
              </w:rPr>
              <w:t>Voted "AGAINST"</w:t>
            </w:r>
          </w:p>
        </w:tc>
        <w:tc>
          <w:tcPr>
            <w:tcW w:w="0" w:type="dxa"/>
            <w:vAlign w:val="bottom"/>
          </w:tcPr>
          <w:p>
            <w:pPr>
              <w:spacing w:after="0"/>
              <w:rPr>
                <w:sz w:val="1"/>
                <w:szCs w:val="1"/>
                <w:color w:val="auto"/>
              </w:rPr>
            </w:pPr>
          </w:p>
        </w:tc>
      </w:tr>
      <w:tr>
        <w:trPr>
          <w:trHeight w:val="162"/>
        </w:trPr>
        <w:tc>
          <w:tcPr>
            <w:tcW w:w="3280" w:type="dxa"/>
            <w:vAlign w:val="bottom"/>
          </w:tcPr>
          <w:p>
            <w:pPr>
              <w:ind w:left="20"/>
              <w:spacing w:after="0" w:line="162" w:lineRule="exact"/>
              <w:rPr>
                <w:sz w:val="20"/>
                <w:szCs w:val="20"/>
                <w:color w:val="auto"/>
              </w:rPr>
            </w:pPr>
            <w:r>
              <w:rPr>
                <w:rFonts w:ascii="Arial" w:cs="Arial" w:eastAsia="Arial" w:hAnsi="Arial"/>
                <w:sz w:val="16"/>
                <w:szCs w:val="16"/>
                <w:color w:val="auto"/>
              </w:rPr>
              <w:t>Assess and Report on Potential Human</w:t>
            </w:r>
          </w:p>
        </w:tc>
        <w:tc>
          <w:tcPr>
            <w:tcW w:w="1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20"/>
              <w:spacing w:after="0" w:line="162" w:lineRule="exact"/>
              <w:rPr>
                <w:sz w:val="20"/>
                <w:szCs w:val="20"/>
                <w:color w:val="auto"/>
              </w:rPr>
            </w:pPr>
            <w:r>
              <w:rPr>
                <w:rFonts w:ascii="Arial" w:cs="Arial" w:eastAsia="Arial" w:hAnsi="Arial"/>
                <w:sz w:val="16"/>
                <w:szCs w:val="16"/>
                <w:color w:val="auto"/>
              </w:rPr>
              <w:t>Rights Impacts That Could Result from</w:t>
            </w:r>
          </w:p>
        </w:tc>
        <w:tc>
          <w:tcPr>
            <w:tcW w:w="1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20"/>
              <w:spacing w:after="0" w:line="162" w:lineRule="exact"/>
              <w:rPr>
                <w:sz w:val="20"/>
                <w:szCs w:val="20"/>
                <w:color w:val="auto"/>
              </w:rPr>
            </w:pPr>
            <w:r>
              <w:rPr>
                <w:rFonts w:ascii="Arial" w:cs="Arial" w:eastAsia="Arial" w:hAnsi="Arial"/>
                <w:sz w:val="16"/>
                <w:szCs w:val="16"/>
                <w:color w:val="auto"/>
              </w:rPr>
              <w:t>Governments' Use of Our Products and</w:t>
            </w:r>
          </w:p>
        </w:tc>
        <w:tc>
          <w:tcPr>
            <w:tcW w:w="1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20"/>
              <w:spacing w:after="0" w:line="162" w:lineRule="exact"/>
              <w:rPr>
                <w:sz w:val="20"/>
                <w:szCs w:val="20"/>
                <w:color w:val="auto"/>
              </w:rPr>
            </w:pPr>
            <w:r>
              <w:rPr>
                <w:rFonts w:ascii="Arial" w:cs="Arial" w:eastAsia="Arial" w:hAnsi="Arial"/>
                <w:sz w:val="16"/>
                <w:szCs w:val="16"/>
                <w:color w:val="auto"/>
              </w:rPr>
              <w:t>Services, Including in Conflict Affected</w:t>
            </w:r>
          </w:p>
        </w:tc>
        <w:tc>
          <w:tcPr>
            <w:tcW w:w="1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Arial" w:cs="Arial" w:eastAsia="Arial" w:hAnsi="Arial"/>
                <w:sz w:val="16"/>
                <w:szCs w:val="16"/>
                <w:color w:val="auto"/>
              </w:rPr>
              <w:t>Areas</w:t>
            </w:r>
          </w:p>
        </w:tc>
        <w:tc>
          <w:tcPr>
            <w:tcW w:w="17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280" w:type="dxa"/>
            <w:vAlign w:val="bottom"/>
          </w:tcPr>
          <w:p>
            <w:pPr>
              <w:ind w:left="20"/>
              <w:spacing w:after="0"/>
              <w:rPr>
                <w:sz w:val="20"/>
                <w:szCs w:val="20"/>
                <w:color w:val="auto"/>
              </w:rPr>
            </w:pPr>
            <w:r>
              <w:rPr>
                <w:rFonts w:ascii="Arial" w:cs="Arial" w:eastAsia="Arial" w:hAnsi="Arial"/>
                <w:sz w:val="16"/>
                <w:szCs w:val="16"/>
                <w:b w:val="1"/>
                <w:bCs w:val="1"/>
                <w:i w:val="1"/>
                <w:iCs w:val="1"/>
                <w:color w:val="00249C"/>
              </w:rPr>
              <w:t>(Proposal Four)</w:t>
            </w:r>
          </w:p>
        </w:tc>
        <w:tc>
          <w:tcPr>
            <w:tcW w:w="17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7"/>
        </w:trPr>
        <w:tc>
          <w:tcPr>
            <w:tcW w:w="328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3280" w:type="dxa"/>
            <w:vAlign w:val="bottom"/>
          </w:tcPr>
          <w:p>
            <w:pPr>
              <w:ind w:left="20"/>
              <w:spacing w:after="0" w:line="171" w:lineRule="exact"/>
              <w:rPr>
                <w:sz w:val="20"/>
                <w:szCs w:val="20"/>
                <w:color w:val="auto"/>
              </w:rPr>
            </w:pPr>
            <w:r>
              <w:rPr>
                <w:rFonts w:ascii="Arial" w:cs="Arial" w:eastAsia="Arial" w:hAnsi="Arial"/>
                <w:sz w:val="16"/>
                <w:szCs w:val="16"/>
                <w:color w:val="auto"/>
              </w:rPr>
              <w:t>Shareholder Proposal to Move to a 10%</w:t>
            </w:r>
          </w:p>
        </w:tc>
        <w:tc>
          <w:tcPr>
            <w:tcW w:w="1740" w:type="dxa"/>
            <w:vAlign w:val="bottom"/>
          </w:tcPr>
          <w:p>
            <w:pPr>
              <w:jc w:val="center"/>
              <w:spacing w:after="0" w:line="171" w:lineRule="exact"/>
              <w:rPr>
                <w:sz w:val="20"/>
                <w:szCs w:val="20"/>
                <w:color w:val="auto"/>
              </w:rPr>
            </w:pPr>
            <w:r>
              <w:rPr>
                <w:rFonts w:ascii="Arial" w:cs="Arial" w:eastAsia="Arial" w:hAnsi="Arial"/>
                <w:sz w:val="16"/>
                <w:szCs w:val="16"/>
                <w:b w:val="1"/>
                <w:bCs w:val="1"/>
                <w:color w:val="00249C"/>
              </w:rPr>
              <w:t>AGAINST</w:t>
            </w:r>
          </w:p>
        </w:tc>
        <w:tc>
          <w:tcPr>
            <w:tcW w:w="1900" w:type="dxa"/>
            <w:vAlign w:val="bottom"/>
          </w:tcPr>
          <w:p>
            <w:pPr>
              <w:jc w:val="center"/>
              <w:spacing w:after="0" w:line="171" w:lineRule="exact"/>
              <w:rPr>
                <w:sz w:val="20"/>
                <w:szCs w:val="20"/>
                <w:color w:val="auto"/>
              </w:rPr>
            </w:pPr>
            <w:r>
              <w:rPr>
                <w:rFonts w:ascii="Arial" w:cs="Arial" w:eastAsia="Arial" w:hAnsi="Arial"/>
                <w:sz w:val="16"/>
                <w:szCs w:val="16"/>
                <w:color w:val="auto"/>
              </w:rPr>
              <w:t>Majority of votes cast</w:t>
            </w:r>
          </w:p>
        </w:tc>
        <w:tc>
          <w:tcPr>
            <w:tcW w:w="1260" w:type="dxa"/>
            <w:vAlign w:val="bottom"/>
          </w:tcPr>
          <w:p>
            <w:pPr>
              <w:jc w:val="center"/>
              <w:spacing w:after="0" w:line="171" w:lineRule="exact"/>
              <w:rPr>
                <w:sz w:val="20"/>
                <w:szCs w:val="20"/>
                <w:color w:val="auto"/>
              </w:rPr>
            </w:pPr>
            <w:r>
              <w:rPr>
                <w:rFonts w:ascii="Arial" w:cs="Arial" w:eastAsia="Arial" w:hAnsi="Arial"/>
                <w:sz w:val="16"/>
                <w:szCs w:val="16"/>
                <w:color w:val="auto"/>
              </w:rPr>
              <w:t>No effect</w:t>
            </w:r>
          </w:p>
        </w:tc>
        <w:tc>
          <w:tcPr>
            <w:tcW w:w="1300" w:type="dxa"/>
            <w:vAlign w:val="bottom"/>
          </w:tcPr>
          <w:p>
            <w:pPr>
              <w:jc w:val="center"/>
              <w:spacing w:after="0" w:line="171" w:lineRule="exact"/>
              <w:rPr>
                <w:sz w:val="20"/>
                <w:szCs w:val="20"/>
                <w:color w:val="auto"/>
              </w:rPr>
            </w:pPr>
            <w:r>
              <w:rPr>
                <w:rFonts w:ascii="Arial" w:cs="Arial" w:eastAsia="Arial" w:hAnsi="Arial"/>
                <w:sz w:val="16"/>
                <w:szCs w:val="16"/>
                <w:color w:val="auto"/>
              </w:rPr>
              <w:t>No effect</w:t>
            </w:r>
          </w:p>
        </w:tc>
        <w:tc>
          <w:tcPr>
            <w:tcW w:w="1720" w:type="dxa"/>
            <w:vAlign w:val="bottom"/>
          </w:tcPr>
          <w:p>
            <w:pPr>
              <w:jc w:val="center"/>
              <w:spacing w:after="0" w:line="171" w:lineRule="exact"/>
              <w:rPr>
                <w:sz w:val="20"/>
                <w:szCs w:val="20"/>
                <w:color w:val="auto"/>
              </w:rPr>
            </w:pPr>
            <w:r>
              <w:rPr>
                <w:rFonts w:ascii="Arial" w:cs="Arial" w:eastAsia="Arial" w:hAnsi="Arial"/>
                <w:sz w:val="16"/>
                <w:szCs w:val="16"/>
                <w:color w:val="auto"/>
              </w:rPr>
              <w:t>Voted "AGAINST"</w:t>
            </w:r>
          </w:p>
        </w:tc>
        <w:tc>
          <w:tcPr>
            <w:tcW w:w="0" w:type="dxa"/>
            <w:vAlign w:val="bottom"/>
          </w:tcPr>
          <w:p>
            <w:pPr>
              <w:spacing w:after="0"/>
              <w:rPr>
                <w:sz w:val="1"/>
                <w:szCs w:val="1"/>
                <w:color w:val="auto"/>
              </w:rPr>
            </w:pPr>
          </w:p>
        </w:tc>
      </w:tr>
      <w:tr>
        <w:trPr>
          <w:trHeight w:val="162"/>
        </w:trPr>
        <w:tc>
          <w:tcPr>
            <w:tcW w:w="3280" w:type="dxa"/>
            <w:vAlign w:val="bottom"/>
          </w:tcPr>
          <w:p>
            <w:pPr>
              <w:ind w:left="20"/>
              <w:spacing w:after="0" w:line="162" w:lineRule="exact"/>
              <w:rPr>
                <w:sz w:val="20"/>
                <w:szCs w:val="20"/>
                <w:color w:val="auto"/>
              </w:rPr>
            </w:pPr>
            <w:r>
              <w:rPr>
                <w:rFonts w:ascii="Arial" w:cs="Arial" w:eastAsia="Arial" w:hAnsi="Arial"/>
                <w:sz w:val="16"/>
                <w:szCs w:val="16"/>
                <w:color w:val="auto"/>
              </w:rPr>
              <w:t>Ownership Threshold for Shareholders to</w:t>
            </w:r>
          </w:p>
        </w:tc>
        <w:tc>
          <w:tcPr>
            <w:tcW w:w="1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Arial" w:cs="Arial" w:eastAsia="Arial" w:hAnsi="Arial"/>
                <w:sz w:val="16"/>
                <w:szCs w:val="16"/>
                <w:color w:val="auto"/>
              </w:rPr>
              <w:t>Request Action by Written Consent</w:t>
            </w:r>
          </w:p>
        </w:tc>
        <w:tc>
          <w:tcPr>
            <w:tcW w:w="17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280" w:type="dxa"/>
            <w:vAlign w:val="bottom"/>
          </w:tcPr>
          <w:p>
            <w:pPr>
              <w:ind w:left="20"/>
              <w:spacing w:after="0"/>
              <w:rPr>
                <w:sz w:val="20"/>
                <w:szCs w:val="20"/>
                <w:color w:val="auto"/>
              </w:rPr>
            </w:pPr>
            <w:r>
              <w:rPr>
                <w:rFonts w:ascii="Arial" w:cs="Arial" w:eastAsia="Arial" w:hAnsi="Arial"/>
                <w:sz w:val="16"/>
                <w:szCs w:val="16"/>
                <w:b w:val="1"/>
                <w:bCs w:val="1"/>
                <w:i w:val="1"/>
                <w:iCs w:val="1"/>
                <w:color w:val="00249C"/>
              </w:rPr>
              <w:t>(Proposal Five)</w:t>
            </w:r>
          </w:p>
        </w:tc>
        <w:tc>
          <w:tcPr>
            <w:tcW w:w="17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7"/>
        </w:trPr>
        <w:tc>
          <w:tcPr>
            <w:tcW w:w="328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1200"/>
          </w:cols>
          <w:pgMar w:left="320" w:top="607" w:right="379" w:bottom="1440" w:gutter="0" w:footer="0" w:header="0"/>
        </w:sectPr>
      </w:pPr>
    </w:p>
    <w:bookmarkStart w:id="90" w:name="page91"/>
    <w:bookmarkEnd w:id="90"/>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53149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QUESTIONS AND ANSWERS ABOUT THE ANNUAL MEETING</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is a broker non-vote?</w:t>
      </w:r>
    </w:p>
    <w:p>
      <w:pPr>
        <w:spacing w:after="0" w:line="1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Brokers who hold shares of common stock for the accounts of their clients may vote these shares either as directed by their clients or in their own discretion if permitted by the stock exchanges or other organizations of which they are members. Members of the New York Stock Exchange (NYSE) are permitted to vote their clients' proxies in their own discretion on certain matters if the clients have not furnished voting instructions within ten days of the meeting. However, NYSE Rule 452 defines various matters as "non-routine," and brokers who have not received instructions from their clients do not have discretion to vote their client's shares on such "non-routine" matters, resulting in a "broker non-vote."</w:t>
      </w:r>
    </w:p>
    <w:p>
      <w:pPr>
        <w:spacing w:after="0" w:line="8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If you are a beneficial owner whose shares are held of record by a broker, your broker has discretionary voting authority under NYSE rules to vote your shares, without instructions from you, on the ratification of the appointment of Deloitte &amp; Touche LLP as independent auditor. However, your broker does not have discretionary authority to vote your shares, without instructions from you, on the election of directors, the advisory vote to approve the compensation of our NEOs or the shareholder proposals, in which case a broker non-vote will occur and your shares will not be voted on these matters.</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 I vote my shares if they are registered directly in my name?</w:t>
      </w:r>
    </w:p>
    <w:p>
      <w:pPr>
        <w:spacing w:after="0" w:line="10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If your shares are registered directly in your name with our transfer agent, Computershare Trust Company, N.A. (Computershare), you are considered the "registered shareholder" of those shares, and you may vote by proxy prior to the Annual Meeting, as discussed below. Shares represented by a properly executed proxy will be voted at the Annual Meeting in accordance with the shareholder's instructions. If no instructions are given, the shares will be voted according to the recommendations of the Board. Registered shareholders may go to </w:t>
      </w:r>
      <w:r>
        <w:rPr>
          <w:rFonts w:ascii="Arial" w:cs="Arial" w:eastAsia="Arial" w:hAnsi="Arial"/>
          <w:sz w:val="18"/>
          <w:szCs w:val="18"/>
          <w:i w:val="1"/>
          <w:iCs w:val="1"/>
          <w:color w:val="auto"/>
        </w:rPr>
        <w:t xml:space="preserve">www.envisionreports.com/noc </w:t>
      </w:r>
      <w:r>
        <w:rPr>
          <w:rFonts w:ascii="Arial" w:cs="Arial" w:eastAsia="Arial" w:hAnsi="Arial"/>
          <w:sz w:val="18"/>
          <w:szCs w:val="18"/>
          <w:color w:val="auto"/>
        </w:rPr>
        <w:t>to view this Proxy Statement and the Annual Report.</w:t>
      </w:r>
    </w:p>
    <w:p>
      <w:pPr>
        <w:spacing w:after="0" w:line="102" w:lineRule="exact"/>
        <w:rPr>
          <w:sz w:val="20"/>
          <w:szCs w:val="20"/>
          <w:color w:val="auto"/>
        </w:rPr>
      </w:pPr>
    </w:p>
    <w:p>
      <w:pPr>
        <w:ind w:left="3520" w:right="80" w:hanging="1376"/>
        <w:spacing w:after="0" w:line="227" w:lineRule="auto"/>
        <w:tabs>
          <w:tab w:leader="none" w:pos="3500" w:val="left"/>
        </w:tabs>
        <w:rPr>
          <w:sz w:val="20"/>
          <w:szCs w:val="20"/>
          <w:color w:val="auto"/>
        </w:rPr>
      </w:pPr>
      <w:r>
        <w:rPr>
          <w:rFonts w:ascii="Arial" w:cs="Arial" w:eastAsia="Arial" w:hAnsi="Arial"/>
          <w:sz w:val="18"/>
          <w:szCs w:val="18"/>
          <w:b w:val="1"/>
          <w:bCs w:val="1"/>
          <w:i w:val="1"/>
          <w:iCs w:val="1"/>
          <w:color w:val="auto"/>
        </w:rPr>
        <w:t>By Internet</w:t>
      </w:r>
      <w:r>
        <w:rPr>
          <w:sz w:val="20"/>
          <w:szCs w:val="20"/>
          <w:color w:val="auto"/>
        </w:rPr>
        <w:tab/>
      </w:r>
      <w:r>
        <w:rPr>
          <w:rFonts w:ascii="Arial" w:cs="Arial" w:eastAsia="Arial" w:hAnsi="Arial"/>
          <w:sz w:val="18"/>
          <w:szCs w:val="18"/>
          <w:color w:val="auto"/>
        </w:rPr>
        <w:t xml:space="preserve">Registered shareholders may vote on the internet, as well as view the documents, by logging on to </w:t>
      </w:r>
      <w:r>
        <w:rPr>
          <w:rFonts w:ascii="Arial" w:cs="Arial" w:eastAsia="Arial" w:hAnsi="Arial"/>
          <w:sz w:val="18"/>
          <w:szCs w:val="18"/>
          <w:i w:val="1"/>
          <w:iCs w:val="1"/>
          <w:color w:val="auto"/>
        </w:rPr>
        <w:t>www.envisionreports.com/noc</w:t>
      </w:r>
      <w:r>
        <w:rPr>
          <w:rFonts w:ascii="Arial" w:cs="Arial" w:eastAsia="Arial" w:hAnsi="Arial"/>
          <w:sz w:val="18"/>
          <w:szCs w:val="18"/>
          <w:color w:val="auto"/>
        </w:rPr>
        <w:t xml:space="preserve"> and following the instructions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-241935</wp:posOffset>
            </wp:positionV>
            <wp:extent cx="411480" cy="42862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11480" cy="42862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2140"/>
        <w:spacing w:after="0"/>
        <w:tabs>
          <w:tab w:leader="none" w:pos="3500" w:val="left"/>
        </w:tabs>
        <w:rPr>
          <w:sz w:val="20"/>
          <w:szCs w:val="20"/>
          <w:color w:val="auto"/>
        </w:rPr>
      </w:pPr>
      <w:r>
        <w:rPr>
          <w:rFonts w:ascii="Arial" w:cs="Arial" w:eastAsia="Arial" w:hAnsi="Arial"/>
          <w:sz w:val="18"/>
          <w:szCs w:val="18"/>
          <w:b w:val="1"/>
          <w:bCs w:val="1"/>
          <w:i w:val="1"/>
          <w:iCs w:val="1"/>
          <w:color w:val="auto"/>
        </w:rPr>
        <w:t>By Telephone</w:t>
      </w:r>
      <w:r>
        <w:rPr>
          <w:sz w:val="20"/>
          <w:szCs w:val="20"/>
          <w:color w:val="auto"/>
        </w:rPr>
        <w:tab/>
      </w:r>
      <w:r>
        <w:rPr>
          <w:rFonts w:ascii="Arial" w:cs="Arial" w:eastAsia="Arial" w:hAnsi="Arial"/>
          <w:sz w:val="18"/>
          <w:szCs w:val="18"/>
          <w:color w:val="auto"/>
        </w:rPr>
        <w:t>Registered shareholders may grant a proxy by calling 800-652-VOTE (800-652-8683) (toll-free)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-118745</wp:posOffset>
            </wp:positionV>
            <wp:extent cx="360045" cy="42862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60045" cy="428625"/>
                    </a:xfrm>
                    <a:prstGeom prst="rect">
                      <a:avLst/>
                    </a:prstGeom>
                    <a:noFill/>
                  </pic:spPr>
                </pic:pic>
              </a:graphicData>
            </a:graphic>
          </wp:anchor>
        </w:drawing>
      </w:r>
    </w:p>
    <w:p>
      <w:pPr>
        <w:ind w:left="3520"/>
        <w:spacing w:after="0"/>
        <w:rPr>
          <w:sz w:val="20"/>
          <w:szCs w:val="20"/>
          <w:color w:val="auto"/>
        </w:rPr>
      </w:pPr>
      <w:r>
        <w:rPr>
          <w:rFonts w:ascii="Arial" w:cs="Arial" w:eastAsia="Arial" w:hAnsi="Arial"/>
          <w:sz w:val="18"/>
          <w:szCs w:val="18"/>
          <w:color w:val="auto"/>
        </w:rPr>
        <w:t>with a touch-tone telephone and following the recorded instructions.</w:t>
      </w:r>
    </w:p>
    <w:p>
      <w:pPr>
        <w:spacing w:after="0" w:line="200" w:lineRule="exact"/>
        <w:rPr>
          <w:sz w:val="20"/>
          <w:szCs w:val="20"/>
          <w:color w:val="auto"/>
        </w:rPr>
      </w:pPr>
    </w:p>
    <w:p>
      <w:pPr>
        <w:spacing w:after="0" w:line="361" w:lineRule="exact"/>
        <w:rPr>
          <w:sz w:val="20"/>
          <w:szCs w:val="20"/>
          <w:color w:val="auto"/>
        </w:rPr>
      </w:pPr>
    </w:p>
    <w:p>
      <w:pPr>
        <w:ind w:left="2140"/>
        <w:spacing w:after="0"/>
        <w:tabs>
          <w:tab w:leader="none" w:pos="3500" w:val="left"/>
        </w:tabs>
        <w:rPr>
          <w:sz w:val="20"/>
          <w:szCs w:val="20"/>
          <w:color w:val="auto"/>
        </w:rPr>
      </w:pPr>
      <w:r>
        <w:rPr>
          <w:rFonts w:ascii="Arial" w:cs="Arial" w:eastAsia="Arial" w:hAnsi="Arial"/>
          <w:sz w:val="18"/>
          <w:szCs w:val="18"/>
          <w:b w:val="1"/>
          <w:bCs w:val="1"/>
          <w:i w:val="1"/>
          <w:iCs w:val="1"/>
          <w:color w:val="auto"/>
        </w:rPr>
        <w:t>By QR Code</w:t>
      </w:r>
      <w:r>
        <w:rPr>
          <w:sz w:val="20"/>
          <w:szCs w:val="20"/>
          <w:color w:val="auto"/>
        </w:rPr>
        <w:tab/>
      </w:r>
      <w:r>
        <w:rPr>
          <w:rFonts w:ascii="Arial" w:cs="Arial" w:eastAsia="Arial" w:hAnsi="Arial"/>
          <w:sz w:val="17"/>
          <w:szCs w:val="17"/>
          <w:color w:val="auto"/>
        </w:rPr>
        <w:t>Registered shareholders may vote by scanning the QR code on their proxy card or notice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-101600</wp:posOffset>
            </wp:positionV>
            <wp:extent cx="402590" cy="3943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02590" cy="394335"/>
                    </a:xfrm>
                    <a:prstGeom prst="rect">
                      <a:avLst/>
                    </a:prstGeom>
                    <a:noFill/>
                  </pic:spPr>
                </pic:pic>
              </a:graphicData>
            </a:graphic>
          </wp:anchor>
        </w:drawing>
      </w:r>
    </w:p>
    <w:p>
      <w:pPr>
        <w:ind w:left="3520"/>
        <w:spacing w:after="0"/>
        <w:rPr>
          <w:sz w:val="20"/>
          <w:szCs w:val="20"/>
          <w:color w:val="auto"/>
        </w:rPr>
      </w:pPr>
      <w:r>
        <w:rPr>
          <w:rFonts w:ascii="Arial" w:cs="Arial" w:eastAsia="Arial" w:hAnsi="Arial"/>
          <w:sz w:val="18"/>
          <w:szCs w:val="18"/>
          <w:color w:val="auto"/>
        </w:rPr>
        <w:t>their mobile device.</w:t>
      </w:r>
    </w:p>
    <w:p>
      <w:pPr>
        <w:spacing w:after="0" w:line="200" w:lineRule="exact"/>
        <w:rPr>
          <w:sz w:val="20"/>
          <w:szCs w:val="20"/>
          <w:color w:val="auto"/>
        </w:rPr>
      </w:pPr>
    </w:p>
    <w:p>
      <w:pPr>
        <w:spacing w:after="0" w:line="307" w:lineRule="exact"/>
        <w:rPr>
          <w:sz w:val="20"/>
          <w:szCs w:val="20"/>
          <w:color w:val="auto"/>
        </w:rPr>
      </w:pPr>
    </w:p>
    <w:p>
      <w:pPr>
        <w:ind w:left="2140"/>
        <w:spacing w:after="0"/>
        <w:tabs>
          <w:tab w:leader="none" w:pos="3500" w:val="left"/>
        </w:tabs>
        <w:rPr>
          <w:sz w:val="20"/>
          <w:szCs w:val="20"/>
          <w:color w:val="auto"/>
        </w:rPr>
      </w:pPr>
      <w:r>
        <w:rPr>
          <w:rFonts w:ascii="Arial" w:cs="Arial" w:eastAsia="Arial" w:hAnsi="Arial"/>
          <w:sz w:val="18"/>
          <w:szCs w:val="18"/>
          <w:b w:val="1"/>
          <w:bCs w:val="1"/>
          <w:i w:val="1"/>
          <w:iCs w:val="1"/>
          <w:color w:val="auto"/>
        </w:rPr>
        <w:t>By Mail</w:t>
      </w:r>
      <w:r>
        <w:rPr>
          <w:sz w:val="20"/>
          <w:szCs w:val="20"/>
          <w:color w:val="auto"/>
        </w:rPr>
        <w:tab/>
      </w:r>
      <w:r>
        <w:rPr>
          <w:rFonts w:ascii="Arial" w:cs="Arial" w:eastAsia="Arial" w:hAnsi="Arial"/>
          <w:sz w:val="17"/>
          <w:szCs w:val="17"/>
          <w:color w:val="auto"/>
        </w:rPr>
        <w:t>Registered shareholders must request a paper copy of the proxy materials to receive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-118745</wp:posOffset>
            </wp:positionV>
            <wp:extent cx="377190" cy="42862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77190" cy="428625"/>
                    </a:xfrm>
                    <a:prstGeom prst="rect">
                      <a:avLst/>
                    </a:prstGeom>
                    <a:noFill/>
                  </pic:spPr>
                </pic:pic>
              </a:graphicData>
            </a:graphic>
          </wp:anchor>
        </w:drawing>
      </w:r>
    </w:p>
    <w:p>
      <w:pPr>
        <w:ind w:left="3520" w:right="260"/>
        <w:spacing w:after="0" w:line="219" w:lineRule="auto"/>
        <w:rPr>
          <w:sz w:val="20"/>
          <w:szCs w:val="20"/>
          <w:color w:val="auto"/>
        </w:rPr>
      </w:pPr>
      <w:r>
        <w:rPr>
          <w:rFonts w:ascii="Arial" w:cs="Arial" w:eastAsia="Arial" w:hAnsi="Arial"/>
          <w:sz w:val="18"/>
          <w:szCs w:val="18"/>
          <w:color w:val="auto"/>
        </w:rPr>
        <w:t xml:space="preserve">card and may vote by marking the voting instructions on the proxy card and following the instructions given for mailing. A paper copy of the proxy materials may be obtained by logging on to </w:t>
      </w:r>
      <w:r>
        <w:rPr>
          <w:rFonts w:ascii="Arial" w:cs="Arial" w:eastAsia="Arial" w:hAnsi="Arial"/>
          <w:sz w:val="18"/>
          <w:szCs w:val="18"/>
          <w:i w:val="1"/>
          <w:iCs w:val="1"/>
          <w:color w:val="auto"/>
        </w:rPr>
        <w:t>www.envisionreports.com/noc</w:t>
      </w:r>
      <w:r>
        <w:rPr>
          <w:rFonts w:ascii="Arial" w:cs="Arial" w:eastAsia="Arial" w:hAnsi="Arial"/>
          <w:sz w:val="18"/>
          <w:szCs w:val="18"/>
          <w:color w:val="auto"/>
        </w:rPr>
        <w:t xml:space="preserve"> and following the instructions given.</w:t>
      </w:r>
    </w:p>
    <w:p>
      <w:pPr>
        <w:spacing w:after="0" w:line="378"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If any other matters are properly brought before the Annual Meeting, the proxy card gives discretionary authority to the proxyholders named on the card to vote the shares in their best judgment. A shareholder who executes a proxy may revoke it at any time before its exercise by delivering a written notice of revocation to the Corporate Secretary or by delivering a valid, later-dated proxy, or a later-dated vote by telephone or on the internet, in a timely manner. In addition, a shareholder attending the Annual Meeting may revoke the proxy by giving notice of revocation to the inspector of election at the meeting or by voting at the meeting.</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 I vote my shares if they are held by a bank, broker or other nominee?</w:t>
      </w:r>
    </w:p>
    <w:p>
      <w:pPr>
        <w:spacing w:after="0" w:line="12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If your shares are held in a stock brokerage account or by a bank or other nominee (that is, in street name), you are considered the "beneficial owner" of the shares that are registered in the street name. You are able to vote those shares, to attend the annual meeting as a shareholder, and to ask questions at the meeting. (See below). You will need to instruct the bank, broker or other nominee how to vote these shares using the procedure identified by the bank, broker or other nominee. You should receive voting instruction forms from your bank, broker or other nominee. We expect most banks, brokers and other nominees to enable beneficial owners to provide voting instructions by telephone or on the internet. Beneficial owners may view this Proxy Statement and the Annual Report on the internet by logging on to </w:t>
      </w:r>
      <w:r>
        <w:rPr>
          <w:rFonts w:ascii="Arial" w:cs="Arial" w:eastAsia="Arial" w:hAnsi="Arial"/>
          <w:sz w:val="18"/>
          <w:szCs w:val="18"/>
          <w:i w:val="1"/>
          <w:iCs w:val="1"/>
          <w:color w:val="auto"/>
        </w:rPr>
        <w:t>www.edocumentview.com/noc</w:t>
      </w:r>
      <w:r>
        <w:rPr>
          <w:rFonts w:ascii="Arial" w:cs="Arial" w:eastAsia="Arial" w:hAnsi="Arial"/>
          <w:sz w:val="18"/>
          <w:szCs w:val="18"/>
          <w:color w:val="auto"/>
        </w:rPr>
        <w:t>.</w:t>
      </w:r>
    </w:p>
    <w:p>
      <w:pPr>
        <w:spacing w:after="0" w:line="8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Beneficial owners who hold shares in "street name" may revoke a proxy or change a vote by submitting a new, later-dated voting instruction form, contacting the bank, broker or other nominee or by voting at the Annual Meeting by obtaining a legal proxy as described below (see "How do I attend and vote at the virtual Annual Meeting?").</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220"/>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85</w:t>
      </w:r>
    </w:p>
    <w:p>
      <w:pPr>
        <w:sectPr>
          <w:pgSz w:w="11900" w:h="16838" w:orient="portrait"/>
          <w:cols w:equalWidth="0" w:num="1">
            <w:col w:w="11240"/>
          </w:cols>
          <w:pgMar w:left="320" w:top="607" w:right="339" w:bottom="1440" w:gutter="0" w:footer="0" w:header="0"/>
          <w:type w:val="continuous"/>
        </w:sectPr>
      </w:pPr>
    </w:p>
    <w:bookmarkStart w:id="91" w:name="page92"/>
    <w:bookmarkEnd w:id="91"/>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53149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531495"/>
                    </a:xfrm>
                    <a:prstGeom prst="rect">
                      <a:avLst/>
                    </a:prstGeom>
                    <a:noFill/>
                  </pic:spPr>
                </pic:pic>
              </a:graphicData>
            </a:graphic>
          </wp:anchor>
        </w:drawing>
        <w:t>QUESTIONS AND ANSWERS ABOUT THE ANNUAL MEETING</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 I vote my shares held under a Northrop Grumman savings plan?</w:t>
      </w:r>
    </w:p>
    <w:p>
      <w:pPr>
        <w:spacing w:after="0" w:line="10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shares are held on an individual's behalf under any of our savings plans, the proxy will serve to provide confidential instructions to the plan Trustee or Voting Manager who then votes the participant's shares in accordance with the individual's instructions. For those participants who do not vote their plan shares, the applicable Trustee or Voting Manager will vote their plan shares in the same proportion as shares held under the plan for which voting directions have been received, unless the Employee Retirement Income Security Act requires a different procedure.</w:t>
      </w:r>
    </w:p>
    <w:p>
      <w:pPr>
        <w:spacing w:after="0" w:line="8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Savings plan participants may submit their voting instructions by the same methods as registered shareholders (see "How do I vote my shares if they are registered directly in my name?" above) but voting instructions from savings plan participants must be received by the applicable plan Trustee or Voting Manager by 11:59 p.m. Eastern Daylight Time on May 16, 2021 in order to be used by the plan Trustee or Voting Manager to determine the votes cast with respect to plan shares.</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 I attend and vote at the virtual Annual Meeting?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Attending the Virtual Meeting as a Registered Shareholder</w:t>
      </w:r>
    </w:p>
    <w:p>
      <w:pPr>
        <w:spacing w:after="0" w:line="12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Registered shareholders at the close of business on March 23, 2021 will be able to vote at, and participate in, the Annual Meeting by visiting </w:t>
      </w:r>
      <w:r>
        <w:rPr>
          <w:rFonts w:ascii="Arial" w:cs="Arial" w:eastAsia="Arial" w:hAnsi="Arial"/>
          <w:sz w:val="18"/>
          <w:szCs w:val="18"/>
          <w:i w:val="1"/>
          <w:iCs w:val="1"/>
          <w:color w:val="auto"/>
        </w:rPr>
        <w:t xml:space="preserve">www.meetingcenter.io/241697037 </w:t>
      </w:r>
      <w:r>
        <w:rPr>
          <w:rFonts w:ascii="Arial" w:cs="Arial" w:eastAsia="Arial" w:hAnsi="Arial"/>
          <w:sz w:val="18"/>
          <w:szCs w:val="18"/>
          <w:color w:val="auto"/>
        </w:rPr>
        <w:t>and clicking on "I have a Control Number." Registered shareholders will be able to use their 16-digit</w:t>
      </w:r>
    </w:p>
    <w:p>
      <w:pPr>
        <w:ind w:right="5360"/>
        <w:spacing w:after="0" w:line="335" w:lineRule="auto"/>
        <w:rPr>
          <w:sz w:val="20"/>
          <w:szCs w:val="20"/>
          <w:color w:val="auto"/>
        </w:rPr>
      </w:pPr>
      <w:r>
        <w:rPr>
          <w:rFonts w:ascii="Arial" w:cs="Arial" w:eastAsia="Arial" w:hAnsi="Arial"/>
          <w:sz w:val="18"/>
          <w:szCs w:val="18"/>
          <w:color w:val="auto"/>
        </w:rPr>
        <w:t>control number provided with this Notice to participate virtually</w:t>
      </w:r>
      <w:r>
        <w:rPr>
          <w:rFonts w:ascii="Arial" w:cs="Arial" w:eastAsia="Arial" w:hAnsi="Arial"/>
          <w:sz w:val="21"/>
          <w:szCs w:val="2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Attending the Virtual Meeting as a Participant in a Company Savings Plan</w:t>
      </w:r>
    </w:p>
    <w:p>
      <w:pPr>
        <w:spacing w:after="0" w:line="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If shares were held on your behalf under any of the Company’s savings plans at the close of business on March 23, 2021, you are eligible to attend and participate in the meeting. You may access the meeting in the same manner as the registered shareholders. However, voting instructions from savings plan participants must be received by the applicable plan Trustee or Voting Manager by 11:59 p.m. Eastern Daylight Time on May 16, 2021 in order to be used by the plan Trustee or Voting Manager to determine the votes cast with respect to plan shares.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Registering to Attend the Virtual Meeting as a Beneficial Owner</w:t>
      </w:r>
    </w:p>
    <w:p>
      <w:pPr>
        <w:spacing w:after="0" w:line="104" w:lineRule="exact"/>
        <w:rPr>
          <w:sz w:val="20"/>
          <w:szCs w:val="20"/>
          <w:color w:val="auto"/>
        </w:rPr>
      </w:pPr>
    </w:p>
    <w:p>
      <w:pPr>
        <w:jc w:val="both"/>
        <w:ind w:right="380"/>
        <w:spacing w:after="0" w:line="250" w:lineRule="auto"/>
        <w:rPr>
          <w:sz w:val="20"/>
          <w:szCs w:val="20"/>
          <w:color w:val="auto"/>
        </w:rPr>
      </w:pPr>
      <w:r>
        <w:rPr>
          <w:rFonts w:ascii="Arial" w:cs="Arial" w:eastAsia="Arial" w:hAnsi="Arial"/>
          <w:sz w:val="18"/>
          <w:szCs w:val="18"/>
          <w:color w:val="auto"/>
        </w:rPr>
        <w:t>If you were a beneficial owner of record (</w:t>
      </w:r>
      <w:r>
        <w:rPr>
          <w:rFonts w:ascii="Arial" w:cs="Arial" w:eastAsia="Arial" w:hAnsi="Arial"/>
          <w:sz w:val="18"/>
          <w:szCs w:val="18"/>
          <w:i w:val="1"/>
          <w:iCs w:val="1"/>
          <w:color w:val="auto"/>
        </w:rPr>
        <w:t>i.e.</w:t>
      </w:r>
      <w:r>
        <w:rPr>
          <w:rFonts w:ascii="Arial" w:cs="Arial" w:eastAsia="Arial" w:hAnsi="Arial"/>
          <w:sz w:val="18"/>
          <w:szCs w:val="18"/>
          <w:color w:val="auto"/>
        </w:rPr>
        <w:t>, you hold your shares through a broker, bank or other nominee) at the close of business on March 23, 2021, and you wish to attend the Annual Meeting, your broker, bank or other nominee should be able to confirm your ability to participate in the virtual Annual Meeting with the control number you receive with your voting instruction form.</w:t>
      </w:r>
    </w:p>
    <w:p>
      <w:pPr>
        <w:spacing w:after="0" w:line="6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If your broker, bank or nominee says that you will need a separate control number from Computershare to participate in the Annual Meeting as a shareholder, you will also need a separate legal proxy from your broker, bank or other nominee, stating that you are the beneficial owner of the shares and are entitled to vote them. Once you have received a legal proxy, please email a scan or image of it to our transfer agent, Computershare, at </w:t>
      </w:r>
      <w:r>
        <w:rPr>
          <w:rFonts w:ascii="Arial" w:cs="Arial" w:eastAsia="Arial" w:hAnsi="Arial"/>
          <w:sz w:val="18"/>
          <w:szCs w:val="18"/>
          <w:i w:val="1"/>
          <w:iCs w:val="1"/>
          <w:color w:val="auto"/>
        </w:rPr>
        <w:t>legalproxy@computershare.com</w:t>
      </w:r>
      <w:r>
        <w:rPr>
          <w:rFonts w:ascii="Arial" w:cs="Arial" w:eastAsia="Arial" w:hAnsi="Arial"/>
          <w:sz w:val="18"/>
          <w:szCs w:val="18"/>
          <w:color w:val="auto"/>
        </w:rPr>
        <w:t>, with “Legal Proxy” noted in the subject line. We remind you that if you do request and receive a legal proxy from your broker, bank or other nominee, you will not be able to give any further voting instructions to your broker, bank or nominee to vote the shares on your behalf. You will only be able to vote at the Annual Meeting.</w:t>
      </w:r>
    </w:p>
    <w:p>
      <w:pPr>
        <w:spacing w:after="0" w:line="83"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 xml:space="preserve">Requests for registration must be received by Computershare no later than 5:00 p.m. Eastern Daylight Time, on May 14, 2021. You will then receive a confirmation of your registration, with a control number, by email from Computershare. At the time of the meeting, go to </w:t>
      </w:r>
      <w:r>
        <w:rPr>
          <w:rFonts w:ascii="Arial" w:cs="Arial" w:eastAsia="Arial" w:hAnsi="Arial"/>
          <w:sz w:val="18"/>
          <w:szCs w:val="18"/>
          <w:i w:val="1"/>
          <w:iCs w:val="1"/>
          <w:color w:val="auto"/>
        </w:rPr>
        <w:t xml:space="preserve">www.meetingcenter.io/241697037 </w:t>
      </w:r>
      <w:r>
        <w:rPr>
          <w:rFonts w:ascii="Arial" w:cs="Arial" w:eastAsia="Arial" w:hAnsi="Arial"/>
          <w:sz w:val="18"/>
          <w:szCs w:val="18"/>
          <w:color w:val="auto"/>
        </w:rPr>
        <w:t>and enter your control number and the meeting password, which if prompted for one, is NOC2021.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Asking Questions</w:t>
      </w:r>
    </w:p>
    <w:p>
      <w:pPr>
        <w:spacing w:after="0" w:line="95"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 xml:space="preserve">We will invite shareholders to submit questions for consideration at the Annual Meeting by accessing the virtual Annual Meeting website available at </w:t>
      </w:r>
      <w:r>
        <w:rPr>
          <w:rFonts w:ascii="Arial" w:cs="Arial" w:eastAsia="Arial" w:hAnsi="Arial"/>
          <w:sz w:val="18"/>
          <w:szCs w:val="18"/>
          <w:i w:val="1"/>
          <w:iCs w:val="1"/>
          <w:color w:val="auto"/>
        </w:rPr>
        <w:t>www.meetingcenter.io/241697037</w:t>
      </w:r>
      <w:r>
        <w:rPr>
          <w:rFonts w:ascii="Arial" w:cs="Arial" w:eastAsia="Arial" w:hAnsi="Arial"/>
          <w:sz w:val="18"/>
          <w:szCs w:val="18"/>
          <w:color w:val="auto"/>
        </w:rPr>
        <w:t>. Shareholders will be able to access the meeting and submit questions by using the controls numbers discussed above in "How do I attend and vote at the virtual Annual Meeting?" You will be able to submit questions at any time during the week prior to the Annual Meeting (beginning at 9:00 a.m. on May 12, 2021 and continuing through May 18, 2021 at 5:00 p.m.) Shareholders will also be able to submit questions during the meeting. Questions should relate to the official business of the meeting, and management and shareholder proposals in particular. Management will seek to answer questions at the relevant time, when the proposal or matter is up for consideration.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Information</w:t>
      </w:r>
    </w:p>
    <w:p>
      <w:pPr>
        <w:spacing w:after="0" w:line="108"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We will disclose additional details about the Annual Meeting or changes to the process on the Investor Relations section of our website (</w:t>
      </w:r>
      <w:r>
        <w:rPr>
          <w:rFonts w:ascii="Arial" w:cs="Arial" w:eastAsia="Arial" w:hAnsi="Arial"/>
          <w:sz w:val="18"/>
          <w:szCs w:val="18"/>
          <w:i w:val="1"/>
          <w:iCs w:val="1"/>
          <w:color w:val="auto"/>
        </w:rPr>
        <w:t>www.northropgrumman.com</w:t>
      </w:r>
      <w:r>
        <w:rPr>
          <w:rFonts w:ascii="Arial" w:cs="Arial" w:eastAsia="Arial" w:hAnsi="Arial"/>
          <w:sz w:val="18"/>
          <w:szCs w:val="18"/>
          <w:color w:val="auto"/>
        </w:rPr>
        <w:t>) and in a public filing with the Securities and Exchange Commission, as appropriate.</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if I have technical difficulties accessing or during the virtual Annual Meeting?</w:t>
      </w:r>
    </w:p>
    <w:p>
      <w:pPr>
        <w:spacing w:after="0" w:line="107"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If you encounter difficulties accessing the meeting, click the "Additional Information" button on the Meeting Center login page for assistance. If you encounter difficulties after accessing the meeting, click the "Help" button in the upper right-hand corner of the meeting page for assistance.</w:t>
      </w:r>
    </w:p>
    <w:p>
      <w:pPr>
        <w:sectPr>
          <w:pgSz w:w="11900" w:h="16838" w:orient="portrait"/>
          <w:cols w:equalWidth="0" w:num="1">
            <w:col w:w="11220"/>
          </w:cols>
          <w:pgMar w:left="320" w:top="607" w:right="35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86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1220"/>
          </w:cols>
          <w:pgMar w:left="320" w:top="607" w:right="359" w:bottom="1440" w:gutter="0" w:footer="0" w:header="0"/>
          <w:type w:val="continuous"/>
        </w:sectPr>
      </w:pPr>
    </w:p>
    <w:bookmarkStart w:id="92" w:name="page93"/>
    <w:bookmarkEnd w:id="92"/>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4629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462915"/>
                    </a:xfrm>
                    <a:prstGeom prst="rect">
                      <a:avLst/>
                    </a:prstGeom>
                    <a:noFill/>
                  </pic:spPr>
                </pic:pic>
              </a:graphicData>
            </a:graphic>
          </wp:anchor>
        </w:drawing>
        <w:t>MISCELLANEOUS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Voting on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We are not aware of any other business to be transacted at the Annual Meeting. Our Bylaws outline procedures, including minimum notice provisions, for shareholder nominations of directors and submission of other shareholder business to be transacted at the Annual Meeting. A copy of the pertinent Bylaw provisions is available on request to the Corporate Secretary, </w:t>
      </w:r>
      <w:r>
        <w:rPr>
          <w:rFonts w:ascii="Arial" w:cs="Arial" w:eastAsia="Arial" w:hAnsi="Arial"/>
          <w:sz w:val="18"/>
          <w:szCs w:val="18"/>
          <w:b w:val="1"/>
          <w:bCs w:val="1"/>
          <w:i w:val="1"/>
          <w:iCs w:val="1"/>
          <w:color w:val="auto"/>
        </w:rPr>
        <w:t>Northrop Grumman Corporation, 2980 Fairview</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Park Drive, Falls Church, Virginia 22042</w:t>
      </w:r>
      <w:r>
        <w:rPr>
          <w:rFonts w:ascii="Arial" w:cs="Arial" w:eastAsia="Arial" w:hAnsi="Arial"/>
          <w:sz w:val="18"/>
          <w:szCs w:val="18"/>
          <w:color w:val="auto"/>
        </w:rPr>
        <w:t>. Our Bylaws are also available in the Investor Relations section of our website at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www.northropgrumman.com</w:t>
      </w:r>
      <w:r>
        <w:rPr>
          <w:rFonts w:ascii="Arial" w:cs="Arial" w:eastAsia="Arial" w:hAnsi="Arial"/>
          <w:sz w:val="18"/>
          <w:szCs w:val="18"/>
          <w:color w:val="auto"/>
        </w:rPr>
        <w:t>. If any other business properly comes before the Annual Meeting, the shares represented by proxies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voted in accordance with the judgment of the persons authorized to vote them.</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Shareholder Proposals for the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Any shareholder who intends to present a proposal at the 2022 Annual Meeting must deliver the proposal to the Corporate Secretary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Northrop Grumman Corporation, 2980 Fairview Park Drive, Falls Church, Virginia 22042</w:t>
      </w:r>
      <w:r>
        <w:rPr>
          <w:rFonts w:ascii="Arial" w:cs="Arial" w:eastAsia="Arial" w:hAnsi="Arial"/>
          <w:sz w:val="18"/>
          <w:szCs w:val="18"/>
          <w:color w:val="auto"/>
        </w:rPr>
        <w:t>:</w:t>
      </w:r>
    </w:p>
    <w:p>
      <w:pPr>
        <w:spacing w:after="0" w:line="131" w:lineRule="exact"/>
        <w:rPr>
          <w:sz w:val="20"/>
          <w:szCs w:val="20"/>
          <w:color w:val="auto"/>
        </w:rPr>
      </w:pPr>
    </w:p>
    <w:p>
      <w:pPr>
        <w:ind w:left="260" w:right="240" w:hanging="252"/>
        <w:spacing w:after="0" w:line="225" w:lineRule="auto"/>
        <w:tabs>
          <w:tab w:leader="none" w:pos="228" w:val="left"/>
        </w:tabs>
        <w:numPr>
          <w:ilvl w:val="0"/>
          <w:numId w:val="91"/>
        </w:numPr>
        <w:rPr>
          <w:rFonts w:ascii="Arial" w:cs="Arial" w:eastAsia="Arial" w:hAnsi="Arial"/>
          <w:sz w:val="22"/>
          <w:szCs w:val="22"/>
          <w:color w:val="00249C"/>
        </w:rPr>
      </w:pPr>
      <w:r>
        <w:rPr>
          <w:rFonts w:ascii="Arial" w:cs="Arial" w:eastAsia="Arial" w:hAnsi="Arial"/>
          <w:sz w:val="18"/>
          <w:szCs w:val="18"/>
          <w:color w:val="auto"/>
        </w:rPr>
        <w:t>not later than December 3, 2021, if the proposal is submitted for inclusion in the Company's proxy materials for that meeting pursuant to Rule 14a-8 under the Exchange Act; and</w:t>
      </w:r>
    </w:p>
    <w:p>
      <w:pPr>
        <w:spacing w:after="0" w:line="135" w:lineRule="exact"/>
        <w:rPr>
          <w:rFonts w:ascii="Arial" w:cs="Arial" w:eastAsia="Arial" w:hAnsi="Arial"/>
          <w:sz w:val="22"/>
          <w:szCs w:val="22"/>
          <w:color w:val="00249C"/>
        </w:rPr>
      </w:pPr>
    </w:p>
    <w:p>
      <w:pPr>
        <w:ind w:left="260" w:right="160" w:hanging="252"/>
        <w:spacing w:after="0" w:line="237" w:lineRule="auto"/>
        <w:tabs>
          <w:tab w:leader="none" w:pos="228" w:val="left"/>
        </w:tabs>
        <w:numPr>
          <w:ilvl w:val="0"/>
          <w:numId w:val="91"/>
        </w:numPr>
        <w:rPr>
          <w:rFonts w:ascii="Arial" w:cs="Arial" w:eastAsia="Arial" w:hAnsi="Arial"/>
          <w:sz w:val="22"/>
          <w:szCs w:val="22"/>
          <w:color w:val="00249C"/>
        </w:rPr>
      </w:pPr>
      <w:r>
        <w:rPr>
          <w:rFonts w:ascii="Arial" w:cs="Arial" w:eastAsia="Arial" w:hAnsi="Arial"/>
          <w:sz w:val="18"/>
          <w:szCs w:val="18"/>
          <w:color w:val="auto"/>
        </w:rPr>
        <w:t>not earlier than December 3, 2021 and not later than January 2, 2022, if the proposal is submitted pursuant to the Bylaws, but not pursuant to Rule 14a-8, in which case we are not required to include the proposal in our proxy materials. If the 2022 Annual Meeting is convened more than 30 days prior to or delayed by more than 30 days after the one-year anniversary of the Annual Meeting, our Bylaws provide different notice requirements.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Any shareholder who wishes to introduce a proposal should review our Bylaws and applicable proxy rules of the SEC.</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Shareholder Nominations for Director Election at the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5"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 xml:space="preserve">Any shareholder who intends to nominate a person for election as a director at the 2022 Annual Meeting must deliver a notice of such nomination (along with certain other information required by our Bylaws) to the Corporate Secretary at </w:t>
      </w:r>
      <w:r>
        <w:rPr>
          <w:rFonts w:ascii="Arial" w:cs="Arial" w:eastAsia="Arial" w:hAnsi="Arial"/>
          <w:sz w:val="18"/>
          <w:szCs w:val="18"/>
          <w:b w:val="1"/>
          <w:bCs w:val="1"/>
          <w:i w:val="1"/>
          <w:iCs w:val="1"/>
          <w:color w:val="auto"/>
        </w:rPr>
        <w:t>Northrop Grumman Corporation,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2980 Fairview Park Drive, Falls Church, Virginia 22042</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260" w:right="440" w:hanging="252"/>
        <w:spacing w:after="0" w:line="233" w:lineRule="auto"/>
        <w:tabs>
          <w:tab w:leader="none" w:pos="228" w:val="left"/>
        </w:tabs>
        <w:numPr>
          <w:ilvl w:val="0"/>
          <w:numId w:val="92"/>
        </w:numPr>
        <w:rPr>
          <w:rFonts w:ascii="Arial" w:cs="Arial" w:eastAsia="Arial" w:hAnsi="Arial"/>
          <w:sz w:val="22"/>
          <w:szCs w:val="22"/>
          <w:color w:val="00249C"/>
        </w:rPr>
      </w:pPr>
      <w:r>
        <w:rPr>
          <w:rFonts w:ascii="Arial" w:cs="Arial" w:eastAsia="Arial" w:hAnsi="Arial"/>
          <w:sz w:val="18"/>
          <w:szCs w:val="18"/>
          <w:color w:val="auto"/>
        </w:rPr>
        <w:t>not earlier than November 3, 2021 and not later than December 3, 2021, if the nomination is submitted for inclusion in the Company's proxy materials for that meeting pursuant to the Company's proxy access provision, as set forth in our Bylaws, which nomination and supporting materials must comply with the requirements in our Bylaws; and</w:t>
      </w:r>
    </w:p>
    <w:p>
      <w:pPr>
        <w:spacing w:after="0" w:line="122" w:lineRule="exact"/>
        <w:rPr>
          <w:rFonts w:ascii="Arial" w:cs="Arial" w:eastAsia="Arial" w:hAnsi="Arial"/>
          <w:sz w:val="22"/>
          <w:szCs w:val="22"/>
          <w:color w:val="00249C"/>
        </w:rPr>
      </w:pPr>
    </w:p>
    <w:p>
      <w:pPr>
        <w:ind w:left="260" w:right="340" w:hanging="252"/>
        <w:spacing w:after="0" w:line="237" w:lineRule="auto"/>
        <w:tabs>
          <w:tab w:leader="none" w:pos="228" w:val="left"/>
        </w:tabs>
        <w:numPr>
          <w:ilvl w:val="0"/>
          <w:numId w:val="92"/>
        </w:numPr>
        <w:rPr>
          <w:rFonts w:ascii="Arial" w:cs="Arial" w:eastAsia="Arial" w:hAnsi="Arial"/>
          <w:sz w:val="22"/>
          <w:szCs w:val="22"/>
          <w:color w:val="00249C"/>
        </w:rPr>
      </w:pPr>
      <w:r>
        <w:rPr>
          <w:rFonts w:ascii="Arial" w:cs="Arial" w:eastAsia="Arial" w:hAnsi="Arial"/>
          <w:sz w:val="18"/>
          <w:szCs w:val="18"/>
          <w:color w:val="auto"/>
        </w:rPr>
        <w:t>not earlier than December 3, 2021 and not later than January 2, 2022, if the nomination is submitted pursuant to the Bylaws, but not pursuant to our proxy access provision, in which case we are not required to include the nomination in our proxy materials. If the 2022 Annual Meeting is convened more than 30 days prior to or delayed by more than 30 days after the one-year anniversary of the Annual Meeting, our Bylaws provide different notice requirements.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Any shareholder who wishes to nominate a person for election as a director should review our Bylaws.</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Householding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Some banks, brokers and other nominee record holders may be participating in the practice of "householding." This means that only one copy of the Notice of Internet Availability of Proxy Materials may have been sent to multiple shareholders in a household. We will promptly deliver a separate copy to a shareholder upon written or oral request to the Corporate Secretary at the following address and phone number: </w:t>
      </w:r>
      <w:r>
        <w:rPr>
          <w:rFonts w:ascii="Arial" w:cs="Arial" w:eastAsia="Arial" w:hAnsi="Arial"/>
          <w:sz w:val="18"/>
          <w:szCs w:val="18"/>
          <w:b w:val="1"/>
          <w:bCs w:val="1"/>
          <w:i w:val="1"/>
          <w:iCs w:val="1"/>
          <w:color w:val="auto"/>
        </w:rPr>
        <w:t>Northrop Grumman Corporation, 2980 Fairview Park Drive, Falls Church, Virginia 22042, (703) 280-2900</w:t>
      </w:r>
      <w:r>
        <w:rPr>
          <w:rFonts w:ascii="Arial" w:cs="Arial" w:eastAsia="Arial" w:hAnsi="Arial"/>
          <w:sz w:val="18"/>
          <w:szCs w:val="18"/>
          <w:color w:val="auto"/>
        </w:rPr>
        <w:t>. To receive separate copies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notice in the future, or if a shareholder is receiving multiple copies and would like to receive only one copy for the household, the shareholder should contact his or her bank, broker or other nominee record holder, or may contact the Corporate Secretary at the above address or phone number.</w:t>
      </w: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87</w:t>
      </w:r>
    </w:p>
    <w:p>
      <w:pPr>
        <w:sectPr>
          <w:pgSz w:w="11900" w:h="16838" w:orient="portrait"/>
          <w:cols w:equalWidth="0" w:num="1">
            <w:col w:w="11240"/>
          </w:cols>
          <w:pgMar w:left="320" w:top="607" w:right="339" w:bottom="1440" w:gutter="0" w:footer="0" w:header="0"/>
        </w:sectPr>
      </w:pPr>
    </w:p>
    <w:bookmarkStart w:id="93" w:name="page94"/>
    <w:bookmarkEnd w:id="93"/>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4629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462915"/>
                    </a:xfrm>
                    <a:prstGeom prst="rect">
                      <a:avLst/>
                    </a:prstGeom>
                    <a:noFill/>
                  </pic:spPr>
                </pic:pic>
              </a:graphicData>
            </a:graphic>
          </wp:anchor>
        </w:drawing>
        <w:t>MISCELLANEOUS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Cost of Soliciting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will pay all costs of soliciting proxies. We have made arrangements with brokerage houses and other custodians, nominees and fiduciaries to make proxy materials available to beneficial owners. We will, upon request, reimburse them for reasonable expenses incurred. We have retained D.F. King &amp; Co., Inc. of New York at an estimated fee of $20,000, plus reasonable disbursements to solicit proxies on our behalf. Our officers, directors and regular employees may solicit proxies personally, by means of materials prepared for shareholders and employee-shareholders or by telephone or other methods to the extent deemed appropriate by the Board.</w:t>
      </w:r>
    </w:p>
    <w:p>
      <w:pPr>
        <w:spacing w:after="0" w:line="8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No additional compensation will be paid to such individuals for this activity. The extent to which this solicitation will be necessary will depend upon how promptly proxies are received. We therefore urge shareholders to give voting instructions without delay.</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Available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1" w:lineRule="exact"/>
        <w:rPr>
          <w:sz w:val="20"/>
          <w:szCs w:val="20"/>
          <w:color w:val="auto"/>
        </w:rPr>
      </w:pPr>
    </w:p>
    <w:p>
      <w:pPr>
        <w:ind w:right="1740"/>
        <w:spacing w:after="0" w:line="261" w:lineRule="auto"/>
        <w:rPr>
          <w:sz w:val="20"/>
          <w:szCs w:val="20"/>
          <w:color w:val="auto"/>
        </w:rPr>
      </w:pPr>
      <w:r>
        <w:rPr>
          <w:rFonts w:ascii="Arial" w:cs="Arial" w:eastAsia="Arial" w:hAnsi="Arial"/>
          <w:sz w:val="18"/>
          <w:szCs w:val="18"/>
          <w:color w:val="auto"/>
        </w:rPr>
        <w:t>You may obtain a copy of the following corporate governance materials on the Investor Relations section of our website (</w:t>
      </w:r>
      <w:r>
        <w:rPr>
          <w:rFonts w:ascii="Arial" w:cs="Arial" w:eastAsia="Arial" w:hAnsi="Arial"/>
          <w:sz w:val="18"/>
          <w:szCs w:val="18"/>
          <w:i w:val="1"/>
          <w:iCs w:val="1"/>
          <w:color w:val="auto"/>
        </w:rPr>
        <w:t>www.northropgrumman.com</w:t>
      </w:r>
      <w:r>
        <w:rPr>
          <w:rFonts w:ascii="Arial" w:cs="Arial" w:eastAsia="Arial" w:hAnsi="Arial"/>
          <w:sz w:val="18"/>
          <w:szCs w:val="18"/>
          <w:color w:val="auto"/>
        </w:rPr>
        <w:t>) under Corporate Governance:</w:t>
      </w:r>
    </w:p>
    <w:p>
      <w:pPr>
        <w:spacing w:after="0" w:line="81" w:lineRule="exact"/>
        <w:rPr>
          <w:sz w:val="20"/>
          <w:szCs w:val="20"/>
          <w:color w:val="auto"/>
        </w:rPr>
      </w:pPr>
    </w:p>
    <w:p>
      <w:pPr>
        <w:ind w:left="220" w:hanging="212"/>
        <w:spacing w:after="0"/>
        <w:tabs>
          <w:tab w:leader="none" w:pos="220" w:val="left"/>
        </w:tabs>
        <w:numPr>
          <w:ilvl w:val="0"/>
          <w:numId w:val="93"/>
        </w:numPr>
        <w:rPr>
          <w:rFonts w:ascii="Arial" w:cs="Arial" w:eastAsia="Arial" w:hAnsi="Arial"/>
          <w:sz w:val="22"/>
          <w:szCs w:val="22"/>
          <w:color w:val="00249C"/>
        </w:rPr>
      </w:pPr>
      <w:r>
        <w:rPr>
          <w:rFonts w:ascii="Arial" w:cs="Arial" w:eastAsia="Arial" w:hAnsi="Arial"/>
          <w:sz w:val="18"/>
          <w:szCs w:val="18"/>
          <w:color w:val="auto"/>
        </w:rPr>
        <w:t>Bylaws;</w:t>
      </w:r>
    </w:p>
    <w:p>
      <w:pPr>
        <w:spacing w:after="0" w:line="98" w:lineRule="exact"/>
        <w:rPr>
          <w:rFonts w:ascii="Arial" w:cs="Arial" w:eastAsia="Arial" w:hAnsi="Arial"/>
          <w:sz w:val="22"/>
          <w:szCs w:val="22"/>
          <w:color w:val="00249C"/>
        </w:rPr>
      </w:pPr>
    </w:p>
    <w:p>
      <w:pPr>
        <w:ind w:left="220" w:hanging="212"/>
        <w:spacing w:after="0"/>
        <w:tabs>
          <w:tab w:leader="none" w:pos="220" w:val="left"/>
        </w:tabs>
        <w:numPr>
          <w:ilvl w:val="0"/>
          <w:numId w:val="93"/>
        </w:numPr>
        <w:rPr>
          <w:rFonts w:ascii="Arial" w:cs="Arial" w:eastAsia="Arial" w:hAnsi="Arial"/>
          <w:sz w:val="22"/>
          <w:szCs w:val="22"/>
          <w:color w:val="00249C"/>
        </w:rPr>
      </w:pPr>
      <w:r>
        <w:rPr>
          <w:rFonts w:ascii="Arial" w:cs="Arial" w:eastAsia="Arial" w:hAnsi="Arial"/>
          <w:sz w:val="18"/>
          <w:szCs w:val="18"/>
          <w:color w:val="auto"/>
        </w:rPr>
        <w:t>Principles of Corporate Governance;</w:t>
      </w:r>
    </w:p>
    <w:p>
      <w:pPr>
        <w:spacing w:after="0" w:line="84" w:lineRule="exact"/>
        <w:rPr>
          <w:rFonts w:ascii="Arial" w:cs="Arial" w:eastAsia="Arial" w:hAnsi="Arial"/>
          <w:sz w:val="22"/>
          <w:szCs w:val="22"/>
          <w:color w:val="00249C"/>
        </w:rPr>
      </w:pPr>
    </w:p>
    <w:p>
      <w:pPr>
        <w:ind w:left="220" w:hanging="212"/>
        <w:spacing w:after="0"/>
        <w:tabs>
          <w:tab w:leader="none" w:pos="220" w:val="left"/>
        </w:tabs>
        <w:numPr>
          <w:ilvl w:val="0"/>
          <w:numId w:val="93"/>
        </w:numPr>
        <w:rPr>
          <w:rFonts w:ascii="Arial" w:cs="Arial" w:eastAsia="Arial" w:hAnsi="Arial"/>
          <w:sz w:val="22"/>
          <w:szCs w:val="22"/>
          <w:color w:val="00249C"/>
        </w:rPr>
      </w:pPr>
      <w:r>
        <w:rPr>
          <w:rFonts w:ascii="Arial" w:cs="Arial" w:eastAsia="Arial" w:hAnsi="Arial"/>
          <w:sz w:val="18"/>
          <w:szCs w:val="18"/>
          <w:color w:val="auto"/>
        </w:rPr>
        <w:t>Standards of Business Conduct;</w:t>
      </w:r>
    </w:p>
    <w:p>
      <w:pPr>
        <w:spacing w:after="0" w:line="98" w:lineRule="exact"/>
        <w:rPr>
          <w:rFonts w:ascii="Arial" w:cs="Arial" w:eastAsia="Arial" w:hAnsi="Arial"/>
          <w:sz w:val="22"/>
          <w:szCs w:val="22"/>
          <w:color w:val="00249C"/>
        </w:rPr>
      </w:pPr>
    </w:p>
    <w:p>
      <w:pPr>
        <w:ind w:left="220" w:hanging="212"/>
        <w:spacing w:after="0"/>
        <w:tabs>
          <w:tab w:leader="none" w:pos="220" w:val="left"/>
        </w:tabs>
        <w:numPr>
          <w:ilvl w:val="0"/>
          <w:numId w:val="93"/>
        </w:numPr>
        <w:rPr>
          <w:rFonts w:ascii="Arial" w:cs="Arial" w:eastAsia="Arial" w:hAnsi="Arial"/>
          <w:sz w:val="22"/>
          <w:szCs w:val="22"/>
          <w:color w:val="00249C"/>
        </w:rPr>
      </w:pPr>
      <w:r>
        <w:rPr>
          <w:rFonts w:ascii="Arial" w:cs="Arial" w:eastAsia="Arial" w:hAnsi="Arial"/>
          <w:sz w:val="18"/>
          <w:szCs w:val="18"/>
          <w:color w:val="auto"/>
        </w:rPr>
        <w:t>Policy and Procedure Regarding Company Transactions with Related Persons; and</w:t>
      </w:r>
    </w:p>
    <w:p>
      <w:pPr>
        <w:spacing w:after="0" w:line="98" w:lineRule="exact"/>
        <w:rPr>
          <w:rFonts w:ascii="Arial" w:cs="Arial" w:eastAsia="Arial" w:hAnsi="Arial"/>
          <w:sz w:val="22"/>
          <w:szCs w:val="22"/>
          <w:color w:val="00249C"/>
        </w:rPr>
      </w:pPr>
    </w:p>
    <w:p>
      <w:pPr>
        <w:ind w:left="220" w:hanging="212"/>
        <w:spacing w:after="0"/>
        <w:tabs>
          <w:tab w:leader="none" w:pos="220" w:val="left"/>
        </w:tabs>
        <w:numPr>
          <w:ilvl w:val="0"/>
          <w:numId w:val="93"/>
        </w:numPr>
        <w:rPr>
          <w:rFonts w:ascii="Arial" w:cs="Arial" w:eastAsia="Arial" w:hAnsi="Arial"/>
          <w:sz w:val="22"/>
          <w:szCs w:val="22"/>
          <w:color w:val="00249C"/>
        </w:rPr>
      </w:pPr>
      <w:r>
        <w:rPr>
          <w:rFonts w:ascii="Arial" w:cs="Arial" w:eastAsia="Arial" w:hAnsi="Arial"/>
          <w:sz w:val="18"/>
          <w:szCs w:val="18"/>
          <w:color w:val="auto"/>
        </w:rPr>
        <w:t>Board Committee Charters.</w:t>
      </w:r>
    </w:p>
    <w:p>
      <w:pPr>
        <w:spacing w:after="0" w:line="5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 xml:space="preserve">Copies of these documents are also available without charge to any shareholder upon written request to the Corporate Secretary, </w:t>
      </w:r>
      <w:r>
        <w:rPr>
          <w:rFonts w:ascii="Arial" w:cs="Arial" w:eastAsia="Arial" w:hAnsi="Arial"/>
          <w:sz w:val="18"/>
          <w:szCs w:val="18"/>
          <w:b w:val="1"/>
          <w:bCs w:val="1"/>
          <w:i w:val="1"/>
          <w:iCs w:val="1"/>
          <w:color w:val="auto"/>
        </w:rPr>
        <w:t>Northrop</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Grumman Corporation, 2980 Fairview Park Drive, Falls Church, Virginia 22042</w:t>
      </w:r>
      <w:r>
        <w:rPr>
          <w:rFonts w:ascii="Arial" w:cs="Arial" w:eastAsia="Arial" w:hAnsi="Arial"/>
          <w:sz w:val="18"/>
          <w:szCs w:val="18"/>
          <w:color w:val="auto"/>
        </w:rPr>
        <w: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We disclose amendments to provisions of our Standards of Business Conduct by posting amendments on our website.</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accordance with SEC rules, notwithstanding anything to the contrary set forth in any of our previous or future filings under the Securities Act of 1933, as amended, or the Exchange Act that might incorporate this Proxy Statement or future filings made by the Company under those statutes, the information included under the section entitled "Compensation Committee Report" and those portions of the information included under the section entitled "Audit and Risk Committee Report" required by the SEC's rules to be included therein, shall not be deemed to be "soliciting material" nor shall the information included under the section entitled "Compensation of Directors - Stock Ownership Requirements and Anti-Hedging and Pledging Policy," the information included under the section entitled "Compensation Committee Report," or those portions of the information included under the section entitled "Audit and Risk Committee Report" required by the SEC's rules to be included therein, be "filed" with the SEC or be deemed incorporated by reference into any of those prior filings or into any future filings made by the Company under those statutes, except to the extent we specifically incorporate these items by reference.</w:t>
      </w:r>
    </w:p>
    <w:p>
      <w:pPr>
        <w:spacing w:after="0" w:line="9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Web links throughout this document are provided for convenience only, and the content on the referenced websites does not constitute a part of this Proxy Statement.</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April 2, 2021</w:t>
      </w:r>
    </w:p>
    <w:p>
      <w:pPr>
        <w:spacing w:after="0" w:line="10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NOTICE: THE COMPANY FILED AN ANNUAL REPORT ON FORM 10-K FOR THE YEAR ENDED DECEMBER 31, 2020 ON JANUARY 28, 2021. SHAREHOLDERS OF RECORD ON MARCH 23, 2021 MAY OBTAIN A COPY OF THIS REPORT WITHOUT CHARGE UPON WRITTEN REQUEST TO THE CORPORATE SECRETARY, NORTHROP GRUMMAN CORPORATION, 2980 FAIRVIEW PARK DRIVE, FALLS CHURCH, VIRGINIA 22042.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86995</wp:posOffset>
            </wp:positionV>
            <wp:extent cx="1234440" cy="402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3444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Jennifer C. McGarey</w:t>
      </w:r>
    </w:p>
    <w:p>
      <w:pPr>
        <w:spacing w:after="0" w:line="10" w:lineRule="exact"/>
        <w:rPr>
          <w:sz w:val="20"/>
          <w:szCs w:val="20"/>
          <w:color w:val="auto"/>
        </w:rPr>
      </w:pPr>
    </w:p>
    <w:p>
      <w:pPr>
        <w:ind w:left="7840"/>
        <w:spacing w:after="0"/>
        <w:rPr>
          <w:sz w:val="20"/>
          <w:szCs w:val="20"/>
          <w:color w:val="auto"/>
        </w:rPr>
      </w:pPr>
      <w:r>
        <w:rPr>
          <w:rFonts w:ascii="Arial" w:cs="Arial" w:eastAsia="Arial" w:hAnsi="Arial"/>
          <w:sz w:val="18"/>
          <w:szCs w:val="18"/>
          <w:i w:val="1"/>
          <w:iCs w:val="1"/>
          <w:color w:val="auto"/>
        </w:rPr>
        <w:t>Corporate Vice President and Secretary</w:t>
      </w:r>
    </w:p>
    <w:p>
      <w:pPr>
        <w:sectPr>
          <w:pgSz w:w="11900" w:h="16838" w:orient="portrait"/>
          <w:cols w:equalWidth="0" w:num="1">
            <w:col w:w="11220"/>
          </w:cols>
          <w:pgMar w:left="320" w:top="607" w:right="35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88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1220"/>
          </w:cols>
          <w:pgMar w:left="320" w:top="607" w:right="359" w:bottom="1440" w:gutter="0" w:footer="0" w:header="0"/>
          <w:type w:val="continuous"/>
        </w:sectPr>
      </w:pPr>
    </w:p>
    <w:bookmarkStart w:id="94" w:name="page95"/>
    <w:bookmarkEnd w:id="94"/>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208280</wp:posOffset>
            </wp:positionH>
            <wp:positionV relativeFrom="page">
              <wp:posOffset>320675</wp:posOffset>
            </wp:positionV>
            <wp:extent cx="7132320" cy="30861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t>APPENDIX A - USE OF NON-GAAP FINANCIAL MEASURES</w:t>
      </w:r>
    </w:p>
    <w:p>
      <w:pPr>
        <w:sectPr>
          <w:pgSz w:w="11900" w:h="16838" w:orient="portrait"/>
          <w:cols w:equalWidth="0" w:num="1">
            <w:col w:w="11240"/>
          </w:cols>
          <w:pgMar w:left="320" w:top="593" w:right="33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Proxy Statement contains non-GAAP (accounting principles generally accepted in the United States of America) financial measures, as defined by SEC Regulation G and indicated by an asterisk in this Proxy Statement. While we believe investors and other users of our financial statements may find these non-GAAP financial measures useful in evaluating our financial performance and operational trends, they should be considered as supplemental in nature, and therefore, should not be considered in isolation or as a substitute for financial information prepared in accordance with GAAP. Definitions for the non-GAAP financial measures contained in this Proxy Statement are provided below and the reconciliations of non-GAAP financial measures presented in this Proxy Statement are located on pages A-3 and A-4 of this Appendix A. Other companies, including companies in our industry, may define these measures differently or may utilize different non-GAAP financial measures, limiting the usefulness of those measures for comparative purposes between companies.</w:t>
      </w:r>
    </w:p>
    <w:p>
      <w:pPr>
        <w:spacing w:after="0" w:line="8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Certain of the non-GAAP financial measures below are used as internal measures for performance-based compensation decisions, as further discussed in the “Key Components of our Programs” section of Compensation Discussion and Analysis. The Compensation Committee has discretion to make adjustments to these measures in instances where the Company’s performance has been impacted by unforeseen or unusual events. For 2020, 2019 and 2018 the Compensation Committee adjusted the calculation of certain measures in order to exclude the impact of certain events or transactions that were not contemplated when the performance metrics were established.</w:t>
      </w:r>
    </w:p>
    <w:p>
      <w:pPr>
        <w:spacing w:after="0" w:line="48"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b w:val="1"/>
          <w:bCs w:val="1"/>
          <w:u w:val="single" w:color="auto"/>
          <w:color w:val="auto"/>
        </w:rPr>
        <w:t>Cash flow metrics</w:t>
      </w:r>
      <w:r>
        <w:rPr>
          <w:rFonts w:ascii="Arial" w:cs="Arial" w:eastAsia="Arial" w:hAnsi="Arial"/>
          <w:sz w:val="17"/>
          <w:szCs w:val="17"/>
          <w:color w:val="auto"/>
        </w:rPr>
        <w:t>: We use cash flow metrics as internal measures of financial performance and for performance-based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decisions. We also use these measures as a key factor in our planning for, and consideration of, acquisitions, payments of dividends and share repurchases. The following cash flow metrics may be useful to investors and other users of our financial statements as a supplemental measure of our cash performance, but should not be considered in isolation, as a measure of residual cash flow available for discretionary purposes, or as an alternative to operating results presented in accordance with GAAP. All cash flow metrics are reconciled below.</w:t>
      </w:r>
    </w:p>
    <w:p>
      <w:pPr>
        <w:spacing w:after="0" w:line="42" w:lineRule="exact"/>
        <w:rPr>
          <w:sz w:val="20"/>
          <w:szCs w:val="20"/>
          <w:color w:val="auto"/>
        </w:rPr>
      </w:pPr>
    </w:p>
    <w:p>
      <w:pPr>
        <w:ind w:left="660" w:right="100"/>
        <w:spacing w:after="0"/>
        <w:rPr>
          <w:sz w:val="20"/>
          <w:szCs w:val="20"/>
          <w:color w:val="auto"/>
        </w:rPr>
      </w:pPr>
      <w:r>
        <w:rPr>
          <w:rFonts w:ascii="Arial" w:cs="Arial" w:eastAsia="Arial" w:hAnsi="Arial"/>
          <w:sz w:val="18"/>
          <w:szCs w:val="18"/>
          <w:b w:val="1"/>
          <w:bCs w:val="1"/>
          <w:u w:val="single" w:color="auto"/>
          <w:color w:val="auto"/>
        </w:rPr>
        <w:t>Adjusted cash provided by operating activities</w:t>
      </w:r>
      <w:r>
        <w:rPr>
          <w:rFonts w:ascii="Arial" w:cs="Arial" w:eastAsia="Arial" w:hAnsi="Arial"/>
          <w:sz w:val="18"/>
          <w:szCs w:val="18"/>
          <w:color w:val="auto"/>
        </w:rPr>
        <w:t>: Defined as cash provided by operating activities, plus proceeds from sale of</w:t>
      </w:r>
      <w:r>
        <w:rPr>
          <w:rFonts w:ascii="Arial" w:cs="Arial" w:eastAsia="Arial" w:hAnsi="Arial"/>
          <w:sz w:val="18"/>
          <w:szCs w:val="18"/>
          <w:b w:val="1"/>
          <w:bCs w:val="1"/>
          <w:color w:val="auto"/>
        </w:rPr>
        <w:t xml:space="preserve"> </w:t>
      </w:r>
      <w:r>
        <w:rPr>
          <w:rFonts w:ascii="Arial" w:cs="Arial" w:eastAsia="Arial" w:hAnsi="Arial"/>
          <w:sz w:val="18"/>
          <w:szCs w:val="18"/>
          <w:color w:val="auto"/>
        </w:rPr>
        <w:t>equipment to a customer (not otherwise included in net cash provided by operating activities) and the after-tax impact of discretionary pension contributions, and less transaction-related expenses, as approved by the Compensation Committee. Adjusted cash provided by operating activities includes proceeds from the sale of equipment to a customer as such proceeds were generated in a customer sales transaction. It also includes the after-tax impact of discretionary pension contributions for consistency and comparability of financial performance. Transaction-related expenses are primarily comprised of advisory, legal and other costs related to the acquisition of Orbital ATK and the divestiture of our IT service business.</w:t>
      </w:r>
    </w:p>
    <w:p>
      <w:pPr>
        <w:spacing w:after="0" w:line="63" w:lineRule="exact"/>
        <w:rPr>
          <w:sz w:val="20"/>
          <w:szCs w:val="20"/>
          <w:color w:val="auto"/>
        </w:rPr>
      </w:pPr>
    </w:p>
    <w:p>
      <w:pPr>
        <w:ind w:left="660" w:right="60"/>
        <w:spacing w:after="0" w:line="262" w:lineRule="auto"/>
        <w:rPr>
          <w:sz w:val="20"/>
          <w:szCs w:val="20"/>
          <w:color w:val="auto"/>
        </w:rPr>
      </w:pPr>
      <w:r>
        <w:rPr>
          <w:rFonts w:ascii="Arial" w:cs="Arial" w:eastAsia="Arial" w:hAnsi="Arial"/>
          <w:sz w:val="18"/>
          <w:szCs w:val="18"/>
          <w:b w:val="1"/>
          <w:bCs w:val="1"/>
          <w:u w:val="single" w:color="auto"/>
          <w:color w:val="auto"/>
        </w:rPr>
        <w:t>Adjusted Cash Flow from Operations Conversion</w:t>
      </w:r>
      <w:r>
        <w:rPr>
          <w:rFonts w:ascii="Arial" w:cs="Arial" w:eastAsia="Arial" w:hAnsi="Arial"/>
          <w:sz w:val="18"/>
          <w:szCs w:val="18"/>
          <w:color w:val="auto"/>
        </w:rPr>
        <w:t>: Defined as Adjusted cash provided by operating activities, divided by earnings</w:t>
      </w:r>
      <w:r>
        <w:rPr>
          <w:rFonts w:ascii="Arial" w:cs="Arial" w:eastAsia="Arial" w:hAnsi="Arial"/>
          <w:sz w:val="18"/>
          <w:szCs w:val="18"/>
          <w:b w:val="1"/>
          <w:bCs w:val="1"/>
          <w:color w:val="auto"/>
        </w:rPr>
        <w:t xml:space="preserve"> </w:t>
      </w:r>
      <w:r>
        <w:rPr>
          <w:rFonts w:ascii="Arial" w:cs="Arial" w:eastAsia="Arial" w:hAnsi="Arial"/>
          <w:sz w:val="18"/>
          <w:szCs w:val="18"/>
          <w:color w:val="auto"/>
        </w:rPr>
        <w:t>before interest, taxes, depreciation and amortization, excluding mark-to-market (MTM) expense and the MTM-related deferred state tax benefit (Adjusted EBITDA), as defined below. As approved by the Compensation Committee, this metric has been adjusted to exclude transaction-related expenses, as defined above.</w:t>
      </w:r>
    </w:p>
    <w:p>
      <w:pPr>
        <w:spacing w:after="0" w:line="41" w:lineRule="exact"/>
        <w:rPr>
          <w:sz w:val="20"/>
          <w:szCs w:val="20"/>
          <w:color w:val="auto"/>
        </w:rPr>
      </w:pPr>
    </w:p>
    <w:p>
      <w:pPr>
        <w:ind w:left="660" w:right="120"/>
        <w:spacing w:after="0" w:line="244" w:lineRule="auto"/>
        <w:rPr>
          <w:sz w:val="20"/>
          <w:szCs w:val="20"/>
          <w:color w:val="auto"/>
        </w:rPr>
      </w:pPr>
      <w:r>
        <w:rPr>
          <w:rFonts w:ascii="Arial" w:cs="Arial" w:eastAsia="Arial" w:hAnsi="Arial"/>
          <w:sz w:val="18"/>
          <w:szCs w:val="18"/>
          <w:b w:val="1"/>
          <w:bCs w:val="1"/>
          <w:u w:val="single" w:color="auto"/>
          <w:color w:val="auto"/>
        </w:rPr>
        <w:t>Adjusted Free Cash Flow</w:t>
      </w:r>
      <w:r>
        <w:rPr>
          <w:rFonts w:ascii="Arial" w:cs="Arial" w:eastAsia="Arial" w:hAnsi="Arial"/>
          <w:sz w:val="18"/>
          <w:szCs w:val="18"/>
          <w:color w:val="auto"/>
        </w:rPr>
        <w:t>: Net cash provided by operating activities, less capital expenditures, plus proceeds from sale of</w:t>
      </w:r>
      <w:r>
        <w:rPr>
          <w:rFonts w:ascii="Arial" w:cs="Arial" w:eastAsia="Arial" w:hAnsi="Arial"/>
          <w:sz w:val="18"/>
          <w:szCs w:val="18"/>
          <w:b w:val="1"/>
          <w:bCs w:val="1"/>
          <w:color w:val="auto"/>
        </w:rPr>
        <w:t xml:space="preserve"> </w:t>
      </w:r>
      <w:r>
        <w:rPr>
          <w:rFonts w:ascii="Arial" w:cs="Arial" w:eastAsia="Arial" w:hAnsi="Arial"/>
          <w:sz w:val="18"/>
          <w:szCs w:val="18"/>
          <w:color w:val="auto"/>
        </w:rPr>
        <w:t>equipment to a customer (not otherwise included in net cash provided by operating activities) and the after-tax impact of discretionary pension contributions. Adjusted free cash flow includes proceeds from the sale of equipment to a customer as such proceeds were generated in a customer sales transaction. It also includes the after-tax impact of discretionary pension contributions for consistency and comparability of financial performance.</w:t>
      </w:r>
    </w:p>
    <w:p>
      <w:pPr>
        <w:spacing w:after="0" w:line="52" w:lineRule="exact"/>
        <w:rPr>
          <w:sz w:val="20"/>
          <w:szCs w:val="20"/>
          <w:color w:val="auto"/>
        </w:rPr>
      </w:pPr>
    </w:p>
    <w:p>
      <w:pPr>
        <w:ind w:left="660" w:right="80"/>
        <w:spacing w:after="0" w:line="238" w:lineRule="auto"/>
        <w:rPr>
          <w:sz w:val="20"/>
          <w:szCs w:val="20"/>
          <w:color w:val="auto"/>
        </w:rPr>
      </w:pPr>
      <w:r>
        <w:rPr>
          <w:rFonts w:ascii="Arial" w:cs="Arial" w:eastAsia="Arial" w:hAnsi="Arial"/>
          <w:sz w:val="18"/>
          <w:szCs w:val="18"/>
          <w:b w:val="1"/>
          <w:bCs w:val="1"/>
          <w:u w:val="single" w:color="auto"/>
          <w:color w:val="auto"/>
        </w:rPr>
        <w:t>Adjusted Free Cash Flow before after-tax total pension funding</w:t>
      </w:r>
      <w:r>
        <w:rPr>
          <w:rFonts w:ascii="Arial" w:cs="Arial" w:eastAsia="Arial" w:hAnsi="Arial"/>
          <w:sz w:val="23"/>
          <w:szCs w:val="23"/>
          <w:b w:val="1"/>
          <w:bCs w:val="1"/>
          <w:u w:val="single" w:color="auto"/>
          <w:color w:val="auto"/>
          <w:vertAlign w:val="superscript"/>
        </w:rPr>
        <w:t>(1)</w:t>
      </w:r>
      <w:r>
        <w:rPr>
          <w:rFonts w:ascii="Arial" w:cs="Arial" w:eastAsia="Arial" w:hAnsi="Arial"/>
          <w:sz w:val="18"/>
          <w:szCs w:val="18"/>
          <w:color w:val="auto"/>
        </w:rPr>
        <w:t>: Defined as Adjusted Free Cash Flow before the after-tax</w:t>
      </w:r>
      <w:r>
        <w:rPr>
          <w:rFonts w:ascii="Arial" w:cs="Arial" w:eastAsia="Arial" w:hAnsi="Arial"/>
          <w:sz w:val="18"/>
          <w:szCs w:val="18"/>
          <w:b w:val="1"/>
          <w:bCs w:val="1"/>
          <w:color w:val="auto"/>
        </w:rPr>
        <w:t xml:space="preserve"> </w:t>
      </w:r>
      <w:r>
        <w:rPr>
          <w:rFonts w:ascii="Arial" w:cs="Arial" w:eastAsia="Arial" w:hAnsi="Arial"/>
          <w:sz w:val="18"/>
          <w:szCs w:val="18"/>
          <w:color w:val="auto"/>
        </w:rPr>
        <w:t>impact of discretionary pension funding. As approved by the Compensation Committee, this metric has been adjusted to exclude the impacts related to Innovation Systems and transaction-related expenses, as discussed above.</w:t>
      </w:r>
    </w:p>
    <w:p>
      <w:pPr>
        <w:spacing w:after="0" w:line="72" w:lineRule="exact"/>
        <w:rPr>
          <w:sz w:val="20"/>
          <w:szCs w:val="20"/>
          <w:color w:val="auto"/>
        </w:rPr>
      </w:pPr>
    </w:p>
    <w:p>
      <w:pPr>
        <w:ind w:left="660" w:right="300"/>
        <w:spacing w:after="0" w:line="287" w:lineRule="auto"/>
        <w:rPr>
          <w:sz w:val="20"/>
          <w:szCs w:val="20"/>
          <w:color w:val="auto"/>
        </w:rPr>
      </w:pPr>
      <w:r>
        <w:rPr>
          <w:rFonts w:ascii="Arial" w:cs="Arial" w:eastAsia="Arial" w:hAnsi="Arial"/>
          <w:sz w:val="18"/>
          <w:szCs w:val="18"/>
          <w:b w:val="1"/>
          <w:bCs w:val="1"/>
          <w:u w:val="single" w:color="auto"/>
          <w:color w:val="auto"/>
        </w:rPr>
        <w:t>Adjusted Cumulative Free Cash Flow (Adjusted Cumulative FCF)</w:t>
      </w:r>
      <w:r>
        <w:rPr>
          <w:rFonts w:ascii="Arial" w:cs="Arial" w:eastAsia="Arial" w:hAnsi="Arial"/>
          <w:sz w:val="18"/>
          <w:szCs w:val="18"/>
          <w:color w:val="auto"/>
        </w:rPr>
        <w:t>: Defined as the aggregate Adjusted Free Cash Flow before</w:t>
      </w:r>
      <w:r>
        <w:rPr>
          <w:rFonts w:ascii="Arial" w:cs="Arial" w:eastAsia="Arial" w:hAnsi="Arial"/>
          <w:sz w:val="18"/>
          <w:szCs w:val="18"/>
          <w:b w:val="1"/>
          <w:bCs w:val="1"/>
          <w:color w:val="auto"/>
        </w:rPr>
        <w:t xml:space="preserve"> </w:t>
      </w:r>
      <w:r>
        <w:rPr>
          <w:rFonts w:ascii="Arial" w:cs="Arial" w:eastAsia="Arial" w:hAnsi="Arial"/>
          <w:sz w:val="18"/>
          <w:szCs w:val="18"/>
          <w:color w:val="auto"/>
        </w:rPr>
        <w:t>after-tax total pension funding, as defined above, over a three-year period.</w:t>
      </w:r>
    </w:p>
    <w:p>
      <w:pPr>
        <w:spacing w:after="0" w:line="1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u w:val="single" w:color="auto"/>
          <w:color w:val="auto"/>
        </w:rPr>
        <w:t>Pension-adjusted metrics</w:t>
      </w:r>
      <w:r>
        <w:rPr>
          <w:rFonts w:ascii="Arial" w:cs="Arial" w:eastAsia="Arial" w:hAnsi="Arial"/>
          <w:sz w:val="18"/>
          <w:szCs w:val="18"/>
          <w:color w:val="auto"/>
        </w:rPr>
        <w:t>: For financial statement purposes, we account for our employee pension plans in accordance with GAAP (FAS).</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the cost of these plans is charged to our contracts in accordance with the Federal Acquisition Regulation (FAR) and the related U.S. Government Cost Accounting Standards (CAS) that govern such plans. We use pension-adjusted metrics as internal measures of financial performance and for performance-based compensation decisions. The net FAS (service)/CAS pension adjustment referred to below reflects the difference between CAS pension expense included as cost in segment operating income and the service cost component of FAS expense included in total operating income. The total net FAS/CAS pension adjustment referred to below reflects the combined net FAS (service)/CAS pension adjustment and net FAS (non-service) pension benefit. The following pension-adjusted measures may be useful to investors and other users of our financial statements in evaluating our performance based upon the pension costs charged to our contracts. All pension-adjusted metrics are reconciled below.</w:t>
      </w:r>
    </w:p>
    <w:p>
      <w:pPr>
        <w:spacing w:after="0" w:line="59" w:lineRule="exact"/>
        <w:rPr>
          <w:sz w:val="20"/>
          <w:szCs w:val="20"/>
          <w:color w:val="auto"/>
        </w:rPr>
      </w:pPr>
    </w:p>
    <w:p>
      <w:pPr>
        <w:ind w:left="660" w:right="280"/>
        <w:spacing w:after="0" w:line="287" w:lineRule="auto"/>
        <w:rPr>
          <w:sz w:val="20"/>
          <w:szCs w:val="20"/>
          <w:color w:val="auto"/>
        </w:rPr>
      </w:pPr>
      <w:r>
        <w:rPr>
          <w:rFonts w:ascii="Arial" w:cs="Arial" w:eastAsia="Arial" w:hAnsi="Arial"/>
          <w:sz w:val="18"/>
          <w:szCs w:val="18"/>
          <w:b w:val="1"/>
          <w:bCs w:val="1"/>
          <w:u w:val="single" w:color="auto"/>
          <w:color w:val="auto"/>
        </w:rPr>
        <w:t>Pension-adjusted operating income</w:t>
      </w:r>
      <w:r>
        <w:rPr>
          <w:rFonts w:ascii="Arial" w:cs="Arial" w:eastAsia="Arial" w:hAnsi="Arial"/>
          <w:sz w:val="18"/>
          <w:szCs w:val="18"/>
          <w:color w:val="auto"/>
        </w:rPr>
        <w:t>: Operating income before the net FAS (service)/CAS pension adjustment as defined above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MTM-related deferred state tax benefit, as defined below within MTM related tax impacts. As approved by</w:t>
      </w:r>
    </w:p>
    <w:p>
      <w:pPr>
        <w:sectPr>
          <w:pgSz w:w="11900" w:h="16838" w:orient="portrait"/>
          <w:cols w:equalWidth="0" w:num="1">
            <w:col w:w="11240"/>
          </w:cols>
          <w:pgMar w:left="320" w:top="593" w:right="339"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ind w:left="5140"/>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A-1</w:t>
      </w:r>
    </w:p>
    <w:p>
      <w:pPr>
        <w:sectPr>
          <w:pgSz w:w="11900" w:h="16838" w:orient="portrait"/>
          <w:cols w:equalWidth="0" w:num="1">
            <w:col w:w="11240"/>
          </w:cols>
          <w:pgMar w:left="320" w:top="593" w:right="339" w:bottom="1440" w:gutter="0" w:footer="0" w:header="0"/>
          <w:type w:val="continuous"/>
        </w:sectPr>
      </w:pPr>
    </w:p>
    <w:bookmarkStart w:id="95" w:name="page96"/>
    <w:bookmarkEnd w:id="95"/>
    <w:p>
      <w:pPr>
        <w:ind w:left="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30861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t>APPENDIX A - USE OF NON-GAAP FINANCIAL MEASURES</w:t>
      </w:r>
    </w:p>
    <w:p>
      <w:pPr>
        <w:sectPr>
          <w:pgSz w:w="11900" w:h="16838" w:orient="portrait"/>
          <w:cols w:equalWidth="0" w:num="1">
            <w:col w:w="11200"/>
          </w:cols>
          <w:pgMar w:left="320" w:top="593" w:right="37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ind w:left="660" w:right="40"/>
        <w:spacing w:after="0" w:line="261" w:lineRule="auto"/>
        <w:rPr>
          <w:sz w:val="20"/>
          <w:szCs w:val="20"/>
          <w:color w:val="auto"/>
        </w:rPr>
      </w:pPr>
      <w:r>
        <w:rPr>
          <w:rFonts w:ascii="Arial" w:cs="Arial" w:eastAsia="Arial" w:hAnsi="Arial"/>
          <w:sz w:val="18"/>
          <w:szCs w:val="18"/>
          <w:color w:val="auto"/>
        </w:rPr>
        <w:t>the Compensation Committee, this metric has been adjusted to exclude transaction-related expenses, as defined above, and Orbital ATK intangible asset amortization and property, plant and equipment (PP&amp;E) step-up depreciation.</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Pension-adjusted Operating Margin Rate</w:t>
      </w:r>
      <w:r>
        <w:rPr>
          <w:rFonts w:ascii="Arial" w:cs="Arial" w:eastAsia="Arial" w:hAnsi="Arial"/>
          <w:sz w:val="18"/>
          <w:szCs w:val="18"/>
          <w:color w:val="auto"/>
        </w:rPr>
        <w:t>: Pension-adjusted operating income as defined above, divided by sales.</w:t>
      </w:r>
    </w:p>
    <w:p>
      <w:pPr>
        <w:spacing w:after="0" w:line="90" w:lineRule="exact"/>
        <w:rPr>
          <w:sz w:val="20"/>
          <w:szCs w:val="20"/>
          <w:color w:val="auto"/>
        </w:rPr>
      </w:pPr>
    </w:p>
    <w:p>
      <w:pPr>
        <w:ind w:left="660" w:right="40"/>
        <w:spacing w:after="0" w:line="287" w:lineRule="auto"/>
        <w:rPr>
          <w:sz w:val="20"/>
          <w:szCs w:val="20"/>
          <w:color w:val="auto"/>
        </w:rPr>
      </w:pPr>
      <w:r>
        <w:rPr>
          <w:rFonts w:ascii="Arial" w:cs="Arial" w:eastAsia="Arial" w:hAnsi="Arial"/>
          <w:sz w:val="18"/>
          <w:szCs w:val="18"/>
          <w:b w:val="1"/>
          <w:bCs w:val="1"/>
          <w:u w:val="single" w:color="auto"/>
          <w:color w:val="auto"/>
        </w:rPr>
        <w:t>After-tax net pension adjustment</w:t>
      </w:r>
      <w:r>
        <w:rPr>
          <w:rFonts w:ascii="Arial" w:cs="Arial" w:eastAsia="Arial" w:hAnsi="Arial"/>
          <w:sz w:val="18"/>
          <w:szCs w:val="18"/>
          <w:color w:val="auto"/>
        </w:rPr>
        <w:t>: The net income impact, after-tax at the federal statutory rate of 21 percent, of the net FAS /CAS</w:t>
      </w:r>
      <w:r>
        <w:rPr>
          <w:rFonts w:ascii="Arial" w:cs="Arial" w:eastAsia="Arial" w:hAnsi="Arial"/>
          <w:sz w:val="18"/>
          <w:szCs w:val="18"/>
          <w:b w:val="1"/>
          <w:bCs w:val="1"/>
          <w:color w:val="auto"/>
        </w:rPr>
        <w:t xml:space="preserve"> </w:t>
      </w:r>
      <w:r>
        <w:rPr>
          <w:rFonts w:ascii="Arial" w:cs="Arial" w:eastAsia="Arial" w:hAnsi="Arial"/>
          <w:sz w:val="18"/>
          <w:szCs w:val="18"/>
          <w:color w:val="auto"/>
        </w:rPr>
        <w:t>pension adjustment, as defined above.</w:t>
      </w:r>
    </w:p>
    <w:p>
      <w:pPr>
        <w:spacing w:after="0" w:line="31" w:lineRule="exact"/>
        <w:rPr>
          <w:sz w:val="20"/>
          <w:szCs w:val="20"/>
          <w:color w:val="auto"/>
        </w:rPr>
      </w:pPr>
    </w:p>
    <w:p>
      <w:pPr>
        <w:ind w:left="660" w:right="100"/>
        <w:spacing w:after="0" w:line="268" w:lineRule="auto"/>
        <w:rPr>
          <w:sz w:val="20"/>
          <w:szCs w:val="20"/>
          <w:color w:val="auto"/>
        </w:rPr>
      </w:pPr>
      <w:r>
        <w:rPr>
          <w:rFonts w:ascii="Arial" w:cs="Arial" w:eastAsia="Arial" w:hAnsi="Arial"/>
          <w:sz w:val="18"/>
          <w:szCs w:val="18"/>
          <w:b w:val="1"/>
          <w:bCs w:val="1"/>
          <w:u w:val="single" w:color="auto"/>
          <w:color w:val="auto"/>
        </w:rPr>
        <w:t>Pension-adjusted net income</w:t>
      </w:r>
      <w:r>
        <w:rPr>
          <w:rFonts w:ascii="Arial" w:cs="Arial" w:eastAsia="Arial" w:hAnsi="Arial"/>
          <w:sz w:val="18"/>
          <w:szCs w:val="18"/>
          <w:color w:val="auto"/>
        </w:rPr>
        <w:t>: Net earnings before the after-tax net pension adjustment as defined above and excluding MTM</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and related tax impacts. As approved by the Compensation Committee, this metric has been adjusted to exclude the after-tax impacts of transaction-related expenses and Orbital ATK intangible asset amortization and PP&amp;E step-up depreciation.</w:t>
      </w:r>
    </w:p>
    <w:p>
      <w:pPr>
        <w:spacing w:after="0" w:line="4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u w:val="single" w:color="auto"/>
          <w:color w:val="auto"/>
        </w:rPr>
        <w:t>Segment operating income</w:t>
      </w:r>
      <w:r>
        <w:rPr>
          <w:rFonts w:ascii="Arial" w:cs="Arial" w:eastAsia="Arial" w:hAnsi="Arial"/>
          <w:sz w:val="18"/>
          <w:szCs w:val="18"/>
          <w:color w:val="auto"/>
        </w:rPr>
        <w:t>: Segment operating income, as reconciled below, reflects total earnings from our four segments,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allocated pension expense recognized under CAS. These measures may be useful to investors and other users of our financial statements as a supplemental measure in evaluating the financial performance and operational trends of our sectors. These measures should not be considered in isolation or as alternatives to operating results presented in accordance with GAAP.</w:t>
      </w:r>
    </w:p>
    <w:p>
      <w:pPr>
        <w:spacing w:after="0" w:line="41"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u w:val="single" w:color="auto"/>
          <w:color w:val="auto"/>
        </w:rPr>
        <w:t>MTM-adjusted net earnings</w:t>
      </w:r>
      <w:r>
        <w:rPr>
          <w:rFonts w:ascii="Arial" w:cs="Arial" w:eastAsia="Arial" w:hAnsi="Arial"/>
          <w:sz w:val="18"/>
          <w:szCs w:val="18"/>
          <w:color w:val="auto"/>
        </w:rPr>
        <w:t>: Net earnings excluding MTM expense and related tax impacts. This measure may be useful to investors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users of our financial statements as a supplemental measure in evaluating the Company’s underlying financial performance by presenting the Company’s operating results before the non-operational impact of pension and OPB actuarial gains and losses. This measure is also consistent with how management views the underlying performance of the business as the impact of MTM accounting is not considered in management’s assessment of the Company's operating performance or in its determination of incentive compensation awards. MTM-adjusted net earnings is reconciled below.</w:t>
      </w:r>
    </w:p>
    <w:p>
      <w:pPr>
        <w:spacing w:after="0" w:line="61"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u w:val="single" w:color="auto"/>
          <w:color w:val="auto"/>
        </w:rPr>
        <w:t>MTM-adjusted diluted EPS</w:t>
      </w:r>
      <w:r>
        <w:rPr>
          <w:rFonts w:ascii="Arial" w:cs="Arial" w:eastAsia="Arial" w:hAnsi="Arial"/>
          <w:sz w:val="18"/>
          <w:szCs w:val="18"/>
          <w:color w:val="auto"/>
        </w:rPr>
        <w:t>: Diluted earnings per share excluding the per share impact of MTM expense and related tax impacts. This</w:t>
      </w:r>
      <w:r>
        <w:rPr>
          <w:rFonts w:ascii="Arial" w:cs="Arial" w:eastAsia="Arial" w:hAnsi="Arial"/>
          <w:sz w:val="18"/>
          <w:szCs w:val="18"/>
          <w:b w:val="1"/>
          <w:bCs w:val="1"/>
          <w:color w:val="auto"/>
        </w:rPr>
        <w:t xml:space="preserve"> </w:t>
      </w:r>
      <w:r>
        <w:rPr>
          <w:rFonts w:ascii="Arial" w:cs="Arial" w:eastAsia="Arial" w:hAnsi="Arial"/>
          <w:sz w:val="18"/>
          <w:szCs w:val="18"/>
          <w:color w:val="auto"/>
        </w:rPr>
        <w:t>measure may be useful to investors and other users of our financial statements as a supplemental measure in evaluating the Company’s underlying financial performance per share by presenting the Company’s diluted earnings per share results before the non-operational impact of pension and OPB actuarial gains and losses. MTM-adjusted diluted EPS is reconciled below.</w:t>
      </w:r>
    </w:p>
    <w:p>
      <w:pPr>
        <w:spacing w:after="0" w:line="55"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b w:val="1"/>
          <w:bCs w:val="1"/>
          <w:u w:val="single" w:color="auto"/>
          <w:color w:val="auto"/>
        </w:rPr>
        <w:t>Operating Return on Net Assets (Operating RONA)</w:t>
      </w:r>
      <w:r>
        <w:rPr>
          <w:rFonts w:ascii="Arial" w:cs="Arial" w:eastAsia="Arial" w:hAnsi="Arial"/>
          <w:sz w:val="18"/>
          <w:szCs w:val="18"/>
          <w:color w:val="auto"/>
        </w:rPr>
        <w:t>: Calculated as Adjusted Net Operating Profit After-Tax (adjusted NOPAT), as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below, divided by the two-year average of net operating assets. Net operating assets are defined as net total current assets, excluding cash and cash equivalents, less total current liabilities, excluding short-term debt, plus net PP&amp;E.</w:t>
      </w:r>
    </w:p>
    <w:p>
      <w:pPr>
        <w:spacing w:after="0" w:line="3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u w:val="single" w:color="auto"/>
          <w:color w:val="auto"/>
        </w:rPr>
        <w:t>Adjusted Net Operating Profit After-Tax</w:t>
      </w:r>
      <w:r>
        <w:rPr>
          <w:rFonts w:ascii="Arial" w:cs="Arial" w:eastAsia="Arial" w:hAnsi="Arial"/>
          <w:sz w:val="18"/>
          <w:szCs w:val="18"/>
          <w:color w:val="auto"/>
        </w:rPr>
        <w:t>: Calculated as operating income adjusted to exclude net FAS (service)/CAS pension adjustment,</w:t>
      </w:r>
      <w:r>
        <w:rPr>
          <w:rFonts w:ascii="Arial" w:cs="Arial" w:eastAsia="Arial" w:hAnsi="Arial"/>
          <w:sz w:val="18"/>
          <w:szCs w:val="18"/>
          <w:b w:val="1"/>
          <w:bCs w:val="1"/>
          <w:color w:val="auto"/>
        </w:rPr>
        <w:t xml:space="preserve"> </w:t>
      </w:r>
      <w:r>
        <w:rPr>
          <w:rFonts w:ascii="Arial" w:cs="Arial" w:eastAsia="Arial" w:hAnsi="Arial"/>
          <w:sz w:val="18"/>
          <w:szCs w:val="18"/>
          <w:color w:val="auto"/>
        </w:rPr>
        <w:t>MTM expense and related tax impacts, as defined above, impacts related to transaction-related expenses, Orbital ATK intangible asset amortization and PP&amp;E step-up depreciation, as defined above and approved by the Compensation Committee.</w:t>
      </w:r>
    </w:p>
    <w:p>
      <w:pPr>
        <w:spacing w:after="0" w:line="385" w:lineRule="exact"/>
        <w:rPr>
          <w:sz w:val="20"/>
          <w:szCs w:val="20"/>
          <w:color w:val="auto"/>
        </w:rPr>
      </w:pPr>
    </w:p>
    <w:p>
      <w:pPr>
        <w:ind w:right="80"/>
        <w:spacing w:after="0" w:line="231" w:lineRule="auto"/>
        <w:rPr>
          <w:sz w:val="20"/>
          <w:szCs w:val="20"/>
          <w:color w:val="auto"/>
        </w:rPr>
      </w:pPr>
      <w:r>
        <w:rPr>
          <w:rFonts w:ascii="Arial" w:cs="Arial" w:eastAsia="Arial" w:hAnsi="Arial"/>
          <w:sz w:val="23"/>
          <w:szCs w:val="23"/>
          <w:color w:val="auto"/>
          <w:vertAlign w:val="superscript"/>
        </w:rPr>
        <w:t>(1)</w:t>
      </w:r>
      <w:r>
        <w:rPr>
          <w:rFonts w:ascii="Arial" w:cs="Arial" w:eastAsia="Arial" w:hAnsi="Arial"/>
          <w:sz w:val="16"/>
          <w:szCs w:val="16"/>
          <w:color w:val="auto"/>
        </w:rPr>
        <w:t>For the 2018 LTIP grant, the financial scoring approach was finalized prior to the acquisition of Orbital ATK. This acquired business was established as a fourth business sector named Innovation Systems. As approved by the Compensation Committee, the legacy Innovation Systems business has been excluded from Adjusted Free Cash Flow before after-tax total pension funding for the three-year 2018-2020 performance period of the Adjusted Cumulative Free Cash Flow score.</w:t>
      </w:r>
    </w:p>
    <w:p>
      <w:pPr>
        <w:sectPr>
          <w:pgSz w:w="11900" w:h="16838" w:orient="portrait"/>
          <w:cols w:equalWidth="0" w:num="1">
            <w:col w:w="11200"/>
          </w:cols>
          <w:pgMar w:left="320" w:top="593"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A-2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1200"/>
          </w:cols>
          <w:pgMar w:left="320" w:top="593" w:right="379" w:bottom="1440" w:gutter="0" w:footer="0" w:header="0"/>
          <w:type w:val="continuous"/>
        </w:sectPr>
      </w:pPr>
    </w:p>
    <w:bookmarkStart w:id="96" w:name="page97"/>
    <w:bookmarkEnd w:id="96"/>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30861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308610"/>
                    </a:xfrm>
                    <a:prstGeom prst="rect">
                      <a:avLst/>
                    </a:prstGeom>
                    <a:noFill/>
                  </pic:spPr>
                </pic:pic>
              </a:graphicData>
            </a:graphic>
          </wp:anchor>
        </w:drawing>
        <w:t>APPENDIX A - USE OF NON-GAAP FINANCIAL MEASURES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20" w:type="dxa"/>
            <w:vAlign w:val="bottom"/>
            <w:shd w:val="clear" w:color="auto" w:fill="00249C"/>
          </w:tcPr>
          <w:p>
            <w:pPr>
              <w:spacing w:after="0"/>
              <w:rPr>
                <w:sz w:val="16"/>
                <w:szCs w:val="16"/>
                <w:color w:val="auto"/>
              </w:rPr>
            </w:pPr>
          </w:p>
        </w:tc>
        <w:tc>
          <w:tcPr>
            <w:tcW w:w="460" w:type="dxa"/>
            <w:vAlign w:val="bottom"/>
            <w:shd w:val="clear" w:color="auto" w:fill="00249C"/>
          </w:tcPr>
          <w:p>
            <w:pPr>
              <w:spacing w:after="0"/>
              <w:rPr>
                <w:sz w:val="16"/>
                <w:szCs w:val="16"/>
                <w:color w:val="auto"/>
              </w:rPr>
            </w:pPr>
          </w:p>
        </w:tc>
        <w:tc>
          <w:tcPr>
            <w:tcW w:w="400" w:type="dxa"/>
            <w:vAlign w:val="bottom"/>
            <w:shd w:val="clear" w:color="auto" w:fill="00249C"/>
          </w:tcPr>
          <w:p>
            <w:pPr>
              <w:spacing w:after="0"/>
              <w:rPr>
                <w:sz w:val="16"/>
                <w:szCs w:val="16"/>
                <w:color w:val="auto"/>
              </w:rPr>
            </w:pPr>
          </w:p>
        </w:tc>
        <w:tc>
          <w:tcPr>
            <w:tcW w:w="1060" w:type="dxa"/>
            <w:vAlign w:val="bottom"/>
            <w:shd w:val="clear" w:color="auto" w:fill="00249C"/>
          </w:tcPr>
          <w:p>
            <w:pPr>
              <w:spacing w:after="0"/>
              <w:rPr>
                <w:sz w:val="16"/>
                <w:szCs w:val="16"/>
                <w:color w:val="auto"/>
              </w:rPr>
            </w:pPr>
          </w:p>
        </w:tc>
        <w:tc>
          <w:tcPr>
            <w:tcW w:w="280" w:type="dxa"/>
            <w:vAlign w:val="bottom"/>
            <w:shd w:val="clear" w:color="auto" w:fill="00249C"/>
          </w:tcPr>
          <w:p>
            <w:pPr>
              <w:spacing w:after="0"/>
              <w:rPr>
                <w:sz w:val="16"/>
                <w:szCs w:val="16"/>
                <w:color w:val="auto"/>
              </w:rPr>
            </w:pPr>
          </w:p>
        </w:tc>
        <w:tc>
          <w:tcPr>
            <w:tcW w:w="1180" w:type="dxa"/>
            <w:vAlign w:val="bottom"/>
            <w:shd w:val="clear" w:color="auto" w:fill="00249C"/>
          </w:tcPr>
          <w:p>
            <w:pPr>
              <w:jc w:val="right"/>
              <w:ind w:right="233"/>
              <w:spacing w:after="0"/>
              <w:rPr>
                <w:sz w:val="20"/>
                <w:szCs w:val="20"/>
                <w:color w:val="auto"/>
              </w:rPr>
            </w:pPr>
            <w:r>
              <w:rPr>
                <w:rFonts w:ascii="Arial" w:cs="Arial" w:eastAsia="Arial" w:hAnsi="Arial"/>
                <w:sz w:val="14"/>
                <w:szCs w:val="14"/>
                <w:b w:val="1"/>
                <w:bCs w:val="1"/>
                <w:color w:val="FFFFFF"/>
              </w:rPr>
              <w:t>Total Year</w:t>
            </w:r>
          </w:p>
        </w:tc>
        <w:tc>
          <w:tcPr>
            <w:tcW w:w="280" w:type="dxa"/>
            <w:vAlign w:val="bottom"/>
            <w:shd w:val="clear" w:color="auto" w:fill="00249C"/>
          </w:tcPr>
          <w:p>
            <w:pPr>
              <w:spacing w:after="0"/>
              <w:rPr>
                <w:sz w:val="16"/>
                <w:szCs w:val="16"/>
                <w:color w:val="auto"/>
              </w:rPr>
            </w:pPr>
          </w:p>
        </w:tc>
        <w:tc>
          <w:tcPr>
            <w:tcW w:w="1340" w:type="dxa"/>
            <w:vAlign w:val="bottom"/>
            <w:shd w:val="clear" w:color="auto" w:fill="00249C"/>
          </w:tcPr>
          <w:p>
            <w:pPr>
              <w:spacing w:after="0"/>
              <w:rPr>
                <w:sz w:val="16"/>
                <w:szCs w:val="16"/>
                <w:color w:val="auto"/>
              </w:rPr>
            </w:pPr>
          </w:p>
        </w:tc>
      </w:tr>
      <w:tr>
        <w:trPr>
          <w:trHeight w:val="203"/>
        </w:trPr>
        <w:tc>
          <w:tcPr>
            <w:tcW w:w="6220" w:type="dxa"/>
            <w:vAlign w:val="bottom"/>
            <w:shd w:val="clear" w:color="auto" w:fill="00249C"/>
          </w:tcPr>
          <w:p>
            <w:pPr>
              <w:ind w:left="20"/>
              <w:spacing w:after="0"/>
              <w:rPr>
                <w:sz w:val="20"/>
                <w:szCs w:val="20"/>
                <w:color w:val="auto"/>
              </w:rPr>
            </w:pPr>
            <w:r>
              <w:rPr>
                <w:rFonts w:ascii="Arial" w:cs="Arial" w:eastAsia="Arial" w:hAnsi="Arial"/>
                <w:sz w:val="14"/>
                <w:szCs w:val="14"/>
                <w:b w:val="1"/>
                <w:bCs w:val="1"/>
                <w:color w:val="FFFFFF"/>
              </w:rPr>
              <w:t>($M)</w:t>
            </w:r>
          </w:p>
        </w:tc>
        <w:tc>
          <w:tcPr>
            <w:tcW w:w="460" w:type="dxa"/>
            <w:vAlign w:val="bottom"/>
            <w:shd w:val="clear" w:color="auto" w:fill="00249C"/>
          </w:tcPr>
          <w:p>
            <w:pPr>
              <w:spacing w:after="0"/>
              <w:rPr>
                <w:sz w:val="17"/>
                <w:szCs w:val="17"/>
                <w:color w:val="auto"/>
              </w:rPr>
            </w:pPr>
          </w:p>
        </w:tc>
        <w:tc>
          <w:tcPr>
            <w:tcW w:w="400" w:type="dxa"/>
            <w:vAlign w:val="bottom"/>
            <w:shd w:val="clear" w:color="auto" w:fill="00249C"/>
          </w:tcPr>
          <w:p>
            <w:pPr>
              <w:spacing w:after="0"/>
              <w:rPr>
                <w:sz w:val="17"/>
                <w:szCs w:val="17"/>
                <w:color w:val="auto"/>
              </w:rPr>
            </w:pPr>
          </w:p>
        </w:tc>
        <w:tc>
          <w:tcPr>
            <w:tcW w:w="1060" w:type="dxa"/>
            <w:vAlign w:val="bottom"/>
            <w:shd w:val="clear" w:color="auto" w:fill="00249C"/>
          </w:tcPr>
          <w:p>
            <w:pPr>
              <w:jc w:val="right"/>
              <w:ind w:right="492"/>
              <w:spacing w:after="0"/>
              <w:rPr>
                <w:sz w:val="20"/>
                <w:szCs w:val="20"/>
                <w:color w:val="auto"/>
              </w:rPr>
            </w:pPr>
            <w:r>
              <w:rPr>
                <w:rFonts w:ascii="Arial" w:cs="Arial" w:eastAsia="Arial" w:hAnsi="Arial"/>
                <w:sz w:val="14"/>
                <w:szCs w:val="14"/>
                <w:b w:val="1"/>
                <w:bCs w:val="1"/>
                <w:color w:val="FFFFFF"/>
              </w:rPr>
              <w:t>2020</w:t>
            </w:r>
          </w:p>
        </w:tc>
        <w:tc>
          <w:tcPr>
            <w:tcW w:w="280" w:type="dxa"/>
            <w:vAlign w:val="bottom"/>
            <w:shd w:val="clear" w:color="auto" w:fill="00249C"/>
          </w:tcPr>
          <w:p>
            <w:pPr>
              <w:spacing w:after="0"/>
              <w:rPr>
                <w:sz w:val="17"/>
                <w:szCs w:val="17"/>
                <w:color w:val="auto"/>
              </w:rPr>
            </w:pPr>
          </w:p>
        </w:tc>
        <w:tc>
          <w:tcPr>
            <w:tcW w:w="1180" w:type="dxa"/>
            <w:vAlign w:val="bottom"/>
            <w:shd w:val="clear" w:color="auto" w:fill="00249C"/>
          </w:tcPr>
          <w:p>
            <w:pPr>
              <w:jc w:val="right"/>
              <w:ind w:right="493"/>
              <w:spacing w:after="0"/>
              <w:rPr>
                <w:sz w:val="20"/>
                <w:szCs w:val="20"/>
                <w:color w:val="auto"/>
              </w:rPr>
            </w:pPr>
            <w:r>
              <w:rPr>
                <w:rFonts w:ascii="Arial" w:cs="Arial" w:eastAsia="Arial" w:hAnsi="Arial"/>
                <w:sz w:val="14"/>
                <w:szCs w:val="14"/>
                <w:b w:val="1"/>
                <w:bCs w:val="1"/>
                <w:color w:val="FFFFFF"/>
              </w:rPr>
              <w:t>2019</w:t>
            </w:r>
          </w:p>
        </w:tc>
        <w:tc>
          <w:tcPr>
            <w:tcW w:w="280" w:type="dxa"/>
            <w:vAlign w:val="bottom"/>
            <w:shd w:val="clear" w:color="auto" w:fill="00249C"/>
          </w:tcPr>
          <w:p>
            <w:pPr>
              <w:spacing w:after="0"/>
              <w:rPr>
                <w:sz w:val="17"/>
                <w:szCs w:val="17"/>
                <w:color w:val="auto"/>
              </w:rPr>
            </w:pPr>
          </w:p>
        </w:tc>
        <w:tc>
          <w:tcPr>
            <w:tcW w:w="1340" w:type="dxa"/>
            <w:vAlign w:val="bottom"/>
            <w:shd w:val="clear" w:color="auto" w:fill="00249C"/>
          </w:tcPr>
          <w:p>
            <w:pPr>
              <w:jc w:val="right"/>
              <w:ind w:right="571"/>
              <w:spacing w:after="0"/>
              <w:rPr>
                <w:sz w:val="20"/>
                <w:szCs w:val="20"/>
                <w:color w:val="auto"/>
              </w:rPr>
            </w:pPr>
            <w:r>
              <w:rPr>
                <w:rFonts w:ascii="Arial" w:cs="Arial" w:eastAsia="Arial" w:hAnsi="Arial"/>
                <w:sz w:val="14"/>
                <w:szCs w:val="14"/>
                <w:b w:val="1"/>
                <w:bCs w:val="1"/>
                <w:color w:val="FFFFFF"/>
              </w:rPr>
              <w:t>2018</w:t>
            </w:r>
          </w:p>
        </w:tc>
      </w:tr>
      <w:tr>
        <w:trPr>
          <w:trHeight w:val="229"/>
        </w:trPr>
        <w:tc>
          <w:tcPr>
            <w:tcW w:w="6220" w:type="dxa"/>
            <w:vAlign w:val="bottom"/>
            <w:tcBorders>
              <w:bottom w:val="single" w:sz="8" w:color="0A2299"/>
            </w:tcBorders>
          </w:tcPr>
          <w:p>
            <w:pPr>
              <w:ind w:left="20"/>
              <w:spacing w:after="0"/>
              <w:rPr>
                <w:sz w:val="20"/>
                <w:szCs w:val="20"/>
                <w:color w:val="auto"/>
              </w:rPr>
            </w:pPr>
            <w:r>
              <w:rPr>
                <w:rFonts w:ascii="Arial" w:cs="Arial" w:eastAsia="Arial" w:hAnsi="Arial"/>
                <w:sz w:val="18"/>
                <w:szCs w:val="18"/>
                <w:b w:val="1"/>
                <w:bCs w:val="1"/>
                <w:color w:val="auto"/>
              </w:rPr>
              <w:t>Adjusted free cash flow metrics</w:t>
            </w:r>
          </w:p>
        </w:tc>
        <w:tc>
          <w:tcPr>
            <w:tcW w:w="460" w:type="dxa"/>
            <w:vAlign w:val="bottom"/>
            <w:tcBorders>
              <w:bottom w:val="single" w:sz="8" w:color="0A2299"/>
            </w:tcBorders>
          </w:tcPr>
          <w:p>
            <w:pPr>
              <w:spacing w:after="0"/>
              <w:rPr>
                <w:sz w:val="19"/>
                <w:szCs w:val="19"/>
                <w:color w:val="auto"/>
              </w:rPr>
            </w:pPr>
          </w:p>
        </w:tc>
        <w:tc>
          <w:tcPr>
            <w:tcW w:w="400" w:type="dxa"/>
            <w:vAlign w:val="bottom"/>
            <w:tcBorders>
              <w:bottom w:val="single" w:sz="8" w:color="0A2299"/>
            </w:tcBorders>
          </w:tcPr>
          <w:p>
            <w:pPr>
              <w:spacing w:after="0"/>
              <w:rPr>
                <w:sz w:val="19"/>
                <w:szCs w:val="19"/>
                <w:color w:val="auto"/>
              </w:rPr>
            </w:pPr>
          </w:p>
        </w:tc>
        <w:tc>
          <w:tcPr>
            <w:tcW w:w="1060" w:type="dxa"/>
            <w:vAlign w:val="bottom"/>
            <w:tcBorders>
              <w:bottom w:val="single" w:sz="8" w:color="0A2299"/>
            </w:tcBorders>
          </w:tcPr>
          <w:p>
            <w:pPr>
              <w:spacing w:after="0"/>
              <w:rPr>
                <w:sz w:val="19"/>
                <w:szCs w:val="19"/>
                <w:color w:val="auto"/>
              </w:rPr>
            </w:pPr>
          </w:p>
        </w:tc>
        <w:tc>
          <w:tcPr>
            <w:tcW w:w="280" w:type="dxa"/>
            <w:vAlign w:val="bottom"/>
            <w:tcBorders>
              <w:bottom w:val="single" w:sz="8" w:color="0A2299"/>
            </w:tcBorders>
          </w:tcPr>
          <w:p>
            <w:pPr>
              <w:spacing w:after="0"/>
              <w:rPr>
                <w:sz w:val="19"/>
                <w:szCs w:val="19"/>
                <w:color w:val="auto"/>
              </w:rPr>
            </w:pPr>
          </w:p>
        </w:tc>
        <w:tc>
          <w:tcPr>
            <w:tcW w:w="1180" w:type="dxa"/>
            <w:vAlign w:val="bottom"/>
            <w:tcBorders>
              <w:bottom w:val="single" w:sz="8" w:color="0A2299"/>
            </w:tcBorders>
          </w:tcPr>
          <w:p>
            <w:pPr>
              <w:spacing w:after="0"/>
              <w:rPr>
                <w:sz w:val="19"/>
                <w:szCs w:val="19"/>
                <w:color w:val="auto"/>
              </w:rPr>
            </w:pPr>
          </w:p>
        </w:tc>
        <w:tc>
          <w:tcPr>
            <w:tcW w:w="280" w:type="dxa"/>
            <w:vAlign w:val="bottom"/>
            <w:tcBorders>
              <w:bottom w:val="single" w:sz="8" w:color="0A2299"/>
            </w:tcBorders>
          </w:tcPr>
          <w:p>
            <w:pPr>
              <w:spacing w:after="0"/>
              <w:rPr>
                <w:sz w:val="19"/>
                <w:szCs w:val="19"/>
                <w:color w:val="auto"/>
              </w:rPr>
            </w:pPr>
          </w:p>
        </w:tc>
        <w:tc>
          <w:tcPr>
            <w:tcW w:w="1340" w:type="dxa"/>
            <w:vAlign w:val="bottom"/>
            <w:tcBorders>
              <w:bottom w:val="single" w:sz="8" w:color="0A2299"/>
            </w:tcBorders>
          </w:tcPr>
          <w:p>
            <w:pPr>
              <w:spacing w:after="0"/>
              <w:rPr>
                <w:sz w:val="19"/>
                <w:szCs w:val="19"/>
                <w:color w:val="auto"/>
              </w:rPr>
            </w:pPr>
          </w:p>
        </w:tc>
      </w:tr>
      <w:tr>
        <w:trPr>
          <w:trHeight w:val="232"/>
        </w:trPr>
        <w:tc>
          <w:tcPr>
            <w:tcW w:w="668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 cash provided by operating activities</w:t>
            </w:r>
          </w:p>
        </w:tc>
        <w:tc>
          <w:tcPr>
            <w:tcW w:w="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4,305</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4,297</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ind w:right="151"/>
              <w:spacing w:after="0"/>
              <w:rPr>
                <w:sz w:val="20"/>
                <w:szCs w:val="20"/>
                <w:color w:val="auto"/>
              </w:rPr>
            </w:pPr>
            <w:r>
              <w:rPr>
                <w:rFonts w:ascii="Arial" w:cs="Arial" w:eastAsia="Arial" w:hAnsi="Arial"/>
                <w:sz w:val="18"/>
                <w:szCs w:val="18"/>
                <w:b w:val="1"/>
                <w:bCs w:val="1"/>
                <w:color w:val="auto"/>
              </w:rPr>
              <w:t>3,827</w:t>
            </w:r>
          </w:p>
        </w:tc>
      </w:tr>
      <w:tr>
        <w:trPr>
          <w:trHeight w:val="220"/>
        </w:trPr>
        <w:tc>
          <w:tcPr>
            <w:tcW w:w="6680" w:type="dxa"/>
            <w:vAlign w:val="bottom"/>
            <w:gridSpan w:val="2"/>
          </w:tcPr>
          <w:p>
            <w:pPr>
              <w:ind w:left="140"/>
              <w:spacing w:after="0"/>
              <w:rPr>
                <w:sz w:val="20"/>
                <w:szCs w:val="20"/>
                <w:color w:val="auto"/>
              </w:rPr>
            </w:pPr>
            <w:r>
              <w:rPr>
                <w:rFonts w:ascii="Arial" w:cs="Arial" w:eastAsia="Arial" w:hAnsi="Arial"/>
                <w:sz w:val="18"/>
                <w:szCs w:val="18"/>
                <w:color w:val="auto"/>
              </w:rPr>
              <w:t>Capital expenditures</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(1,420)</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(1,264)</w:t>
            </w:r>
          </w:p>
        </w:tc>
        <w:tc>
          <w:tcPr>
            <w:tcW w:w="280" w:type="dxa"/>
            <w:vAlign w:val="bottom"/>
          </w:tcPr>
          <w:p>
            <w:pPr>
              <w:spacing w:after="0"/>
              <w:rPr>
                <w:sz w:val="19"/>
                <w:szCs w:val="19"/>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(1,249)</w:t>
            </w:r>
          </w:p>
        </w:tc>
      </w:tr>
      <w:tr>
        <w:trPr>
          <w:trHeight w:val="230"/>
        </w:trPr>
        <w:tc>
          <w:tcPr>
            <w:tcW w:w="6680" w:type="dxa"/>
            <w:vAlign w:val="bottom"/>
            <w:gridSpan w:val="2"/>
          </w:tcPr>
          <w:p>
            <w:pPr>
              <w:ind w:left="140"/>
              <w:spacing w:after="0"/>
              <w:rPr>
                <w:sz w:val="20"/>
                <w:szCs w:val="20"/>
                <w:color w:val="auto"/>
              </w:rPr>
            </w:pPr>
            <w:r>
              <w:rPr>
                <w:rFonts w:ascii="Arial" w:cs="Arial" w:eastAsia="Arial" w:hAnsi="Arial"/>
                <w:sz w:val="18"/>
                <w:szCs w:val="18"/>
                <w:color w:val="auto"/>
              </w:rPr>
              <w:t>Proceeds from sale of equipment to a customer</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29"/>
        </w:trPr>
        <w:tc>
          <w:tcPr>
            <w:tcW w:w="6680" w:type="dxa"/>
            <w:vAlign w:val="bottom"/>
            <w:tcBorders>
              <w:bottom w:val="single" w:sz="8" w:color="00249C"/>
            </w:tcBorders>
            <w:gridSpan w:val="2"/>
          </w:tcPr>
          <w:p>
            <w:pPr>
              <w:ind w:left="140"/>
              <w:spacing w:after="0"/>
              <w:rPr>
                <w:sz w:val="20"/>
                <w:szCs w:val="20"/>
                <w:color w:val="auto"/>
              </w:rPr>
            </w:pPr>
            <w:r>
              <w:rPr>
                <w:rFonts w:ascii="Arial" w:cs="Arial" w:eastAsia="Arial" w:hAnsi="Arial"/>
                <w:sz w:val="18"/>
                <w:szCs w:val="18"/>
                <w:color w:val="auto"/>
              </w:rPr>
              <w:t>After-tax discretionary pension contributions</w:t>
            </w:r>
          </w:p>
        </w:tc>
        <w:tc>
          <w:tcPr>
            <w:tcW w:w="400" w:type="dxa"/>
            <w:vAlign w:val="bottom"/>
            <w:tcBorders>
              <w:bottom w:val="single" w:sz="8" w:color="00249C"/>
            </w:tcBorders>
          </w:tcPr>
          <w:p>
            <w:pPr>
              <w:spacing w:after="0"/>
              <w:rPr>
                <w:sz w:val="19"/>
                <w:szCs w:val="19"/>
                <w:color w:val="auto"/>
              </w:rPr>
            </w:pPr>
          </w:p>
        </w:tc>
        <w:tc>
          <w:tcPr>
            <w:tcW w:w="1060" w:type="dxa"/>
            <w:vAlign w:val="bottom"/>
            <w:tcBorders>
              <w:bottom w:val="single" w:sz="8" w:color="00249C"/>
            </w:tcBorders>
          </w:tcPr>
          <w:p>
            <w:pPr>
              <w:jc w:val="right"/>
              <w:spacing w:after="0"/>
              <w:rPr>
                <w:sz w:val="20"/>
                <w:szCs w:val="20"/>
                <w:color w:val="auto"/>
              </w:rPr>
            </w:pPr>
            <w:r>
              <w:rPr>
                <w:rFonts w:ascii="Arial" w:cs="Arial" w:eastAsia="Arial" w:hAnsi="Arial"/>
                <w:sz w:val="18"/>
                <w:szCs w:val="18"/>
                <w:color w:val="auto"/>
              </w:rPr>
              <w:t>593</w:t>
            </w:r>
          </w:p>
        </w:tc>
        <w:tc>
          <w:tcPr>
            <w:tcW w:w="280" w:type="dxa"/>
            <w:vAlign w:val="bottom"/>
            <w:tcBorders>
              <w:bottom w:val="single" w:sz="8" w:color="00249C"/>
            </w:tcBorders>
          </w:tcPr>
          <w:p>
            <w:pPr>
              <w:spacing w:after="0"/>
              <w:rPr>
                <w:sz w:val="19"/>
                <w:szCs w:val="19"/>
                <w:color w:val="auto"/>
              </w:rPr>
            </w:pPr>
          </w:p>
        </w:tc>
        <w:tc>
          <w:tcPr>
            <w:tcW w:w="1180" w:type="dxa"/>
            <w:vAlign w:val="bottom"/>
            <w:tcBorders>
              <w:bottom w:val="single" w:sz="8" w:color="00249C"/>
            </w:tcBorders>
          </w:tcPr>
          <w:p>
            <w:pPr>
              <w:jc w:val="right"/>
              <w:spacing w:after="0"/>
              <w:rPr>
                <w:sz w:val="20"/>
                <w:szCs w:val="20"/>
                <w:color w:val="auto"/>
              </w:rPr>
            </w:pPr>
            <w:r>
              <w:rPr>
                <w:rFonts w:ascii="Arial" w:cs="Arial" w:eastAsia="Arial" w:hAnsi="Arial"/>
                <w:sz w:val="18"/>
                <w:szCs w:val="18"/>
                <w:color w:val="auto"/>
              </w:rPr>
              <w:t>95</w:t>
            </w:r>
          </w:p>
        </w:tc>
        <w:tc>
          <w:tcPr>
            <w:tcW w:w="280" w:type="dxa"/>
            <w:vAlign w:val="bottom"/>
            <w:tcBorders>
              <w:bottom w:val="single" w:sz="8" w:color="00249C"/>
            </w:tcBorders>
          </w:tcPr>
          <w:p>
            <w:pPr>
              <w:spacing w:after="0"/>
              <w:rPr>
                <w:sz w:val="19"/>
                <w:szCs w:val="19"/>
                <w:color w:val="auto"/>
              </w:rPr>
            </w:pPr>
          </w:p>
        </w:tc>
        <w:tc>
          <w:tcPr>
            <w:tcW w:w="1340" w:type="dxa"/>
            <w:vAlign w:val="bottom"/>
            <w:tcBorders>
              <w:bottom w:val="single" w:sz="8" w:color="00249C"/>
            </w:tcBorders>
          </w:tcPr>
          <w:p>
            <w:pPr>
              <w:jc w:val="right"/>
              <w:ind w:right="151"/>
              <w:spacing w:after="0"/>
              <w:rPr>
                <w:sz w:val="20"/>
                <w:szCs w:val="20"/>
                <w:color w:val="auto"/>
              </w:rPr>
            </w:pPr>
            <w:r>
              <w:rPr>
                <w:rFonts w:ascii="Arial" w:cs="Arial" w:eastAsia="Arial" w:hAnsi="Arial"/>
                <w:sz w:val="18"/>
                <w:szCs w:val="18"/>
                <w:color w:val="auto"/>
              </w:rPr>
              <w:t>186</w:t>
            </w:r>
          </w:p>
        </w:tc>
      </w:tr>
      <w:tr>
        <w:trPr>
          <w:trHeight w:val="223"/>
        </w:trPr>
        <w:tc>
          <w:tcPr>
            <w:tcW w:w="6680" w:type="dxa"/>
            <w:vAlign w:val="bottom"/>
            <w:tcBorders>
              <w:bottom w:val="single" w:sz="8" w:color="00249C"/>
            </w:tcBorders>
            <w:gridSpan w:val="2"/>
          </w:tcPr>
          <w:p>
            <w:pPr>
              <w:ind w:left="140"/>
              <w:spacing w:after="0"/>
              <w:rPr>
                <w:sz w:val="20"/>
                <w:szCs w:val="20"/>
                <w:color w:val="auto"/>
              </w:rPr>
            </w:pPr>
            <w:r>
              <w:rPr>
                <w:rFonts w:ascii="Arial" w:cs="Arial" w:eastAsia="Arial" w:hAnsi="Arial"/>
                <w:sz w:val="18"/>
                <w:szCs w:val="18"/>
                <w:b w:val="1"/>
                <w:bCs w:val="1"/>
                <w:color w:val="auto"/>
              </w:rPr>
              <w:t>Adjusted free cash flow</w:t>
            </w:r>
          </w:p>
        </w:tc>
        <w:tc>
          <w:tcPr>
            <w:tcW w:w="400" w:type="dxa"/>
            <w:vAlign w:val="bottom"/>
            <w:tcBorders>
              <w:bottom w:val="single" w:sz="8" w:color="00249C"/>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00249C"/>
            </w:tcBorders>
          </w:tcPr>
          <w:p>
            <w:pPr>
              <w:jc w:val="right"/>
              <w:spacing w:after="0"/>
              <w:rPr>
                <w:sz w:val="20"/>
                <w:szCs w:val="20"/>
                <w:color w:val="auto"/>
              </w:rPr>
            </w:pPr>
            <w:r>
              <w:rPr>
                <w:rFonts w:ascii="Arial" w:cs="Arial" w:eastAsia="Arial" w:hAnsi="Arial"/>
                <w:sz w:val="18"/>
                <w:szCs w:val="18"/>
                <w:b w:val="1"/>
                <w:bCs w:val="1"/>
                <w:color w:val="auto"/>
              </w:rPr>
              <w:t>3,683</w:t>
            </w:r>
          </w:p>
        </w:tc>
        <w:tc>
          <w:tcPr>
            <w:tcW w:w="280" w:type="dxa"/>
            <w:vAlign w:val="bottom"/>
            <w:tcBorders>
              <w:bottom w:val="single" w:sz="8" w:color="00249C"/>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00249C"/>
            </w:tcBorders>
          </w:tcPr>
          <w:p>
            <w:pPr>
              <w:jc w:val="right"/>
              <w:spacing w:after="0"/>
              <w:rPr>
                <w:sz w:val="20"/>
                <w:szCs w:val="20"/>
                <w:color w:val="auto"/>
              </w:rPr>
            </w:pPr>
            <w:r>
              <w:rPr>
                <w:rFonts w:ascii="Arial" w:cs="Arial" w:eastAsia="Arial" w:hAnsi="Arial"/>
                <w:sz w:val="18"/>
                <w:szCs w:val="18"/>
                <w:b w:val="1"/>
                <w:bCs w:val="1"/>
                <w:color w:val="auto"/>
              </w:rPr>
              <w:t>3,128</w:t>
            </w:r>
          </w:p>
        </w:tc>
        <w:tc>
          <w:tcPr>
            <w:tcW w:w="280" w:type="dxa"/>
            <w:vAlign w:val="bottom"/>
            <w:tcBorders>
              <w:bottom w:val="single" w:sz="8" w:color="00249C"/>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00249C"/>
            </w:tcBorders>
          </w:tcPr>
          <w:p>
            <w:pPr>
              <w:jc w:val="right"/>
              <w:ind w:right="151"/>
              <w:spacing w:after="0"/>
              <w:rPr>
                <w:sz w:val="20"/>
                <w:szCs w:val="20"/>
                <w:color w:val="auto"/>
              </w:rPr>
            </w:pPr>
            <w:r>
              <w:rPr>
                <w:rFonts w:ascii="Arial" w:cs="Arial" w:eastAsia="Arial" w:hAnsi="Arial"/>
                <w:sz w:val="18"/>
                <w:szCs w:val="18"/>
                <w:b w:val="1"/>
                <w:bCs w:val="1"/>
                <w:color w:val="auto"/>
              </w:rPr>
              <w:t>2,764</w:t>
            </w:r>
          </w:p>
        </w:tc>
      </w:tr>
      <w:tr>
        <w:trPr>
          <w:trHeight w:val="223"/>
        </w:trPr>
        <w:tc>
          <w:tcPr>
            <w:tcW w:w="6680" w:type="dxa"/>
            <w:vAlign w:val="bottom"/>
            <w:gridSpan w:val="2"/>
          </w:tcPr>
          <w:p>
            <w:pPr>
              <w:ind w:left="140"/>
              <w:spacing w:after="0"/>
              <w:rPr>
                <w:sz w:val="20"/>
                <w:szCs w:val="20"/>
                <w:color w:val="auto"/>
              </w:rPr>
            </w:pPr>
            <w:r>
              <w:rPr>
                <w:rFonts w:ascii="Arial" w:cs="Arial" w:eastAsia="Arial" w:hAnsi="Arial"/>
                <w:sz w:val="18"/>
                <w:szCs w:val="18"/>
                <w:color w:val="auto"/>
              </w:rPr>
              <w:t>After-tax required pension contributions</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9"/>
                <w:szCs w:val="19"/>
                <w:color w:val="auto"/>
              </w:rPr>
            </w:pP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60</w:t>
            </w:r>
          </w:p>
        </w:tc>
      </w:tr>
      <w:tr>
        <w:trPr>
          <w:trHeight w:val="230"/>
        </w:trPr>
        <w:tc>
          <w:tcPr>
            <w:tcW w:w="6680" w:type="dxa"/>
            <w:vAlign w:val="bottom"/>
            <w:gridSpan w:val="2"/>
          </w:tcPr>
          <w:p>
            <w:pPr>
              <w:ind w:left="140"/>
              <w:spacing w:after="0"/>
              <w:rPr>
                <w:sz w:val="20"/>
                <w:szCs w:val="20"/>
                <w:color w:val="auto"/>
              </w:rPr>
            </w:pPr>
            <w:r>
              <w:rPr>
                <w:rFonts w:ascii="Arial" w:cs="Arial" w:eastAsia="Arial" w:hAnsi="Arial"/>
                <w:sz w:val="18"/>
                <w:szCs w:val="18"/>
                <w:color w:val="auto"/>
              </w:rPr>
              <w:t>Transaction-related expenses</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19"/>
                <w:szCs w:val="19"/>
                <w:color w:val="auto"/>
              </w:rPr>
            </w:pP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36</w:t>
            </w:r>
          </w:p>
        </w:tc>
      </w:tr>
      <w:tr>
        <w:trPr>
          <w:trHeight w:val="229"/>
        </w:trPr>
        <w:tc>
          <w:tcPr>
            <w:tcW w:w="6680" w:type="dxa"/>
            <w:vAlign w:val="bottom"/>
            <w:tcBorders>
              <w:bottom w:val="single" w:sz="8" w:color="00249C"/>
            </w:tcBorders>
            <w:gridSpan w:val="2"/>
          </w:tcPr>
          <w:p>
            <w:pPr>
              <w:ind w:left="140"/>
              <w:spacing w:after="0"/>
              <w:rPr>
                <w:sz w:val="20"/>
                <w:szCs w:val="20"/>
                <w:color w:val="auto"/>
              </w:rPr>
            </w:pPr>
            <w:r>
              <w:rPr>
                <w:rFonts w:ascii="Arial" w:cs="Arial" w:eastAsia="Arial" w:hAnsi="Arial"/>
                <w:sz w:val="18"/>
                <w:szCs w:val="18"/>
                <w:color w:val="auto"/>
              </w:rPr>
              <w:t>Impacts related to Innovation Systems</w:t>
            </w:r>
          </w:p>
        </w:tc>
        <w:tc>
          <w:tcPr>
            <w:tcW w:w="400" w:type="dxa"/>
            <w:vAlign w:val="bottom"/>
            <w:tcBorders>
              <w:bottom w:val="single" w:sz="8" w:color="00249C"/>
            </w:tcBorders>
          </w:tcPr>
          <w:p>
            <w:pPr>
              <w:spacing w:after="0"/>
              <w:rPr>
                <w:sz w:val="19"/>
                <w:szCs w:val="19"/>
                <w:color w:val="auto"/>
              </w:rPr>
            </w:pPr>
          </w:p>
        </w:tc>
        <w:tc>
          <w:tcPr>
            <w:tcW w:w="1060" w:type="dxa"/>
            <w:vAlign w:val="bottom"/>
            <w:tcBorders>
              <w:bottom w:val="single" w:sz="8" w:color="00249C"/>
            </w:tcBorders>
          </w:tcPr>
          <w:p>
            <w:pPr>
              <w:jc w:val="right"/>
              <w:spacing w:after="0"/>
              <w:rPr>
                <w:sz w:val="20"/>
                <w:szCs w:val="20"/>
                <w:color w:val="auto"/>
              </w:rPr>
            </w:pPr>
            <w:r>
              <w:rPr>
                <w:rFonts w:ascii="Arial" w:cs="Arial" w:eastAsia="Arial" w:hAnsi="Arial"/>
                <w:sz w:val="18"/>
                <w:szCs w:val="18"/>
                <w:color w:val="auto"/>
              </w:rPr>
              <w:t>(634)</w:t>
            </w:r>
          </w:p>
        </w:tc>
        <w:tc>
          <w:tcPr>
            <w:tcW w:w="280" w:type="dxa"/>
            <w:vAlign w:val="bottom"/>
            <w:tcBorders>
              <w:bottom w:val="single" w:sz="8" w:color="00249C"/>
            </w:tcBorders>
          </w:tcPr>
          <w:p>
            <w:pPr>
              <w:spacing w:after="0"/>
              <w:rPr>
                <w:sz w:val="19"/>
                <w:szCs w:val="19"/>
                <w:color w:val="auto"/>
              </w:rPr>
            </w:pPr>
          </w:p>
        </w:tc>
        <w:tc>
          <w:tcPr>
            <w:tcW w:w="1180" w:type="dxa"/>
            <w:vAlign w:val="bottom"/>
            <w:tcBorders>
              <w:bottom w:val="single" w:sz="8" w:color="00249C"/>
            </w:tcBorders>
          </w:tcPr>
          <w:p>
            <w:pPr>
              <w:jc w:val="right"/>
              <w:spacing w:after="0"/>
              <w:rPr>
                <w:sz w:val="20"/>
                <w:szCs w:val="20"/>
                <w:color w:val="auto"/>
              </w:rPr>
            </w:pPr>
            <w:r>
              <w:rPr>
                <w:rFonts w:ascii="Arial" w:cs="Arial" w:eastAsia="Arial" w:hAnsi="Arial"/>
                <w:sz w:val="18"/>
                <w:szCs w:val="18"/>
                <w:color w:val="auto"/>
              </w:rPr>
              <w:t>(478)</w:t>
            </w:r>
          </w:p>
        </w:tc>
        <w:tc>
          <w:tcPr>
            <w:tcW w:w="280" w:type="dxa"/>
            <w:vAlign w:val="bottom"/>
            <w:tcBorders>
              <w:bottom w:val="single" w:sz="8" w:color="00249C"/>
            </w:tcBorders>
          </w:tcPr>
          <w:p>
            <w:pPr>
              <w:spacing w:after="0"/>
              <w:rPr>
                <w:sz w:val="19"/>
                <w:szCs w:val="19"/>
                <w:color w:val="auto"/>
              </w:rPr>
            </w:pPr>
          </w:p>
        </w:tc>
        <w:tc>
          <w:tcPr>
            <w:tcW w:w="1340" w:type="dxa"/>
            <w:vAlign w:val="bottom"/>
            <w:tcBorders>
              <w:bottom w:val="single" w:sz="8" w:color="00249C"/>
            </w:tcBorders>
          </w:tcPr>
          <w:p>
            <w:pPr>
              <w:jc w:val="right"/>
              <w:ind w:right="111"/>
              <w:spacing w:after="0"/>
              <w:rPr>
                <w:sz w:val="20"/>
                <w:szCs w:val="20"/>
                <w:color w:val="auto"/>
              </w:rPr>
            </w:pPr>
            <w:r>
              <w:rPr>
                <w:rFonts w:ascii="Arial" w:cs="Arial" w:eastAsia="Arial" w:hAnsi="Arial"/>
                <w:sz w:val="18"/>
                <w:szCs w:val="18"/>
                <w:color w:val="auto"/>
              </w:rPr>
              <w:t>(721)</w:t>
            </w:r>
          </w:p>
        </w:tc>
      </w:tr>
      <w:tr>
        <w:trPr>
          <w:trHeight w:val="223"/>
        </w:trPr>
        <w:tc>
          <w:tcPr>
            <w:tcW w:w="6680" w:type="dxa"/>
            <w:vAlign w:val="bottom"/>
            <w:tcBorders>
              <w:bottom w:val="single" w:sz="8" w:color="0A2299"/>
            </w:tcBorders>
            <w:gridSpan w:val="2"/>
          </w:tcPr>
          <w:p>
            <w:pPr>
              <w:ind w:left="140"/>
              <w:spacing w:after="0"/>
              <w:rPr>
                <w:sz w:val="20"/>
                <w:szCs w:val="20"/>
                <w:color w:val="auto"/>
              </w:rPr>
            </w:pPr>
            <w:r>
              <w:rPr>
                <w:rFonts w:ascii="Arial" w:cs="Arial" w:eastAsia="Arial" w:hAnsi="Arial"/>
                <w:sz w:val="18"/>
                <w:szCs w:val="18"/>
                <w:b w:val="1"/>
                <w:bCs w:val="1"/>
                <w:color w:val="auto"/>
              </w:rPr>
              <w:t>Adjusted free cash flow before after-tax total pension funding</w:t>
            </w:r>
          </w:p>
        </w:tc>
        <w:tc>
          <w:tcPr>
            <w:tcW w:w="400" w:type="dxa"/>
            <w:vAlign w:val="bottom"/>
            <w:tcBorders>
              <w:bottom w:val="single" w:sz="8" w:color="0A2299"/>
            </w:tcBorders>
          </w:tcPr>
          <w:p>
            <w:pPr>
              <w:spacing w:after="0"/>
              <w:rPr>
                <w:sz w:val="19"/>
                <w:szCs w:val="19"/>
                <w:color w:val="auto"/>
              </w:rPr>
            </w:pPr>
          </w:p>
        </w:tc>
        <w:tc>
          <w:tcPr>
            <w:tcW w:w="1060" w:type="dxa"/>
            <w:vAlign w:val="bottom"/>
            <w:tcBorders>
              <w:bottom w:val="single" w:sz="8" w:color="0A2299"/>
            </w:tcBorders>
          </w:tcPr>
          <w:p>
            <w:pPr>
              <w:jc w:val="right"/>
              <w:spacing w:after="0"/>
              <w:rPr>
                <w:sz w:val="20"/>
                <w:szCs w:val="20"/>
                <w:color w:val="auto"/>
              </w:rPr>
            </w:pPr>
            <w:r>
              <w:rPr>
                <w:rFonts w:ascii="Arial" w:cs="Arial" w:eastAsia="Arial" w:hAnsi="Arial"/>
                <w:sz w:val="18"/>
                <w:szCs w:val="18"/>
                <w:b w:val="1"/>
                <w:bCs w:val="1"/>
                <w:color w:val="auto"/>
              </w:rPr>
              <w:t>3,146</w:t>
            </w:r>
          </w:p>
        </w:tc>
        <w:tc>
          <w:tcPr>
            <w:tcW w:w="280" w:type="dxa"/>
            <w:vAlign w:val="bottom"/>
            <w:tcBorders>
              <w:bottom w:val="single" w:sz="8" w:color="0A2299"/>
            </w:tcBorders>
          </w:tcPr>
          <w:p>
            <w:pPr>
              <w:spacing w:after="0"/>
              <w:rPr>
                <w:sz w:val="19"/>
                <w:szCs w:val="19"/>
                <w:color w:val="auto"/>
              </w:rPr>
            </w:pPr>
          </w:p>
        </w:tc>
        <w:tc>
          <w:tcPr>
            <w:tcW w:w="1180" w:type="dxa"/>
            <w:vAlign w:val="bottom"/>
            <w:tcBorders>
              <w:bottom w:val="single" w:sz="8" w:color="0A2299"/>
            </w:tcBorders>
          </w:tcPr>
          <w:p>
            <w:pPr>
              <w:jc w:val="right"/>
              <w:spacing w:after="0"/>
              <w:rPr>
                <w:sz w:val="20"/>
                <w:szCs w:val="20"/>
                <w:color w:val="auto"/>
              </w:rPr>
            </w:pPr>
            <w:r>
              <w:rPr>
                <w:rFonts w:ascii="Arial" w:cs="Arial" w:eastAsia="Arial" w:hAnsi="Arial"/>
                <w:sz w:val="18"/>
                <w:szCs w:val="18"/>
                <w:b w:val="1"/>
                <w:bCs w:val="1"/>
                <w:color w:val="auto"/>
              </w:rPr>
              <w:t>2,809</w:t>
            </w:r>
          </w:p>
        </w:tc>
        <w:tc>
          <w:tcPr>
            <w:tcW w:w="280" w:type="dxa"/>
            <w:vAlign w:val="bottom"/>
            <w:tcBorders>
              <w:bottom w:val="single" w:sz="8" w:color="0A2299"/>
            </w:tcBorders>
          </w:tcPr>
          <w:p>
            <w:pPr>
              <w:spacing w:after="0"/>
              <w:rPr>
                <w:sz w:val="19"/>
                <w:szCs w:val="19"/>
                <w:color w:val="auto"/>
              </w:rPr>
            </w:pPr>
          </w:p>
        </w:tc>
        <w:tc>
          <w:tcPr>
            <w:tcW w:w="1340" w:type="dxa"/>
            <w:vAlign w:val="bottom"/>
            <w:tcBorders>
              <w:bottom w:val="single" w:sz="8" w:color="0A2299"/>
            </w:tcBorders>
          </w:tcPr>
          <w:p>
            <w:pPr>
              <w:jc w:val="right"/>
              <w:ind w:right="151"/>
              <w:spacing w:after="0"/>
              <w:rPr>
                <w:sz w:val="20"/>
                <w:szCs w:val="20"/>
                <w:color w:val="auto"/>
              </w:rPr>
            </w:pPr>
            <w:r>
              <w:rPr>
                <w:rFonts w:ascii="Arial" w:cs="Arial" w:eastAsia="Arial" w:hAnsi="Arial"/>
                <w:sz w:val="18"/>
                <w:szCs w:val="18"/>
                <w:b w:val="1"/>
                <w:bCs w:val="1"/>
                <w:color w:val="auto"/>
              </w:rPr>
              <w:t>2,139</w:t>
            </w:r>
          </w:p>
        </w:tc>
      </w:tr>
      <w:tr>
        <w:trPr>
          <w:trHeight w:val="223"/>
        </w:trPr>
        <w:tc>
          <w:tcPr>
            <w:tcW w:w="6680" w:type="dxa"/>
            <w:vAlign w:val="bottom"/>
            <w:tcBorders>
              <w:bottom w:val="single" w:sz="8" w:color="0A2299"/>
            </w:tcBorders>
            <w:gridSpan w:val="2"/>
          </w:tcPr>
          <w:p>
            <w:pPr>
              <w:ind w:left="140"/>
              <w:spacing w:after="0"/>
              <w:rPr>
                <w:sz w:val="20"/>
                <w:szCs w:val="20"/>
                <w:color w:val="auto"/>
              </w:rPr>
            </w:pPr>
            <w:r>
              <w:rPr>
                <w:rFonts w:ascii="Arial" w:cs="Arial" w:eastAsia="Arial" w:hAnsi="Arial"/>
                <w:sz w:val="18"/>
                <w:szCs w:val="18"/>
                <w:b w:val="1"/>
                <w:bCs w:val="1"/>
                <w:color w:val="auto"/>
              </w:rPr>
              <w:t>Adjusted cumulative free cash flow</w:t>
            </w:r>
          </w:p>
        </w:tc>
        <w:tc>
          <w:tcPr>
            <w:tcW w:w="400" w:type="dxa"/>
            <w:vAlign w:val="bottom"/>
            <w:tcBorders>
              <w:bottom w:val="single" w:sz="8" w:color="0A2299"/>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0A2299"/>
            </w:tcBorders>
          </w:tcPr>
          <w:p>
            <w:pPr>
              <w:jc w:val="right"/>
              <w:spacing w:after="0"/>
              <w:rPr>
                <w:sz w:val="20"/>
                <w:szCs w:val="20"/>
                <w:color w:val="auto"/>
              </w:rPr>
            </w:pPr>
            <w:r>
              <w:rPr>
                <w:rFonts w:ascii="Arial" w:cs="Arial" w:eastAsia="Arial" w:hAnsi="Arial"/>
                <w:sz w:val="18"/>
                <w:szCs w:val="18"/>
                <w:b w:val="1"/>
                <w:bCs w:val="1"/>
                <w:color w:val="auto"/>
              </w:rPr>
              <w:t>8,094</w:t>
            </w:r>
          </w:p>
        </w:tc>
        <w:tc>
          <w:tcPr>
            <w:tcW w:w="280" w:type="dxa"/>
            <w:vAlign w:val="bottom"/>
            <w:tcBorders>
              <w:bottom w:val="single" w:sz="8" w:color="0A2299"/>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0A2299"/>
            </w:tcBorders>
            <w:gridSpan w:val="2"/>
          </w:tcPr>
          <w:p>
            <w:pPr>
              <w:jc w:val="right"/>
              <w:ind w:right="70"/>
              <w:spacing w:after="0"/>
              <w:rPr>
                <w:sz w:val="20"/>
                <w:szCs w:val="20"/>
                <w:color w:val="auto"/>
              </w:rPr>
            </w:pPr>
            <w:r>
              <w:rPr>
                <w:rFonts w:ascii="Arial" w:cs="Arial" w:eastAsia="Arial" w:hAnsi="Arial"/>
                <w:sz w:val="18"/>
                <w:szCs w:val="18"/>
                <w:b w:val="1"/>
                <w:bCs w:val="1"/>
                <w:color w:val="auto"/>
              </w:rPr>
              <w:t>— $</w:t>
            </w:r>
          </w:p>
        </w:tc>
        <w:tc>
          <w:tcPr>
            <w:tcW w:w="1340" w:type="dxa"/>
            <w:vAlign w:val="bottom"/>
            <w:tcBorders>
              <w:bottom w:val="single" w:sz="8" w:color="0A2299"/>
            </w:tcBorders>
          </w:tcPr>
          <w:p>
            <w:pPr>
              <w:jc w:val="right"/>
              <w:ind w:right="151"/>
              <w:spacing w:after="0"/>
              <w:rPr>
                <w:sz w:val="20"/>
                <w:szCs w:val="20"/>
                <w:color w:val="auto"/>
              </w:rPr>
            </w:pPr>
            <w:r>
              <w:rPr>
                <w:rFonts w:ascii="Arial" w:cs="Arial" w:eastAsia="Arial" w:hAnsi="Arial"/>
                <w:sz w:val="18"/>
                <w:szCs w:val="18"/>
                <w:b w:val="1"/>
                <w:bCs w:val="1"/>
                <w:color w:val="auto"/>
              </w:rPr>
              <w:t>—</w:t>
            </w:r>
          </w:p>
        </w:tc>
      </w:tr>
      <w:tr>
        <w:trPr>
          <w:trHeight w:val="183"/>
        </w:trPr>
        <w:tc>
          <w:tcPr>
            <w:tcW w:w="6220" w:type="dxa"/>
            <w:vAlign w:val="bottom"/>
            <w:tcBorders>
              <w:bottom w:val="single" w:sz="8" w:color="0A2299"/>
            </w:tcBorders>
            <w:shd w:val="clear" w:color="auto" w:fill="0A2299"/>
          </w:tcPr>
          <w:p>
            <w:pPr>
              <w:spacing w:after="0"/>
              <w:rPr>
                <w:sz w:val="15"/>
                <w:szCs w:val="15"/>
                <w:color w:val="auto"/>
              </w:rPr>
            </w:pPr>
          </w:p>
        </w:tc>
        <w:tc>
          <w:tcPr>
            <w:tcW w:w="460" w:type="dxa"/>
            <w:vAlign w:val="bottom"/>
            <w:tcBorders>
              <w:bottom w:val="single" w:sz="8" w:color="0A2299"/>
            </w:tcBorders>
            <w:shd w:val="clear" w:color="auto" w:fill="0A2299"/>
          </w:tcPr>
          <w:p>
            <w:pPr>
              <w:spacing w:after="0"/>
              <w:rPr>
                <w:sz w:val="15"/>
                <w:szCs w:val="15"/>
                <w:color w:val="auto"/>
              </w:rPr>
            </w:pPr>
          </w:p>
        </w:tc>
        <w:tc>
          <w:tcPr>
            <w:tcW w:w="400" w:type="dxa"/>
            <w:vAlign w:val="bottom"/>
            <w:tcBorders>
              <w:bottom w:val="single" w:sz="8" w:color="0A2299"/>
            </w:tcBorders>
            <w:shd w:val="clear" w:color="auto" w:fill="00249C"/>
          </w:tcPr>
          <w:p>
            <w:pPr>
              <w:spacing w:after="0"/>
              <w:rPr>
                <w:sz w:val="15"/>
                <w:szCs w:val="15"/>
                <w:color w:val="auto"/>
              </w:rPr>
            </w:pPr>
          </w:p>
        </w:tc>
        <w:tc>
          <w:tcPr>
            <w:tcW w:w="1060" w:type="dxa"/>
            <w:vAlign w:val="bottom"/>
            <w:tcBorders>
              <w:bottom w:val="single" w:sz="8" w:color="0A2299"/>
            </w:tcBorders>
            <w:shd w:val="clear" w:color="auto" w:fill="00249C"/>
          </w:tcPr>
          <w:p>
            <w:pPr>
              <w:spacing w:after="0"/>
              <w:rPr>
                <w:sz w:val="15"/>
                <w:szCs w:val="15"/>
                <w:color w:val="auto"/>
              </w:rPr>
            </w:pPr>
          </w:p>
        </w:tc>
        <w:tc>
          <w:tcPr>
            <w:tcW w:w="280" w:type="dxa"/>
            <w:vAlign w:val="bottom"/>
            <w:tcBorders>
              <w:bottom w:val="single" w:sz="8" w:color="0A2299"/>
            </w:tcBorders>
            <w:shd w:val="clear" w:color="auto" w:fill="00249C"/>
          </w:tcPr>
          <w:p>
            <w:pPr>
              <w:spacing w:after="0"/>
              <w:rPr>
                <w:sz w:val="15"/>
                <w:szCs w:val="15"/>
                <w:color w:val="auto"/>
              </w:rPr>
            </w:pPr>
          </w:p>
        </w:tc>
        <w:tc>
          <w:tcPr>
            <w:tcW w:w="1180" w:type="dxa"/>
            <w:vAlign w:val="bottom"/>
            <w:tcBorders>
              <w:bottom w:val="single" w:sz="8" w:color="0A2299"/>
            </w:tcBorders>
            <w:shd w:val="clear" w:color="auto" w:fill="00249C"/>
          </w:tcPr>
          <w:p>
            <w:pPr>
              <w:spacing w:after="0"/>
              <w:rPr>
                <w:sz w:val="15"/>
                <w:szCs w:val="15"/>
                <w:color w:val="auto"/>
              </w:rPr>
            </w:pPr>
          </w:p>
        </w:tc>
        <w:tc>
          <w:tcPr>
            <w:tcW w:w="280" w:type="dxa"/>
            <w:vAlign w:val="bottom"/>
            <w:tcBorders>
              <w:bottom w:val="single" w:sz="8" w:color="0A2299"/>
            </w:tcBorders>
            <w:shd w:val="clear" w:color="auto" w:fill="00249C"/>
          </w:tcPr>
          <w:p>
            <w:pPr>
              <w:spacing w:after="0"/>
              <w:rPr>
                <w:sz w:val="15"/>
                <w:szCs w:val="15"/>
                <w:color w:val="auto"/>
              </w:rPr>
            </w:pPr>
          </w:p>
        </w:tc>
        <w:tc>
          <w:tcPr>
            <w:tcW w:w="1340" w:type="dxa"/>
            <w:vAlign w:val="bottom"/>
            <w:tcBorders>
              <w:bottom w:val="single" w:sz="8" w:color="0A2299"/>
            </w:tcBorders>
            <w:shd w:val="clear" w:color="auto" w:fill="00249C"/>
          </w:tcPr>
          <w:p>
            <w:pPr>
              <w:jc w:val="right"/>
              <w:ind w:right="391"/>
              <w:spacing w:after="0"/>
              <w:rPr>
                <w:sz w:val="20"/>
                <w:szCs w:val="20"/>
                <w:color w:val="auto"/>
              </w:rPr>
            </w:pPr>
            <w:r>
              <w:rPr>
                <w:rFonts w:ascii="Arial" w:cs="Arial" w:eastAsia="Arial" w:hAnsi="Arial"/>
                <w:sz w:val="14"/>
                <w:szCs w:val="14"/>
                <w:b w:val="1"/>
                <w:bCs w:val="1"/>
                <w:color w:val="FFFFFF"/>
              </w:rPr>
              <w:t>Total Year</w:t>
            </w:r>
          </w:p>
        </w:tc>
      </w:tr>
      <w:tr>
        <w:trPr>
          <w:trHeight w:val="183"/>
        </w:trPr>
        <w:tc>
          <w:tcPr>
            <w:tcW w:w="6220" w:type="dxa"/>
            <w:vAlign w:val="bottom"/>
            <w:tcBorders>
              <w:bottom w:val="single" w:sz="8" w:color="0A2299"/>
            </w:tcBorders>
            <w:shd w:val="clear" w:color="auto" w:fill="0A2299"/>
          </w:tcPr>
          <w:p>
            <w:pPr>
              <w:ind w:left="20"/>
              <w:spacing w:after="0"/>
              <w:rPr>
                <w:sz w:val="20"/>
                <w:szCs w:val="20"/>
                <w:color w:val="auto"/>
              </w:rPr>
            </w:pPr>
            <w:r>
              <w:rPr>
                <w:rFonts w:ascii="Arial" w:cs="Arial" w:eastAsia="Arial" w:hAnsi="Arial"/>
                <w:sz w:val="14"/>
                <w:szCs w:val="14"/>
                <w:b w:val="1"/>
                <w:bCs w:val="1"/>
                <w:color w:val="FFFFFF"/>
              </w:rPr>
              <w:t>($M)</w:t>
            </w:r>
          </w:p>
        </w:tc>
        <w:tc>
          <w:tcPr>
            <w:tcW w:w="460" w:type="dxa"/>
            <w:vAlign w:val="bottom"/>
            <w:tcBorders>
              <w:bottom w:val="single" w:sz="8" w:color="0A2299"/>
            </w:tcBorders>
            <w:shd w:val="clear" w:color="auto" w:fill="0A2299"/>
          </w:tcPr>
          <w:p>
            <w:pPr>
              <w:spacing w:after="0"/>
              <w:rPr>
                <w:sz w:val="15"/>
                <w:szCs w:val="15"/>
                <w:color w:val="auto"/>
              </w:rPr>
            </w:pPr>
          </w:p>
        </w:tc>
        <w:tc>
          <w:tcPr>
            <w:tcW w:w="400" w:type="dxa"/>
            <w:vAlign w:val="bottom"/>
            <w:tcBorders>
              <w:bottom w:val="single" w:sz="8" w:color="0A2299"/>
            </w:tcBorders>
            <w:shd w:val="clear" w:color="auto" w:fill="00249C"/>
          </w:tcPr>
          <w:p>
            <w:pPr>
              <w:spacing w:after="0"/>
              <w:rPr>
                <w:sz w:val="15"/>
                <w:szCs w:val="15"/>
                <w:color w:val="auto"/>
              </w:rPr>
            </w:pPr>
          </w:p>
        </w:tc>
        <w:tc>
          <w:tcPr>
            <w:tcW w:w="1060" w:type="dxa"/>
            <w:vAlign w:val="bottom"/>
            <w:tcBorders>
              <w:bottom w:val="single" w:sz="8" w:color="0A2299"/>
            </w:tcBorders>
            <w:shd w:val="clear" w:color="auto" w:fill="00249C"/>
          </w:tcPr>
          <w:p>
            <w:pPr>
              <w:spacing w:after="0"/>
              <w:rPr>
                <w:sz w:val="15"/>
                <w:szCs w:val="15"/>
                <w:color w:val="auto"/>
              </w:rPr>
            </w:pPr>
          </w:p>
        </w:tc>
        <w:tc>
          <w:tcPr>
            <w:tcW w:w="280" w:type="dxa"/>
            <w:vAlign w:val="bottom"/>
            <w:tcBorders>
              <w:bottom w:val="single" w:sz="8" w:color="0A2299"/>
            </w:tcBorders>
            <w:shd w:val="clear" w:color="auto" w:fill="00249C"/>
          </w:tcPr>
          <w:p>
            <w:pPr>
              <w:spacing w:after="0"/>
              <w:rPr>
                <w:sz w:val="15"/>
                <w:szCs w:val="15"/>
                <w:color w:val="auto"/>
              </w:rPr>
            </w:pPr>
          </w:p>
        </w:tc>
        <w:tc>
          <w:tcPr>
            <w:tcW w:w="1180" w:type="dxa"/>
            <w:vAlign w:val="bottom"/>
            <w:tcBorders>
              <w:bottom w:val="single" w:sz="8" w:color="0A2299"/>
            </w:tcBorders>
            <w:shd w:val="clear" w:color="auto" w:fill="00249C"/>
          </w:tcPr>
          <w:p>
            <w:pPr>
              <w:spacing w:after="0"/>
              <w:rPr>
                <w:sz w:val="15"/>
                <w:szCs w:val="15"/>
                <w:color w:val="auto"/>
              </w:rPr>
            </w:pPr>
          </w:p>
        </w:tc>
        <w:tc>
          <w:tcPr>
            <w:tcW w:w="280" w:type="dxa"/>
            <w:vAlign w:val="bottom"/>
            <w:tcBorders>
              <w:bottom w:val="single" w:sz="8" w:color="0A2299"/>
            </w:tcBorders>
            <w:shd w:val="clear" w:color="auto" w:fill="00249C"/>
          </w:tcPr>
          <w:p>
            <w:pPr>
              <w:spacing w:after="0"/>
              <w:rPr>
                <w:sz w:val="15"/>
                <w:szCs w:val="15"/>
                <w:color w:val="auto"/>
              </w:rPr>
            </w:pPr>
          </w:p>
        </w:tc>
        <w:tc>
          <w:tcPr>
            <w:tcW w:w="1340" w:type="dxa"/>
            <w:vAlign w:val="bottom"/>
            <w:tcBorders>
              <w:bottom w:val="single" w:sz="8" w:color="0A2299"/>
            </w:tcBorders>
            <w:shd w:val="clear" w:color="auto" w:fill="00249C"/>
          </w:tcPr>
          <w:p>
            <w:pPr>
              <w:jc w:val="right"/>
              <w:ind w:right="571"/>
              <w:spacing w:after="0"/>
              <w:rPr>
                <w:sz w:val="20"/>
                <w:szCs w:val="20"/>
                <w:color w:val="auto"/>
              </w:rPr>
            </w:pPr>
            <w:r>
              <w:rPr>
                <w:rFonts w:ascii="Arial" w:cs="Arial" w:eastAsia="Arial" w:hAnsi="Arial"/>
                <w:sz w:val="14"/>
                <w:szCs w:val="14"/>
                <w:b w:val="1"/>
                <w:bCs w:val="1"/>
                <w:color w:val="FFFFFF"/>
              </w:rPr>
              <w:t>2020</w:t>
            </w:r>
          </w:p>
        </w:tc>
      </w:tr>
      <w:tr>
        <w:trPr>
          <w:trHeight w:val="223"/>
        </w:trPr>
        <w:tc>
          <w:tcPr>
            <w:tcW w:w="6220" w:type="dxa"/>
            <w:vAlign w:val="bottom"/>
            <w:tcBorders>
              <w:bottom w:val="single" w:sz="8" w:color="0A2299"/>
            </w:tcBorders>
          </w:tcPr>
          <w:p>
            <w:pPr>
              <w:ind w:left="20"/>
              <w:spacing w:after="0"/>
              <w:rPr>
                <w:sz w:val="20"/>
                <w:szCs w:val="20"/>
                <w:color w:val="auto"/>
              </w:rPr>
            </w:pPr>
            <w:r>
              <w:rPr>
                <w:rFonts w:ascii="Arial" w:cs="Arial" w:eastAsia="Arial" w:hAnsi="Arial"/>
                <w:sz w:val="18"/>
                <w:szCs w:val="18"/>
                <w:b w:val="1"/>
                <w:bCs w:val="1"/>
                <w:color w:val="auto"/>
              </w:rPr>
              <w:t>Adjusted cash flow metrics</w:t>
            </w:r>
          </w:p>
        </w:tc>
        <w:tc>
          <w:tcPr>
            <w:tcW w:w="460" w:type="dxa"/>
            <w:vAlign w:val="bottom"/>
            <w:tcBorders>
              <w:bottom w:val="single" w:sz="8" w:color="0A2299"/>
            </w:tcBorders>
          </w:tcPr>
          <w:p>
            <w:pPr>
              <w:spacing w:after="0"/>
              <w:rPr>
                <w:sz w:val="19"/>
                <w:szCs w:val="19"/>
                <w:color w:val="auto"/>
              </w:rPr>
            </w:pPr>
          </w:p>
        </w:tc>
        <w:tc>
          <w:tcPr>
            <w:tcW w:w="400" w:type="dxa"/>
            <w:vAlign w:val="bottom"/>
            <w:tcBorders>
              <w:bottom w:val="single" w:sz="8" w:color="0A2299"/>
            </w:tcBorders>
          </w:tcPr>
          <w:p>
            <w:pPr>
              <w:spacing w:after="0"/>
              <w:rPr>
                <w:sz w:val="19"/>
                <w:szCs w:val="19"/>
                <w:color w:val="auto"/>
              </w:rPr>
            </w:pPr>
          </w:p>
        </w:tc>
        <w:tc>
          <w:tcPr>
            <w:tcW w:w="1060" w:type="dxa"/>
            <w:vAlign w:val="bottom"/>
            <w:tcBorders>
              <w:bottom w:val="single" w:sz="8" w:color="0A2299"/>
            </w:tcBorders>
          </w:tcPr>
          <w:p>
            <w:pPr>
              <w:spacing w:after="0"/>
              <w:rPr>
                <w:sz w:val="19"/>
                <w:szCs w:val="19"/>
                <w:color w:val="auto"/>
              </w:rPr>
            </w:pPr>
          </w:p>
        </w:tc>
        <w:tc>
          <w:tcPr>
            <w:tcW w:w="280" w:type="dxa"/>
            <w:vAlign w:val="bottom"/>
            <w:tcBorders>
              <w:bottom w:val="single" w:sz="8" w:color="0A2299"/>
            </w:tcBorders>
          </w:tcPr>
          <w:p>
            <w:pPr>
              <w:spacing w:after="0"/>
              <w:rPr>
                <w:sz w:val="19"/>
                <w:szCs w:val="19"/>
                <w:color w:val="auto"/>
              </w:rPr>
            </w:pPr>
          </w:p>
        </w:tc>
        <w:tc>
          <w:tcPr>
            <w:tcW w:w="1180" w:type="dxa"/>
            <w:vAlign w:val="bottom"/>
            <w:tcBorders>
              <w:bottom w:val="single" w:sz="8" w:color="0A2299"/>
            </w:tcBorders>
          </w:tcPr>
          <w:p>
            <w:pPr>
              <w:spacing w:after="0"/>
              <w:rPr>
                <w:sz w:val="19"/>
                <w:szCs w:val="19"/>
                <w:color w:val="auto"/>
              </w:rPr>
            </w:pPr>
          </w:p>
        </w:tc>
        <w:tc>
          <w:tcPr>
            <w:tcW w:w="280" w:type="dxa"/>
            <w:vAlign w:val="bottom"/>
            <w:tcBorders>
              <w:bottom w:val="single" w:sz="8" w:color="0A2299"/>
            </w:tcBorders>
          </w:tcPr>
          <w:p>
            <w:pPr>
              <w:spacing w:after="0"/>
              <w:rPr>
                <w:sz w:val="19"/>
                <w:szCs w:val="19"/>
                <w:color w:val="auto"/>
              </w:rPr>
            </w:pPr>
          </w:p>
        </w:tc>
        <w:tc>
          <w:tcPr>
            <w:tcW w:w="1340" w:type="dxa"/>
            <w:vAlign w:val="bottom"/>
            <w:tcBorders>
              <w:bottom w:val="single" w:sz="8" w:color="0A2299"/>
            </w:tcBorders>
          </w:tcPr>
          <w:p>
            <w:pPr>
              <w:spacing w:after="0"/>
              <w:rPr>
                <w:sz w:val="19"/>
                <w:szCs w:val="19"/>
                <w:color w:val="auto"/>
              </w:rPr>
            </w:pPr>
          </w:p>
        </w:tc>
      </w:tr>
      <w:tr>
        <w:trPr>
          <w:trHeight w:val="232"/>
        </w:trPr>
        <w:tc>
          <w:tcPr>
            <w:tcW w:w="668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 cash provided by operating activities</w:t>
            </w: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ind w:right="151"/>
              <w:spacing w:after="0"/>
              <w:rPr>
                <w:sz w:val="20"/>
                <w:szCs w:val="20"/>
                <w:color w:val="auto"/>
              </w:rPr>
            </w:pPr>
            <w:r>
              <w:rPr>
                <w:rFonts w:ascii="Arial" w:cs="Arial" w:eastAsia="Arial" w:hAnsi="Arial"/>
                <w:sz w:val="18"/>
                <w:szCs w:val="18"/>
                <w:b w:val="1"/>
                <w:bCs w:val="1"/>
                <w:color w:val="auto"/>
              </w:rPr>
              <w:t>4,305</w:t>
            </w:r>
          </w:p>
        </w:tc>
      </w:tr>
      <w:tr>
        <w:trPr>
          <w:trHeight w:val="220"/>
        </w:trPr>
        <w:tc>
          <w:tcPr>
            <w:tcW w:w="6680" w:type="dxa"/>
            <w:vAlign w:val="bottom"/>
            <w:gridSpan w:val="2"/>
          </w:tcPr>
          <w:p>
            <w:pPr>
              <w:ind w:left="140"/>
              <w:spacing w:after="0"/>
              <w:rPr>
                <w:sz w:val="20"/>
                <w:szCs w:val="20"/>
                <w:color w:val="auto"/>
              </w:rPr>
            </w:pPr>
            <w:r>
              <w:rPr>
                <w:rFonts w:ascii="Arial" w:cs="Arial" w:eastAsia="Arial" w:hAnsi="Arial"/>
                <w:sz w:val="18"/>
                <w:szCs w:val="18"/>
                <w:color w:val="auto"/>
              </w:rPr>
              <w:t>After-tax discretionary pension contributions</w:t>
            </w: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593</w:t>
            </w:r>
          </w:p>
        </w:tc>
      </w:tr>
      <w:tr>
        <w:trPr>
          <w:trHeight w:val="229"/>
        </w:trPr>
        <w:tc>
          <w:tcPr>
            <w:tcW w:w="6680" w:type="dxa"/>
            <w:vAlign w:val="bottom"/>
            <w:gridSpan w:val="2"/>
          </w:tcPr>
          <w:p>
            <w:pPr>
              <w:ind w:left="140"/>
              <w:spacing w:after="0"/>
              <w:rPr>
                <w:sz w:val="20"/>
                <w:szCs w:val="20"/>
                <w:color w:val="auto"/>
              </w:rPr>
            </w:pPr>
            <w:r>
              <w:rPr>
                <w:rFonts w:ascii="Arial" w:cs="Arial" w:eastAsia="Arial" w:hAnsi="Arial"/>
                <w:sz w:val="18"/>
                <w:szCs w:val="18"/>
                <w:color w:val="auto"/>
              </w:rPr>
              <w:t>Proceeds from sale of equipment to a customer</w:t>
            </w: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205</w:t>
            </w:r>
          </w:p>
        </w:tc>
      </w:tr>
      <w:tr>
        <w:trPr>
          <w:trHeight w:val="229"/>
        </w:trPr>
        <w:tc>
          <w:tcPr>
            <w:tcW w:w="6680" w:type="dxa"/>
            <w:vAlign w:val="bottom"/>
            <w:tcBorders>
              <w:bottom w:val="single" w:sz="8" w:color="00249C"/>
            </w:tcBorders>
            <w:gridSpan w:val="2"/>
          </w:tcPr>
          <w:p>
            <w:pPr>
              <w:ind w:left="140"/>
              <w:spacing w:after="0"/>
              <w:rPr>
                <w:sz w:val="20"/>
                <w:szCs w:val="20"/>
                <w:color w:val="auto"/>
              </w:rPr>
            </w:pPr>
            <w:r>
              <w:rPr>
                <w:rFonts w:ascii="Arial" w:cs="Arial" w:eastAsia="Arial" w:hAnsi="Arial"/>
                <w:sz w:val="18"/>
                <w:szCs w:val="18"/>
                <w:color w:val="auto"/>
              </w:rPr>
              <w:t>Transaction-related expenses</w:t>
            </w:r>
          </w:p>
        </w:tc>
        <w:tc>
          <w:tcPr>
            <w:tcW w:w="400" w:type="dxa"/>
            <w:vAlign w:val="bottom"/>
            <w:tcBorders>
              <w:bottom w:val="single" w:sz="8" w:color="00249C"/>
            </w:tcBorders>
          </w:tcPr>
          <w:p>
            <w:pPr>
              <w:spacing w:after="0"/>
              <w:rPr>
                <w:sz w:val="19"/>
                <w:szCs w:val="19"/>
                <w:color w:val="auto"/>
              </w:rPr>
            </w:pPr>
          </w:p>
        </w:tc>
        <w:tc>
          <w:tcPr>
            <w:tcW w:w="1060" w:type="dxa"/>
            <w:vAlign w:val="bottom"/>
            <w:tcBorders>
              <w:bottom w:val="single" w:sz="8" w:color="00249C"/>
            </w:tcBorders>
          </w:tcPr>
          <w:p>
            <w:pPr>
              <w:spacing w:after="0"/>
              <w:rPr>
                <w:sz w:val="19"/>
                <w:szCs w:val="19"/>
                <w:color w:val="auto"/>
              </w:rPr>
            </w:pPr>
          </w:p>
        </w:tc>
        <w:tc>
          <w:tcPr>
            <w:tcW w:w="280" w:type="dxa"/>
            <w:vAlign w:val="bottom"/>
            <w:tcBorders>
              <w:bottom w:val="single" w:sz="8" w:color="00249C"/>
            </w:tcBorders>
          </w:tcPr>
          <w:p>
            <w:pPr>
              <w:spacing w:after="0"/>
              <w:rPr>
                <w:sz w:val="19"/>
                <w:szCs w:val="19"/>
                <w:color w:val="auto"/>
              </w:rPr>
            </w:pPr>
          </w:p>
        </w:tc>
        <w:tc>
          <w:tcPr>
            <w:tcW w:w="1180" w:type="dxa"/>
            <w:vAlign w:val="bottom"/>
            <w:tcBorders>
              <w:bottom w:val="single" w:sz="8" w:color="00249C"/>
            </w:tcBorders>
          </w:tcPr>
          <w:p>
            <w:pPr>
              <w:spacing w:after="0"/>
              <w:rPr>
                <w:sz w:val="19"/>
                <w:szCs w:val="19"/>
                <w:color w:val="auto"/>
              </w:rPr>
            </w:pPr>
          </w:p>
        </w:tc>
        <w:tc>
          <w:tcPr>
            <w:tcW w:w="280" w:type="dxa"/>
            <w:vAlign w:val="bottom"/>
            <w:tcBorders>
              <w:bottom w:val="single" w:sz="8" w:color="00249C"/>
            </w:tcBorders>
          </w:tcPr>
          <w:p>
            <w:pPr>
              <w:spacing w:after="0"/>
              <w:rPr>
                <w:sz w:val="19"/>
                <w:szCs w:val="19"/>
                <w:color w:val="auto"/>
              </w:rPr>
            </w:pPr>
          </w:p>
        </w:tc>
        <w:tc>
          <w:tcPr>
            <w:tcW w:w="1340" w:type="dxa"/>
            <w:vAlign w:val="bottom"/>
            <w:tcBorders>
              <w:bottom w:val="single" w:sz="8" w:color="00249C"/>
            </w:tcBorders>
          </w:tcPr>
          <w:p>
            <w:pPr>
              <w:jc w:val="right"/>
              <w:ind w:right="151"/>
              <w:spacing w:after="0"/>
              <w:rPr>
                <w:sz w:val="20"/>
                <w:szCs w:val="20"/>
                <w:color w:val="auto"/>
              </w:rPr>
            </w:pPr>
            <w:r>
              <w:rPr>
                <w:rFonts w:ascii="Arial" w:cs="Arial" w:eastAsia="Arial" w:hAnsi="Arial"/>
                <w:sz w:val="18"/>
                <w:szCs w:val="18"/>
                <w:color w:val="auto"/>
              </w:rPr>
              <w:t>32</w:t>
            </w:r>
          </w:p>
        </w:tc>
      </w:tr>
      <w:tr>
        <w:trPr>
          <w:trHeight w:val="223"/>
        </w:trPr>
        <w:tc>
          <w:tcPr>
            <w:tcW w:w="6680" w:type="dxa"/>
            <w:vAlign w:val="bottom"/>
            <w:tcBorders>
              <w:bottom w:val="single" w:sz="8" w:color="00249C"/>
            </w:tcBorders>
            <w:gridSpan w:val="2"/>
          </w:tcPr>
          <w:p>
            <w:pPr>
              <w:ind w:left="140"/>
              <w:spacing w:after="0"/>
              <w:rPr>
                <w:sz w:val="20"/>
                <w:szCs w:val="20"/>
                <w:color w:val="auto"/>
              </w:rPr>
            </w:pPr>
            <w:r>
              <w:rPr>
                <w:rFonts w:ascii="Arial" w:cs="Arial" w:eastAsia="Arial" w:hAnsi="Arial"/>
                <w:sz w:val="18"/>
                <w:szCs w:val="18"/>
                <w:b w:val="1"/>
                <w:bCs w:val="1"/>
                <w:color w:val="auto"/>
              </w:rPr>
              <w:t>Adjusted cash provided by operating activities</w:t>
            </w:r>
          </w:p>
        </w:tc>
        <w:tc>
          <w:tcPr>
            <w:tcW w:w="400" w:type="dxa"/>
            <w:vAlign w:val="bottom"/>
            <w:tcBorders>
              <w:bottom w:val="single" w:sz="8" w:color="00249C"/>
            </w:tcBorders>
          </w:tcPr>
          <w:p>
            <w:pPr>
              <w:spacing w:after="0"/>
              <w:rPr>
                <w:sz w:val="19"/>
                <w:szCs w:val="19"/>
                <w:color w:val="auto"/>
              </w:rPr>
            </w:pPr>
          </w:p>
        </w:tc>
        <w:tc>
          <w:tcPr>
            <w:tcW w:w="1060" w:type="dxa"/>
            <w:vAlign w:val="bottom"/>
            <w:tcBorders>
              <w:bottom w:val="single" w:sz="8" w:color="00249C"/>
            </w:tcBorders>
          </w:tcPr>
          <w:p>
            <w:pPr>
              <w:spacing w:after="0"/>
              <w:rPr>
                <w:sz w:val="19"/>
                <w:szCs w:val="19"/>
                <w:color w:val="auto"/>
              </w:rPr>
            </w:pPr>
          </w:p>
        </w:tc>
        <w:tc>
          <w:tcPr>
            <w:tcW w:w="280" w:type="dxa"/>
            <w:vAlign w:val="bottom"/>
            <w:tcBorders>
              <w:bottom w:val="single" w:sz="8" w:color="00249C"/>
            </w:tcBorders>
          </w:tcPr>
          <w:p>
            <w:pPr>
              <w:spacing w:after="0"/>
              <w:rPr>
                <w:sz w:val="19"/>
                <w:szCs w:val="19"/>
                <w:color w:val="auto"/>
              </w:rPr>
            </w:pPr>
          </w:p>
        </w:tc>
        <w:tc>
          <w:tcPr>
            <w:tcW w:w="1180" w:type="dxa"/>
            <w:vAlign w:val="bottom"/>
            <w:tcBorders>
              <w:bottom w:val="single" w:sz="8" w:color="00249C"/>
            </w:tcBorders>
          </w:tcPr>
          <w:p>
            <w:pPr>
              <w:spacing w:after="0"/>
              <w:rPr>
                <w:sz w:val="19"/>
                <w:szCs w:val="19"/>
                <w:color w:val="auto"/>
              </w:rPr>
            </w:pPr>
          </w:p>
        </w:tc>
        <w:tc>
          <w:tcPr>
            <w:tcW w:w="280" w:type="dxa"/>
            <w:vAlign w:val="bottom"/>
            <w:tcBorders>
              <w:bottom w:val="single" w:sz="8" w:color="00249C"/>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00249C"/>
            </w:tcBorders>
          </w:tcPr>
          <w:p>
            <w:pPr>
              <w:jc w:val="right"/>
              <w:ind w:right="151"/>
              <w:spacing w:after="0"/>
              <w:rPr>
                <w:sz w:val="20"/>
                <w:szCs w:val="20"/>
                <w:color w:val="auto"/>
              </w:rPr>
            </w:pPr>
            <w:r>
              <w:rPr>
                <w:rFonts w:ascii="Arial" w:cs="Arial" w:eastAsia="Arial" w:hAnsi="Arial"/>
                <w:sz w:val="18"/>
                <w:szCs w:val="18"/>
                <w:b w:val="1"/>
                <w:bCs w:val="1"/>
                <w:color w:val="auto"/>
              </w:rPr>
              <w:t>5,135</w:t>
            </w:r>
          </w:p>
        </w:tc>
      </w:tr>
      <w:tr>
        <w:trPr>
          <w:trHeight w:val="425"/>
        </w:trPr>
        <w:tc>
          <w:tcPr>
            <w:tcW w:w="6680" w:type="dxa"/>
            <w:vAlign w:val="bottom"/>
            <w:gridSpan w:val="2"/>
          </w:tcPr>
          <w:p>
            <w:pPr>
              <w:ind w:left="140"/>
              <w:spacing w:after="0"/>
              <w:rPr>
                <w:sz w:val="20"/>
                <w:szCs w:val="20"/>
                <w:color w:val="auto"/>
              </w:rPr>
            </w:pPr>
            <w:r>
              <w:rPr>
                <w:rFonts w:ascii="Arial" w:cs="Arial" w:eastAsia="Arial" w:hAnsi="Arial"/>
                <w:sz w:val="18"/>
                <w:szCs w:val="18"/>
                <w:b w:val="1"/>
                <w:bCs w:val="1"/>
                <w:color w:val="auto"/>
              </w:rPr>
              <w:t>Earnings before income taxes</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3,728</w:t>
            </w:r>
          </w:p>
        </w:tc>
      </w:tr>
      <w:tr>
        <w:trPr>
          <w:trHeight w:val="230"/>
        </w:trPr>
        <w:tc>
          <w:tcPr>
            <w:tcW w:w="6680" w:type="dxa"/>
            <w:vAlign w:val="bottom"/>
            <w:gridSpan w:val="2"/>
          </w:tcPr>
          <w:p>
            <w:pPr>
              <w:ind w:left="460"/>
              <w:spacing w:after="0"/>
              <w:rPr>
                <w:sz w:val="20"/>
                <w:szCs w:val="20"/>
                <w:color w:val="auto"/>
              </w:rPr>
            </w:pPr>
            <w:r>
              <w:rPr>
                <w:rFonts w:ascii="Arial" w:cs="Arial" w:eastAsia="Arial" w:hAnsi="Arial"/>
                <w:sz w:val="18"/>
                <w:szCs w:val="18"/>
                <w:color w:val="auto"/>
              </w:rPr>
              <w:t>MTM expense</w:t>
            </w: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1,034</w:t>
            </w:r>
          </w:p>
        </w:tc>
      </w:tr>
      <w:tr>
        <w:trPr>
          <w:trHeight w:val="242"/>
        </w:trPr>
        <w:tc>
          <w:tcPr>
            <w:tcW w:w="6680" w:type="dxa"/>
            <w:vAlign w:val="bottom"/>
            <w:gridSpan w:val="2"/>
          </w:tcPr>
          <w:p>
            <w:pPr>
              <w:ind w:left="460"/>
              <w:spacing w:after="0" w:line="242" w:lineRule="exact"/>
              <w:rPr>
                <w:sz w:val="20"/>
                <w:szCs w:val="20"/>
                <w:color w:val="auto"/>
              </w:rPr>
            </w:pPr>
            <w:r>
              <w:rPr>
                <w:rFonts w:ascii="Arial" w:cs="Arial" w:eastAsia="Arial" w:hAnsi="Arial"/>
                <w:sz w:val="18"/>
                <w:szCs w:val="18"/>
                <w:color w:val="auto"/>
              </w:rPr>
              <w:t>MTM-related deferred state tax benefit</w:t>
            </w:r>
            <w:r>
              <w:rPr>
                <w:rFonts w:ascii="Arial" w:cs="Arial" w:eastAsia="Arial" w:hAnsi="Arial"/>
                <w:sz w:val="23"/>
                <w:szCs w:val="23"/>
                <w:color w:val="auto"/>
                <w:vertAlign w:val="superscript"/>
              </w:rPr>
              <w:t>(1)</w:t>
            </w: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(54)</w:t>
            </w:r>
          </w:p>
        </w:tc>
      </w:tr>
      <w:tr>
        <w:trPr>
          <w:trHeight w:val="217"/>
        </w:trPr>
        <w:tc>
          <w:tcPr>
            <w:tcW w:w="6680" w:type="dxa"/>
            <w:vAlign w:val="bottom"/>
            <w:gridSpan w:val="2"/>
          </w:tcPr>
          <w:p>
            <w:pPr>
              <w:ind w:left="140"/>
              <w:spacing w:after="0"/>
              <w:rPr>
                <w:sz w:val="20"/>
                <w:szCs w:val="20"/>
                <w:color w:val="auto"/>
              </w:rPr>
            </w:pPr>
            <w:r>
              <w:rPr>
                <w:rFonts w:ascii="Arial" w:cs="Arial" w:eastAsia="Arial" w:hAnsi="Arial"/>
                <w:sz w:val="18"/>
                <w:szCs w:val="18"/>
                <w:color w:val="auto"/>
              </w:rPr>
              <w:t>Net interest expense/(income)</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587</w:t>
            </w:r>
          </w:p>
        </w:tc>
      </w:tr>
      <w:tr>
        <w:trPr>
          <w:trHeight w:val="229"/>
        </w:trPr>
        <w:tc>
          <w:tcPr>
            <w:tcW w:w="668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993</w:t>
            </w:r>
          </w:p>
        </w:tc>
      </w:tr>
      <w:tr>
        <w:trPr>
          <w:trHeight w:val="230"/>
        </w:trPr>
        <w:tc>
          <w:tcPr>
            <w:tcW w:w="6680" w:type="dxa"/>
            <w:vAlign w:val="bottom"/>
            <w:tcBorders>
              <w:bottom w:val="single" w:sz="8" w:color="00249C"/>
            </w:tcBorders>
            <w:gridSpan w:val="2"/>
          </w:tcPr>
          <w:p>
            <w:pPr>
              <w:ind w:left="140"/>
              <w:spacing w:after="0"/>
              <w:rPr>
                <w:sz w:val="20"/>
                <w:szCs w:val="20"/>
                <w:color w:val="auto"/>
              </w:rPr>
            </w:pPr>
            <w:r>
              <w:rPr>
                <w:rFonts w:ascii="Arial" w:cs="Arial" w:eastAsia="Arial" w:hAnsi="Arial"/>
                <w:sz w:val="18"/>
                <w:szCs w:val="18"/>
                <w:color w:val="auto"/>
              </w:rPr>
              <w:t>Transaction-related expenses</w:t>
            </w:r>
          </w:p>
        </w:tc>
        <w:tc>
          <w:tcPr>
            <w:tcW w:w="400" w:type="dxa"/>
            <w:vAlign w:val="bottom"/>
            <w:tcBorders>
              <w:bottom w:val="single" w:sz="8" w:color="00249C"/>
            </w:tcBorders>
          </w:tcPr>
          <w:p>
            <w:pPr>
              <w:spacing w:after="0"/>
              <w:rPr>
                <w:sz w:val="19"/>
                <w:szCs w:val="19"/>
                <w:color w:val="auto"/>
              </w:rPr>
            </w:pPr>
          </w:p>
        </w:tc>
        <w:tc>
          <w:tcPr>
            <w:tcW w:w="1060" w:type="dxa"/>
            <w:vAlign w:val="bottom"/>
            <w:tcBorders>
              <w:bottom w:val="single" w:sz="8" w:color="00249C"/>
            </w:tcBorders>
          </w:tcPr>
          <w:p>
            <w:pPr>
              <w:spacing w:after="0"/>
              <w:rPr>
                <w:sz w:val="19"/>
                <w:szCs w:val="19"/>
                <w:color w:val="auto"/>
              </w:rPr>
            </w:pPr>
          </w:p>
        </w:tc>
        <w:tc>
          <w:tcPr>
            <w:tcW w:w="280" w:type="dxa"/>
            <w:vAlign w:val="bottom"/>
            <w:tcBorders>
              <w:bottom w:val="single" w:sz="8" w:color="00249C"/>
            </w:tcBorders>
          </w:tcPr>
          <w:p>
            <w:pPr>
              <w:spacing w:after="0"/>
              <w:rPr>
                <w:sz w:val="19"/>
                <w:szCs w:val="19"/>
                <w:color w:val="auto"/>
              </w:rPr>
            </w:pPr>
          </w:p>
        </w:tc>
        <w:tc>
          <w:tcPr>
            <w:tcW w:w="1180" w:type="dxa"/>
            <w:vAlign w:val="bottom"/>
            <w:tcBorders>
              <w:bottom w:val="single" w:sz="8" w:color="00249C"/>
            </w:tcBorders>
          </w:tcPr>
          <w:p>
            <w:pPr>
              <w:spacing w:after="0"/>
              <w:rPr>
                <w:sz w:val="19"/>
                <w:szCs w:val="19"/>
                <w:color w:val="auto"/>
              </w:rPr>
            </w:pPr>
          </w:p>
        </w:tc>
        <w:tc>
          <w:tcPr>
            <w:tcW w:w="280" w:type="dxa"/>
            <w:vAlign w:val="bottom"/>
            <w:tcBorders>
              <w:bottom w:val="single" w:sz="8" w:color="00249C"/>
            </w:tcBorders>
          </w:tcPr>
          <w:p>
            <w:pPr>
              <w:spacing w:after="0"/>
              <w:rPr>
                <w:sz w:val="19"/>
                <w:szCs w:val="19"/>
                <w:color w:val="auto"/>
              </w:rPr>
            </w:pPr>
          </w:p>
        </w:tc>
        <w:tc>
          <w:tcPr>
            <w:tcW w:w="1340" w:type="dxa"/>
            <w:vAlign w:val="bottom"/>
            <w:tcBorders>
              <w:bottom w:val="single" w:sz="8" w:color="00249C"/>
            </w:tcBorders>
          </w:tcPr>
          <w:p>
            <w:pPr>
              <w:jc w:val="right"/>
              <w:ind w:right="151"/>
              <w:spacing w:after="0"/>
              <w:rPr>
                <w:sz w:val="20"/>
                <w:szCs w:val="20"/>
                <w:color w:val="auto"/>
              </w:rPr>
            </w:pPr>
            <w:r>
              <w:rPr>
                <w:rFonts w:ascii="Arial" w:cs="Arial" w:eastAsia="Arial" w:hAnsi="Arial"/>
                <w:sz w:val="18"/>
                <w:szCs w:val="18"/>
                <w:color w:val="auto"/>
              </w:rPr>
              <w:t>32</w:t>
            </w:r>
          </w:p>
        </w:tc>
      </w:tr>
      <w:tr>
        <w:trPr>
          <w:trHeight w:val="223"/>
        </w:trPr>
        <w:tc>
          <w:tcPr>
            <w:tcW w:w="8140" w:type="dxa"/>
            <w:vAlign w:val="bottom"/>
            <w:tcBorders>
              <w:bottom w:val="single" w:sz="8" w:color="0A2299"/>
            </w:tcBorders>
            <w:gridSpan w:val="4"/>
          </w:tcPr>
          <w:p>
            <w:pPr>
              <w:ind w:left="140"/>
              <w:spacing w:after="0"/>
              <w:rPr>
                <w:sz w:val="20"/>
                <w:szCs w:val="20"/>
                <w:color w:val="auto"/>
              </w:rPr>
            </w:pPr>
            <w:r>
              <w:rPr>
                <w:rFonts w:ascii="Arial" w:cs="Arial" w:eastAsia="Arial" w:hAnsi="Arial"/>
                <w:sz w:val="18"/>
                <w:szCs w:val="18"/>
                <w:b w:val="1"/>
                <w:bCs w:val="1"/>
                <w:color w:val="auto"/>
              </w:rPr>
              <w:t>Adjusted Earnings before interest, taxes, depreciation and amortization (Adjusted EBITDA)</w:t>
            </w:r>
          </w:p>
        </w:tc>
        <w:tc>
          <w:tcPr>
            <w:tcW w:w="280" w:type="dxa"/>
            <w:vAlign w:val="bottom"/>
            <w:tcBorders>
              <w:bottom w:val="single" w:sz="8" w:color="0A2299"/>
            </w:tcBorders>
          </w:tcPr>
          <w:p>
            <w:pPr>
              <w:spacing w:after="0"/>
              <w:rPr>
                <w:sz w:val="19"/>
                <w:szCs w:val="19"/>
                <w:color w:val="auto"/>
              </w:rPr>
            </w:pPr>
          </w:p>
        </w:tc>
        <w:tc>
          <w:tcPr>
            <w:tcW w:w="1180" w:type="dxa"/>
            <w:vAlign w:val="bottom"/>
            <w:tcBorders>
              <w:bottom w:val="single" w:sz="8" w:color="0A2299"/>
            </w:tcBorders>
          </w:tcPr>
          <w:p>
            <w:pPr>
              <w:spacing w:after="0"/>
              <w:rPr>
                <w:sz w:val="19"/>
                <w:szCs w:val="19"/>
                <w:color w:val="auto"/>
              </w:rPr>
            </w:pPr>
          </w:p>
        </w:tc>
        <w:tc>
          <w:tcPr>
            <w:tcW w:w="280" w:type="dxa"/>
            <w:vAlign w:val="bottom"/>
            <w:tcBorders>
              <w:bottom w:val="single" w:sz="8" w:color="00249C"/>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00249C"/>
            </w:tcBorders>
          </w:tcPr>
          <w:p>
            <w:pPr>
              <w:jc w:val="right"/>
              <w:ind w:right="151"/>
              <w:spacing w:after="0"/>
              <w:rPr>
                <w:sz w:val="20"/>
                <w:szCs w:val="20"/>
                <w:color w:val="auto"/>
              </w:rPr>
            </w:pPr>
            <w:r>
              <w:rPr>
                <w:rFonts w:ascii="Arial" w:cs="Arial" w:eastAsia="Arial" w:hAnsi="Arial"/>
                <w:sz w:val="18"/>
                <w:szCs w:val="18"/>
                <w:b w:val="1"/>
                <w:bCs w:val="1"/>
                <w:color w:val="auto"/>
              </w:rPr>
              <w:t>6,320</w:t>
            </w:r>
          </w:p>
        </w:tc>
      </w:tr>
      <w:tr>
        <w:trPr>
          <w:trHeight w:val="223"/>
        </w:trPr>
        <w:tc>
          <w:tcPr>
            <w:tcW w:w="6220" w:type="dxa"/>
            <w:vAlign w:val="bottom"/>
            <w:tcBorders>
              <w:bottom w:val="single" w:sz="8" w:color="0A2299"/>
            </w:tcBorders>
          </w:tcPr>
          <w:p>
            <w:pPr>
              <w:ind w:left="140"/>
              <w:spacing w:after="0"/>
              <w:rPr>
                <w:sz w:val="20"/>
                <w:szCs w:val="20"/>
                <w:color w:val="auto"/>
              </w:rPr>
            </w:pPr>
            <w:r>
              <w:rPr>
                <w:rFonts w:ascii="Arial" w:cs="Arial" w:eastAsia="Arial" w:hAnsi="Arial"/>
                <w:sz w:val="18"/>
                <w:szCs w:val="18"/>
                <w:i w:val="1"/>
                <w:iCs w:val="1"/>
                <w:color w:val="auto"/>
              </w:rPr>
              <w:t>Adjusted Cash Flow from Operations Conversion</w:t>
            </w:r>
          </w:p>
        </w:tc>
        <w:tc>
          <w:tcPr>
            <w:tcW w:w="460" w:type="dxa"/>
            <w:vAlign w:val="bottom"/>
            <w:tcBorders>
              <w:bottom w:val="single" w:sz="8" w:color="0A2299"/>
            </w:tcBorders>
          </w:tcPr>
          <w:p>
            <w:pPr>
              <w:spacing w:after="0"/>
              <w:rPr>
                <w:sz w:val="19"/>
                <w:szCs w:val="19"/>
                <w:color w:val="auto"/>
              </w:rPr>
            </w:pPr>
          </w:p>
        </w:tc>
        <w:tc>
          <w:tcPr>
            <w:tcW w:w="400" w:type="dxa"/>
            <w:vAlign w:val="bottom"/>
            <w:tcBorders>
              <w:bottom w:val="single" w:sz="8" w:color="0A2299"/>
            </w:tcBorders>
          </w:tcPr>
          <w:p>
            <w:pPr>
              <w:spacing w:after="0"/>
              <w:rPr>
                <w:sz w:val="19"/>
                <w:szCs w:val="19"/>
                <w:color w:val="auto"/>
              </w:rPr>
            </w:pPr>
          </w:p>
        </w:tc>
        <w:tc>
          <w:tcPr>
            <w:tcW w:w="1060" w:type="dxa"/>
            <w:vAlign w:val="bottom"/>
            <w:tcBorders>
              <w:bottom w:val="single" w:sz="8" w:color="0A2299"/>
            </w:tcBorders>
          </w:tcPr>
          <w:p>
            <w:pPr>
              <w:spacing w:after="0"/>
              <w:rPr>
                <w:sz w:val="19"/>
                <w:szCs w:val="19"/>
                <w:color w:val="auto"/>
              </w:rPr>
            </w:pPr>
          </w:p>
        </w:tc>
        <w:tc>
          <w:tcPr>
            <w:tcW w:w="280" w:type="dxa"/>
            <w:vAlign w:val="bottom"/>
            <w:tcBorders>
              <w:bottom w:val="single" w:sz="8" w:color="0A2299"/>
            </w:tcBorders>
          </w:tcPr>
          <w:p>
            <w:pPr>
              <w:spacing w:after="0"/>
              <w:rPr>
                <w:sz w:val="19"/>
                <w:szCs w:val="19"/>
                <w:color w:val="auto"/>
              </w:rPr>
            </w:pPr>
          </w:p>
        </w:tc>
        <w:tc>
          <w:tcPr>
            <w:tcW w:w="1180" w:type="dxa"/>
            <w:vAlign w:val="bottom"/>
            <w:tcBorders>
              <w:bottom w:val="single" w:sz="8" w:color="0A2299"/>
            </w:tcBorders>
          </w:tcPr>
          <w:p>
            <w:pPr>
              <w:spacing w:after="0"/>
              <w:rPr>
                <w:sz w:val="19"/>
                <w:szCs w:val="19"/>
                <w:color w:val="auto"/>
              </w:rPr>
            </w:pPr>
          </w:p>
        </w:tc>
        <w:tc>
          <w:tcPr>
            <w:tcW w:w="280" w:type="dxa"/>
            <w:vAlign w:val="bottom"/>
            <w:tcBorders>
              <w:bottom w:val="single" w:sz="8" w:color="00249C"/>
            </w:tcBorders>
          </w:tcPr>
          <w:p>
            <w:pPr>
              <w:spacing w:after="0"/>
              <w:rPr>
                <w:sz w:val="19"/>
                <w:szCs w:val="19"/>
                <w:color w:val="auto"/>
              </w:rPr>
            </w:pPr>
          </w:p>
        </w:tc>
        <w:tc>
          <w:tcPr>
            <w:tcW w:w="1340" w:type="dxa"/>
            <w:vAlign w:val="bottom"/>
            <w:tcBorders>
              <w:bottom w:val="single" w:sz="8" w:color="00249C"/>
            </w:tcBorders>
          </w:tcPr>
          <w:p>
            <w:pPr>
              <w:jc w:val="right"/>
              <w:spacing w:after="0"/>
              <w:rPr>
                <w:sz w:val="20"/>
                <w:szCs w:val="20"/>
                <w:color w:val="auto"/>
              </w:rPr>
            </w:pPr>
            <w:r>
              <w:rPr>
                <w:rFonts w:ascii="Arial" w:cs="Arial" w:eastAsia="Arial" w:hAnsi="Arial"/>
                <w:sz w:val="18"/>
                <w:szCs w:val="18"/>
                <w:i w:val="1"/>
                <w:iCs w:val="1"/>
                <w:color w:val="auto"/>
              </w:rPr>
              <w:t>81.3 %</w:t>
            </w:r>
          </w:p>
        </w:tc>
      </w:tr>
      <w:tr>
        <w:trPr>
          <w:trHeight w:val="425"/>
        </w:trPr>
        <w:tc>
          <w:tcPr>
            <w:tcW w:w="6680" w:type="dxa"/>
            <w:vAlign w:val="bottom"/>
            <w:tcBorders>
              <w:bottom w:val="single" w:sz="8" w:color="0A2299"/>
            </w:tcBorders>
            <w:gridSpan w:val="2"/>
          </w:tcPr>
          <w:p>
            <w:pPr>
              <w:ind w:left="20"/>
              <w:spacing w:after="0"/>
              <w:rPr>
                <w:sz w:val="20"/>
                <w:szCs w:val="20"/>
                <w:color w:val="auto"/>
              </w:rPr>
            </w:pPr>
            <w:r>
              <w:rPr>
                <w:rFonts w:ascii="Arial" w:cs="Arial" w:eastAsia="Arial" w:hAnsi="Arial"/>
                <w:sz w:val="18"/>
                <w:szCs w:val="18"/>
                <w:b w:val="1"/>
                <w:bCs w:val="1"/>
                <w:color w:val="auto"/>
              </w:rPr>
              <w:t>Pension-adjusted metrics</w:t>
            </w:r>
          </w:p>
        </w:tc>
        <w:tc>
          <w:tcPr>
            <w:tcW w:w="400" w:type="dxa"/>
            <w:vAlign w:val="bottom"/>
            <w:tcBorders>
              <w:bottom w:val="single" w:sz="8" w:color="0A2299"/>
            </w:tcBorders>
          </w:tcPr>
          <w:p>
            <w:pPr>
              <w:spacing w:after="0"/>
              <w:rPr>
                <w:sz w:val="24"/>
                <w:szCs w:val="24"/>
                <w:color w:val="auto"/>
              </w:rPr>
            </w:pPr>
          </w:p>
        </w:tc>
        <w:tc>
          <w:tcPr>
            <w:tcW w:w="1060" w:type="dxa"/>
            <w:vAlign w:val="bottom"/>
            <w:tcBorders>
              <w:bottom w:val="single" w:sz="8" w:color="0A2299"/>
            </w:tcBorders>
          </w:tcPr>
          <w:p>
            <w:pPr>
              <w:spacing w:after="0"/>
              <w:rPr>
                <w:sz w:val="24"/>
                <w:szCs w:val="24"/>
                <w:color w:val="auto"/>
              </w:rPr>
            </w:pPr>
          </w:p>
        </w:tc>
        <w:tc>
          <w:tcPr>
            <w:tcW w:w="280" w:type="dxa"/>
            <w:vAlign w:val="bottom"/>
            <w:tcBorders>
              <w:bottom w:val="single" w:sz="8" w:color="0A2299"/>
            </w:tcBorders>
          </w:tcPr>
          <w:p>
            <w:pPr>
              <w:spacing w:after="0"/>
              <w:rPr>
                <w:sz w:val="24"/>
                <w:szCs w:val="24"/>
                <w:color w:val="auto"/>
              </w:rPr>
            </w:pPr>
          </w:p>
        </w:tc>
        <w:tc>
          <w:tcPr>
            <w:tcW w:w="1180" w:type="dxa"/>
            <w:vAlign w:val="bottom"/>
            <w:tcBorders>
              <w:bottom w:val="single" w:sz="8" w:color="0A2299"/>
            </w:tcBorders>
          </w:tcPr>
          <w:p>
            <w:pPr>
              <w:spacing w:after="0"/>
              <w:rPr>
                <w:sz w:val="24"/>
                <w:szCs w:val="24"/>
                <w:color w:val="auto"/>
              </w:rPr>
            </w:pPr>
          </w:p>
        </w:tc>
        <w:tc>
          <w:tcPr>
            <w:tcW w:w="280" w:type="dxa"/>
            <w:vAlign w:val="bottom"/>
            <w:tcBorders>
              <w:bottom w:val="single" w:sz="8" w:color="0A2299"/>
            </w:tcBorders>
          </w:tcPr>
          <w:p>
            <w:pPr>
              <w:spacing w:after="0"/>
              <w:rPr>
                <w:sz w:val="24"/>
                <w:szCs w:val="24"/>
                <w:color w:val="auto"/>
              </w:rPr>
            </w:pPr>
          </w:p>
        </w:tc>
        <w:tc>
          <w:tcPr>
            <w:tcW w:w="1340" w:type="dxa"/>
            <w:vAlign w:val="bottom"/>
            <w:tcBorders>
              <w:bottom w:val="single" w:sz="8" w:color="0A2299"/>
            </w:tcBorders>
          </w:tcPr>
          <w:p>
            <w:pPr>
              <w:spacing w:after="0"/>
              <w:rPr>
                <w:sz w:val="24"/>
                <w:szCs w:val="24"/>
                <w:color w:val="auto"/>
              </w:rPr>
            </w:pPr>
          </w:p>
        </w:tc>
      </w:tr>
      <w:tr>
        <w:trPr>
          <w:trHeight w:val="232"/>
        </w:trPr>
        <w:tc>
          <w:tcPr>
            <w:tcW w:w="6680" w:type="dxa"/>
            <w:vAlign w:val="bottom"/>
            <w:gridSpan w:val="2"/>
          </w:tcPr>
          <w:p>
            <w:pPr>
              <w:ind w:left="140"/>
              <w:spacing w:after="0"/>
              <w:rPr>
                <w:sz w:val="20"/>
                <w:szCs w:val="20"/>
                <w:color w:val="auto"/>
              </w:rPr>
            </w:pPr>
            <w:r>
              <w:rPr>
                <w:rFonts w:ascii="Arial" w:cs="Arial" w:eastAsia="Arial" w:hAnsi="Arial"/>
                <w:sz w:val="18"/>
                <w:szCs w:val="18"/>
                <w:b w:val="1"/>
                <w:bCs w:val="1"/>
                <w:color w:val="auto"/>
              </w:rPr>
              <w:t>Operating income</w:t>
            </w: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ind w:right="151"/>
              <w:spacing w:after="0"/>
              <w:rPr>
                <w:sz w:val="20"/>
                <w:szCs w:val="20"/>
                <w:color w:val="auto"/>
              </w:rPr>
            </w:pPr>
            <w:r>
              <w:rPr>
                <w:rFonts w:ascii="Arial" w:cs="Arial" w:eastAsia="Arial" w:hAnsi="Arial"/>
                <w:sz w:val="18"/>
                <w:szCs w:val="18"/>
                <w:b w:val="1"/>
                <w:bCs w:val="1"/>
                <w:color w:val="auto"/>
              </w:rPr>
              <w:t>4,065</w:t>
            </w:r>
          </w:p>
        </w:tc>
      </w:tr>
      <w:tr>
        <w:trPr>
          <w:trHeight w:val="220"/>
        </w:trPr>
        <w:tc>
          <w:tcPr>
            <w:tcW w:w="6680" w:type="dxa"/>
            <w:vAlign w:val="bottom"/>
            <w:gridSpan w:val="2"/>
          </w:tcPr>
          <w:p>
            <w:pPr>
              <w:ind w:left="460"/>
              <w:spacing w:after="0"/>
              <w:rPr>
                <w:sz w:val="20"/>
                <w:szCs w:val="20"/>
                <w:color w:val="auto"/>
              </w:rPr>
            </w:pPr>
            <w:r>
              <w:rPr>
                <w:rFonts w:ascii="Arial" w:cs="Arial" w:eastAsia="Arial" w:hAnsi="Arial"/>
                <w:sz w:val="18"/>
                <w:szCs w:val="18"/>
                <w:color w:val="auto"/>
              </w:rPr>
              <w:t>Net FAS (service)/CAS pension adjustment</w:t>
            </w: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(418)</w:t>
            </w:r>
          </w:p>
        </w:tc>
      </w:tr>
      <w:tr>
        <w:trPr>
          <w:trHeight w:val="230"/>
        </w:trPr>
        <w:tc>
          <w:tcPr>
            <w:tcW w:w="7080" w:type="dxa"/>
            <w:vAlign w:val="bottom"/>
            <w:gridSpan w:val="3"/>
          </w:tcPr>
          <w:p>
            <w:pPr>
              <w:ind w:left="460"/>
              <w:spacing w:after="0"/>
              <w:rPr>
                <w:sz w:val="20"/>
                <w:szCs w:val="20"/>
                <w:color w:val="auto"/>
              </w:rPr>
            </w:pPr>
            <w:r>
              <w:rPr>
                <w:rFonts w:ascii="Arial" w:cs="Arial" w:eastAsia="Arial" w:hAnsi="Arial"/>
                <w:sz w:val="18"/>
                <w:szCs w:val="18"/>
                <w:color w:val="auto"/>
              </w:rPr>
              <w:t>Innovation Systems intangible asset amortization and PP&amp;E step-up depreciation</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316</w:t>
            </w:r>
          </w:p>
        </w:tc>
      </w:tr>
      <w:tr>
        <w:trPr>
          <w:trHeight w:val="230"/>
        </w:trPr>
        <w:tc>
          <w:tcPr>
            <w:tcW w:w="6680" w:type="dxa"/>
            <w:vAlign w:val="bottom"/>
            <w:gridSpan w:val="2"/>
          </w:tcPr>
          <w:p>
            <w:pPr>
              <w:ind w:left="460"/>
              <w:spacing w:after="0"/>
              <w:rPr>
                <w:sz w:val="20"/>
                <w:szCs w:val="20"/>
                <w:color w:val="auto"/>
              </w:rPr>
            </w:pPr>
            <w:r>
              <w:rPr>
                <w:rFonts w:ascii="Arial" w:cs="Arial" w:eastAsia="Arial" w:hAnsi="Arial"/>
                <w:sz w:val="18"/>
                <w:szCs w:val="18"/>
                <w:color w:val="auto"/>
              </w:rPr>
              <w:t>Transaction-related expenses</w:t>
            </w: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32</w:t>
            </w:r>
          </w:p>
        </w:tc>
      </w:tr>
      <w:tr>
        <w:trPr>
          <w:trHeight w:val="229"/>
        </w:trPr>
        <w:tc>
          <w:tcPr>
            <w:tcW w:w="6680" w:type="dxa"/>
            <w:vAlign w:val="bottom"/>
            <w:tcBorders>
              <w:bottom w:val="single" w:sz="8" w:color="00249C"/>
            </w:tcBorders>
            <w:gridSpan w:val="2"/>
          </w:tcPr>
          <w:p>
            <w:pPr>
              <w:ind w:left="460"/>
              <w:spacing w:after="0"/>
              <w:rPr>
                <w:sz w:val="20"/>
                <w:szCs w:val="20"/>
                <w:color w:val="auto"/>
              </w:rPr>
            </w:pPr>
            <w:r>
              <w:rPr>
                <w:rFonts w:ascii="Arial" w:cs="Arial" w:eastAsia="Arial" w:hAnsi="Arial"/>
                <w:sz w:val="18"/>
                <w:szCs w:val="18"/>
                <w:color w:val="auto"/>
              </w:rPr>
              <w:t>MTM-related deferred state tax benefit</w:t>
            </w:r>
          </w:p>
        </w:tc>
        <w:tc>
          <w:tcPr>
            <w:tcW w:w="400" w:type="dxa"/>
            <w:vAlign w:val="bottom"/>
            <w:tcBorders>
              <w:bottom w:val="single" w:sz="8" w:color="00249C"/>
            </w:tcBorders>
          </w:tcPr>
          <w:p>
            <w:pPr>
              <w:spacing w:after="0"/>
              <w:rPr>
                <w:sz w:val="19"/>
                <w:szCs w:val="19"/>
                <w:color w:val="auto"/>
              </w:rPr>
            </w:pPr>
          </w:p>
        </w:tc>
        <w:tc>
          <w:tcPr>
            <w:tcW w:w="1060" w:type="dxa"/>
            <w:vAlign w:val="bottom"/>
            <w:tcBorders>
              <w:bottom w:val="single" w:sz="8" w:color="00249C"/>
            </w:tcBorders>
          </w:tcPr>
          <w:p>
            <w:pPr>
              <w:spacing w:after="0"/>
              <w:rPr>
                <w:sz w:val="19"/>
                <w:szCs w:val="19"/>
                <w:color w:val="auto"/>
              </w:rPr>
            </w:pPr>
          </w:p>
        </w:tc>
        <w:tc>
          <w:tcPr>
            <w:tcW w:w="280" w:type="dxa"/>
            <w:vAlign w:val="bottom"/>
            <w:tcBorders>
              <w:bottom w:val="single" w:sz="8" w:color="00249C"/>
            </w:tcBorders>
          </w:tcPr>
          <w:p>
            <w:pPr>
              <w:spacing w:after="0"/>
              <w:rPr>
                <w:sz w:val="19"/>
                <w:szCs w:val="19"/>
                <w:color w:val="auto"/>
              </w:rPr>
            </w:pPr>
          </w:p>
        </w:tc>
        <w:tc>
          <w:tcPr>
            <w:tcW w:w="1180" w:type="dxa"/>
            <w:vAlign w:val="bottom"/>
            <w:tcBorders>
              <w:bottom w:val="single" w:sz="8" w:color="00249C"/>
            </w:tcBorders>
          </w:tcPr>
          <w:p>
            <w:pPr>
              <w:spacing w:after="0"/>
              <w:rPr>
                <w:sz w:val="19"/>
                <w:szCs w:val="19"/>
                <w:color w:val="auto"/>
              </w:rPr>
            </w:pPr>
          </w:p>
        </w:tc>
        <w:tc>
          <w:tcPr>
            <w:tcW w:w="280" w:type="dxa"/>
            <w:vAlign w:val="bottom"/>
            <w:tcBorders>
              <w:bottom w:val="single" w:sz="8" w:color="00249C"/>
            </w:tcBorders>
          </w:tcPr>
          <w:p>
            <w:pPr>
              <w:spacing w:after="0"/>
              <w:rPr>
                <w:sz w:val="19"/>
                <w:szCs w:val="19"/>
                <w:color w:val="auto"/>
              </w:rPr>
            </w:pPr>
          </w:p>
        </w:tc>
        <w:tc>
          <w:tcPr>
            <w:tcW w:w="1340" w:type="dxa"/>
            <w:vAlign w:val="bottom"/>
            <w:tcBorders>
              <w:bottom w:val="single" w:sz="8" w:color="00249C"/>
            </w:tcBorders>
          </w:tcPr>
          <w:p>
            <w:pPr>
              <w:jc w:val="right"/>
              <w:ind w:right="111"/>
              <w:spacing w:after="0"/>
              <w:rPr>
                <w:sz w:val="20"/>
                <w:szCs w:val="20"/>
                <w:color w:val="auto"/>
              </w:rPr>
            </w:pPr>
            <w:r>
              <w:rPr>
                <w:rFonts w:ascii="Arial" w:cs="Arial" w:eastAsia="Arial" w:hAnsi="Arial"/>
                <w:sz w:val="18"/>
                <w:szCs w:val="18"/>
                <w:color w:val="auto"/>
              </w:rPr>
              <w:t>(54)</w:t>
            </w:r>
          </w:p>
        </w:tc>
      </w:tr>
      <w:tr>
        <w:trPr>
          <w:trHeight w:val="218"/>
        </w:trPr>
        <w:tc>
          <w:tcPr>
            <w:tcW w:w="6680" w:type="dxa"/>
            <w:vAlign w:val="bottom"/>
            <w:gridSpan w:val="2"/>
          </w:tcPr>
          <w:p>
            <w:pPr>
              <w:ind w:left="140"/>
              <w:spacing w:after="0"/>
              <w:rPr>
                <w:sz w:val="20"/>
                <w:szCs w:val="20"/>
                <w:color w:val="auto"/>
              </w:rPr>
            </w:pPr>
            <w:r>
              <w:rPr>
                <w:rFonts w:ascii="Arial" w:cs="Arial" w:eastAsia="Arial" w:hAnsi="Arial"/>
                <w:sz w:val="18"/>
                <w:szCs w:val="18"/>
                <w:b w:val="1"/>
                <w:bCs w:val="1"/>
                <w:color w:val="auto"/>
              </w:rPr>
              <w:t>Pension-adjusted operating income</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ind w:right="151"/>
              <w:spacing w:after="0"/>
              <w:rPr>
                <w:sz w:val="20"/>
                <w:szCs w:val="20"/>
                <w:color w:val="auto"/>
              </w:rPr>
            </w:pPr>
            <w:r>
              <w:rPr>
                <w:rFonts w:ascii="Arial" w:cs="Arial" w:eastAsia="Arial" w:hAnsi="Arial"/>
                <w:sz w:val="18"/>
                <w:szCs w:val="18"/>
                <w:b w:val="1"/>
                <w:bCs w:val="1"/>
                <w:color w:val="auto"/>
              </w:rPr>
              <w:t>3,941</w:t>
            </w:r>
          </w:p>
        </w:tc>
      </w:tr>
      <w:tr>
        <w:trPr>
          <w:trHeight w:val="235"/>
        </w:trPr>
        <w:tc>
          <w:tcPr>
            <w:tcW w:w="6680" w:type="dxa"/>
            <w:vAlign w:val="bottom"/>
            <w:tcBorders>
              <w:bottom w:val="single" w:sz="8" w:color="00249C"/>
            </w:tcBorders>
            <w:gridSpan w:val="2"/>
          </w:tcPr>
          <w:p>
            <w:pPr>
              <w:ind w:left="140"/>
              <w:spacing w:after="0"/>
              <w:rPr>
                <w:sz w:val="20"/>
                <w:szCs w:val="20"/>
                <w:color w:val="auto"/>
              </w:rPr>
            </w:pPr>
            <w:r>
              <w:rPr>
                <w:rFonts w:ascii="Arial" w:cs="Arial" w:eastAsia="Arial" w:hAnsi="Arial"/>
                <w:sz w:val="18"/>
                <w:szCs w:val="18"/>
                <w:i w:val="1"/>
                <w:iCs w:val="1"/>
                <w:color w:val="auto"/>
              </w:rPr>
              <w:t>Pension-adjusted Operating Margin Rate</w:t>
            </w:r>
          </w:p>
        </w:tc>
        <w:tc>
          <w:tcPr>
            <w:tcW w:w="400" w:type="dxa"/>
            <w:vAlign w:val="bottom"/>
            <w:tcBorders>
              <w:bottom w:val="single" w:sz="8" w:color="00249C"/>
            </w:tcBorders>
          </w:tcPr>
          <w:p>
            <w:pPr>
              <w:spacing w:after="0"/>
              <w:rPr>
                <w:sz w:val="20"/>
                <w:szCs w:val="20"/>
                <w:color w:val="auto"/>
              </w:rPr>
            </w:pPr>
          </w:p>
        </w:tc>
        <w:tc>
          <w:tcPr>
            <w:tcW w:w="1060" w:type="dxa"/>
            <w:vAlign w:val="bottom"/>
            <w:tcBorders>
              <w:bottom w:val="single" w:sz="8" w:color="00249C"/>
            </w:tcBorders>
          </w:tcPr>
          <w:p>
            <w:pPr>
              <w:spacing w:after="0"/>
              <w:rPr>
                <w:sz w:val="20"/>
                <w:szCs w:val="20"/>
                <w:color w:val="auto"/>
              </w:rPr>
            </w:pPr>
          </w:p>
        </w:tc>
        <w:tc>
          <w:tcPr>
            <w:tcW w:w="280" w:type="dxa"/>
            <w:vAlign w:val="bottom"/>
            <w:tcBorders>
              <w:bottom w:val="single" w:sz="8" w:color="00249C"/>
            </w:tcBorders>
          </w:tcPr>
          <w:p>
            <w:pPr>
              <w:spacing w:after="0"/>
              <w:rPr>
                <w:sz w:val="20"/>
                <w:szCs w:val="20"/>
                <w:color w:val="auto"/>
              </w:rPr>
            </w:pPr>
          </w:p>
        </w:tc>
        <w:tc>
          <w:tcPr>
            <w:tcW w:w="1180" w:type="dxa"/>
            <w:vAlign w:val="bottom"/>
            <w:tcBorders>
              <w:bottom w:val="single" w:sz="8" w:color="00249C"/>
            </w:tcBorders>
          </w:tcPr>
          <w:p>
            <w:pPr>
              <w:spacing w:after="0"/>
              <w:rPr>
                <w:sz w:val="20"/>
                <w:szCs w:val="20"/>
                <w:color w:val="auto"/>
              </w:rPr>
            </w:pPr>
          </w:p>
        </w:tc>
        <w:tc>
          <w:tcPr>
            <w:tcW w:w="280" w:type="dxa"/>
            <w:vAlign w:val="bottom"/>
            <w:tcBorders>
              <w:bottom w:val="single" w:sz="8" w:color="00249C"/>
            </w:tcBorders>
          </w:tcPr>
          <w:p>
            <w:pPr>
              <w:spacing w:after="0"/>
              <w:rPr>
                <w:sz w:val="20"/>
                <w:szCs w:val="20"/>
                <w:color w:val="auto"/>
              </w:rPr>
            </w:pPr>
          </w:p>
        </w:tc>
        <w:tc>
          <w:tcPr>
            <w:tcW w:w="1340" w:type="dxa"/>
            <w:vAlign w:val="bottom"/>
            <w:tcBorders>
              <w:bottom w:val="single" w:sz="8" w:color="00249C"/>
            </w:tcBorders>
          </w:tcPr>
          <w:p>
            <w:pPr>
              <w:jc w:val="right"/>
              <w:spacing w:after="0"/>
              <w:rPr>
                <w:sz w:val="20"/>
                <w:szCs w:val="20"/>
                <w:color w:val="auto"/>
              </w:rPr>
            </w:pPr>
            <w:r>
              <w:rPr>
                <w:rFonts w:ascii="Arial" w:cs="Arial" w:eastAsia="Arial" w:hAnsi="Arial"/>
                <w:sz w:val="18"/>
                <w:szCs w:val="18"/>
                <w:i w:val="1"/>
                <w:iCs w:val="1"/>
                <w:color w:val="auto"/>
              </w:rPr>
              <w:t>10.7 %</w:t>
            </w:r>
          </w:p>
        </w:tc>
      </w:tr>
      <w:tr>
        <w:trPr>
          <w:trHeight w:val="426"/>
        </w:trPr>
        <w:tc>
          <w:tcPr>
            <w:tcW w:w="668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 earnings</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ind w:right="151"/>
              <w:spacing w:after="0"/>
              <w:rPr>
                <w:sz w:val="20"/>
                <w:szCs w:val="20"/>
                <w:color w:val="auto"/>
              </w:rPr>
            </w:pPr>
            <w:r>
              <w:rPr>
                <w:rFonts w:ascii="Arial" w:cs="Arial" w:eastAsia="Arial" w:hAnsi="Arial"/>
                <w:sz w:val="18"/>
                <w:szCs w:val="18"/>
                <w:b w:val="1"/>
                <w:bCs w:val="1"/>
                <w:color w:val="auto"/>
              </w:rPr>
              <w:t>3,189</w:t>
            </w:r>
          </w:p>
        </w:tc>
      </w:tr>
      <w:tr>
        <w:trPr>
          <w:trHeight w:val="229"/>
        </w:trPr>
        <w:tc>
          <w:tcPr>
            <w:tcW w:w="6680" w:type="dxa"/>
            <w:vAlign w:val="bottom"/>
            <w:gridSpan w:val="2"/>
          </w:tcPr>
          <w:p>
            <w:pPr>
              <w:ind w:left="460"/>
              <w:spacing w:after="0"/>
              <w:rPr>
                <w:sz w:val="20"/>
                <w:szCs w:val="20"/>
                <w:color w:val="auto"/>
              </w:rPr>
            </w:pPr>
            <w:r>
              <w:rPr>
                <w:rFonts w:ascii="Arial" w:cs="Arial" w:eastAsia="Arial" w:hAnsi="Arial"/>
                <w:sz w:val="18"/>
                <w:szCs w:val="18"/>
                <w:color w:val="auto"/>
              </w:rPr>
              <w:t>Net FAS (service)/CAS pension adjustment</w:t>
            </w: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(418)</w:t>
            </w:r>
          </w:p>
        </w:tc>
      </w:tr>
      <w:tr>
        <w:trPr>
          <w:trHeight w:val="230"/>
        </w:trPr>
        <w:tc>
          <w:tcPr>
            <w:tcW w:w="6680" w:type="dxa"/>
            <w:vAlign w:val="bottom"/>
            <w:gridSpan w:val="2"/>
          </w:tcPr>
          <w:p>
            <w:pPr>
              <w:ind w:left="460"/>
              <w:spacing w:after="0"/>
              <w:rPr>
                <w:sz w:val="20"/>
                <w:szCs w:val="20"/>
                <w:color w:val="auto"/>
              </w:rPr>
            </w:pPr>
            <w:r>
              <w:rPr>
                <w:rFonts w:ascii="Arial" w:cs="Arial" w:eastAsia="Arial" w:hAnsi="Arial"/>
                <w:sz w:val="18"/>
                <w:szCs w:val="18"/>
                <w:color w:val="auto"/>
              </w:rPr>
              <w:t>Net FAS (non-service) pension benefit</w:t>
            </w: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(1,198)</w:t>
            </w:r>
          </w:p>
        </w:tc>
      </w:tr>
      <w:tr>
        <w:trPr>
          <w:trHeight w:val="229"/>
        </w:trPr>
        <w:tc>
          <w:tcPr>
            <w:tcW w:w="6680" w:type="dxa"/>
            <w:vAlign w:val="bottom"/>
            <w:tcBorders>
              <w:bottom w:val="single" w:sz="8" w:color="00249C"/>
            </w:tcBorders>
            <w:gridSpan w:val="2"/>
          </w:tcPr>
          <w:p>
            <w:pPr>
              <w:ind w:left="460"/>
              <w:spacing w:after="0"/>
              <w:rPr>
                <w:sz w:val="20"/>
                <w:szCs w:val="20"/>
                <w:color w:val="auto"/>
              </w:rPr>
            </w:pPr>
            <w:r>
              <w:rPr>
                <w:rFonts w:ascii="Arial" w:cs="Arial" w:eastAsia="Arial" w:hAnsi="Arial"/>
                <w:sz w:val="18"/>
                <w:szCs w:val="18"/>
                <w:color w:val="auto"/>
              </w:rPr>
              <w:t>Tax effect of net pension adjustment</w:t>
            </w:r>
          </w:p>
        </w:tc>
        <w:tc>
          <w:tcPr>
            <w:tcW w:w="400" w:type="dxa"/>
            <w:vAlign w:val="bottom"/>
            <w:tcBorders>
              <w:bottom w:val="single" w:sz="8" w:color="00249C"/>
            </w:tcBorders>
          </w:tcPr>
          <w:p>
            <w:pPr>
              <w:spacing w:after="0"/>
              <w:rPr>
                <w:sz w:val="19"/>
                <w:szCs w:val="19"/>
                <w:color w:val="auto"/>
              </w:rPr>
            </w:pPr>
          </w:p>
        </w:tc>
        <w:tc>
          <w:tcPr>
            <w:tcW w:w="1060" w:type="dxa"/>
            <w:vAlign w:val="bottom"/>
            <w:tcBorders>
              <w:bottom w:val="single" w:sz="8" w:color="00249C"/>
            </w:tcBorders>
          </w:tcPr>
          <w:p>
            <w:pPr>
              <w:spacing w:after="0"/>
              <w:rPr>
                <w:sz w:val="19"/>
                <w:szCs w:val="19"/>
                <w:color w:val="auto"/>
              </w:rPr>
            </w:pPr>
          </w:p>
        </w:tc>
        <w:tc>
          <w:tcPr>
            <w:tcW w:w="280" w:type="dxa"/>
            <w:vAlign w:val="bottom"/>
            <w:tcBorders>
              <w:bottom w:val="single" w:sz="8" w:color="00249C"/>
            </w:tcBorders>
          </w:tcPr>
          <w:p>
            <w:pPr>
              <w:spacing w:after="0"/>
              <w:rPr>
                <w:sz w:val="19"/>
                <w:szCs w:val="19"/>
                <w:color w:val="auto"/>
              </w:rPr>
            </w:pPr>
          </w:p>
        </w:tc>
        <w:tc>
          <w:tcPr>
            <w:tcW w:w="1180" w:type="dxa"/>
            <w:vAlign w:val="bottom"/>
            <w:tcBorders>
              <w:bottom w:val="single" w:sz="8" w:color="00249C"/>
            </w:tcBorders>
          </w:tcPr>
          <w:p>
            <w:pPr>
              <w:spacing w:after="0"/>
              <w:rPr>
                <w:sz w:val="19"/>
                <w:szCs w:val="19"/>
                <w:color w:val="auto"/>
              </w:rPr>
            </w:pPr>
          </w:p>
        </w:tc>
        <w:tc>
          <w:tcPr>
            <w:tcW w:w="280" w:type="dxa"/>
            <w:vAlign w:val="bottom"/>
            <w:tcBorders>
              <w:bottom w:val="single" w:sz="8" w:color="00249C"/>
            </w:tcBorders>
          </w:tcPr>
          <w:p>
            <w:pPr>
              <w:spacing w:after="0"/>
              <w:rPr>
                <w:sz w:val="19"/>
                <w:szCs w:val="19"/>
                <w:color w:val="auto"/>
              </w:rPr>
            </w:pPr>
          </w:p>
        </w:tc>
        <w:tc>
          <w:tcPr>
            <w:tcW w:w="1340" w:type="dxa"/>
            <w:vAlign w:val="bottom"/>
            <w:tcBorders>
              <w:bottom w:val="single" w:sz="8" w:color="00249C"/>
            </w:tcBorders>
          </w:tcPr>
          <w:p>
            <w:pPr>
              <w:jc w:val="right"/>
              <w:ind w:right="151"/>
              <w:spacing w:after="0"/>
              <w:rPr>
                <w:sz w:val="20"/>
                <w:szCs w:val="20"/>
                <w:color w:val="auto"/>
              </w:rPr>
            </w:pPr>
            <w:r>
              <w:rPr>
                <w:rFonts w:ascii="Arial" w:cs="Arial" w:eastAsia="Arial" w:hAnsi="Arial"/>
                <w:sz w:val="18"/>
                <w:szCs w:val="18"/>
                <w:color w:val="auto"/>
              </w:rPr>
              <w:t>339</w:t>
            </w:r>
          </w:p>
        </w:tc>
      </w:tr>
      <w:tr>
        <w:trPr>
          <w:trHeight w:val="223"/>
        </w:trPr>
        <w:tc>
          <w:tcPr>
            <w:tcW w:w="6680" w:type="dxa"/>
            <w:vAlign w:val="bottom"/>
            <w:gridSpan w:val="2"/>
          </w:tcPr>
          <w:p>
            <w:pPr>
              <w:ind w:left="140"/>
              <w:spacing w:after="0"/>
              <w:rPr>
                <w:sz w:val="20"/>
                <w:szCs w:val="20"/>
                <w:color w:val="auto"/>
              </w:rPr>
            </w:pPr>
            <w:r>
              <w:rPr>
                <w:rFonts w:ascii="Arial" w:cs="Arial" w:eastAsia="Arial" w:hAnsi="Arial"/>
                <w:sz w:val="18"/>
                <w:szCs w:val="18"/>
                <w:color w:val="auto"/>
              </w:rPr>
              <w:t>After-tax net pension adjustment</w:t>
            </w: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(1,277)</w:t>
            </w:r>
          </w:p>
        </w:tc>
      </w:tr>
      <w:tr>
        <w:trPr>
          <w:trHeight w:val="230"/>
        </w:trPr>
        <w:tc>
          <w:tcPr>
            <w:tcW w:w="6680" w:type="dxa"/>
            <w:vAlign w:val="bottom"/>
            <w:gridSpan w:val="2"/>
          </w:tcPr>
          <w:p>
            <w:pPr>
              <w:ind w:left="140"/>
              <w:spacing w:after="0"/>
              <w:rPr>
                <w:sz w:val="20"/>
                <w:szCs w:val="20"/>
                <w:color w:val="auto"/>
              </w:rPr>
            </w:pPr>
            <w:r>
              <w:rPr>
                <w:rFonts w:ascii="Arial" w:cs="Arial" w:eastAsia="Arial" w:hAnsi="Arial"/>
                <w:sz w:val="18"/>
                <w:szCs w:val="18"/>
                <w:color w:val="auto"/>
              </w:rPr>
              <w:t>Innovation Systems intangible asset amortization and PP&amp;E step-up depreciation</w:t>
            </w: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316</w:t>
            </w:r>
          </w:p>
        </w:tc>
      </w:tr>
      <w:tr>
        <w:trPr>
          <w:trHeight w:val="229"/>
        </w:trPr>
        <w:tc>
          <w:tcPr>
            <w:tcW w:w="6680" w:type="dxa"/>
            <w:vAlign w:val="bottom"/>
            <w:gridSpan w:val="2"/>
          </w:tcPr>
          <w:p>
            <w:pPr>
              <w:ind w:left="140"/>
              <w:spacing w:after="0"/>
              <w:rPr>
                <w:sz w:val="20"/>
                <w:szCs w:val="20"/>
                <w:color w:val="auto"/>
              </w:rPr>
            </w:pPr>
            <w:r>
              <w:rPr>
                <w:rFonts w:ascii="Arial" w:cs="Arial" w:eastAsia="Arial" w:hAnsi="Arial"/>
                <w:sz w:val="18"/>
                <w:szCs w:val="18"/>
                <w:color w:val="auto"/>
              </w:rPr>
              <w:t>Transaction-related expenses</w:t>
            </w: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32</w:t>
            </w:r>
          </w:p>
        </w:tc>
      </w:tr>
      <w:tr>
        <w:trPr>
          <w:trHeight w:val="230"/>
        </w:trPr>
        <w:tc>
          <w:tcPr>
            <w:tcW w:w="6680" w:type="dxa"/>
            <w:vAlign w:val="bottom"/>
            <w:gridSpan w:val="2"/>
          </w:tcPr>
          <w:p>
            <w:pPr>
              <w:ind w:left="140"/>
              <w:spacing w:after="0"/>
              <w:rPr>
                <w:sz w:val="20"/>
                <w:szCs w:val="20"/>
                <w:color w:val="auto"/>
              </w:rPr>
            </w:pPr>
            <w:r>
              <w:rPr>
                <w:rFonts w:ascii="Arial" w:cs="Arial" w:eastAsia="Arial" w:hAnsi="Arial"/>
                <w:sz w:val="18"/>
                <w:szCs w:val="18"/>
                <w:color w:val="auto"/>
              </w:rPr>
              <w:t>Tax effect of items above</w:t>
            </w: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(73)</w:t>
            </w:r>
          </w:p>
        </w:tc>
      </w:tr>
      <w:tr>
        <w:trPr>
          <w:trHeight w:val="230"/>
        </w:trPr>
        <w:tc>
          <w:tcPr>
            <w:tcW w:w="6680" w:type="dxa"/>
            <w:vAlign w:val="bottom"/>
            <w:tcBorders>
              <w:bottom w:val="single" w:sz="8" w:color="0A2299"/>
            </w:tcBorders>
            <w:gridSpan w:val="2"/>
          </w:tcPr>
          <w:p>
            <w:pPr>
              <w:ind w:left="140"/>
              <w:spacing w:after="0"/>
              <w:rPr>
                <w:sz w:val="20"/>
                <w:szCs w:val="20"/>
                <w:color w:val="auto"/>
              </w:rPr>
            </w:pPr>
            <w:r>
              <w:rPr>
                <w:rFonts w:ascii="Arial" w:cs="Arial" w:eastAsia="Arial" w:hAnsi="Arial"/>
                <w:sz w:val="18"/>
                <w:szCs w:val="18"/>
                <w:color w:val="auto"/>
              </w:rPr>
              <w:t>After-tax MTM adjustment</w:t>
            </w:r>
          </w:p>
        </w:tc>
        <w:tc>
          <w:tcPr>
            <w:tcW w:w="400" w:type="dxa"/>
            <w:vAlign w:val="bottom"/>
            <w:tcBorders>
              <w:bottom w:val="single" w:sz="8" w:color="0A2299"/>
            </w:tcBorders>
          </w:tcPr>
          <w:p>
            <w:pPr>
              <w:spacing w:after="0"/>
              <w:rPr>
                <w:sz w:val="19"/>
                <w:szCs w:val="19"/>
                <w:color w:val="auto"/>
              </w:rPr>
            </w:pPr>
          </w:p>
        </w:tc>
        <w:tc>
          <w:tcPr>
            <w:tcW w:w="1060" w:type="dxa"/>
            <w:vAlign w:val="bottom"/>
            <w:tcBorders>
              <w:bottom w:val="single" w:sz="8" w:color="0A2299"/>
            </w:tcBorders>
          </w:tcPr>
          <w:p>
            <w:pPr>
              <w:spacing w:after="0"/>
              <w:rPr>
                <w:sz w:val="19"/>
                <w:szCs w:val="19"/>
                <w:color w:val="auto"/>
              </w:rPr>
            </w:pPr>
          </w:p>
        </w:tc>
        <w:tc>
          <w:tcPr>
            <w:tcW w:w="280" w:type="dxa"/>
            <w:vAlign w:val="bottom"/>
            <w:tcBorders>
              <w:bottom w:val="single" w:sz="8" w:color="0A2299"/>
            </w:tcBorders>
          </w:tcPr>
          <w:p>
            <w:pPr>
              <w:spacing w:after="0"/>
              <w:rPr>
                <w:sz w:val="19"/>
                <w:szCs w:val="19"/>
                <w:color w:val="auto"/>
              </w:rPr>
            </w:pPr>
          </w:p>
        </w:tc>
        <w:tc>
          <w:tcPr>
            <w:tcW w:w="1180" w:type="dxa"/>
            <w:vAlign w:val="bottom"/>
            <w:tcBorders>
              <w:bottom w:val="single" w:sz="8" w:color="0A2299"/>
            </w:tcBorders>
          </w:tcPr>
          <w:p>
            <w:pPr>
              <w:spacing w:after="0"/>
              <w:rPr>
                <w:sz w:val="19"/>
                <w:szCs w:val="19"/>
                <w:color w:val="auto"/>
              </w:rPr>
            </w:pPr>
          </w:p>
        </w:tc>
        <w:tc>
          <w:tcPr>
            <w:tcW w:w="280" w:type="dxa"/>
            <w:vAlign w:val="bottom"/>
            <w:tcBorders>
              <w:bottom w:val="single" w:sz="8" w:color="0A2299"/>
            </w:tcBorders>
          </w:tcPr>
          <w:p>
            <w:pPr>
              <w:spacing w:after="0"/>
              <w:rPr>
                <w:sz w:val="19"/>
                <w:szCs w:val="19"/>
                <w:color w:val="auto"/>
              </w:rPr>
            </w:pPr>
          </w:p>
        </w:tc>
        <w:tc>
          <w:tcPr>
            <w:tcW w:w="1340" w:type="dxa"/>
            <w:vAlign w:val="bottom"/>
            <w:tcBorders>
              <w:bottom w:val="single" w:sz="8" w:color="0A2299"/>
            </w:tcBorders>
          </w:tcPr>
          <w:p>
            <w:pPr>
              <w:jc w:val="right"/>
              <w:ind w:right="151"/>
              <w:spacing w:after="0"/>
              <w:rPr>
                <w:sz w:val="20"/>
                <w:szCs w:val="20"/>
                <w:color w:val="auto"/>
              </w:rPr>
            </w:pPr>
            <w:r>
              <w:rPr>
                <w:rFonts w:ascii="Arial" w:cs="Arial" w:eastAsia="Arial" w:hAnsi="Arial"/>
                <w:sz w:val="18"/>
                <w:szCs w:val="18"/>
                <w:color w:val="auto"/>
              </w:rPr>
              <w:t>774</w:t>
            </w:r>
          </w:p>
        </w:tc>
      </w:tr>
      <w:tr>
        <w:trPr>
          <w:trHeight w:val="223"/>
        </w:trPr>
        <w:tc>
          <w:tcPr>
            <w:tcW w:w="6680" w:type="dxa"/>
            <w:vAlign w:val="bottom"/>
            <w:tcBorders>
              <w:bottom w:val="single" w:sz="8" w:color="0A2299"/>
            </w:tcBorders>
            <w:gridSpan w:val="2"/>
          </w:tcPr>
          <w:p>
            <w:pPr>
              <w:ind w:left="140"/>
              <w:spacing w:after="0"/>
              <w:rPr>
                <w:sz w:val="20"/>
                <w:szCs w:val="20"/>
                <w:color w:val="auto"/>
              </w:rPr>
            </w:pPr>
            <w:r>
              <w:rPr>
                <w:rFonts w:ascii="Arial" w:cs="Arial" w:eastAsia="Arial" w:hAnsi="Arial"/>
                <w:sz w:val="18"/>
                <w:szCs w:val="18"/>
                <w:b w:val="1"/>
                <w:bCs w:val="1"/>
                <w:color w:val="auto"/>
              </w:rPr>
              <w:t>Pension-adjusted net income</w:t>
            </w:r>
          </w:p>
        </w:tc>
        <w:tc>
          <w:tcPr>
            <w:tcW w:w="400" w:type="dxa"/>
            <w:vAlign w:val="bottom"/>
            <w:tcBorders>
              <w:bottom w:val="single" w:sz="8" w:color="0A2299"/>
            </w:tcBorders>
          </w:tcPr>
          <w:p>
            <w:pPr>
              <w:spacing w:after="0"/>
              <w:rPr>
                <w:sz w:val="19"/>
                <w:szCs w:val="19"/>
                <w:color w:val="auto"/>
              </w:rPr>
            </w:pPr>
          </w:p>
        </w:tc>
        <w:tc>
          <w:tcPr>
            <w:tcW w:w="1060" w:type="dxa"/>
            <w:vAlign w:val="bottom"/>
            <w:tcBorders>
              <w:bottom w:val="single" w:sz="8" w:color="0A2299"/>
            </w:tcBorders>
          </w:tcPr>
          <w:p>
            <w:pPr>
              <w:spacing w:after="0"/>
              <w:rPr>
                <w:sz w:val="19"/>
                <w:szCs w:val="19"/>
                <w:color w:val="auto"/>
              </w:rPr>
            </w:pPr>
          </w:p>
        </w:tc>
        <w:tc>
          <w:tcPr>
            <w:tcW w:w="280" w:type="dxa"/>
            <w:vAlign w:val="bottom"/>
            <w:tcBorders>
              <w:bottom w:val="single" w:sz="8" w:color="0A2299"/>
            </w:tcBorders>
          </w:tcPr>
          <w:p>
            <w:pPr>
              <w:spacing w:after="0"/>
              <w:rPr>
                <w:sz w:val="19"/>
                <w:szCs w:val="19"/>
                <w:color w:val="auto"/>
              </w:rPr>
            </w:pPr>
          </w:p>
        </w:tc>
        <w:tc>
          <w:tcPr>
            <w:tcW w:w="1180" w:type="dxa"/>
            <w:vAlign w:val="bottom"/>
            <w:tcBorders>
              <w:bottom w:val="single" w:sz="8" w:color="0A2299"/>
            </w:tcBorders>
          </w:tcPr>
          <w:p>
            <w:pPr>
              <w:spacing w:after="0"/>
              <w:rPr>
                <w:sz w:val="19"/>
                <w:szCs w:val="19"/>
                <w:color w:val="auto"/>
              </w:rPr>
            </w:pPr>
          </w:p>
        </w:tc>
        <w:tc>
          <w:tcPr>
            <w:tcW w:w="280" w:type="dxa"/>
            <w:vAlign w:val="bottom"/>
            <w:tcBorders>
              <w:bottom w:val="single" w:sz="8" w:color="0A2299"/>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0A2299"/>
            </w:tcBorders>
          </w:tcPr>
          <w:p>
            <w:pPr>
              <w:jc w:val="right"/>
              <w:ind w:right="151"/>
              <w:spacing w:after="0"/>
              <w:rPr>
                <w:sz w:val="20"/>
                <w:szCs w:val="20"/>
                <w:color w:val="auto"/>
              </w:rPr>
            </w:pPr>
            <w:r>
              <w:rPr>
                <w:rFonts w:ascii="Arial" w:cs="Arial" w:eastAsia="Arial" w:hAnsi="Arial"/>
                <w:sz w:val="18"/>
                <w:szCs w:val="18"/>
                <w:b w:val="1"/>
                <w:bCs w:val="1"/>
                <w:color w:val="auto"/>
              </w:rPr>
              <w:t>2,961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-7191375</wp:posOffset>
            </wp:positionV>
            <wp:extent cx="288036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ectPr>
          <w:pgSz w:w="11900" w:h="16838" w:orient="portrait"/>
          <w:cols w:equalWidth="0" w:num="1">
            <w:col w:w="11240"/>
          </w:cols>
          <w:pgMar w:left="320" w:top="593"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5140"/>
        <w:spacing w:after="0"/>
        <w:rPr>
          <w:sz w:val="20"/>
          <w:szCs w:val="20"/>
          <w:color w:val="auto"/>
        </w:rPr>
      </w:pPr>
      <w:r>
        <w:rPr>
          <w:rFonts w:ascii="Arial" w:cs="Arial" w:eastAsia="Arial" w:hAnsi="Arial"/>
          <w:sz w:val="14"/>
          <w:szCs w:val="14"/>
          <w:color w:val="00249C"/>
        </w:rPr>
        <w:t xml:space="preserve">NOTICE OF 2021 ANNUAL MEETING OF SHAREHOLDERS AND PROXY STATEMENT </w:t>
      </w:r>
      <w:r>
        <w:rPr>
          <w:rFonts w:ascii="Arial" w:cs="Arial" w:eastAsia="Arial" w:hAnsi="Arial"/>
          <w:sz w:val="14"/>
          <w:szCs w:val="14"/>
          <w:color w:val="000000"/>
        </w:rPr>
        <w:t>I</w:t>
      </w:r>
      <w:r>
        <w:rPr>
          <w:rFonts w:ascii="Arial" w:cs="Arial" w:eastAsia="Arial" w:hAnsi="Arial"/>
          <w:sz w:val="14"/>
          <w:szCs w:val="14"/>
          <w:color w:val="00249C"/>
        </w:rPr>
        <w:t xml:space="preserve"> </w:t>
      </w:r>
      <w:r>
        <w:rPr>
          <w:rFonts w:ascii="Arial" w:cs="Arial" w:eastAsia="Arial" w:hAnsi="Arial"/>
          <w:sz w:val="17"/>
          <w:szCs w:val="17"/>
          <w:color w:val="000000"/>
        </w:rPr>
        <w:t>A-3</w:t>
      </w:r>
    </w:p>
    <w:p>
      <w:pPr>
        <w:sectPr>
          <w:pgSz w:w="11900" w:h="16838" w:orient="portrait"/>
          <w:cols w:equalWidth="0" w:num="1">
            <w:col w:w="11240"/>
          </w:cols>
          <w:pgMar w:left="320" w:top="593" w:right="339" w:bottom="1440" w:gutter="0" w:footer="0" w:header="0"/>
          <w:type w:val="continuous"/>
        </w:sectPr>
      </w:pPr>
    </w:p>
    <w:bookmarkStart w:id="97" w:name="page98"/>
    <w:bookmarkEnd w:id="97"/>
    <w:p>
      <w:pPr>
        <w:ind w:left="2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3086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t>APPENDIX A - USE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00" w:type="dxa"/>
            <w:vAlign w:val="bottom"/>
            <w:tcBorders>
              <w:top w:val="single" w:sz="8" w:color="0A2299"/>
            </w:tcBorders>
            <w:shd w:val="clear" w:color="auto" w:fill="00249C"/>
          </w:tcPr>
          <w:p>
            <w:pPr>
              <w:spacing w:after="0"/>
              <w:rPr>
                <w:sz w:val="17"/>
                <w:szCs w:val="17"/>
                <w:color w:val="auto"/>
              </w:rPr>
            </w:pPr>
          </w:p>
        </w:tc>
        <w:tc>
          <w:tcPr>
            <w:tcW w:w="500" w:type="dxa"/>
            <w:vAlign w:val="bottom"/>
            <w:tcBorders>
              <w:top w:val="single" w:sz="8" w:color="0A2299"/>
            </w:tcBorders>
            <w:shd w:val="clear" w:color="auto" w:fill="00249C"/>
          </w:tcPr>
          <w:p>
            <w:pPr>
              <w:spacing w:after="0"/>
              <w:rPr>
                <w:sz w:val="17"/>
                <w:szCs w:val="17"/>
                <w:color w:val="auto"/>
              </w:rPr>
            </w:pPr>
          </w:p>
        </w:tc>
        <w:tc>
          <w:tcPr>
            <w:tcW w:w="1240" w:type="dxa"/>
            <w:vAlign w:val="bottom"/>
            <w:tcBorders>
              <w:top w:val="single" w:sz="8" w:color="0A2299"/>
            </w:tcBorders>
            <w:shd w:val="clear" w:color="auto" w:fill="00249C"/>
          </w:tcPr>
          <w:p>
            <w:pPr>
              <w:spacing w:after="0"/>
              <w:rPr>
                <w:sz w:val="17"/>
                <w:szCs w:val="17"/>
                <w:color w:val="auto"/>
              </w:rPr>
            </w:pPr>
          </w:p>
        </w:tc>
        <w:tc>
          <w:tcPr>
            <w:tcW w:w="300" w:type="dxa"/>
            <w:vAlign w:val="bottom"/>
            <w:tcBorders>
              <w:top w:val="single" w:sz="8" w:color="0A2299"/>
            </w:tcBorders>
            <w:shd w:val="clear" w:color="auto" w:fill="00249C"/>
          </w:tcPr>
          <w:p>
            <w:pPr>
              <w:spacing w:after="0"/>
              <w:rPr>
                <w:sz w:val="17"/>
                <w:szCs w:val="17"/>
                <w:color w:val="auto"/>
              </w:rPr>
            </w:pPr>
          </w:p>
        </w:tc>
        <w:tc>
          <w:tcPr>
            <w:tcW w:w="1340" w:type="dxa"/>
            <w:vAlign w:val="bottom"/>
            <w:tcBorders>
              <w:top w:val="single" w:sz="8" w:color="0A2299"/>
            </w:tcBorders>
            <w:shd w:val="clear" w:color="auto" w:fill="00249C"/>
          </w:tcPr>
          <w:p>
            <w:pPr>
              <w:jc w:val="right"/>
              <w:ind w:right="392"/>
              <w:spacing w:after="0"/>
              <w:rPr>
                <w:sz w:val="20"/>
                <w:szCs w:val="20"/>
                <w:color w:val="auto"/>
              </w:rPr>
            </w:pPr>
            <w:r>
              <w:rPr>
                <w:rFonts w:ascii="Arial" w:cs="Arial" w:eastAsia="Arial" w:hAnsi="Arial"/>
                <w:sz w:val="14"/>
                <w:szCs w:val="14"/>
                <w:b w:val="1"/>
                <w:bCs w:val="1"/>
                <w:color w:val="FFFFFF"/>
              </w:rPr>
              <w:t>Total Year</w:t>
            </w:r>
          </w:p>
        </w:tc>
        <w:tc>
          <w:tcPr>
            <w:tcW w:w="380" w:type="dxa"/>
            <w:vAlign w:val="bottom"/>
            <w:tcBorders>
              <w:top w:val="single" w:sz="8" w:color="0A2299"/>
            </w:tcBorders>
            <w:shd w:val="clear" w:color="auto" w:fill="00249C"/>
          </w:tcPr>
          <w:p>
            <w:pPr>
              <w:spacing w:after="0"/>
              <w:rPr>
                <w:sz w:val="17"/>
                <w:szCs w:val="17"/>
                <w:color w:val="auto"/>
              </w:rPr>
            </w:pPr>
          </w:p>
        </w:tc>
        <w:tc>
          <w:tcPr>
            <w:tcW w:w="1260" w:type="dxa"/>
            <w:vAlign w:val="bottom"/>
            <w:tcBorders>
              <w:top w:val="single" w:sz="8" w:color="0A2299"/>
            </w:tcBorders>
            <w:shd w:val="clear" w:color="auto" w:fill="00249C"/>
          </w:tcPr>
          <w:p>
            <w:pPr>
              <w:spacing w:after="0"/>
              <w:rPr>
                <w:sz w:val="17"/>
                <w:szCs w:val="17"/>
                <w:color w:val="auto"/>
              </w:rPr>
            </w:pPr>
          </w:p>
        </w:tc>
      </w:tr>
      <w:tr>
        <w:trPr>
          <w:trHeight w:val="216"/>
        </w:trPr>
        <w:tc>
          <w:tcPr>
            <w:tcW w:w="6200" w:type="dxa"/>
            <w:vAlign w:val="bottom"/>
            <w:shd w:val="clear" w:color="auto" w:fill="00249C"/>
          </w:tcPr>
          <w:p>
            <w:pPr>
              <w:ind w:left="20"/>
              <w:spacing w:after="0"/>
              <w:rPr>
                <w:sz w:val="20"/>
                <w:szCs w:val="20"/>
                <w:color w:val="auto"/>
              </w:rPr>
            </w:pPr>
            <w:r>
              <w:rPr>
                <w:rFonts w:ascii="Arial" w:cs="Arial" w:eastAsia="Arial" w:hAnsi="Arial"/>
                <w:sz w:val="14"/>
                <w:szCs w:val="14"/>
                <w:b w:val="1"/>
                <w:bCs w:val="1"/>
                <w:color w:val="FFFFFF"/>
              </w:rPr>
              <w:t>($M, except per share amount)</w:t>
            </w:r>
          </w:p>
        </w:tc>
        <w:tc>
          <w:tcPr>
            <w:tcW w:w="500" w:type="dxa"/>
            <w:vAlign w:val="bottom"/>
            <w:shd w:val="clear" w:color="auto" w:fill="00249C"/>
          </w:tcPr>
          <w:p>
            <w:pPr>
              <w:spacing w:after="0"/>
              <w:rPr>
                <w:sz w:val="18"/>
                <w:szCs w:val="18"/>
                <w:color w:val="auto"/>
              </w:rPr>
            </w:pPr>
          </w:p>
        </w:tc>
        <w:tc>
          <w:tcPr>
            <w:tcW w:w="1240" w:type="dxa"/>
            <w:vAlign w:val="bottom"/>
            <w:shd w:val="clear" w:color="auto" w:fill="00249C"/>
          </w:tcPr>
          <w:p>
            <w:pPr>
              <w:jc w:val="right"/>
              <w:ind w:right="571"/>
              <w:spacing w:after="0"/>
              <w:rPr>
                <w:sz w:val="20"/>
                <w:szCs w:val="20"/>
                <w:color w:val="auto"/>
              </w:rPr>
            </w:pPr>
            <w:r>
              <w:rPr>
                <w:rFonts w:ascii="Arial" w:cs="Arial" w:eastAsia="Arial" w:hAnsi="Arial"/>
                <w:sz w:val="14"/>
                <w:szCs w:val="14"/>
                <w:b w:val="1"/>
                <w:bCs w:val="1"/>
                <w:color w:val="FFFFFF"/>
              </w:rPr>
              <w:t>2020</w:t>
            </w:r>
          </w:p>
        </w:tc>
        <w:tc>
          <w:tcPr>
            <w:tcW w:w="300" w:type="dxa"/>
            <w:vAlign w:val="bottom"/>
            <w:shd w:val="clear" w:color="auto" w:fill="00249C"/>
          </w:tcPr>
          <w:p>
            <w:pPr>
              <w:spacing w:after="0"/>
              <w:rPr>
                <w:sz w:val="18"/>
                <w:szCs w:val="18"/>
                <w:color w:val="auto"/>
              </w:rPr>
            </w:pPr>
          </w:p>
        </w:tc>
        <w:tc>
          <w:tcPr>
            <w:tcW w:w="1340" w:type="dxa"/>
            <w:vAlign w:val="bottom"/>
            <w:shd w:val="clear" w:color="auto" w:fill="00249C"/>
          </w:tcPr>
          <w:p>
            <w:pPr>
              <w:jc w:val="right"/>
              <w:ind w:right="572"/>
              <w:spacing w:after="0"/>
              <w:rPr>
                <w:sz w:val="20"/>
                <w:szCs w:val="20"/>
                <w:color w:val="auto"/>
              </w:rPr>
            </w:pPr>
            <w:r>
              <w:rPr>
                <w:rFonts w:ascii="Arial" w:cs="Arial" w:eastAsia="Arial" w:hAnsi="Arial"/>
                <w:sz w:val="14"/>
                <w:szCs w:val="14"/>
                <w:b w:val="1"/>
                <w:bCs w:val="1"/>
                <w:color w:val="FFFFFF"/>
              </w:rPr>
              <w:t>2019</w:t>
            </w:r>
          </w:p>
        </w:tc>
        <w:tc>
          <w:tcPr>
            <w:tcW w:w="380" w:type="dxa"/>
            <w:vAlign w:val="bottom"/>
            <w:shd w:val="clear" w:color="auto" w:fill="00249C"/>
          </w:tcPr>
          <w:p>
            <w:pPr>
              <w:spacing w:after="0"/>
              <w:rPr>
                <w:sz w:val="18"/>
                <w:szCs w:val="18"/>
                <w:color w:val="auto"/>
              </w:rPr>
            </w:pPr>
          </w:p>
        </w:tc>
        <w:tc>
          <w:tcPr>
            <w:tcW w:w="1260" w:type="dxa"/>
            <w:vAlign w:val="bottom"/>
            <w:shd w:val="clear" w:color="auto" w:fill="00249C"/>
          </w:tcPr>
          <w:p>
            <w:pPr>
              <w:jc w:val="right"/>
              <w:ind w:right="571"/>
              <w:spacing w:after="0"/>
              <w:rPr>
                <w:sz w:val="20"/>
                <w:szCs w:val="20"/>
                <w:color w:val="auto"/>
              </w:rPr>
            </w:pPr>
            <w:r>
              <w:rPr>
                <w:rFonts w:ascii="Arial" w:cs="Arial" w:eastAsia="Arial" w:hAnsi="Arial"/>
                <w:sz w:val="14"/>
                <w:szCs w:val="14"/>
                <w:b w:val="1"/>
                <w:bCs w:val="1"/>
                <w:color w:val="FFFFFF"/>
              </w:rPr>
              <w:t>2018</w:t>
            </w:r>
          </w:p>
        </w:tc>
      </w:tr>
      <w:tr>
        <w:trPr>
          <w:trHeight w:val="230"/>
        </w:trPr>
        <w:tc>
          <w:tcPr>
            <w:tcW w:w="6200" w:type="dxa"/>
            <w:vAlign w:val="bottom"/>
            <w:tcBorders>
              <w:bottom w:val="single" w:sz="8" w:color="0A2299"/>
            </w:tcBorders>
          </w:tcPr>
          <w:p>
            <w:pPr>
              <w:ind w:left="20"/>
              <w:spacing w:after="0"/>
              <w:rPr>
                <w:sz w:val="20"/>
                <w:szCs w:val="20"/>
                <w:color w:val="auto"/>
              </w:rPr>
            </w:pPr>
            <w:r>
              <w:rPr>
                <w:rFonts w:ascii="Arial" w:cs="Arial" w:eastAsia="Arial" w:hAnsi="Arial"/>
                <w:sz w:val="18"/>
                <w:szCs w:val="18"/>
                <w:b w:val="1"/>
                <w:bCs w:val="1"/>
                <w:color w:val="auto"/>
              </w:rPr>
              <w:t>Segment operating income</w:t>
            </w:r>
          </w:p>
        </w:tc>
        <w:tc>
          <w:tcPr>
            <w:tcW w:w="500" w:type="dxa"/>
            <w:vAlign w:val="bottom"/>
            <w:tcBorders>
              <w:bottom w:val="single" w:sz="8" w:color="0A2299"/>
            </w:tcBorders>
          </w:tcPr>
          <w:p>
            <w:pPr>
              <w:spacing w:after="0"/>
              <w:rPr>
                <w:sz w:val="19"/>
                <w:szCs w:val="19"/>
                <w:color w:val="auto"/>
              </w:rPr>
            </w:pPr>
          </w:p>
        </w:tc>
        <w:tc>
          <w:tcPr>
            <w:tcW w:w="1240" w:type="dxa"/>
            <w:vAlign w:val="bottom"/>
            <w:tcBorders>
              <w:bottom w:val="single" w:sz="8" w:color="0A2299"/>
            </w:tcBorders>
          </w:tcPr>
          <w:p>
            <w:pPr>
              <w:spacing w:after="0"/>
              <w:rPr>
                <w:sz w:val="19"/>
                <w:szCs w:val="19"/>
                <w:color w:val="auto"/>
              </w:rPr>
            </w:pPr>
          </w:p>
        </w:tc>
        <w:tc>
          <w:tcPr>
            <w:tcW w:w="300" w:type="dxa"/>
            <w:vAlign w:val="bottom"/>
            <w:tcBorders>
              <w:bottom w:val="single" w:sz="8" w:color="0A2299"/>
            </w:tcBorders>
          </w:tcPr>
          <w:p>
            <w:pPr>
              <w:spacing w:after="0"/>
              <w:rPr>
                <w:sz w:val="19"/>
                <w:szCs w:val="19"/>
                <w:color w:val="auto"/>
              </w:rPr>
            </w:pPr>
          </w:p>
        </w:tc>
        <w:tc>
          <w:tcPr>
            <w:tcW w:w="1340" w:type="dxa"/>
            <w:vAlign w:val="bottom"/>
            <w:tcBorders>
              <w:bottom w:val="single" w:sz="8" w:color="0A2299"/>
            </w:tcBorders>
          </w:tcPr>
          <w:p>
            <w:pPr>
              <w:spacing w:after="0"/>
              <w:rPr>
                <w:sz w:val="19"/>
                <w:szCs w:val="19"/>
                <w:color w:val="auto"/>
              </w:rPr>
            </w:pPr>
          </w:p>
        </w:tc>
        <w:tc>
          <w:tcPr>
            <w:tcW w:w="380" w:type="dxa"/>
            <w:vAlign w:val="bottom"/>
            <w:tcBorders>
              <w:bottom w:val="single" w:sz="8" w:color="0A2299"/>
            </w:tcBorders>
          </w:tcPr>
          <w:p>
            <w:pPr>
              <w:spacing w:after="0"/>
              <w:rPr>
                <w:sz w:val="19"/>
                <w:szCs w:val="19"/>
                <w:color w:val="auto"/>
              </w:rPr>
            </w:pPr>
          </w:p>
        </w:tc>
        <w:tc>
          <w:tcPr>
            <w:tcW w:w="1260" w:type="dxa"/>
            <w:vAlign w:val="bottom"/>
            <w:tcBorders>
              <w:bottom w:val="single" w:sz="8" w:color="0A2299"/>
            </w:tcBorders>
          </w:tcPr>
          <w:p>
            <w:pPr>
              <w:spacing w:after="0"/>
              <w:rPr>
                <w:sz w:val="19"/>
                <w:szCs w:val="19"/>
                <w:color w:val="auto"/>
              </w:rPr>
            </w:pPr>
          </w:p>
        </w:tc>
      </w:tr>
      <w:tr>
        <w:trPr>
          <w:trHeight w:val="214"/>
        </w:trPr>
        <w:tc>
          <w:tcPr>
            <w:tcW w:w="6200" w:type="dxa"/>
            <w:vAlign w:val="bottom"/>
          </w:tcPr>
          <w:p>
            <w:pPr>
              <w:ind w:left="140"/>
              <w:spacing w:after="0"/>
              <w:rPr>
                <w:sz w:val="20"/>
                <w:szCs w:val="20"/>
                <w:color w:val="auto"/>
              </w:rPr>
            </w:pPr>
            <w:r>
              <w:rPr>
                <w:rFonts w:ascii="Arial" w:cs="Arial" w:eastAsia="Arial" w:hAnsi="Arial"/>
                <w:sz w:val="18"/>
                <w:szCs w:val="18"/>
                <w:color w:val="auto"/>
              </w:rPr>
              <w:t>Sales</w:t>
            </w:r>
          </w:p>
        </w:tc>
        <w:tc>
          <w:tcPr>
            <w:tcW w:w="500" w:type="dxa"/>
            <w:vAlign w:val="bottom"/>
          </w:tcPr>
          <w:p>
            <w:pPr>
              <w:spacing w:after="0"/>
              <w:rPr>
                <w:sz w:val="18"/>
                <w:szCs w:val="18"/>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36,799</w:t>
            </w:r>
          </w:p>
        </w:tc>
        <w:tc>
          <w:tcPr>
            <w:tcW w:w="300" w:type="dxa"/>
            <w:vAlign w:val="bottom"/>
          </w:tcPr>
          <w:p>
            <w:pPr>
              <w:spacing w:after="0"/>
              <w:rPr>
                <w:sz w:val="18"/>
                <w:szCs w:val="18"/>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33,841</w:t>
            </w:r>
          </w:p>
        </w:tc>
        <w:tc>
          <w:tcPr>
            <w:tcW w:w="380" w:type="dxa"/>
            <w:vAlign w:val="bottom"/>
          </w:tcPr>
          <w:p>
            <w:pPr>
              <w:spacing w:after="0"/>
              <w:rPr>
                <w:sz w:val="18"/>
                <w:szCs w:val="18"/>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30,095</w:t>
            </w:r>
          </w:p>
        </w:tc>
      </w:tr>
      <w:tr>
        <w:trPr>
          <w:trHeight w:val="233"/>
        </w:trPr>
        <w:tc>
          <w:tcPr>
            <w:tcW w:w="6200" w:type="dxa"/>
            <w:vAlign w:val="bottom"/>
          </w:tcPr>
          <w:p>
            <w:pPr>
              <w:ind w:left="140"/>
              <w:spacing w:after="0"/>
              <w:rPr>
                <w:sz w:val="20"/>
                <w:szCs w:val="20"/>
                <w:color w:val="auto"/>
              </w:rPr>
            </w:pPr>
            <w:r>
              <w:rPr>
                <w:rFonts w:ascii="Arial" w:cs="Arial" w:eastAsia="Arial" w:hAnsi="Arial"/>
                <w:sz w:val="18"/>
                <w:szCs w:val="18"/>
                <w:b w:val="1"/>
                <w:bCs w:val="1"/>
                <w:color w:val="auto"/>
              </w:rPr>
              <w:t>Operating income</w:t>
            </w:r>
          </w:p>
        </w:tc>
        <w:tc>
          <w:tcPr>
            <w:tcW w:w="5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b w:val="1"/>
                <w:bCs w:val="1"/>
                <w:color w:val="auto"/>
              </w:rPr>
              <w:t>4,065</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ind w:right="152"/>
              <w:spacing w:after="0"/>
              <w:rPr>
                <w:sz w:val="20"/>
                <w:szCs w:val="20"/>
                <w:color w:val="auto"/>
              </w:rPr>
            </w:pPr>
            <w:r>
              <w:rPr>
                <w:rFonts w:ascii="Arial" w:cs="Arial" w:eastAsia="Arial" w:hAnsi="Arial"/>
                <w:sz w:val="18"/>
                <w:szCs w:val="18"/>
                <w:b w:val="1"/>
                <w:bCs w:val="1"/>
                <w:color w:val="auto"/>
              </w:rPr>
              <w:t>3,969</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b w:val="1"/>
                <w:bCs w:val="1"/>
                <w:color w:val="auto"/>
              </w:rPr>
              <w:t>3,780</w:t>
            </w:r>
          </w:p>
        </w:tc>
      </w:tr>
      <w:tr>
        <w:trPr>
          <w:trHeight w:val="226"/>
        </w:trPr>
        <w:tc>
          <w:tcPr>
            <w:tcW w:w="6200" w:type="dxa"/>
            <w:vAlign w:val="bottom"/>
          </w:tcPr>
          <w:p>
            <w:pPr>
              <w:ind w:left="140"/>
              <w:spacing w:after="0"/>
              <w:rPr>
                <w:sz w:val="20"/>
                <w:szCs w:val="20"/>
                <w:color w:val="auto"/>
              </w:rPr>
            </w:pPr>
            <w:r>
              <w:rPr>
                <w:rFonts w:ascii="Arial" w:cs="Arial" w:eastAsia="Arial" w:hAnsi="Arial"/>
                <w:sz w:val="18"/>
                <w:szCs w:val="18"/>
                <w:i w:val="1"/>
                <w:iCs w:val="1"/>
                <w:color w:val="auto"/>
              </w:rPr>
              <w:t>Operating margin rate</w:t>
            </w:r>
          </w:p>
        </w:tc>
        <w:tc>
          <w:tcPr>
            <w:tcW w:w="5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11.0 %</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11.7 %</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12.6 %</w:t>
            </w:r>
          </w:p>
        </w:tc>
      </w:tr>
      <w:tr>
        <w:trPr>
          <w:trHeight w:val="239"/>
        </w:trPr>
        <w:tc>
          <w:tcPr>
            <w:tcW w:w="6200" w:type="dxa"/>
            <w:vAlign w:val="bottom"/>
          </w:tcPr>
          <w:p>
            <w:pPr>
              <w:ind w:left="140"/>
              <w:spacing w:after="0"/>
              <w:rPr>
                <w:sz w:val="20"/>
                <w:szCs w:val="20"/>
                <w:color w:val="auto"/>
              </w:rPr>
            </w:pPr>
            <w:r>
              <w:rPr>
                <w:rFonts w:ascii="Arial" w:cs="Arial" w:eastAsia="Arial" w:hAnsi="Arial"/>
                <w:sz w:val="18"/>
                <w:szCs w:val="18"/>
                <w:b w:val="1"/>
                <w:bCs w:val="1"/>
                <w:color w:val="auto"/>
              </w:rPr>
              <w:t>Reconciliation to segment operating income</w:t>
            </w:r>
          </w:p>
        </w:tc>
        <w:tc>
          <w:tcPr>
            <w:tcW w:w="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0"/>
        </w:trPr>
        <w:tc>
          <w:tcPr>
            <w:tcW w:w="6200" w:type="dxa"/>
            <w:vAlign w:val="bottom"/>
          </w:tcPr>
          <w:p>
            <w:pPr>
              <w:ind w:left="460"/>
              <w:spacing w:after="0"/>
              <w:rPr>
                <w:sz w:val="20"/>
                <w:szCs w:val="20"/>
                <w:color w:val="auto"/>
              </w:rPr>
            </w:pPr>
            <w:r>
              <w:rPr>
                <w:rFonts w:ascii="Arial" w:cs="Arial" w:eastAsia="Arial" w:hAnsi="Arial"/>
                <w:sz w:val="18"/>
                <w:szCs w:val="18"/>
                <w:color w:val="auto"/>
              </w:rPr>
              <w:t>Net FAS (service)/CAS pension adjustment</w:t>
            </w:r>
          </w:p>
        </w:tc>
        <w:tc>
          <w:tcPr>
            <w:tcW w:w="500" w:type="dxa"/>
            <w:vAlign w:val="bottom"/>
          </w:tcPr>
          <w:p>
            <w:pPr>
              <w:spacing w:after="0"/>
              <w:rPr>
                <w:sz w:val="19"/>
                <w:szCs w:val="19"/>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(418)</w:t>
            </w:r>
          </w:p>
        </w:tc>
        <w:tc>
          <w:tcPr>
            <w:tcW w:w="300" w:type="dxa"/>
            <w:vAlign w:val="bottom"/>
          </w:tcPr>
          <w:p>
            <w:pPr>
              <w:spacing w:after="0"/>
              <w:rPr>
                <w:sz w:val="19"/>
                <w:szCs w:val="19"/>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(465)</w:t>
            </w:r>
          </w:p>
        </w:tc>
        <w:tc>
          <w:tcPr>
            <w:tcW w:w="380" w:type="dxa"/>
            <w:vAlign w:val="bottom"/>
          </w:tcPr>
          <w:p>
            <w:pPr>
              <w:spacing w:after="0"/>
              <w:rPr>
                <w:sz w:val="19"/>
                <w:szCs w:val="19"/>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(613)</w:t>
            </w:r>
          </w:p>
        </w:tc>
      </w:tr>
      <w:tr>
        <w:trPr>
          <w:trHeight w:val="229"/>
        </w:trPr>
        <w:tc>
          <w:tcPr>
            <w:tcW w:w="6200" w:type="dxa"/>
            <w:vAlign w:val="bottom"/>
            <w:tcBorders>
              <w:bottom w:val="single" w:sz="8" w:color="00249C"/>
            </w:tcBorders>
          </w:tcPr>
          <w:p>
            <w:pPr>
              <w:ind w:left="460"/>
              <w:spacing w:after="0"/>
              <w:rPr>
                <w:sz w:val="20"/>
                <w:szCs w:val="20"/>
                <w:color w:val="auto"/>
              </w:rPr>
            </w:pPr>
            <w:r>
              <w:rPr>
                <w:rFonts w:ascii="Arial" w:cs="Arial" w:eastAsia="Arial" w:hAnsi="Arial"/>
                <w:sz w:val="18"/>
                <w:szCs w:val="18"/>
                <w:color w:val="auto"/>
              </w:rPr>
              <w:t>Unallocated corporate expense</w:t>
            </w:r>
          </w:p>
        </w:tc>
        <w:tc>
          <w:tcPr>
            <w:tcW w:w="500" w:type="dxa"/>
            <w:vAlign w:val="bottom"/>
            <w:tcBorders>
              <w:bottom w:val="single" w:sz="8" w:color="00249C"/>
            </w:tcBorders>
          </w:tcPr>
          <w:p>
            <w:pPr>
              <w:spacing w:after="0"/>
              <w:rPr>
                <w:sz w:val="19"/>
                <w:szCs w:val="19"/>
                <w:color w:val="auto"/>
              </w:rPr>
            </w:pPr>
          </w:p>
        </w:tc>
        <w:tc>
          <w:tcPr>
            <w:tcW w:w="1240" w:type="dxa"/>
            <w:vAlign w:val="bottom"/>
            <w:tcBorders>
              <w:bottom w:val="single" w:sz="8" w:color="00249C"/>
            </w:tcBorders>
          </w:tcPr>
          <w:p>
            <w:pPr>
              <w:jc w:val="right"/>
              <w:ind w:right="151"/>
              <w:spacing w:after="0"/>
              <w:rPr>
                <w:sz w:val="20"/>
                <w:szCs w:val="20"/>
                <w:color w:val="auto"/>
              </w:rPr>
            </w:pPr>
            <w:r>
              <w:rPr>
                <w:rFonts w:ascii="Arial" w:cs="Arial" w:eastAsia="Arial" w:hAnsi="Arial"/>
                <w:sz w:val="18"/>
                <w:szCs w:val="18"/>
                <w:color w:val="auto"/>
              </w:rPr>
              <w:t>541</w:t>
            </w:r>
          </w:p>
        </w:tc>
        <w:tc>
          <w:tcPr>
            <w:tcW w:w="300" w:type="dxa"/>
            <w:vAlign w:val="bottom"/>
            <w:tcBorders>
              <w:bottom w:val="single" w:sz="8" w:color="00249C"/>
            </w:tcBorders>
          </w:tcPr>
          <w:p>
            <w:pPr>
              <w:spacing w:after="0"/>
              <w:rPr>
                <w:sz w:val="19"/>
                <w:szCs w:val="19"/>
                <w:color w:val="auto"/>
              </w:rPr>
            </w:pPr>
          </w:p>
        </w:tc>
        <w:tc>
          <w:tcPr>
            <w:tcW w:w="1340" w:type="dxa"/>
            <w:vAlign w:val="bottom"/>
            <w:tcBorders>
              <w:bottom w:val="single" w:sz="8" w:color="00249C"/>
            </w:tcBorders>
          </w:tcPr>
          <w:p>
            <w:pPr>
              <w:jc w:val="right"/>
              <w:ind w:right="152"/>
              <w:spacing w:after="0"/>
              <w:rPr>
                <w:sz w:val="20"/>
                <w:szCs w:val="20"/>
                <w:color w:val="auto"/>
              </w:rPr>
            </w:pPr>
            <w:r>
              <w:rPr>
                <w:rFonts w:ascii="Arial" w:cs="Arial" w:eastAsia="Arial" w:hAnsi="Arial"/>
                <w:sz w:val="18"/>
                <w:szCs w:val="18"/>
                <w:color w:val="auto"/>
              </w:rPr>
              <w:t>474</w:t>
            </w:r>
          </w:p>
        </w:tc>
        <w:tc>
          <w:tcPr>
            <w:tcW w:w="380" w:type="dxa"/>
            <w:vAlign w:val="bottom"/>
            <w:tcBorders>
              <w:bottom w:val="single" w:sz="8" w:color="00249C"/>
            </w:tcBorders>
          </w:tcPr>
          <w:p>
            <w:pPr>
              <w:spacing w:after="0"/>
              <w:rPr>
                <w:sz w:val="19"/>
                <w:szCs w:val="19"/>
                <w:color w:val="auto"/>
              </w:rPr>
            </w:pPr>
          </w:p>
        </w:tc>
        <w:tc>
          <w:tcPr>
            <w:tcW w:w="1260" w:type="dxa"/>
            <w:vAlign w:val="bottom"/>
            <w:tcBorders>
              <w:bottom w:val="single" w:sz="8" w:color="00249C"/>
            </w:tcBorders>
          </w:tcPr>
          <w:p>
            <w:pPr>
              <w:jc w:val="right"/>
              <w:ind w:right="151"/>
              <w:spacing w:after="0"/>
              <w:rPr>
                <w:sz w:val="20"/>
                <w:szCs w:val="20"/>
                <w:color w:val="auto"/>
              </w:rPr>
            </w:pPr>
            <w:r>
              <w:rPr>
                <w:rFonts w:ascii="Arial" w:cs="Arial" w:eastAsia="Arial" w:hAnsi="Arial"/>
                <w:sz w:val="18"/>
                <w:szCs w:val="18"/>
                <w:color w:val="auto"/>
              </w:rPr>
              <w:t>347</w:t>
            </w:r>
          </w:p>
        </w:tc>
      </w:tr>
      <w:tr>
        <w:trPr>
          <w:trHeight w:val="223"/>
        </w:trPr>
        <w:tc>
          <w:tcPr>
            <w:tcW w:w="6200" w:type="dxa"/>
            <w:vAlign w:val="bottom"/>
            <w:tcBorders>
              <w:bottom w:val="single" w:sz="8" w:color="00249C"/>
            </w:tcBorders>
          </w:tcPr>
          <w:p>
            <w:pPr>
              <w:ind w:left="140"/>
              <w:spacing w:after="0"/>
              <w:rPr>
                <w:sz w:val="20"/>
                <w:szCs w:val="20"/>
                <w:color w:val="auto"/>
              </w:rPr>
            </w:pPr>
            <w:r>
              <w:rPr>
                <w:rFonts w:ascii="Arial" w:cs="Arial" w:eastAsia="Arial" w:hAnsi="Arial"/>
                <w:sz w:val="18"/>
                <w:szCs w:val="18"/>
                <w:b w:val="1"/>
                <w:bCs w:val="1"/>
                <w:color w:val="auto"/>
              </w:rPr>
              <w:t>Segment operating income</w:t>
            </w:r>
          </w:p>
        </w:tc>
        <w:tc>
          <w:tcPr>
            <w:tcW w:w="500" w:type="dxa"/>
            <w:vAlign w:val="bottom"/>
            <w:tcBorders>
              <w:bottom w:val="single" w:sz="8" w:color="00249C"/>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00249C"/>
            </w:tcBorders>
          </w:tcPr>
          <w:p>
            <w:pPr>
              <w:jc w:val="right"/>
              <w:ind w:right="151"/>
              <w:spacing w:after="0"/>
              <w:rPr>
                <w:sz w:val="20"/>
                <w:szCs w:val="20"/>
                <w:color w:val="auto"/>
              </w:rPr>
            </w:pPr>
            <w:r>
              <w:rPr>
                <w:rFonts w:ascii="Arial" w:cs="Arial" w:eastAsia="Arial" w:hAnsi="Arial"/>
                <w:sz w:val="18"/>
                <w:szCs w:val="18"/>
                <w:b w:val="1"/>
                <w:bCs w:val="1"/>
                <w:color w:val="auto"/>
              </w:rPr>
              <w:t>4,188</w:t>
            </w:r>
          </w:p>
        </w:tc>
        <w:tc>
          <w:tcPr>
            <w:tcW w:w="300" w:type="dxa"/>
            <w:vAlign w:val="bottom"/>
            <w:tcBorders>
              <w:bottom w:val="single" w:sz="8" w:color="00249C"/>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00249C"/>
            </w:tcBorders>
          </w:tcPr>
          <w:p>
            <w:pPr>
              <w:jc w:val="right"/>
              <w:ind w:right="152"/>
              <w:spacing w:after="0"/>
              <w:rPr>
                <w:sz w:val="20"/>
                <w:szCs w:val="20"/>
                <w:color w:val="auto"/>
              </w:rPr>
            </w:pPr>
            <w:r>
              <w:rPr>
                <w:rFonts w:ascii="Arial" w:cs="Arial" w:eastAsia="Arial" w:hAnsi="Arial"/>
                <w:sz w:val="18"/>
                <w:szCs w:val="18"/>
                <w:b w:val="1"/>
                <w:bCs w:val="1"/>
                <w:color w:val="auto"/>
              </w:rPr>
              <w:t>3,978</w:t>
            </w:r>
          </w:p>
        </w:tc>
        <w:tc>
          <w:tcPr>
            <w:tcW w:w="380" w:type="dxa"/>
            <w:vAlign w:val="bottom"/>
            <w:tcBorders>
              <w:bottom w:val="single" w:sz="8" w:color="00249C"/>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00249C"/>
            </w:tcBorders>
          </w:tcPr>
          <w:p>
            <w:pPr>
              <w:jc w:val="right"/>
              <w:ind w:right="151"/>
              <w:spacing w:after="0"/>
              <w:rPr>
                <w:sz w:val="20"/>
                <w:szCs w:val="20"/>
                <w:color w:val="auto"/>
              </w:rPr>
            </w:pPr>
            <w:r>
              <w:rPr>
                <w:rFonts w:ascii="Arial" w:cs="Arial" w:eastAsia="Arial" w:hAnsi="Arial"/>
                <w:sz w:val="18"/>
                <w:szCs w:val="18"/>
                <w:b w:val="1"/>
                <w:bCs w:val="1"/>
                <w:color w:val="auto"/>
              </w:rPr>
              <w:t>3,514</w:t>
            </w:r>
          </w:p>
        </w:tc>
      </w:tr>
      <w:tr>
        <w:trPr>
          <w:trHeight w:val="466"/>
        </w:trPr>
        <w:tc>
          <w:tcPr>
            <w:tcW w:w="6200" w:type="dxa"/>
            <w:vAlign w:val="bottom"/>
            <w:tcBorders>
              <w:bottom w:val="single" w:sz="8" w:color="0A2299"/>
            </w:tcBorders>
          </w:tcPr>
          <w:p>
            <w:pPr>
              <w:ind w:left="20"/>
              <w:spacing w:after="0"/>
              <w:rPr>
                <w:sz w:val="20"/>
                <w:szCs w:val="20"/>
                <w:color w:val="auto"/>
              </w:rPr>
            </w:pPr>
            <w:r>
              <w:rPr>
                <w:rFonts w:ascii="Arial" w:cs="Arial" w:eastAsia="Arial" w:hAnsi="Arial"/>
                <w:sz w:val="18"/>
                <w:szCs w:val="18"/>
                <w:b w:val="1"/>
                <w:bCs w:val="1"/>
                <w:color w:val="auto"/>
              </w:rPr>
              <w:t>MTM-adjusted net earnings and MTM-adjusted diluted EPS</w:t>
            </w:r>
          </w:p>
        </w:tc>
        <w:tc>
          <w:tcPr>
            <w:tcW w:w="500" w:type="dxa"/>
            <w:vAlign w:val="bottom"/>
            <w:tcBorders>
              <w:bottom w:val="single" w:sz="8" w:color="0A2299"/>
            </w:tcBorders>
          </w:tcPr>
          <w:p>
            <w:pPr>
              <w:spacing w:after="0"/>
              <w:rPr>
                <w:sz w:val="24"/>
                <w:szCs w:val="24"/>
                <w:color w:val="auto"/>
              </w:rPr>
            </w:pPr>
          </w:p>
        </w:tc>
        <w:tc>
          <w:tcPr>
            <w:tcW w:w="1240" w:type="dxa"/>
            <w:vAlign w:val="bottom"/>
            <w:tcBorders>
              <w:bottom w:val="single" w:sz="8" w:color="0A2299"/>
            </w:tcBorders>
          </w:tcPr>
          <w:p>
            <w:pPr>
              <w:spacing w:after="0"/>
              <w:rPr>
                <w:sz w:val="24"/>
                <w:szCs w:val="24"/>
                <w:color w:val="auto"/>
              </w:rPr>
            </w:pPr>
          </w:p>
        </w:tc>
        <w:tc>
          <w:tcPr>
            <w:tcW w:w="300" w:type="dxa"/>
            <w:vAlign w:val="bottom"/>
            <w:tcBorders>
              <w:bottom w:val="single" w:sz="8" w:color="0A2299"/>
            </w:tcBorders>
          </w:tcPr>
          <w:p>
            <w:pPr>
              <w:spacing w:after="0"/>
              <w:rPr>
                <w:sz w:val="24"/>
                <w:szCs w:val="24"/>
                <w:color w:val="auto"/>
              </w:rPr>
            </w:pPr>
          </w:p>
        </w:tc>
        <w:tc>
          <w:tcPr>
            <w:tcW w:w="1340" w:type="dxa"/>
            <w:vAlign w:val="bottom"/>
            <w:tcBorders>
              <w:bottom w:val="single" w:sz="8" w:color="0A2299"/>
            </w:tcBorders>
          </w:tcPr>
          <w:p>
            <w:pPr>
              <w:spacing w:after="0"/>
              <w:rPr>
                <w:sz w:val="24"/>
                <w:szCs w:val="24"/>
                <w:color w:val="auto"/>
              </w:rPr>
            </w:pPr>
          </w:p>
        </w:tc>
        <w:tc>
          <w:tcPr>
            <w:tcW w:w="380" w:type="dxa"/>
            <w:vAlign w:val="bottom"/>
            <w:tcBorders>
              <w:bottom w:val="single" w:sz="8" w:color="0A2299"/>
            </w:tcBorders>
          </w:tcPr>
          <w:p>
            <w:pPr>
              <w:spacing w:after="0"/>
              <w:rPr>
                <w:sz w:val="24"/>
                <w:szCs w:val="24"/>
                <w:color w:val="auto"/>
              </w:rPr>
            </w:pPr>
          </w:p>
        </w:tc>
        <w:tc>
          <w:tcPr>
            <w:tcW w:w="1260" w:type="dxa"/>
            <w:vAlign w:val="bottom"/>
            <w:tcBorders>
              <w:bottom w:val="single" w:sz="8" w:color="0A2299"/>
            </w:tcBorders>
          </w:tcPr>
          <w:p>
            <w:pPr>
              <w:spacing w:after="0"/>
              <w:rPr>
                <w:sz w:val="24"/>
                <w:szCs w:val="24"/>
                <w:color w:val="auto"/>
              </w:rPr>
            </w:pPr>
          </w:p>
        </w:tc>
      </w:tr>
      <w:tr>
        <w:trPr>
          <w:trHeight w:val="232"/>
        </w:trPr>
        <w:tc>
          <w:tcPr>
            <w:tcW w:w="6200" w:type="dxa"/>
            <w:vAlign w:val="bottom"/>
          </w:tcPr>
          <w:p>
            <w:pPr>
              <w:ind w:left="140"/>
              <w:spacing w:after="0"/>
              <w:rPr>
                <w:sz w:val="20"/>
                <w:szCs w:val="20"/>
                <w:color w:val="auto"/>
              </w:rPr>
            </w:pPr>
            <w:r>
              <w:rPr>
                <w:rFonts w:ascii="Arial" w:cs="Arial" w:eastAsia="Arial" w:hAnsi="Arial"/>
                <w:sz w:val="18"/>
                <w:szCs w:val="18"/>
                <w:b w:val="1"/>
                <w:bCs w:val="1"/>
                <w:color w:val="auto"/>
              </w:rPr>
              <w:t>Net earnings</w:t>
            </w:r>
          </w:p>
        </w:tc>
        <w:tc>
          <w:tcPr>
            <w:tcW w:w="5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b w:val="1"/>
                <w:bCs w:val="1"/>
                <w:color w:val="auto"/>
              </w:rPr>
              <w:t>3,189</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ind w:right="152"/>
              <w:spacing w:after="0"/>
              <w:rPr>
                <w:sz w:val="20"/>
                <w:szCs w:val="20"/>
                <w:color w:val="auto"/>
              </w:rPr>
            </w:pPr>
            <w:r>
              <w:rPr>
                <w:rFonts w:ascii="Arial" w:cs="Arial" w:eastAsia="Arial" w:hAnsi="Arial"/>
                <w:sz w:val="18"/>
                <w:szCs w:val="18"/>
                <w:b w:val="1"/>
                <w:bCs w:val="1"/>
                <w:color w:val="auto"/>
              </w:rPr>
              <w:t>2,248</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b w:val="1"/>
                <w:bCs w:val="1"/>
                <w:color w:val="auto"/>
              </w:rPr>
              <w:t>3,229</w:t>
            </w:r>
          </w:p>
        </w:tc>
      </w:tr>
      <w:tr>
        <w:trPr>
          <w:trHeight w:val="220"/>
        </w:trPr>
        <w:tc>
          <w:tcPr>
            <w:tcW w:w="6200" w:type="dxa"/>
            <w:vAlign w:val="bottom"/>
          </w:tcPr>
          <w:p>
            <w:pPr>
              <w:ind w:left="460"/>
              <w:spacing w:after="0"/>
              <w:rPr>
                <w:sz w:val="20"/>
                <w:szCs w:val="20"/>
                <w:color w:val="auto"/>
              </w:rPr>
            </w:pPr>
            <w:r>
              <w:rPr>
                <w:rFonts w:ascii="Arial" w:cs="Arial" w:eastAsia="Arial" w:hAnsi="Arial"/>
                <w:sz w:val="18"/>
                <w:szCs w:val="18"/>
                <w:color w:val="auto"/>
              </w:rPr>
              <w:t>MTM expense</w:t>
            </w:r>
          </w:p>
        </w:tc>
        <w:tc>
          <w:tcPr>
            <w:tcW w:w="50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1,034</w:t>
            </w:r>
          </w:p>
        </w:tc>
        <w:tc>
          <w:tcPr>
            <w:tcW w:w="300" w:type="dxa"/>
            <w:vAlign w:val="bottom"/>
          </w:tcPr>
          <w:p>
            <w:pPr>
              <w:spacing w:after="0"/>
              <w:rPr>
                <w:sz w:val="19"/>
                <w:szCs w:val="19"/>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1,800</w:t>
            </w:r>
          </w:p>
        </w:tc>
        <w:tc>
          <w:tcPr>
            <w:tcW w:w="38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655</w:t>
            </w:r>
          </w:p>
        </w:tc>
      </w:tr>
      <w:tr>
        <w:trPr>
          <w:trHeight w:val="232"/>
        </w:trPr>
        <w:tc>
          <w:tcPr>
            <w:tcW w:w="6200" w:type="dxa"/>
            <w:vAlign w:val="bottom"/>
          </w:tcPr>
          <w:p>
            <w:pPr>
              <w:ind w:left="460"/>
              <w:spacing w:after="0" w:line="232" w:lineRule="exact"/>
              <w:rPr>
                <w:sz w:val="20"/>
                <w:szCs w:val="20"/>
                <w:color w:val="auto"/>
              </w:rPr>
            </w:pPr>
            <w:r>
              <w:rPr>
                <w:rFonts w:ascii="Arial" w:cs="Arial" w:eastAsia="Arial" w:hAnsi="Arial"/>
                <w:sz w:val="18"/>
                <w:szCs w:val="18"/>
                <w:color w:val="auto"/>
              </w:rPr>
              <w:t>MTM-related deferred state tax benefit</w:t>
            </w:r>
            <w:r>
              <w:rPr>
                <w:rFonts w:ascii="Arial" w:cs="Arial" w:eastAsia="Arial" w:hAnsi="Arial"/>
                <w:sz w:val="23"/>
                <w:szCs w:val="23"/>
                <w:color w:val="auto"/>
                <w:vertAlign w:val="superscript"/>
              </w:rPr>
              <w:t>(1)</w:t>
            </w:r>
          </w:p>
        </w:tc>
        <w:tc>
          <w:tcPr>
            <w:tcW w:w="500" w:type="dxa"/>
            <w:vAlign w:val="bottom"/>
          </w:tcPr>
          <w:p>
            <w:pPr>
              <w:spacing w:after="0"/>
              <w:rPr>
                <w:sz w:val="20"/>
                <w:szCs w:val="20"/>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20"/>
                <w:szCs w:val="20"/>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(81)</w:t>
            </w:r>
          </w:p>
        </w:tc>
        <w:tc>
          <w:tcPr>
            <w:tcW w:w="380" w:type="dxa"/>
            <w:vAlign w:val="bottom"/>
          </w:tcPr>
          <w:p>
            <w:pPr>
              <w:spacing w:after="0"/>
              <w:rPr>
                <w:sz w:val="20"/>
                <w:szCs w:val="20"/>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(29)</w:t>
            </w:r>
          </w:p>
        </w:tc>
      </w:tr>
      <w:tr>
        <w:trPr>
          <w:trHeight w:val="227"/>
        </w:trPr>
        <w:tc>
          <w:tcPr>
            <w:tcW w:w="6200" w:type="dxa"/>
            <w:vAlign w:val="bottom"/>
            <w:tcBorders>
              <w:bottom w:val="single" w:sz="8" w:color="0A2299"/>
            </w:tcBorders>
          </w:tcPr>
          <w:p>
            <w:pPr>
              <w:ind w:left="460"/>
              <w:spacing w:after="0" w:line="228" w:lineRule="exact"/>
              <w:rPr>
                <w:sz w:val="20"/>
                <w:szCs w:val="20"/>
                <w:color w:val="auto"/>
              </w:rPr>
            </w:pPr>
            <w:r>
              <w:rPr>
                <w:rFonts w:ascii="Arial" w:cs="Arial" w:eastAsia="Arial" w:hAnsi="Arial"/>
                <w:sz w:val="18"/>
                <w:szCs w:val="18"/>
                <w:color w:val="auto"/>
              </w:rPr>
              <w:t>Federal tax benefit of items above</w:t>
            </w:r>
            <w:r>
              <w:rPr>
                <w:rFonts w:ascii="Arial" w:cs="Arial" w:eastAsia="Arial" w:hAnsi="Arial"/>
                <w:sz w:val="23"/>
                <w:szCs w:val="23"/>
                <w:color w:val="auto"/>
                <w:vertAlign w:val="superscript"/>
              </w:rPr>
              <w:t>(2)</w:t>
            </w:r>
          </w:p>
        </w:tc>
        <w:tc>
          <w:tcPr>
            <w:tcW w:w="500" w:type="dxa"/>
            <w:vAlign w:val="bottom"/>
            <w:tcBorders>
              <w:bottom w:val="single" w:sz="8" w:color="0A2299"/>
            </w:tcBorders>
          </w:tcPr>
          <w:p>
            <w:pPr>
              <w:spacing w:after="0"/>
              <w:rPr>
                <w:sz w:val="19"/>
                <w:szCs w:val="19"/>
                <w:color w:val="auto"/>
              </w:rPr>
            </w:pPr>
          </w:p>
        </w:tc>
        <w:tc>
          <w:tcPr>
            <w:tcW w:w="1240" w:type="dxa"/>
            <w:vAlign w:val="bottom"/>
            <w:tcBorders>
              <w:bottom w:val="single" w:sz="8" w:color="0A2299"/>
            </w:tcBorders>
          </w:tcPr>
          <w:p>
            <w:pPr>
              <w:jc w:val="right"/>
              <w:ind w:right="91"/>
              <w:spacing w:after="0"/>
              <w:rPr>
                <w:sz w:val="20"/>
                <w:szCs w:val="20"/>
                <w:color w:val="auto"/>
              </w:rPr>
            </w:pPr>
            <w:r>
              <w:rPr>
                <w:rFonts w:ascii="Arial" w:cs="Arial" w:eastAsia="Arial" w:hAnsi="Arial"/>
                <w:sz w:val="18"/>
                <w:szCs w:val="18"/>
                <w:color w:val="auto"/>
              </w:rPr>
              <w:t>(206)</w:t>
            </w:r>
          </w:p>
        </w:tc>
        <w:tc>
          <w:tcPr>
            <w:tcW w:w="300" w:type="dxa"/>
            <w:vAlign w:val="bottom"/>
            <w:tcBorders>
              <w:bottom w:val="single" w:sz="8" w:color="0A2299"/>
            </w:tcBorders>
          </w:tcPr>
          <w:p>
            <w:pPr>
              <w:spacing w:after="0"/>
              <w:rPr>
                <w:sz w:val="19"/>
                <w:szCs w:val="19"/>
                <w:color w:val="auto"/>
              </w:rPr>
            </w:pPr>
          </w:p>
        </w:tc>
        <w:tc>
          <w:tcPr>
            <w:tcW w:w="1340" w:type="dxa"/>
            <w:vAlign w:val="bottom"/>
            <w:tcBorders>
              <w:bottom w:val="single" w:sz="8" w:color="0A2299"/>
            </w:tcBorders>
          </w:tcPr>
          <w:p>
            <w:pPr>
              <w:jc w:val="right"/>
              <w:ind w:right="92"/>
              <w:spacing w:after="0"/>
              <w:rPr>
                <w:sz w:val="20"/>
                <w:szCs w:val="20"/>
                <w:color w:val="auto"/>
              </w:rPr>
            </w:pPr>
            <w:r>
              <w:rPr>
                <w:rFonts w:ascii="Arial" w:cs="Arial" w:eastAsia="Arial" w:hAnsi="Arial"/>
                <w:sz w:val="18"/>
                <w:szCs w:val="18"/>
                <w:color w:val="auto"/>
              </w:rPr>
              <w:t>(361)</w:t>
            </w:r>
          </w:p>
        </w:tc>
        <w:tc>
          <w:tcPr>
            <w:tcW w:w="380" w:type="dxa"/>
            <w:vAlign w:val="bottom"/>
            <w:tcBorders>
              <w:bottom w:val="single" w:sz="8" w:color="0A2299"/>
            </w:tcBorders>
          </w:tcPr>
          <w:p>
            <w:pPr>
              <w:spacing w:after="0"/>
              <w:rPr>
                <w:sz w:val="19"/>
                <w:szCs w:val="19"/>
                <w:color w:val="auto"/>
              </w:rPr>
            </w:pPr>
          </w:p>
        </w:tc>
        <w:tc>
          <w:tcPr>
            <w:tcW w:w="1260" w:type="dxa"/>
            <w:vAlign w:val="bottom"/>
            <w:tcBorders>
              <w:bottom w:val="single" w:sz="8" w:color="0A2299"/>
            </w:tcBorders>
          </w:tcPr>
          <w:p>
            <w:pPr>
              <w:jc w:val="right"/>
              <w:ind w:right="111"/>
              <w:spacing w:after="0"/>
              <w:rPr>
                <w:sz w:val="20"/>
                <w:szCs w:val="20"/>
                <w:color w:val="auto"/>
              </w:rPr>
            </w:pPr>
            <w:r>
              <w:rPr>
                <w:rFonts w:ascii="Arial" w:cs="Arial" w:eastAsia="Arial" w:hAnsi="Arial"/>
                <w:sz w:val="18"/>
                <w:szCs w:val="18"/>
                <w:color w:val="auto"/>
              </w:rPr>
              <w:t>(131)</w:t>
            </w:r>
          </w:p>
        </w:tc>
      </w:tr>
      <w:tr>
        <w:trPr>
          <w:trHeight w:val="223"/>
        </w:trPr>
        <w:tc>
          <w:tcPr>
            <w:tcW w:w="6200" w:type="dxa"/>
            <w:vAlign w:val="bottom"/>
            <w:tcBorders>
              <w:bottom w:val="single" w:sz="8" w:color="0A2299"/>
            </w:tcBorders>
          </w:tcPr>
          <w:p>
            <w:pPr>
              <w:ind w:left="140"/>
              <w:spacing w:after="0"/>
              <w:rPr>
                <w:sz w:val="20"/>
                <w:szCs w:val="20"/>
                <w:color w:val="auto"/>
              </w:rPr>
            </w:pPr>
            <w:r>
              <w:rPr>
                <w:rFonts w:ascii="Arial" w:cs="Arial" w:eastAsia="Arial" w:hAnsi="Arial"/>
                <w:sz w:val="18"/>
                <w:szCs w:val="18"/>
                <w:color w:val="auto"/>
              </w:rPr>
              <w:t>After-tax MTM adjustment</w:t>
            </w:r>
          </w:p>
        </w:tc>
        <w:tc>
          <w:tcPr>
            <w:tcW w:w="500" w:type="dxa"/>
            <w:vAlign w:val="bottom"/>
            <w:tcBorders>
              <w:bottom w:val="single" w:sz="8" w:color="0A2299"/>
            </w:tcBorders>
          </w:tcPr>
          <w:p>
            <w:pPr>
              <w:spacing w:after="0"/>
              <w:rPr>
                <w:sz w:val="19"/>
                <w:szCs w:val="19"/>
                <w:color w:val="auto"/>
              </w:rPr>
            </w:pPr>
          </w:p>
        </w:tc>
        <w:tc>
          <w:tcPr>
            <w:tcW w:w="1240" w:type="dxa"/>
            <w:vAlign w:val="bottom"/>
            <w:tcBorders>
              <w:bottom w:val="single" w:sz="8" w:color="0A2299"/>
            </w:tcBorders>
          </w:tcPr>
          <w:p>
            <w:pPr>
              <w:jc w:val="right"/>
              <w:ind w:right="151"/>
              <w:spacing w:after="0"/>
              <w:rPr>
                <w:sz w:val="20"/>
                <w:szCs w:val="20"/>
                <w:color w:val="auto"/>
              </w:rPr>
            </w:pPr>
            <w:r>
              <w:rPr>
                <w:rFonts w:ascii="Arial" w:cs="Arial" w:eastAsia="Arial" w:hAnsi="Arial"/>
                <w:sz w:val="18"/>
                <w:szCs w:val="18"/>
                <w:color w:val="auto"/>
              </w:rPr>
              <w:t>774</w:t>
            </w:r>
          </w:p>
        </w:tc>
        <w:tc>
          <w:tcPr>
            <w:tcW w:w="300" w:type="dxa"/>
            <w:vAlign w:val="bottom"/>
            <w:tcBorders>
              <w:bottom w:val="single" w:sz="8" w:color="0A2299"/>
            </w:tcBorders>
          </w:tcPr>
          <w:p>
            <w:pPr>
              <w:spacing w:after="0"/>
              <w:rPr>
                <w:sz w:val="19"/>
                <w:szCs w:val="19"/>
                <w:color w:val="auto"/>
              </w:rPr>
            </w:pPr>
          </w:p>
        </w:tc>
        <w:tc>
          <w:tcPr>
            <w:tcW w:w="1340" w:type="dxa"/>
            <w:vAlign w:val="bottom"/>
            <w:tcBorders>
              <w:bottom w:val="single" w:sz="8" w:color="0A2299"/>
            </w:tcBorders>
          </w:tcPr>
          <w:p>
            <w:pPr>
              <w:jc w:val="right"/>
              <w:ind w:right="152"/>
              <w:spacing w:after="0"/>
              <w:rPr>
                <w:sz w:val="20"/>
                <w:szCs w:val="20"/>
                <w:color w:val="auto"/>
              </w:rPr>
            </w:pPr>
            <w:r>
              <w:rPr>
                <w:rFonts w:ascii="Arial" w:cs="Arial" w:eastAsia="Arial" w:hAnsi="Arial"/>
                <w:sz w:val="18"/>
                <w:szCs w:val="18"/>
                <w:color w:val="auto"/>
              </w:rPr>
              <w:t>1,358</w:t>
            </w:r>
          </w:p>
        </w:tc>
        <w:tc>
          <w:tcPr>
            <w:tcW w:w="380" w:type="dxa"/>
            <w:vAlign w:val="bottom"/>
            <w:tcBorders>
              <w:bottom w:val="single" w:sz="8" w:color="0A2299"/>
            </w:tcBorders>
          </w:tcPr>
          <w:p>
            <w:pPr>
              <w:spacing w:after="0"/>
              <w:rPr>
                <w:sz w:val="19"/>
                <w:szCs w:val="19"/>
                <w:color w:val="auto"/>
              </w:rPr>
            </w:pPr>
          </w:p>
        </w:tc>
        <w:tc>
          <w:tcPr>
            <w:tcW w:w="1260" w:type="dxa"/>
            <w:vAlign w:val="bottom"/>
            <w:tcBorders>
              <w:bottom w:val="single" w:sz="8" w:color="0A2299"/>
            </w:tcBorders>
          </w:tcPr>
          <w:p>
            <w:pPr>
              <w:jc w:val="right"/>
              <w:ind w:right="151"/>
              <w:spacing w:after="0"/>
              <w:rPr>
                <w:sz w:val="20"/>
                <w:szCs w:val="20"/>
                <w:color w:val="auto"/>
              </w:rPr>
            </w:pPr>
            <w:r>
              <w:rPr>
                <w:rFonts w:ascii="Arial" w:cs="Arial" w:eastAsia="Arial" w:hAnsi="Arial"/>
                <w:sz w:val="18"/>
                <w:szCs w:val="18"/>
                <w:color w:val="auto"/>
              </w:rPr>
              <w:t>495</w:t>
            </w:r>
          </w:p>
        </w:tc>
      </w:tr>
      <w:tr>
        <w:trPr>
          <w:trHeight w:val="223"/>
        </w:trPr>
        <w:tc>
          <w:tcPr>
            <w:tcW w:w="6200" w:type="dxa"/>
            <w:vAlign w:val="bottom"/>
            <w:tcBorders>
              <w:bottom w:val="single" w:sz="8" w:color="00249C"/>
            </w:tcBorders>
          </w:tcPr>
          <w:p>
            <w:pPr>
              <w:ind w:left="140"/>
              <w:spacing w:after="0"/>
              <w:rPr>
                <w:sz w:val="20"/>
                <w:szCs w:val="20"/>
                <w:color w:val="auto"/>
              </w:rPr>
            </w:pPr>
            <w:r>
              <w:rPr>
                <w:rFonts w:ascii="Arial" w:cs="Arial" w:eastAsia="Arial" w:hAnsi="Arial"/>
                <w:sz w:val="18"/>
                <w:szCs w:val="18"/>
                <w:b w:val="1"/>
                <w:bCs w:val="1"/>
                <w:color w:val="auto"/>
              </w:rPr>
              <w:t>MTM-adjusted net earnings</w:t>
            </w:r>
          </w:p>
        </w:tc>
        <w:tc>
          <w:tcPr>
            <w:tcW w:w="500" w:type="dxa"/>
            <w:vAlign w:val="bottom"/>
            <w:tcBorders>
              <w:bottom w:val="single" w:sz="8" w:color="00249C"/>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00249C"/>
            </w:tcBorders>
          </w:tcPr>
          <w:p>
            <w:pPr>
              <w:jc w:val="right"/>
              <w:ind w:right="151"/>
              <w:spacing w:after="0"/>
              <w:rPr>
                <w:sz w:val="20"/>
                <w:szCs w:val="20"/>
                <w:color w:val="auto"/>
              </w:rPr>
            </w:pPr>
            <w:r>
              <w:rPr>
                <w:rFonts w:ascii="Arial" w:cs="Arial" w:eastAsia="Arial" w:hAnsi="Arial"/>
                <w:sz w:val="18"/>
                <w:szCs w:val="18"/>
                <w:b w:val="1"/>
                <w:bCs w:val="1"/>
                <w:color w:val="auto"/>
              </w:rPr>
              <w:t>3,963</w:t>
            </w:r>
          </w:p>
        </w:tc>
        <w:tc>
          <w:tcPr>
            <w:tcW w:w="300" w:type="dxa"/>
            <w:vAlign w:val="bottom"/>
            <w:tcBorders>
              <w:bottom w:val="single" w:sz="8" w:color="00249C"/>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00249C"/>
            </w:tcBorders>
          </w:tcPr>
          <w:p>
            <w:pPr>
              <w:jc w:val="right"/>
              <w:ind w:right="152"/>
              <w:spacing w:after="0"/>
              <w:rPr>
                <w:sz w:val="20"/>
                <w:szCs w:val="20"/>
                <w:color w:val="auto"/>
              </w:rPr>
            </w:pPr>
            <w:r>
              <w:rPr>
                <w:rFonts w:ascii="Arial" w:cs="Arial" w:eastAsia="Arial" w:hAnsi="Arial"/>
                <w:sz w:val="18"/>
                <w:szCs w:val="18"/>
                <w:b w:val="1"/>
                <w:bCs w:val="1"/>
                <w:color w:val="auto"/>
              </w:rPr>
              <w:t>3,606</w:t>
            </w:r>
          </w:p>
        </w:tc>
        <w:tc>
          <w:tcPr>
            <w:tcW w:w="380" w:type="dxa"/>
            <w:vAlign w:val="bottom"/>
            <w:tcBorders>
              <w:bottom w:val="single" w:sz="8" w:color="00249C"/>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00249C"/>
            </w:tcBorders>
          </w:tcPr>
          <w:p>
            <w:pPr>
              <w:jc w:val="right"/>
              <w:ind w:right="151"/>
              <w:spacing w:after="0"/>
              <w:rPr>
                <w:sz w:val="20"/>
                <w:szCs w:val="20"/>
                <w:color w:val="auto"/>
              </w:rPr>
            </w:pPr>
            <w:r>
              <w:rPr>
                <w:rFonts w:ascii="Arial" w:cs="Arial" w:eastAsia="Arial" w:hAnsi="Arial"/>
                <w:sz w:val="18"/>
                <w:szCs w:val="18"/>
                <w:b w:val="1"/>
                <w:bCs w:val="1"/>
                <w:color w:val="auto"/>
              </w:rPr>
              <w:t>3,724</w:t>
            </w:r>
          </w:p>
        </w:tc>
      </w:tr>
      <w:tr>
        <w:trPr>
          <w:trHeight w:val="466"/>
        </w:trPr>
        <w:tc>
          <w:tcPr>
            <w:tcW w:w="6200" w:type="dxa"/>
            <w:vAlign w:val="bottom"/>
          </w:tcPr>
          <w:p>
            <w:pPr>
              <w:ind w:left="140"/>
              <w:spacing w:after="0"/>
              <w:rPr>
                <w:sz w:val="20"/>
                <w:szCs w:val="20"/>
                <w:color w:val="auto"/>
              </w:rPr>
            </w:pPr>
            <w:r>
              <w:rPr>
                <w:rFonts w:ascii="Arial" w:cs="Arial" w:eastAsia="Arial" w:hAnsi="Arial"/>
                <w:sz w:val="18"/>
                <w:szCs w:val="18"/>
                <w:b w:val="1"/>
                <w:bCs w:val="1"/>
                <w:color w:val="auto"/>
              </w:rPr>
              <w:t>Diluted EPS</w:t>
            </w:r>
          </w:p>
        </w:tc>
        <w:tc>
          <w:tcPr>
            <w:tcW w:w="5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b w:val="1"/>
                <w:bCs w:val="1"/>
                <w:color w:val="auto"/>
              </w:rPr>
              <w:t>19.03</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ind w:right="152"/>
              <w:spacing w:after="0"/>
              <w:rPr>
                <w:sz w:val="20"/>
                <w:szCs w:val="20"/>
                <w:color w:val="auto"/>
              </w:rPr>
            </w:pPr>
            <w:r>
              <w:rPr>
                <w:rFonts w:ascii="Arial" w:cs="Arial" w:eastAsia="Arial" w:hAnsi="Arial"/>
                <w:sz w:val="18"/>
                <w:szCs w:val="18"/>
                <w:b w:val="1"/>
                <w:bCs w:val="1"/>
                <w:color w:val="auto"/>
              </w:rPr>
              <w:t>13.22</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b w:val="1"/>
                <w:bCs w:val="1"/>
                <w:color w:val="auto"/>
              </w:rPr>
              <w:t>18.49</w:t>
            </w:r>
          </w:p>
        </w:tc>
      </w:tr>
      <w:tr>
        <w:trPr>
          <w:trHeight w:val="229"/>
        </w:trPr>
        <w:tc>
          <w:tcPr>
            <w:tcW w:w="6200" w:type="dxa"/>
            <w:vAlign w:val="bottom"/>
          </w:tcPr>
          <w:p>
            <w:pPr>
              <w:ind w:left="460"/>
              <w:spacing w:after="0"/>
              <w:rPr>
                <w:sz w:val="20"/>
                <w:szCs w:val="20"/>
                <w:color w:val="auto"/>
              </w:rPr>
            </w:pPr>
            <w:r>
              <w:rPr>
                <w:rFonts w:ascii="Arial" w:cs="Arial" w:eastAsia="Arial" w:hAnsi="Arial"/>
                <w:sz w:val="18"/>
                <w:szCs w:val="18"/>
                <w:color w:val="auto"/>
              </w:rPr>
              <w:t>MTM expense per share</w:t>
            </w:r>
          </w:p>
        </w:tc>
        <w:tc>
          <w:tcPr>
            <w:tcW w:w="50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6.17</w:t>
            </w:r>
          </w:p>
        </w:tc>
        <w:tc>
          <w:tcPr>
            <w:tcW w:w="300" w:type="dxa"/>
            <w:vAlign w:val="bottom"/>
          </w:tcPr>
          <w:p>
            <w:pPr>
              <w:spacing w:after="0"/>
              <w:rPr>
                <w:sz w:val="19"/>
                <w:szCs w:val="19"/>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10.59</w:t>
            </w:r>
          </w:p>
        </w:tc>
        <w:tc>
          <w:tcPr>
            <w:tcW w:w="38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3.76</w:t>
            </w:r>
          </w:p>
        </w:tc>
      </w:tr>
      <w:tr>
        <w:trPr>
          <w:trHeight w:val="230"/>
        </w:trPr>
        <w:tc>
          <w:tcPr>
            <w:tcW w:w="6200" w:type="dxa"/>
            <w:vAlign w:val="bottom"/>
          </w:tcPr>
          <w:p>
            <w:pPr>
              <w:ind w:left="460"/>
              <w:spacing w:after="0"/>
              <w:rPr>
                <w:sz w:val="20"/>
                <w:szCs w:val="20"/>
                <w:color w:val="auto"/>
              </w:rPr>
            </w:pPr>
            <w:r>
              <w:rPr>
                <w:rFonts w:ascii="Arial" w:cs="Arial" w:eastAsia="Arial" w:hAnsi="Arial"/>
                <w:sz w:val="18"/>
                <w:szCs w:val="18"/>
                <w:color w:val="auto"/>
              </w:rPr>
              <w:t>MTM-related deferred state tax benefit per share</w:t>
            </w:r>
          </w:p>
        </w:tc>
        <w:tc>
          <w:tcPr>
            <w:tcW w:w="500" w:type="dxa"/>
            <w:vAlign w:val="bottom"/>
          </w:tcPr>
          <w:p>
            <w:pPr>
              <w:spacing w:after="0"/>
              <w:rPr>
                <w:sz w:val="19"/>
                <w:szCs w:val="19"/>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(0.32)</w:t>
            </w:r>
          </w:p>
        </w:tc>
        <w:tc>
          <w:tcPr>
            <w:tcW w:w="300" w:type="dxa"/>
            <w:vAlign w:val="bottom"/>
          </w:tcPr>
          <w:p>
            <w:pPr>
              <w:spacing w:after="0"/>
              <w:rPr>
                <w:sz w:val="19"/>
                <w:szCs w:val="19"/>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(0.48)</w:t>
            </w:r>
          </w:p>
        </w:tc>
        <w:tc>
          <w:tcPr>
            <w:tcW w:w="380" w:type="dxa"/>
            <w:vAlign w:val="bottom"/>
          </w:tcPr>
          <w:p>
            <w:pPr>
              <w:spacing w:after="0"/>
              <w:rPr>
                <w:sz w:val="19"/>
                <w:szCs w:val="19"/>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(0.17)</w:t>
            </w:r>
          </w:p>
        </w:tc>
      </w:tr>
      <w:tr>
        <w:trPr>
          <w:trHeight w:val="230"/>
        </w:trPr>
        <w:tc>
          <w:tcPr>
            <w:tcW w:w="6200" w:type="dxa"/>
            <w:vAlign w:val="bottom"/>
            <w:tcBorders>
              <w:bottom w:val="single" w:sz="8" w:color="00249C"/>
            </w:tcBorders>
          </w:tcPr>
          <w:p>
            <w:pPr>
              <w:ind w:left="460"/>
              <w:spacing w:after="0"/>
              <w:rPr>
                <w:sz w:val="20"/>
                <w:szCs w:val="20"/>
                <w:color w:val="auto"/>
              </w:rPr>
            </w:pPr>
            <w:r>
              <w:rPr>
                <w:rFonts w:ascii="Arial" w:cs="Arial" w:eastAsia="Arial" w:hAnsi="Arial"/>
                <w:sz w:val="18"/>
                <w:szCs w:val="18"/>
                <w:color w:val="auto"/>
              </w:rPr>
              <w:t>Federal tax benefit of items above per share</w:t>
            </w:r>
          </w:p>
        </w:tc>
        <w:tc>
          <w:tcPr>
            <w:tcW w:w="500" w:type="dxa"/>
            <w:vAlign w:val="bottom"/>
            <w:tcBorders>
              <w:bottom w:val="single" w:sz="8" w:color="00249C"/>
            </w:tcBorders>
          </w:tcPr>
          <w:p>
            <w:pPr>
              <w:spacing w:after="0"/>
              <w:rPr>
                <w:sz w:val="19"/>
                <w:szCs w:val="19"/>
                <w:color w:val="auto"/>
              </w:rPr>
            </w:pPr>
          </w:p>
        </w:tc>
        <w:tc>
          <w:tcPr>
            <w:tcW w:w="1240" w:type="dxa"/>
            <w:vAlign w:val="bottom"/>
            <w:tcBorders>
              <w:bottom w:val="single" w:sz="8" w:color="00249C"/>
            </w:tcBorders>
          </w:tcPr>
          <w:p>
            <w:pPr>
              <w:jc w:val="right"/>
              <w:ind w:right="91"/>
              <w:spacing w:after="0"/>
              <w:rPr>
                <w:sz w:val="20"/>
                <w:szCs w:val="20"/>
                <w:color w:val="auto"/>
              </w:rPr>
            </w:pPr>
            <w:r>
              <w:rPr>
                <w:rFonts w:ascii="Arial" w:cs="Arial" w:eastAsia="Arial" w:hAnsi="Arial"/>
                <w:sz w:val="18"/>
                <w:szCs w:val="18"/>
                <w:color w:val="auto"/>
              </w:rPr>
              <w:t>(1.23)</w:t>
            </w:r>
          </w:p>
        </w:tc>
        <w:tc>
          <w:tcPr>
            <w:tcW w:w="300" w:type="dxa"/>
            <w:vAlign w:val="bottom"/>
            <w:tcBorders>
              <w:bottom w:val="single" w:sz="8" w:color="00249C"/>
            </w:tcBorders>
          </w:tcPr>
          <w:p>
            <w:pPr>
              <w:spacing w:after="0"/>
              <w:rPr>
                <w:sz w:val="19"/>
                <w:szCs w:val="19"/>
                <w:color w:val="auto"/>
              </w:rPr>
            </w:pPr>
          </w:p>
        </w:tc>
        <w:tc>
          <w:tcPr>
            <w:tcW w:w="1340" w:type="dxa"/>
            <w:vAlign w:val="bottom"/>
            <w:tcBorders>
              <w:bottom w:val="single" w:sz="8" w:color="00249C"/>
            </w:tcBorders>
          </w:tcPr>
          <w:p>
            <w:pPr>
              <w:jc w:val="right"/>
              <w:ind w:right="92"/>
              <w:spacing w:after="0"/>
              <w:rPr>
                <w:sz w:val="20"/>
                <w:szCs w:val="20"/>
                <w:color w:val="auto"/>
              </w:rPr>
            </w:pPr>
            <w:r>
              <w:rPr>
                <w:rFonts w:ascii="Arial" w:cs="Arial" w:eastAsia="Arial" w:hAnsi="Arial"/>
                <w:sz w:val="18"/>
                <w:szCs w:val="18"/>
                <w:color w:val="auto"/>
              </w:rPr>
              <w:t>(2.12)</w:t>
            </w:r>
          </w:p>
        </w:tc>
        <w:tc>
          <w:tcPr>
            <w:tcW w:w="380" w:type="dxa"/>
            <w:vAlign w:val="bottom"/>
            <w:tcBorders>
              <w:bottom w:val="single" w:sz="8" w:color="00249C"/>
            </w:tcBorders>
          </w:tcPr>
          <w:p>
            <w:pPr>
              <w:spacing w:after="0"/>
              <w:rPr>
                <w:sz w:val="19"/>
                <w:szCs w:val="19"/>
                <w:color w:val="auto"/>
              </w:rPr>
            </w:pPr>
          </w:p>
        </w:tc>
        <w:tc>
          <w:tcPr>
            <w:tcW w:w="1260" w:type="dxa"/>
            <w:vAlign w:val="bottom"/>
            <w:tcBorders>
              <w:bottom w:val="single" w:sz="8" w:color="00249C"/>
            </w:tcBorders>
          </w:tcPr>
          <w:p>
            <w:pPr>
              <w:jc w:val="right"/>
              <w:ind w:right="111"/>
              <w:spacing w:after="0"/>
              <w:rPr>
                <w:sz w:val="20"/>
                <w:szCs w:val="20"/>
                <w:color w:val="auto"/>
              </w:rPr>
            </w:pPr>
            <w:r>
              <w:rPr>
                <w:rFonts w:ascii="Arial" w:cs="Arial" w:eastAsia="Arial" w:hAnsi="Arial"/>
                <w:sz w:val="18"/>
                <w:szCs w:val="18"/>
                <w:color w:val="auto"/>
              </w:rPr>
              <w:t>(0.75)</w:t>
            </w:r>
          </w:p>
        </w:tc>
      </w:tr>
      <w:tr>
        <w:trPr>
          <w:trHeight w:val="223"/>
        </w:trPr>
        <w:tc>
          <w:tcPr>
            <w:tcW w:w="6200" w:type="dxa"/>
            <w:vAlign w:val="bottom"/>
            <w:tcBorders>
              <w:bottom w:val="single" w:sz="8" w:color="0A2299"/>
            </w:tcBorders>
          </w:tcPr>
          <w:p>
            <w:pPr>
              <w:ind w:left="140"/>
              <w:spacing w:after="0"/>
              <w:rPr>
                <w:sz w:val="20"/>
                <w:szCs w:val="20"/>
                <w:color w:val="auto"/>
              </w:rPr>
            </w:pPr>
            <w:r>
              <w:rPr>
                <w:rFonts w:ascii="Arial" w:cs="Arial" w:eastAsia="Arial" w:hAnsi="Arial"/>
                <w:sz w:val="18"/>
                <w:szCs w:val="18"/>
                <w:color w:val="auto"/>
              </w:rPr>
              <w:t>After-tax MTM adjustment per share</w:t>
            </w:r>
          </w:p>
        </w:tc>
        <w:tc>
          <w:tcPr>
            <w:tcW w:w="500" w:type="dxa"/>
            <w:vAlign w:val="bottom"/>
            <w:tcBorders>
              <w:bottom w:val="single" w:sz="8" w:color="0A2299"/>
            </w:tcBorders>
          </w:tcPr>
          <w:p>
            <w:pPr>
              <w:spacing w:after="0"/>
              <w:rPr>
                <w:sz w:val="19"/>
                <w:szCs w:val="19"/>
                <w:color w:val="auto"/>
              </w:rPr>
            </w:pPr>
          </w:p>
        </w:tc>
        <w:tc>
          <w:tcPr>
            <w:tcW w:w="1240" w:type="dxa"/>
            <w:vAlign w:val="bottom"/>
            <w:tcBorders>
              <w:bottom w:val="single" w:sz="8" w:color="0A2299"/>
            </w:tcBorders>
          </w:tcPr>
          <w:p>
            <w:pPr>
              <w:jc w:val="right"/>
              <w:ind w:right="151"/>
              <w:spacing w:after="0"/>
              <w:rPr>
                <w:sz w:val="20"/>
                <w:szCs w:val="20"/>
                <w:color w:val="auto"/>
              </w:rPr>
            </w:pPr>
            <w:r>
              <w:rPr>
                <w:rFonts w:ascii="Arial" w:cs="Arial" w:eastAsia="Arial" w:hAnsi="Arial"/>
                <w:sz w:val="18"/>
                <w:szCs w:val="18"/>
                <w:color w:val="auto"/>
              </w:rPr>
              <w:t>4.62</w:t>
            </w:r>
          </w:p>
        </w:tc>
        <w:tc>
          <w:tcPr>
            <w:tcW w:w="300" w:type="dxa"/>
            <w:vAlign w:val="bottom"/>
            <w:tcBorders>
              <w:bottom w:val="single" w:sz="8" w:color="0A2299"/>
            </w:tcBorders>
          </w:tcPr>
          <w:p>
            <w:pPr>
              <w:spacing w:after="0"/>
              <w:rPr>
                <w:sz w:val="19"/>
                <w:szCs w:val="19"/>
                <w:color w:val="auto"/>
              </w:rPr>
            </w:pPr>
          </w:p>
        </w:tc>
        <w:tc>
          <w:tcPr>
            <w:tcW w:w="1340" w:type="dxa"/>
            <w:vAlign w:val="bottom"/>
            <w:tcBorders>
              <w:bottom w:val="single" w:sz="8" w:color="0A2299"/>
            </w:tcBorders>
          </w:tcPr>
          <w:p>
            <w:pPr>
              <w:jc w:val="right"/>
              <w:ind w:right="152"/>
              <w:spacing w:after="0"/>
              <w:rPr>
                <w:sz w:val="20"/>
                <w:szCs w:val="20"/>
                <w:color w:val="auto"/>
              </w:rPr>
            </w:pPr>
            <w:r>
              <w:rPr>
                <w:rFonts w:ascii="Arial" w:cs="Arial" w:eastAsia="Arial" w:hAnsi="Arial"/>
                <w:sz w:val="18"/>
                <w:szCs w:val="18"/>
                <w:color w:val="auto"/>
              </w:rPr>
              <w:t>7.99</w:t>
            </w:r>
          </w:p>
        </w:tc>
        <w:tc>
          <w:tcPr>
            <w:tcW w:w="380" w:type="dxa"/>
            <w:vAlign w:val="bottom"/>
            <w:tcBorders>
              <w:bottom w:val="single" w:sz="8" w:color="0A2299"/>
            </w:tcBorders>
          </w:tcPr>
          <w:p>
            <w:pPr>
              <w:spacing w:after="0"/>
              <w:rPr>
                <w:sz w:val="19"/>
                <w:szCs w:val="19"/>
                <w:color w:val="auto"/>
              </w:rPr>
            </w:pPr>
          </w:p>
        </w:tc>
        <w:tc>
          <w:tcPr>
            <w:tcW w:w="1260" w:type="dxa"/>
            <w:vAlign w:val="bottom"/>
            <w:tcBorders>
              <w:bottom w:val="single" w:sz="8" w:color="0A2299"/>
            </w:tcBorders>
          </w:tcPr>
          <w:p>
            <w:pPr>
              <w:jc w:val="right"/>
              <w:ind w:right="151"/>
              <w:spacing w:after="0"/>
              <w:rPr>
                <w:sz w:val="20"/>
                <w:szCs w:val="20"/>
                <w:color w:val="auto"/>
              </w:rPr>
            </w:pPr>
            <w:r>
              <w:rPr>
                <w:rFonts w:ascii="Arial" w:cs="Arial" w:eastAsia="Arial" w:hAnsi="Arial"/>
                <w:sz w:val="18"/>
                <w:szCs w:val="18"/>
                <w:color w:val="auto"/>
              </w:rPr>
              <w:t>2.84</w:t>
            </w:r>
          </w:p>
        </w:tc>
      </w:tr>
      <w:tr>
        <w:trPr>
          <w:trHeight w:val="223"/>
        </w:trPr>
        <w:tc>
          <w:tcPr>
            <w:tcW w:w="6200" w:type="dxa"/>
            <w:vAlign w:val="bottom"/>
            <w:tcBorders>
              <w:bottom w:val="single" w:sz="8" w:color="0A2299"/>
            </w:tcBorders>
          </w:tcPr>
          <w:p>
            <w:pPr>
              <w:ind w:left="140"/>
              <w:spacing w:after="0"/>
              <w:rPr>
                <w:sz w:val="20"/>
                <w:szCs w:val="20"/>
                <w:color w:val="auto"/>
              </w:rPr>
            </w:pPr>
            <w:r>
              <w:rPr>
                <w:rFonts w:ascii="Arial" w:cs="Arial" w:eastAsia="Arial" w:hAnsi="Arial"/>
                <w:sz w:val="18"/>
                <w:szCs w:val="18"/>
                <w:b w:val="1"/>
                <w:bCs w:val="1"/>
                <w:color w:val="auto"/>
              </w:rPr>
              <w:t>MTM-adjusted diluted EPS</w:t>
            </w:r>
          </w:p>
        </w:tc>
        <w:tc>
          <w:tcPr>
            <w:tcW w:w="500" w:type="dxa"/>
            <w:vAlign w:val="bottom"/>
            <w:tcBorders>
              <w:bottom w:val="single" w:sz="8" w:color="0A2299"/>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0A2299"/>
            </w:tcBorders>
          </w:tcPr>
          <w:p>
            <w:pPr>
              <w:jc w:val="right"/>
              <w:ind w:right="151"/>
              <w:spacing w:after="0"/>
              <w:rPr>
                <w:sz w:val="20"/>
                <w:szCs w:val="20"/>
                <w:color w:val="auto"/>
              </w:rPr>
            </w:pPr>
            <w:r>
              <w:rPr>
                <w:rFonts w:ascii="Arial" w:cs="Arial" w:eastAsia="Arial" w:hAnsi="Arial"/>
                <w:sz w:val="18"/>
                <w:szCs w:val="18"/>
                <w:b w:val="1"/>
                <w:bCs w:val="1"/>
                <w:color w:val="auto"/>
              </w:rPr>
              <w:t>23.65</w:t>
            </w:r>
          </w:p>
        </w:tc>
        <w:tc>
          <w:tcPr>
            <w:tcW w:w="300" w:type="dxa"/>
            <w:vAlign w:val="bottom"/>
            <w:tcBorders>
              <w:bottom w:val="single" w:sz="8" w:color="0A2299"/>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0A2299"/>
            </w:tcBorders>
          </w:tcPr>
          <w:p>
            <w:pPr>
              <w:jc w:val="right"/>
              <w:ind w:right="152"/>
              <w:spacing w:after="0"/>
              <w:rPr>
                <w:sz w:val="20"/>
                <w:szCs w:val="20"/>
                <w:color w:val="auto"/>
              </w:rPr>
            </w:pPr>
            <w:r>
              <w:rPr>
                <w:rFonts w:ascii="Arial" w:cs="Arial" w:eastAsia="Arial" w:hAnsi="Arial"/>
                <w:sz w:val="18"/>
                <w:szCs w:val="18"/>
                <w:b w:val="1"/>
                <w:bCs w:val="1"/>
                <w:color w:val="auto"/>
              </w:rPr>
              <w:t>21.21</w:t>
            </w:r>
          </w:p>
        </w:tc>
        <w:tc>
          <w:tcPr>
            <w:tcW w:w="380" w:type="dxa"/>
            <w:vAlign w:val="bottom"/>
            <w:tcBorders>
              <w:bottom w:val="single" w:sz="8" w:color="0A2299"/>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0A2299"/>
            </w:tcBorders>
          </w:tcPr>
          <w:p>
            <w:pPr>
              <w:jc w:val="right"/>
              <w:ind w:right="151"/>
              <w:spacing w:after="0"/>
              <w:rPr>
                <w:sz w:val="20"/>
                <w:szCs w:val="20"/>
                <w:color w:val="auto"/>
              </w:rPr>
            </w:pPr>
            <w:r>
              <w:rPr>
                <w:rFonts w:ascii="Arial" w:cs="Arial" w:eastAsia="Arial" w:hAnsi="Arial"/>
                <w:sz w:val="18"/>
                <w:szCs w:val="18"/>
                <w:b w:val="1"/>
                <w:bCs w:val="1"/>
                <w:color w:val="auto"/>
              </w:rPr>
              <w:t>21.33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-3590925</wp:posOffset>
            </wp:positionV>
            <wp:extent cx="311150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57" w:lineRule="exact"/>
        <w:rPr>
          <w:sz w:val="20"/>
          <w:szCs w:val="20"/>
          <w:color w:val="auto"/>
        </w:rPr>
      </w:pPr>
    </w:p>
    <w:p>
      <w:pPr>
        <w:ind w:right="260" w:firstLine="8"/>
        <w:spacing w:after="0" w:line="260" w:lineRule="auto"/>
        <w:tabs>
          <w:tab w:leader="none" w:pos="243" w:val="left"/>
        </w:tabs>
        <w:numPr>
          <w:ilvl w:val="0"/>
          <w:numId w:val="94"/>
        </w:numPr>
        <w:rPr>
          <w:rFonts w:ascii="Arial" w:cs="Arial" w:eastAsia="Arial" w:hAnsi="Arial"/>
          <w:sz w:val="16"/>
          <w:szCs w:val="16"/>
          <w:color w:val="auto"/>
        </w:rPr>
      </w:pPr>
      <w:r>
        <w:rPr>
          <w:rFonts w:ascii="Arial" w:cs="Arial" w:eastAsia="Arial" w:hAnsi="Arial"/>
          <w:sz w:val="16"/>
          <w:szCs w:val="16"/>
          <w:color w:val="auto"/>
        </w:rPr>
        <w:t>MTM expense is expected to be deductible on our future state tax returns. The deferred state tax benefit was calculated using the company’s blended state tax rate of 5.25% in 2020 and 4.50% in 2019 and 2018 and included in Unallocated corporate expense within operating income.</w:t>
      </w:r>
    </w:p>
    <w:p>
      <w:pPr>
        <w:spacing w:after="0" w:line="208" w:lineRule="exact"/>
        <w:rPr>
          <w:rFonts w:ascii="Arial" w:cs="Arial" w:eastAsia="Arial" w:hAnsi="Arial"/>
          <w:sz w:val="16"/>
          <w:szCs w:val="16"/>
          <w:color w:val="auto"/>
        </w:rPr>
      </w:pPr>
    </w:p>
    <w:p>
      <w:pPr>
        <w:ind w:right="380" w:firstLine="8"/>
        <w:spacing w:after="0" w:line="242" w:lineRule="auto"/>
        <w:tabs>
          <w:tab w:leader="none" w:pos="243" w:val="left"/>
        </w:tabs>
        <w:numPr>
          <w:ilvl w:val="0"/>
          <w:numId w:val="94"/>
        </w:numPr>
        <w:rPr>
          <w:rFonts w:ascii="Arial" w:cs="Arial" w:eastAsia="Arial" w:hAnsi="Arial"/>
          <w:sz w:val="16"/>
          <w:szCs w:val="16"/>
          <w:color w:val="auto"/>
        </w:rPr>
      </w:pPr>
      <w:r>
        <w:rPr>
          <w:rFonts w:ascii="Arial" w:cs="Arial" w:eastAsia="Arial" w:hAnsi="Arial"/>
          <w:sz w:val="16"/>
          <w:szCs w:val="16"/>
          <w:color w:val="auto"/>
        </w:rPr>
        <w:t>MTM expense is expected to be deductible on our future federal tax returns. The federal tax benefit in each period was calculated by subtracting the deferred state tax benefit from MTM expense and applying the 21% federal statutory rate.</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A-4 </w:t>
      </w:r>
      <w:r>
        <w:rPr>
          <w:rFonts w:ascii="Arial" w:cs="Arial" w:eastAsia="Arial" w:hAnsi="Arial"/>
          <w:sz w:val="14"/>
          <w:szCs w:val="14"/>
          <w:color w:val="auto"/>
        </w:rPr>
        <w:t>I</w:t>
      </w:r>
      <w:r>
        <w:rPr>
          <w:rFonts w:ascii="Arial" w:cs="Arial" w:eastAsia="Arial" w:hAnsi="Arial"/>
          <w:sz w:val="18"/>
          <w:szCs w:val="18"/>
          <w:color w:val="auto"/>
        </w:rPr>
        <w:t xml:space="preserve"> </w:t>
      </w:r>
      <w:r>
        <w:rPr>
          <w:rFonts w:ascii="Arial" w:cs="Arial" w:eastAsia="Arial" w:hAnsi="Arial"/>
          <w:sz w:val="14"/>
          <w:szCs w:val="14"/>
          <w:color w:val="00249C"/>
        </w:rPr>
        <w:t>NOTICE OF 2021 ANNUAL MEETING OF SHAREHOLDERS AND PROXY STATEMENT</w:t>
      </w:r>
    </w:p>
    <w:p>
      <w:pPr>
        <w:sectPr>
          <w:pgSz w:w="11900" w:h="16838" w:orient="portrait"/>
          <w:cols w:equalWidth="0" w:num="1">
            <w:col w:w="11220"/>
          </w:cols>
          <w:pgMar w:left="320" w:top="593" w:right="359" w:bottom="1440"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243205</wp:posOffset>
            </wp:positionV>
            <wp:extent cx="6995160" cy="90525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628650</wp:posOffset>
            </wp:positionV>
            <wp:extent cx="5863590" cy="35833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clrChange>
                        <a:clrFrom>
                          <a:srgbClr val="FFFFFF"/>
                        </a:clrFrom>
                        <a:clrTo>
                          <a:srgbClr val="FFFFFF">
                            <a:alpha val="0"/>
                          </a:srgbClr>
                        </a:clrTo>
                      </a:clrChange>
                      <a:extLst>
                        <a:ext uri="{28A0092B-C50C-407E-A947-70E740481C1C}"/>
                      </a:extLst>
                    </a:blip>
                    <a:srcRect/>
                    <a:stretch>
                      <a:fillRect/>
                    </a:stretch>
                  </pic:blipFill>
                  <pic:spPr bwMode="auto">
                    <a:xfrm>
                      <a:off x="0" y="0"/>
                      <a:ext cx="5863590" cy="3583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color w:val="FFFFFF"/>
          <w:highlight w:val="black"/>
        </w:rPr>
        <w:t xml:space="preserve">A </w:t>
      </w:r>
      <w:r>
        <w:rPr>
          <w:rFonts w:ascii="Arial" w:cs="Arial" w:eastAsia="Arial" w:hAnsi="Arial"/>
          <w:sz w:val="16"/>
          <w:szCs w:val="16"/>
          <w:b w:val="1"/>
          <w:bCs w:val="1"/>
          <w:color w:val="000000"/>
        </w:rPr>
        <w:t>Proposals - The Board of Directors recommends a vote</w:t>
      </w:r>
      <w:r>
        <w:rPr>
          <w:rFonts w:ascii="Arial" w:cs="Arial" w:eastAsia="Arial" w:hAnsi="Arial"/>
          <w:sz w:val="16"/>
          <w:szCs w:val="16"/>
          <w:color w:val="FFFFFF"/>
          <w:highlight w:val="black"/>
        </w:rPr>
        <w:t xml:space="preserve"> </w:t>
      </w:r>
      <w:r>
        <w:rPr>
          <w:rFonts w:ascii="Arial" w:cs="Arial" w:eastAsia="Arial" w:hAnsi="Arial"/>
          <w:sz w:val="16"/>
          <w:szCs w:val="16"/>
          <w:b w:val="1"/>
          <w:bCs w:val="1"/>
          <w:u w:val="single" w:color="auto"/>
          <w:color w:val="000000"/>
        </w:rPr>
        <w:t>FOR</w:t>
      </w:r>
      <w:r>
        <w:rPr>
          <w:rFonts w:ascii="Arial" w:cs="Arial" w:eastAsia="Arial" w:hAnsi="Arial"/>
          <w:sz w:val="16"/>
          <w:szCs w:val="16"/>
          <w:color w:val="FFFFFF"/>
          <w:highlight w:val="black"/>
        </w:rPr>
        <w:t xml:space="preserve"> </w:t>
      </w:r>
      <w:r>
        <w:rPr>
          <w:rFonts w:ascii="Arial" w:cs="Arial" w:eastAsia="Arial" w:hAnsi="Arial"/>
          <w:sz w:val="16"/>
          <w:szCs w:val="16"/>
          <w:b w:val="1"/>
          <w:bCs w:val="1"/>
          <w:color w:val="000000"/>
        </w:rPr>
        <w:t>all the nominees listed and</w:t>
      </w:r>
      <w:r>
        <w:rPr>
          <w:rFonts w:ascii="Arial" w:cs="Arial" w:eastAsia="Arial" w:hAnsi="Arial"/>
          <w:sz w:val="16"/>
          <w:szCs w:val="16"/>
          <w:color w:val="FFFFFF"/>
          <w:highlight w:val="black"/>
        </w:rPr>
        <w:t xml:space="preserve"> </w:t>
      </w:r>
      <w:r>
        <w:rPr>
          <w:rFonts w:ascii="Arial" w:cs="Arial" w:eastAsia="Arial" w:hAnsi="Arial"/>
          <w:sz w:val="16"/>
          <w:szCs w:val="16"/>
          <w:b w:val="1"/>
          <w:bCs w:val="1"/>
          <w:u w:val="single" w:color="auto"/>
          <w:color w:val="000000"/>
        </w:rPr>
        <w:t>FOR</w:t>
      </w:r>
      <w:r>
        <w:rPr>
          <w:rFonts w:ascii="Arial" w:cs="Arial" w:eastAsia="Arial" w:hAnsi="Arial"/>
          <w:sz w:val="16"/>
          <w:szCs w:val="16"/>
          <w:color w:val="FFFFFF"/>
          <w:highlight w:val="black"/>
        </w:rPr>
        <w:t xml:space="preserve"> </w:t>
      </w:r>
      <w:r>
        <w:rPr>
          <w:rFonts w:ascii="Arial" w:cs="Arial" w:eastAsia="Arial" w:hAnsi="Arial"/>
          <w:sz w:val="16"/>
          <w:szCs w:val="16"/>
          <w:b w:val="1"/>
          <w:bCs w:val="1"/>
          <w:color w:val="000000"/>
        </w:rPr>
        <w:t>Proposals 2 and 3.</w:t>
      </w:r>
    </w:p>
    <w:p>
      <w:pPr>
        <w:sectPr>
          <w:pgSz w:w="11900" w:h="16838" w:orient="portrait"/>
          <w:cols w:equalWidth="0" w:num="1">
            <w:col w:w="10139"/>
          </w:cols>
          <w:pgMar w:left="320" w:top="1440" w:right="1440" w:bottom="1440" w:gutter="0" w:footer="0" w:header="0"/>
        </w:sect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w w:val="99"/>
              </w:rPr>
              <w:t>1. Election of Directors:</w:t>
            </w: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56"/>
        </w:trPr>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380" w:type="dxa"/>
            <w:vAlign w:val="bottom"/>
          </w:tcPr>
          <w:p>
            <w:pPr>
              <w:ind w:left="60"/>
              <w:spacing w:after="0"/>
              <w:rPr>
                <w:sz w:val="20"/>
                <w:szCs w:val="20"/>
                <w:color w:val="auto"/>
              </w:rPr>
            </w:pPr>
            <w:r>
              <w:rPr>
                <w:rFonts w:ascii="Arial" w:cs="Arial" w:eastAsia="Arial" w:hAnsi="Arial"/>
                <w:sz w:val="14"/>
                <w:szCs w:val="14"/>
                <w:color w:val="auto"/>
              </w:rPr>
              <w:t>For Against Abstain</w:t>
            </w: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0" w:type="dxa"/>
            <w:vAlign w:val="bottom"/>
          </w:tcPr>
          <w:p>
            <w:pPr>
              <w:ind w:left="80"/>
              <w:spacing w:after="0"/>
              <w:rPr>
                <w:sz w:val="20"/>
                <w:szCs w:val="20"/>
                <w:color w:val="auto"/>
              </w:rPr>
            </w:pPr>
            <w:r>
              <w:rPr>
                <w:rFonts w:ascii="Arial" w:cs="Arial" w:eastAsia="Arial" w:hAnsi="Arial"/>
                <w:sz w:val="14"/>
                <w:szCs w:val="14"/>
                <w:color w:val="auto"/>
              </w:rPr>
              <w:t>For Against Abstain</w:t>
            </w:r>
          </w:p>
        </w:tc>
        <w:tc>
          <w:tcPr>
            <w:tcW w:w="3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57"/>
        </w:trPr>
        <w:tc>
          <w:tcPr>
            <w:tcW w:w="160" w:type="dxa"/>
            <w:vAlign w:val="bottom"/>
          </w:tcPr>
          <w:p>
            <w:pPr>
              <w:spacing w:after="0"/>
              <w:rPr>
                <w:sz w:val="20"/>
                <w:szCs w:val="20"/>
                <w:color w:val="auto"/>
              </w:rPr>
            </w:pPr>
            <w:r>
              <w:rPr>
                <w:rFonts w:ascii="Arial" w:cs="Arial" w:eastAsia="Arial" w:hAnsi="Arial"/>
                <w:sz w:val="14"/>
                <w:szCs w:val="14"/>
                <w:color w:val="auto"/>
                <w:w w:val="89"/>
              </w:rPr>
              <w:t>01</w:t>
            </w:r>
          </w:p>
        </w:tc>
        <w:tc>
          <w:tcPr>
            <w:tcW w:w="1420" w:type="dxa"/>
            <w:vAlign w:val="bottom"/>
          </w:tcPr>
          <w:p>
            <w:pPr>
              <w:ind w:left="20"/>
              <w:spacing w:after="0"/>
              <w:rPr>
                <w:sz w:val="20"/>
                <w:szCs w:val="20"/>
                <w:color w:val="auto"/>
              </w:rPr>
            </w:pPr>
            <w:r>
              <w:rPr>
                <w:rFonts w:ascii="Arial" w:cs="Arial" w:eastAsia="Arial" w:hAnsi="Arial"/>
                <w:sz w:val="14"/>
                <w:szCs w:val="14"/>
                <w:color w:val="auto"/>
              </w:rPr>
              <w:t>- Kathy J. Warden</w:t>
            </w:r>
          </w:p>
        </w:tc>
        <w:tc>
          <w:tcPr>
            <w:tcW w:w="1380" w:type="dxa"/>
            <w:vAlign w:val="bottom"/>
          </w:tcPr>
          <w:p>
            <w:pPr>
              <w:ind w:left="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00" w:type="dxa"/>
            <w:vAlign w:val="bottom"/>
          </w:tcPr>
          <w:p>
            <w:pPr>
              <w:ind w:left="140"/>
              <w:spacing w:after="0"/>
              <w:rPr>
                <w:sz w:val="20"/>
                <w:szCs w:val="20"/>
                <w:color w:val="auto"/>
              </w:rPr>
            </w:pPr>
            <w:r>
              <w:rPr>
                <w:rFonts w:ascii="Arial" w:cs="Arial" w:eastAsia="Arial" w:hAnsi="Arial"/>
                <w:sz w:val="14"/>
                <w:szCs w:val="14"/>
                <w:color w:val="auto"/>
                <w:w w:val="89"/>
              </w:rPr>
              <w:t>02</w:t>
            </w:r>
          </w:p>
        </w:tc>
        <w:tc>
          <w:tcPr>
            <w:tcW w:w="1100" w:type="dxa"/>
            <w:vAlign w:val="bottom"/>
          </w:tcPr>
          <w:p>
            <w:pPr>
              <w:ind w:left="20"/>
              <w:spacing w:after="0"/>
              <w:rPr>
                <w:sz w:val="20"/>
                <w:szCs w:val="20"/>
                <w:color w:val="auto"/>
              </w:rPr>
            </w:pPr>
            <w:r>
              <w:rPr>
                <w:rFonts w:ascii="Arial" w:cs="Arial" w:eastAsia="Arial" w:hAnsi="Arial"/>
                <w:sz w:val="14"/>
                <w:szCs w:val="14"/>
                <w:color w:val="auto"/>
              </w:rPr>
              <w:t>- David P. Abney</w:t>
            </w:r>
          </w:p>
        </w:tc>
        <w:tc>
          <w:tcPr>
            <w:tcW w:w="1400" w:type="dxa"/>
            <w:vAlign w:val="bottom"/>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03</w:t>
            </w:r>
          </w:p>
        </w:tc>
        <w:tc>
          <w:tcPr>
            <w:tcW w:w="1400" w:type="dxa"/>
            <w:vAlign w:val="bottom"/>
          </w:tcPr>
          <w:p>
            <w:pPr>
              <w:ind w:left="20"/>
              <w:spacing w:after="0"/>
              <w:rPr>
                <w:sz w:val="20"/>
                <w:szCs w:val="20"/>
                <w:color w:val="auto"/>
              </w:rPr>
            </w:pPr>
            <w:r>
              <w:rPr>
                <w:rFonts w:ascii="Arial" w:cs="Arial" w:eastAsia="Arial" w:hAnsi="Arial"/>
                <w:sz w:val="14"/>
                <w:szCs w:val="14"/>
                <w:color w:val="auto"/>
              </w:rPr>
              <w:t>- Marianne C. Brown</w:t>
            </w:r>
          </w:p>
        </w:tc>
      </w:tr>
      <w:tr>
        <w:trPr>
          <w:trHeight w:val="257"/>
        </w:trPr>
        <w:tc>
          <w:tcPr>
            <w:tcW w:w="160" w:type="dxa"/>
            <w:vAlign w:val="bottom"/>
          </w:tcPr>
          <w:p>
            <w:pPr>
              <w:spacing w:after="0"/>
              <w:rPr>
                <w:sz w:val="20"/>
                <w:szCs w:val="20"/>
                <w:color w:val="auto"/>
              </w:rPr>
            </w:pPr>
            <w:r>
              <w:rPr>
                <w:rFonts w:ascii="Arial" w:cs="Arial" w:eastAsia="Arial" w:hAnsi="Arial"/>
                <w:sz w:val="14"/>
                <w:szCs w:val="14"/>
                <w:color w:val="auto"/>
                <w:w w:val="89"/>
              </w:rPr>
              <w:t>04</w:t>
            </w:r>
          </w:p>
        </w:tc>
        <w:tc>
          <w:tcPr>
            <w:tcW w:w="1420" w:type="dxa"/>
            <w:vAlign w:val="bottom"/>
          </w:tcPr>
          <w:p>
            <w:pPr>
              <w:ind w:left="20"/>
              <w:spacing w:after="0"/>
              <w:rPr>
                <w:sz w:val="20"/>
                <w:szCs w:val="20"/>
                <w:color w:val="auto"/>
              </w:rPr>
            </w:pPr>
            <w:r>
              <w:rPr>
                <w:rFonts w:ascii="Arial" w:cs="Arial" w:eastAsia="Arial" w:hAnsi="Arial"/>
                <w:sz w:val="14"/>
                <w:szCs w:val="14"/>
                <w:color w:val="auto"/>
              </w:rPr>
              <w:t>- Donald E. Felsinger</w:t>
            </w:r>
          </w:p>
        </w:tc>
        <w:tc>
          <w:tcPr>
            <w:tcW w:w="1380" w:type="dxa"/>
            <w:vAlign w:val="bottom"/>
          </w:tcPr>
          <w:p>
            <w:pPr>
              <w:ind w:left="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00" w:type="dxa"/>
            <w:vAlign w:val="bottom"/>
          </w:tcPr>
          <w:p>
            <w:pPr>
              <w:ind w:left="140"/>
              <w:spacing w:after="0"/>
              <w:rPr>
                <w:sz w:val="20"/>
                <w:szCs w:val="20"/>
                <w:color w:val="auto"/>
              </w:rPr>
            </w:pPr>
            <w:r>
              <w:rPr>
                <w:rFonts w:ascii="Arial" w:cs="Arial" w:eastAsia="Arial" w:hAnsi="Arial"/>
                <w:sz w:val="14"/>
                <w:szCs w:val="14"/>
                <w:color w:val="auto"/>
                <w:w w:val="89"/>
              </w:rPr>
              <w:t>05</w:t>
            </w:r>
          </w:p>
        </w:tc>
        <w:tc>
          <w:tcPr>
            <w:tcW w:w="1100" w:type="dxa"/>
            <w:vAlign w:val="bottom"/>
          </w:tcPr>
          <w:p>
            <w:pPr>
              <w:ind w:left="20"/>
              <w:spacing w:after="0"/>
              <w:rPr>
                <w:sz w:val="20"/>
                <w:szCs w:val="20"/>
                <w:color w:val="auto"/>
              </w:rPr>
            </w:pPr>
            <w:r>
              <w:rPr>
                <w:rFonts w:ascii="Arial" w:cs="Arial" w:eastAsia="Arial" w:hAnsi="Arial"/>
                <w:sz w:val="14"/>
                <w:szCs w:val="14"/>
                <w:color w:val="auto"/>
              </w:rPr>
              <w:t>- Ann M. Fudge</w:t>
            </w:r>
          </w:p>
        </w:tc>
        <w:tc>
          <w:tcPr>
            <w:tcW w:w="1400" w:type="dxa"/>
            <w:vAlign w:val="bottom"/>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06</w:t>
            </w:r>
          </w:p>
        </w:tc>
        <w:tc>
          <w:tcPr>
            <w:tcW w:w="1400" w:type="dxa"/>
            <w:vAlign w:val="bottom"/>
          </w:tcPr>
          <w:p>
            <w:pPr>
              <w:ind w:left="20"/>
              <w:spacing w:after="0"/>
              <w:rPr>
                <w:sz w:val="20"/>
                <w:szCs w:val="20"/>
                <w:color w:val="auto"/>
              </w:rPr>
            </w:pPr>
            <w:r>
              <w:rPr>
                <w:rFonts w:ascii="Arial" w:cs="Arial" w:eastAsia="Arial" w:hAnsi="Arial"/>
                <w:sz w:val="14"/>
                <w:szCs w:val="14"/>
                <w:color w:val="auto"/>
                <w:w w:val="94"/>
              </w:rPr>
              <w:t>- William H. Hernandez</w:t>
            </w:r>
          </w:p>
        </w:tc>
      </w:tr>
      <w:tr>
        <w:trPr>
          <w:trHeight w:val="256"/>
        </w:trPr>
        <w:tc>
          <w:tcPr>
            <w:tcW w:w="160" w:type="dxa"/>
            <w:vAlign w:val="bottom"/>
          </w:tcPr>
          <w:p>
            <w:pPr>
              <w:spacing w:after="0"/>
              <w:rPr>
                <w:sz w:val="20"/>
                <w:szCs w:val="20"/>
                <w:color w:val="auto"/>
              </w:rPr>
            </w:pPr>
            <w:r>
              <w:rPr>
                <w:rFonts w:ascii="Arial" w:cs="Arial" w:eastAsia="Arial" w:hAnsi="Arial"/>
                <w:sz w:val="14"/>
                <w:szCs w:val="14"/>
                <w:color w:val="auto"/>
                <w:w w:val="89"/>
              </w:rPr>
              <w:t>07</w:t>
            </w:r>
          </w:p>
        </w:tc>
        <w:tc>
          <w:tcPr>
            <w:tcW w:w="1420" w:type="dxa"/>
            <w:vAlign w:val="bottom"/>
          </w:tcPr>
          <w:p>
            <w:pPr>
              <w:ind w:left="20"/>
              <w:spacing w:after="0"/>
              <w:rPr>
                <w:sz w:val="20"/>
                <w:szCs w:val="20"/>
                <w:color w:val="auto"/>
              </w:rPr>
            </w:pPr>
            <w:r>
              <w:rPr>
                <w:rFonts w:ascii="Arial" w:cs="Arial" w:eastAsia="Arial" w:hAnsi="Arial"/>
                <w:sz w:val="14"/>
                <w:szCs w:val="14"/>
                <w:color w:val="auto"/>
              </w:rPr>
              <w:t>- Madeleine A. Kleiner</w:t>
            </w:r>
          </w:p>
        </w:tc>
        <w:tc>
          <w:tcPr>
            <w:tcW w:w="1380" w:type="dxa"/>
            <w:vAlign w:val="bottom"/>
          </w:tcPr>
          <w:p>
            <w:pPr>
              <w:ind w:left="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00" w:type="dxa"/>
            <w:vAlign w:val="bottom"/>
          </w:tcPr>
          <w:p>
            <w:pPr>
              <w:ind w:left="140"/>
              <w:spacing w:after="0"/>
              <w:rPr>
                <w:sz w:val="20"/>
                <w:szCs w:val="20"/>
                <w:color w:val="auto"/>
              </w:rPr>
            </w:pPr>
            <w:r>
              <w:rPr>
                <w:rFonts w:ascii="Arial" w:cs="Arial" w:eastAsia="Arial" w:hAnsi="Arial"/>
                <w:sz w:val="14"/>
                <w:szCs w:val="14"/>
                <w:color w:val="auto"/>
                <w:w w:val="89"/>
              </w:rPr>
              <w:t>08</w:t>
            </w:r>
          </w:p>
        </w:tc>
        <w:tc>
          <w:tcPr>
            <w:tcW w:w="1100" w:type="dxa"/>
            <w:vAlign w:val="bottom"/>
          </w:tcPr>
          <w:p>
            <w:pPr>
              <w:ind w:left="20"/>
              <w:spacing w:after="0"/>
              <w:rPr>
                <w:sz w:val="20"/>
                <w:szCs w:val="20"/>
                <w:color w:val="auto"/>
              </w:rPr>
            </w:pPr>
            <w:r>
              <w:rPr>
                <w:rFonts w:ascii="Arial" w:cs="Arial" w:eastAsia="Arial" w:hAnsi="Arial"/>
                <w:sz w:val="14"/>
                <w:szCs w:val="14"/>
                <w:color w:val="auto"/>
              </w:rPr>
              <w:t>- Karl J. Krapek</w:t>
            </w:r>
          </w:p>
        </w:tc>
        <w:tc>
          <w:tcPr>
            <w:tcW w:w="1400" w:type="dxa"/>
            <w:vAlign w:val="bottom"/>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09</w:t>
            </w:r>
          </w:p>
        </w:tc>
        <w:tc>
          <w:tcPr>
            <w:tcW w:w="1400" w:type="dxa"/>
            <w:vAlign w:val="bottom"/>
          </w:tcPr>
          <w:p>
            <w:pPr>
              <w:ind w:left="20"/>
              <w:spacing w:after="0"/>
              <w:rPr>
                <w:sz w:val="20"/>
                <w:szCs w:val="20"/>
                <w:color w:val="auto"/>
              </w:rPr>
            </w:pPr>
            <w:r>
              <w:rPr>
                <w:rFonts w:ascii="Arial" w:cs="Arial" w:eastAsia="Arial" w:hAnsi="Arial"/>
                <w:sz w:val="14"/>
                <w:szCs w:val="14"/>
                <w:color w:val="auto"/>
              </w:rPr>
              <w:t>- Gary Roughead</w:t>
            </w:r>
          </w:p>
        </w:tc>
      </w:tr>
      <w:tr>
        <w:trPr>
          <w:trHeight w:val="257"/>
        </w:trPr>
        <w:tc>
          <w:tcPr>
            <w:tcW w:w="160" w:type="dxa"/>
            <w:vAlign w:val="bottom"/>
          </w:tcPr>
          <w:p>
            <w:pPr>
              <w:spacing w:after="0"/>
              <w:rPr>
                <w:sz w:val="20"/>
                <w:szCs w:val="20"/>
                <w:color w:val="auto"/>
              </w:rPr>
            </w:pPr>
            <w:r>
              <w:rPr>
                <w:rFonts w:ascii="Arial" w:cs="Arial" w:eastAsia="Arial" w:hAnsi="Arial"/>
                <w:sz w:val="14"/>
                <w:szCs w:val="14"/>
                <w:color w:val="auto"/>
                <w:w w:val="89"/>
              </w:rPr>
              <w:t>10</w:t>
            </w:r>
          </w:p>
        </w:tc>
        <w:tc>
          <w:tcPr>
            <w:tcW w:w="1420" w:type="dxa"/>
            <w:vAlign w:val="bottom"/>
          </w:tcPr>
          <w:p>
            <w:pPr>
              <w:ind w:left="20"/>
              <w:spacing w:after="0"/>
              <w:rPr>
                <w:sz w:val="20"/>
                <w:szCs w:val="20"/>
                <w:color w:val="auto"/>
              </w:rPr>
            </w:pPr>
            <w:r>
              <w:rPr>
                <w:rFonts w:ascii="Arial" w:cs="Arial" w:eastAsia="Arial" w:hAnsi="Arial"/>
                <w:sz w:val="14"/>
                <w:szCs w:val="14"/>
                <w:color w:val="auto"/>
                <w:w w:val="98"/>
              </w:rPr>
              <w:t>- Thomas M. Schoewe</w:t>
            </w:r>
          </w:p>
        </w:tc>
        <w:tc>
          <w:tcPr>
            <w:tcW w:w="1380" w:type="dxa"/>
            <w:vAlign w:val="bottom"/>
          </w:tcPr>
          <w:p>
            <w:pPr>
              <w:ind w:left="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1400" w:type="dxa"/>
            <w:vAlign w:val="bottom"/>
            <w:gridSpan w:val="2"/>
          </w:tcPr>
          <w:p>
            <w:pPr>
              <w:ind w:left="140"/>
              <w:spacing w:after="0"/>
              <w:rPr>
                <w:sz w:val="20"/>
                <w:szCs w:val="20"/>
                <w:color w:val="auto"/>
              </w:rPr>
            </w:pPr>
            <w:r>
              <w:rPr>
                <w:rFonts w:ascii="Arial" w:cs="Arial" w:eastAsia="Arial" w:hAnsi="Arial"/>
                <w:sz w:val="14"/>
                <w:szCs w:val="14"/>
                <w:color w:val="auto"/>
                <w:w w:val="95"/>
              </w:rPr>
              <w:t>11 - James S. Turley</w:t>
            </w:r>
          </w:p>
        </w:tc>
        <w:tc>
          <w:tcPr>
            <w:tcW w:w="1400" w:type="dxa"/>
            <w:vAlign w:val="bottom"/>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09</w:t>
            </w:r>
          </w:p>
        </w:tc>
        <w:tc>
          <w:tcPr>
            <w:tcW w:w="1400" w:type="dxa"/>
            <w:vAlign w:val="bottom"/>
          </w:tcPr>
          <w:p>
            <w:pPr>
              <w:ind w:left="20"/>
              <w:spacing w:after="0"/>
              <w:rPr>
                <w:sz w:val="20"/>
                <w:szCs w:val="20"/>
                <w:color w:val="auto"/>
              </w:rPr>
            </w:pPr>
            <w:r>
              <w:rPr>
                <w:rFonts w:ascii="Arial" w:cs="Arial" w:eastAsia="Arial" w:hAnsi="Arial"/>
                <w:sz w:val="14"/>
                <w:szCs w:val="14"/>
                <w:color w:val="auto"/>
              </w:rPr>
              <w:t>- Mark A. Welsh III</w:t>
            </w:r>
          </w:p>
        </w:tc>
      </w:tr>
    </w:tbl>
    <w:p>
      <w:pPr>
        <w:spacing w:after="0" w:line="200" w:lineRule="exact"/>
        <w:rPr>
          <w:sz w:val="20"/>
          <w:szCs w:val="20"/>
          <w:color w:val="auto"/>
        </w:rPr>
      </w:pPr>
    </w:p>
    <w:p>
      <w:pPr>
        <w:spacing w:after="0" w:line="383" w:lineRule="exact"/>
        <w:rPr>
          <w:sz w:val="20"/>
          <w:szCs w:val="20"/>
          <w:color w:val="auto"/>
        </w:rPr>
      </w:pPr>
    </w:p>
    <w:p>
      <w:pPr>
        <w:ind w:left="160" w:hanging="134"/>
        <w:spacing w:after="0"/>
        <w:tabs>
          <w:tab w:leader="none" w:pos="160" w:val="left"/>
        </w:tabs>
        <w:numPr>
          <w:ilvl w:val="0"/>
          <w:numId w:val="95"/>
        </w:numPr>
        <w:rPr>
          <w:rFonts w:ascii="Arial" w:cs="Arial" w:eastAsia="Arial" w:hAnsi="Arial"/>
          <w:sz w:val="14"/>
          <w:szCs w:val="14"/>
          <w:b w:val="1"/>
          <w:bCs w:val="1"/>
          <w:color w:val="auto"/>
        </w:rPr>
      </w:pPr>
      <w:r>
        <w:rPr>
          <w:rFonts w:ascii="Arial" w:cs="Arial" w:eastAsia="Arial" w:hAnsi="Arial"/>
          <w:sz w:val="14"/>
          <w:szCs w:val="14"/>
          <w:b w:val="1"/>
          <w:bCs w:val="1"/>
          <w:color w:val="auto"/>
        </w:rPr>
        <w:t>Proposal to approve, on an advisory basis, the compensation of the Company's Named Executive Officers.</w:t>
      </w:r>
    </w:p>
    <w:p>
      <w:pPr>
        <w:spacing w:after="0" w:line="274" w:lineRule="exact"/>
        <w:rPr>
          <w:rFonts w:ascii="Arial" w:cs="Arial" w:eastAsia="Arial" w:hAnsi="Arial"/>
          <w:sz w:val="14"/>
          <w:szCs w:val="14"/>
          <w:b w:val="1"/>
          <w:bCs w:val="1"/>
          <w:color w:val="auto"/>
        </w:rPr>
      </w:pPr>
    </w:p>
    <w:p>
      <w:pPr>
        <w:ind w:left="160" w:hanging="134"/>
        <w:spacing w:after="0"/>
        <w:tabs>
          <w:tab w:leader="none" w:pos="160" w:val="left"/>
        </w:tabs>
        <w:numPr>
          <w:ilvl w:val="0"/>
          <w:numId w:val="95"/>
        </w:numPr>
        <w:rPr>
          <w:rFonts w:ascii="Arial" w:cs="Arial" w:eastAsia="Arial" w:hAnsi="Arial"/>
          <w:sz w:val="14"/>
          <w:szCs w:val="14"/>
          <w:b w:val="1"/>
          <w:bCs w:val="1"/>
          <w:color w:val="auto"/>
        </w:rPr>
      </w:pPr>
      <w:r>
        <w:rPr>
          <w:rFonts w:ascii="Arial" w:cs="Arial" w:eastAsia="Arial" w:hAnsi="Arial"/>
          <w:sz w:val="14"/>
          <w:szCs w:val="14"/>
          <w:b w:val="1"/>
          <w:bCs w:val="1"/>
          <w:color w:val="auto"/>
        </w:rPr>
        <w:t>Proposal to ratify the appointment of Deloitte &amp; Touche LLP as the Company's Independent</w:t>
      </w:r>
    </w:p>
    <w:p>
      <w:pPr>
        <w:ind w:left="20"/>
        <w:spacing w:after="0"/>
        <w:rPr>
          <w:sz w:val="20"/>
          <w:szCs w:val="20"/>
          <w:color w:val="auto"/>
        </w:rPr>
      </w:pPr>
      <w:r>
        <w:rPr>
          <w:rFonts w:ascii="Arial" w:cs="Arial" w:eastAsia="Arial" w:hAnsi="Arial"/>
          <w:sz w:val="14"/>
          <w:szCs w:val="14"/>
          <w:b w:val="1"/>
          <w:bCs w:val="1"/>
          <w:color w:val="auto"/>
        </w:rPr>
        <w:t>Auditor for fiscal year ending December 31, 2021.</w:t>
      </w:r>
    </w:p>
    <w:p>
      <w:pPr>
        <w:spacing w:after="0" w:line="350"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 xml:space="preserve">The Board of Directors recommends a vote </w:t>
      </w:r>
      <w:r>
        <w:rPr>
          <w:rFonts w:ascii="Arial" w:cs="Arial" w:eastAsia="Arial" w:hAnsi="Arial"/>
          <w:sz w:val="14"/>
          <w:szCs w:val="14"/>
          <w:b w:val="1"/>
          <w:bCs w:val="1"/>
          <w:u w:val="single" w:color="auto"/>
          <w:color w:val="auto"/>
        </w:rPr>
        <w:t>AGAINST</w:t>
      </w:r>
      <w:r>
        <w:rPr>
          <w:rFonts w:ascii="Arial" w:cs="Arial" w:eastAsia="Arial" w:hAnsi="Arial"/>
          <w:sz w:val="14"/>
          <w:szCs w:val="14"/>
          <w:b w:val="1"/>
          <w:bCs w:val="1"/>
          <w:color w:val="auto"/>
        </w:rPr>
        <w:t xml:space="preserve"> Proposals 4 and 5.</w:t>
      </w:r>
    </w:p>
    <w:p>
      <w:pPr>
        <w:spacing w:after="0" w:line="96" w:lineRule="exact"/>
        <w:rPr>
          <w:sz w:val="20"/>
          <w:szCs w:val="20"/>
          <w:color w:val="auto"/>
        </w:rPr>
      </w:pPr>
    </w:p>
    <w:p>
      <w:pPr>
        <w:ind w:left="20" w:right="1620" w:firstLine="6"/>
        <w:spacing w:after="0" w:line="226" w:lineRule="auto"/>
        <w:tabs>
          <w:tab w:leader="none" w:pos="164" w:val="left"/>
        </w:tabs>
        <w:numPr>
          <w:ilvl w:val="0"/>
          <w:numId w:val="96"/>
        </w:numPr>
        <w:rPr>
          <w:rFonts w:ascii="Arial" w:cs="Arial" w:eastAsia="Arial" w:hAnsi="Arial"/>
          <w:sz w:val="14"/>
          <w:szCs w:val="14"/>
          <w:b w:val="1"/>
          <w:bCs w:val="1"/>
          <w:color w:val="auto"/>
        </w:rPr>
      </w:pPr>
      <w:r>
        <w:rPr>
          <w:rFonts w:ascii="Arial" w:cs="Arial" w:eastAsia="Arial" w:hAnsi="Arial"/>
          <w:sz w:val="14"/>
          <w:szCs w:val="14"/>
          <w:b w:val="1"/>
          <w:bCs w:val="1"/>
          <w:color w:val="auto"/>
        </w:rPr>
        <w:t>Shareholder proposal that the Company assess and report on potential human rights impacts that could result from governments' use of the Company's products and services, including in conflict-affected areas.</w:t>
      </w:r>
    </w:p>
    <w:p>
      <w:pPr>
        <w:spacing w:after="0" w:line="301" w:lineRule="exact"/>
        <w:rPr>
          <w:rFonts w:ascii="Arial" w:cs="Arial" w:eastAsia="Arial" w:hAnsi="Arial"/>
          <w:sz w:val="14"/>
          <w:szCs w:val="14"/>
          <w:b w:val="1"/>
          <w:bCs w:val="1"/>
          <w:color w:val="auto"/>
        </w:rPr>
      </w:pPr>
    </w:p>
    <w:p>
      <w:pPr>
        <w:ind w:left="20" w:right="1920" w:firstLine="6"/>
        <w:spacing w:after="0" w:line="239" w:lineRule="auto"/>
        <w:tabs>
          <w:tab w:leader="none" w:pos="164" w:val="left"/>
        </w:tabs>
        <w:numPr>
          <w:ilvl w:val="0"/>
          <w:numId w:val="96"/>
        </w:numPr>
        <w:rPr>
          <w:rFonts w:ascii="Arial" w:cs="Arial" w:eastAsia="Arial" w:hAnsi="Arial"/>
          <w:sz w:val="14"/>
          <w:szCs w:val="14"/>
          <w:b w:val="1"/>
          <w:bCs w:val="1"/>
          <w:color w:val="auto"/>
        </w:rPr>
      </w:pPr>
      <w:r>
        <w:rPr>
          <w:rFonts w:ascii="Arial" w:cs="Arial" w:eastAsia="Arial" w:hAnsi="Arial"/>
          <w:sz w:val="14"/>
          <w:szCs w:val="14"/>
          <w:b w:val="1"/>
          <w:bCs w:val="1"/>
          <w:color w:val="auto"/>
        </w:rPr>
        <w:t>Shareholder proposal to move to a 10% ownership threshold for shareholders to request action by written consent.</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Arial" w:cs="Arial" w:eastAsia="Arial" w:hAnsi="Arial"/>
          <w:sz w:val="13"/>
          <w:szCs w:val="13"/>
          <w:color w:val="auto"/>
        </w:rPr>
        <w:t>For Against Abstain</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p>
      <w:pPr>
        <w:spacing w:after="0" w:line="352" w:lineRule="exact"/>
        <w:rPr>
          <w:sz w:val="20"/>
          <w:szCs w:val="20"/>
          <w:color w:val="auto"/>
        </w:rPr>
      </w:pPr>
    </w:p>
    <w:p>
      <w:pPr>
        <w:spacing w:after="0"/>
        <w:rPr>
          <w:sz w:val="20"/>
          <w:szCs w:val="20"/>
          <w:color w:val="auto"/>
        </w:rPr>
      </w:pPr>
      <w:r>
        <w:rPr>
          <w:rFonts w:ascii="Arial" w:cs="Arial" w:eastAsia="Arial" w:hAnsi="Arial"/>
          <w:sz w:val="13"/>
          <w:szCs w:val="13"/>
          <w:color w:val="auto"/>
        </w:rPr>
        <w:t>For Against Abstain</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color w:val="auto"/>
        </w:rPr>
        <w:t>For Against Abstain</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3"/>
          <w:szCs w:val="13"/>
          <w:color w:val="auto"/>
        </w:rPr>
        <w:t>For Against Abstain</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p>
      <w:pPr>
        <w:spacing w:after="0" w:line="366" w:lineRule="exact"/>
        <w:rPr>
          <w:sz w:val="20"/>
          <w:szCs w:val="20"/>
          <w:color w:val="auto"/>
        </w:rPr>
      </w:pPr>
    </w:p>
    <w:p>
      <w:pPr>
        <w:spacing w:after="0"/>
        <w:rPr>
          <w:sz w:val="20"/>
          <w:szCs w:val="20"/>
          <w:color w:val="auto"/>
        </w:rPr>
      </w:pPr>
      <w:r>
        <w:rPr>
          <w:rFonts w:ascii="Arial" w:cs="Arial" w:eastAsia="Arial" w:hAnsi="Arial"/>
          <w:sz w:val="13"/>
          <w:szCs w:val="13"/>
          <w:color w:val="auto"/>
        </w:rPr>
        <w:t>For Against Abstain</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p>
      <w:pPr>
        <w:spacing w:after="0" w:line="298" w:lineRule="exact"/>
        <w:rPr>
          <w:sz w:val="20"/>
          <w:szCs w:val="20"/>
          <w:color w:val="auto"/>
        </w:rPr>
      </w:pPr>
    </w:p>
    <w:p>
      <w:pPr>
        <w:sectPr>
          <w:pgSz w:w="11900" w:h="16838" w:orient="portrait"/>
          <w:cols w:equalWidth="0" w:num="2">
            <w:col w:w="7500" w:space="140"/>
            <w:col w:w="2499"/>
          </w:cols>
          <w:pgMar w:left="320" w:top="1440" w:right="1440" w:bottom="1440" w:gutter="0" w:footer="0" w:header="0"/>
          <w:type w:val="continuous"/>
        </w:sectPr>
      </w:pPr>
    </w:p>
    <w:p>
      <w:pPr>
        <w:ind w:left="80"/>
        <w:spacing w:after="0"/>
        <w:rPr>
          <w:sz w:val="20"/>
          <w:szCs w:val="20"/>
          <w:color w:val="auto"/>
        </w:rPr>
      </w:pPr>
      <w:r>
        <w:rPr>
          <w:rFonts w:ascii="Arial" w:cs="Arial" w:eastAsia="Arial" w:hAnsi="Arial"/>
          <w:sz w:val="18"/>
          <w:szCs w:val="18"/>
          <w:color w:val="FFFFFF"/>
          <w:highlight w:val="black"/>
        </w:rPr>
        <w:t xml:space="preserve">B </w:t>
      </w:r>
      <w:r>
        <w:rPr>
          <w:rFonts w:ascii="Arial" w:cs="Arial" w:eastAsia="Arial" w:hAnsi="Arial"/>
          <w:sz w:val="16"/>
          <w:szCs w:val="16"/>
          <w:b w:val="1"/>
          <w:bCs w:val="1"/>
          <w:color w:val="000000"/>
        </w:rPr>
        <w:t>Authorized Signatures - This section must be completed for your vote to be counted. Please date and sign below.</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Please sign exactly as name(s) appears hereon. Joint owners should each sign.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When signing as attorney, executor, administrator, corporate officer, trustee, guardian, or custodian, please give full title.</w:t>
      </w:r>
    </w:p>
    <w:p>
      <w:pPr>
        <w:spacing w:after="0" w:line="119" w:lineRule="exact"/>
        <w:rPr>
          <w:sz w:val="20"/>
          <w:szCs w:val="20"/>
          <w:color w:val="auto"/>
        </w:rPr>
      </w:pPr>
    </w:p>
    <w:tbl>
      <w:tblPr>
        <w:tblLayout w:type="fixed"/>
        <w:tblInd w:w="130" w:type="dxa"/>
        <w:tblCellMar>
          <w:top w:w="0" w:type="dxa"/>
          <w:left w:w="0" w:type="dxa"/>
          <w:bottom w:w="0" w:type="dxa"/>
          <w:right w:w="0" w:type="dxa"/>
        </w:tblCellMar>
      </w:tblPr>
      <w:tr>
        <w:trPr>
          <w:trHeight w:val="161"/>
        </w:trPr>
        <w:tc>
          <w:tcPr>
            <w:tcW w:w="3020" w:type="dxa"/>
            <w:vAlign w:val="bottom"/>
            <w:gridSpan w:val="2"/>
          </w:tcPr>
          <w:p>
            <w:pPr>
              <w:ind w:left="20"/>
              <w:spacing w:after="0"/>
              <w:rPr>
                <w:sz w:val="20"/>
                <w:szCs w:val="20"/>
                <w:color w:val="auto"/>
              </w:rPr>
            </w:pPr>
            <w:r>
              <w:rPr>
                <w:rFonts w:ascii="Arial" w:cs="Arial" w:eastAsia="Arial" w:hAnsi="Arial"/>
                <w:sz w:val="14"/>
                <w:szCs w:val="14"/>
                <w:color w:val="auto"/>
              </w:rPr>
              <w:t>Date (mm/dd/yyyy) - Please print date</w:t>
            </w:r>
          </w:p>
        </w:tc>
        <w:tc>
          <w:tcPr>
            <w:tcW w:w="3440" w:type="dxa"/>
            <w:vAlign w:val="bottom"/>
            <w:gridSpan w:val="2"/>
          </w:tcPr>
          <w:p>
            <w:pPr>
              <w:spacing w:after="0"/>
              <w:rPr>
                <w:sz w:val="20"/>
                <w:szCs w:val="20"/>
                <w:color w:val="auto"/>
              </w:rPr>
            </w:pPr>
            <w:r>
              <w:rPr>
                <w:rFonts w:ascii="Arial" w:cs="Arial" w:eastAsia="Arial" w:hAnsi="Arial"/>
                <w:sz w:val="14"/>
                <w:szCs w:val="14"/>
                <w:color w:val="auto"/>
              </w:rPr>
              <w:t>Signature 1 - Please keep signature within the</w:t>
            </w:r>
          </w:p>
        </w:tc>
        <w:tc>
          <w:tcPr>
            <w:tcW w:w="2560" w:type="dxa"/>
            <w:vAlign w:val="bottom"/>
          </w:tcPr>
          <w:p>
            <w:pPr>
              <w:ind w:left="120"/>
              <w:spacing w:after="0"/>
              <w:rPr>
                <w:sz w:val="20"/>
                <w:szCs w:val="20"/>
                <w:color w:val="auto"/>
              </w:rPr>
            </w:pPr>
            <w:r>
              <w:rPr>
                <w:rFonts w:ascii="Arial" w:cs="Arial" w:eastAsia="Arial" w:hAnsi="Arial"/>
                <w:sz w:val="14"/>
                <w:szCs w:val="14"/>
                <w:color w:val="auto"/>
              </w:rPr>
              <w:t>Signature 2 - Please keep signature</w:t>
            </w:r>
          </w:p>
        </w:tc>
      </w:tr>
      <w:tr>
        <w:trPr>
          <w:trHeight w:val="177"/>
        </w:trPr>
        <w:tc>
          <w:tcPr>
            <w:tcW w:w="3020" w:type="dxa"/>
            <w:vAlign w:val="bottom"/>
            <w:gridSpan w:val="2"/>
          </w:tcPr>
          <w:p>
            <w:pPr>
              <w:ind w:left="20"/>
              <w:spacing w:after="0"/>
              <w:rPr>
                <w:sz w:val="20"/>
                <w:szCs w:val="20"/>
                <w:color w:val="auto"/>
              </w:rPr>
            </w:pPr>
            <w:r>
              <w:rPr>
                <w:rFonts w:ascii="Arial" w:cs="Arial" w:eastAsia="Arial" w:hAnsi="Arial"/>
                <w:sz w:val="14"/>
                <w:szCs w:val="14"/>
                <w:color w:val="auto"/>
              </w:rPr>
              <w:t>below.</w:t>
            </w:r>
          </w:p>
        </w:tc>
        <w:tc>
          <w:tcPr>
            <w:tcW w:w="3440" w:type="dxa"/>
            <w:vAlign w:val="bottom"/>
            <w:gridSpan w:val="2"/>
          </w:tcPr>
          <w:p>
            <w:pPr>
              <w:spacing w:after="0"/>
              <w:rPr>
                <w:sz w:val="20"/>
                <w:szCs w:val="20"/>
                <w:color w:val="auto"/>
              </w:rPr>
            </w:pPr>
            <w:r>
              <w:rPr>
                <w:rFonts w:ascii="Arial" w:cs="Arial" w:eastAsia="Arial" w:hAnsi="Arial"/>
                <w:sz w:val="14"/>
                <w:szCs w:val="14"/>
                <w:color w:val="auto"/>
              </w:rPr>
              <w:t>box.</w:t>
            </w:r>
          </w:p>
        </w:tc>
        <w:tc>
          <w:tcPr>
            <w:tcW w:w="2560" w:type="dxa"/>
            <w:vAlign w:val="bottom"/>
          </w:tcPr>
          <w:p>
            <w:pPr>
              <w:ind w:left="120"/>
              <w:spacing w:after="0"/>
              <w:rPr>
                <w:sz w:val="20"/>
                <w:szCs w:val="20"/>
                <w:color w:val="auto"/>
              </w:rPr>
            </w:pPr>
            <w:r>
              <w:rPr>
                <w:rFonts w:ascii="Arial" w:cs="Arial" w:eastAsia="Arial" w:hAnsi="Arial"/>
                <w:sz w:val="14"/>
                <w:szCs w:val="14"/>
                <w:color w:val="auto"/>
              </w:rPr>
              <w:t>within the box.</w:t>
            </w:r>
          </w:p>
        </w:tc>
      </w:tr>
      <w:tr>
        <w:trPr>
          <w:trHeight w:val="39"/>
        </w:trPr>
        <w:tc>
          <w:tcPr>
            <w:tcW w:w="258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300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r>
      <w:tr>
        <w:trPr>
          <w:trHeight w:val="250"/>
        </w:trPr>
        <w:tc>
          <w:tcPr>
            <w:tcW w:w="2580" w:type="dxa"/>
            <w:vAlign w:val="bottom"/>
            <w:tcBorders>
              <w:left w:val="single" w:sz="8" w:color="auto"/>
              <w:bottom w:val="single" w:sz="8" w:color="auto"/>
              <w:right w:val="single" w:sz="8" w:color="auto"/>
            </w:tcBorders>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3000" w:type="dxa"/>
            <w:vAlign w:val="bottom"/>
            <w:tcBorders>
              <w:bottom w:val="single" w:sz="8" w:color="auto"/>
              <w:right w:val="single" w:sz="8" w:color="auto"/>
            </w:tcBorders>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spacing w:after="0"/>
              <w:rPr>
                <w:sz w:val="21"/>
                <w:szCs w:val="21"/>
                <w:color w:val="auto"/>
              </w:rPr>
            </w:pPr>
          </w:p>
        </w:tc>
      </w:tr>
    </w:tbl>
    <w:p>
      <w:pPr>
        <w:spacing w:after="0" w:line="31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The 2021 Annual Meeting of Shareholders of Northrop Grumman will be held on</w:t>
      </w:r>
    </w:p>
    <w:p>
      <w:pPr>
        <w:spacing w:after="0" w:line="31"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May 19, 2021 at 8:00 a.m. Eastern Time, virtually via the internet at www.meetingcenter.io/241697037.</w:t>
      </w:r>
    </w:p>
    <w:p>
      <w:pPr>
        <w:spacing w:after="0" w:line="242"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To access the virtual meeting, you must have the information that is printed in the shaded bar</w:t>
      </w:r>
    </w:p>
    <w:p>
      <w:pPr>
        <w:spacing w:after="0" w:line="3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located on the reverse side of this form.</w:t>
      </w:r>
    </w:p>
    <w:p>
      <w:pPr>
        <w:spacing w:after="0" w:line="230"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The password for this meeting is - NOC2021</w:t>
      </w:r>
    </w:p>
    <w:p>
      <w:pPr>
        <w:sectPr>
          <w:pgSz w:w="11900" w:h="16838" w:orient="portrait"/>
          <w:cols w:equalWidth="0" w:num="1">
            <w:col w:w="10139"/>
          </w:cols>
          <w:pgMar w:left="320" w:top="1440" w:right="1440" w:bottom="1440" w:gutter="0" w:footer="0" w:header="0"/>
          <w:type w:val="continuous"/>
        </w:sectPr>
      </w:pPr>
    </w:p>
    <w:bookmarkStart w:id="100" w:name="page101"/>
    <w:bookmarkEnd w:id="1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88900</wp:posOffset>
            </wp:positionV>
            <wp:extent cx="6172200" cy="15341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clrChange>
                        <a:clrFrom>
                          <a:srgbClr val="FFFFFF"/>
                        </a:clrFrom>
                        <a:clrTo>
                          <a:srgbClr val="FFFFFF">
                            <a:alpha val="0"/>
                          </a:srgbClr>
                        </a:clrTo>
                      </a:clrChange>
                      <a:extLst>
                        <a:ext uri="{28A0092B-C50C-407E-A947-70E740481C1C}"/>
                      </a:extLst>
                    </a:blip>
                    <a:srcRect/>
                    <a:stretch>
                      <a:fillRect/>
                    </a:stretch>
                  </pic:blipFill>
                  <pic:spPr bwMode="auto">
                    <a:xfrm>
                      <a:off x="0" y="0"/>
                      <a:ext cx="6172200" cy="153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ANNUAL MEETING OF SHAREHOLDERS</w:t>
      </w: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MAY 19, 2021, 8:00 A.M., Eastern Time</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This Proxy/Voting Instruction Card is Solicited on Behalf of The Board of Directors for the 2021 Annual Meeting of Shareholders</w:t>
      </w:r>
    </w:p>
    <w:p>
      <w:pPr>
        <w:spacing w:after="0" w:line="127" w:lineRule="exact"/>
        <w:rPr>
          <w:sz w:val="20"/>
          <w:szCs w:val="20"/>
          <w:color w:val="auto"/>
        </w:rPr>
      </w:pPr>
    </w:p>
    <w:p>
      <w:pPr>
        <w:jc w:val="both"/>
        <w:ind w:left="120"/>
        <w:spacing w:after="0" w:line="244" w:lineRule="auto"/>
        <w:rPr>
          <w:sz w:val="20"/>
          <w:szCs w:val="20"/>
          <w:color w:val="auto"/>
        </w:rPr>
      </w:pPr>
      <w:r>
        <w:rPr>
          <w:rFonts w:ascii="Arial" w:cs="Arial" w:eastAsia="Arial" w:hAnsi="Arial"/>
          <w:sz w:val="14"/>
          <w:szCs w:val="14"/>
          <w:color w:val="auto"/>
        </w:rPr>
        <w:t>The undersigned hereby constitutes and appoints Sheila C. Cheston and Jennifer C. McGarey, and each of them, attorneys and proxies with full power of substitution, to represent the undersigned and to vote all shares of Common Stock, $1.00 par value, of Northrop Grumman Corporation (the “Company”), that the undersigned would be entitled to vote if present at the 2021 Annual Meeting of Shareholders of the Company to be held virtually on Wednesday, May 19, 2021, at 8:00 a.m. (Eastern Time), and at any and all adjournments or postponements thereof (the “Meeting”), as herein specified and in such proxyholder’s discretion upon any other matter that may properly come before the Meeting including without limitation to vote on the election of such substitute nominees as such proxies may select in the event nominee(s) named on their card become(s) unable to serve as director. By granting this proxy, the undersigned hereby revokes any proxy previously granted by the undersigned.</w:t>
      </w:r>
    </w:p>
    <w:p>
      <w:pPr>
        <w:spacing w:after="0" w:line="61"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4"/>
          <w:szCs w:val="14"/>
          <w:color w:val="auto"/>
        </w:rPr>
        <w:t>THIS PROXY WILL BE VOTED AS DIRECTED. IF NOT OTHERWISE DIRECTED, THIS PROXY WILL BE VOTED “FOR” THE NOMINEES LISTED UNDER PROPOSAL 1, “FOR” PROPOSALS 2 AND 3 AND “AGAINST” PROPOSALS 4 AND 5.</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PLEASE MARK, DATE AND SIGN THIS PROXY AND RETURN IT PROMPTLY, EVEN IF YOU PLAN TO ATTEND THE ANNUAL MEETING.</w:t>
      </w:r>
    </w:p>
    <w:p>
      <w:pPr>
        <w:spacing w:after="0" w:line="109" w:lineRule="exact"/>
        <w:rPr>
          <w:sz w:val="20"/>
          <w:szCs w:val="20"/>
          <w:color w:val="auto"/>
        </w:rPr>
      </w:pPr>
    </w:p>
    <w:p>
      <w:pPr>
        <w:jc w:val="both"/>
        <w:ind w:left="120"/>
        <w:spacing w:after="0" w:line="246" w:lineRule="auto"/>
        <w:rPr>
          <w:sz w:val="20"/>
          <w:szCs w:val="20"/>
          <w:color w:val="auto"/>
        </w:rPr>
      </w:pPr>
      <w:r>
        <w:rPr>
          <w:rFonts w:ascii="Arial" w:cs="Arial" w:eastAsia="Arial" w:hAnsi="Arial"/>
          <w:sz w:val="14"/>
          <w:szCs w:val="14"/>
          <w:color w:val="auto"/>
        </w:rPr>
        <w:t>If shares are held on your behalf under any of the Company Savings Plans, the proxy serves to provide confidential instructions to the plan Trustee or Voting Manager who then votes the shares. Instructions must be received by 11:59 p.m. Eastern Time on May 16, 2021 to be included in the tabulation to the plan Trustee or Voting Manager. For shares represented by proxies not received by this date, the applicable plan Trustee or Voting Manager will treat the received proxies as instructions to vote the respective plan shares in the same proportion as shares held under the plan for which voting instructions have been received, unless contrary to the Employment Retirement Income Security Act.</w:t>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(Continued and to be signed on the other side)</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18"/>
          <w:szCs w:val="18"/>
          <w:color w:val="FFFFFF"/>
          <w:highlight w:val="black"/>
        </w:rPr>
        <w:t xml:space="preserve">C </w:t>
      </w:r>
      <w:r>
        <w:rPr>
          <w:rFonts w:ascii="Arial" w:cs="Arial" w:eastAsia="Arial" w:hAnsi="Arial"/>
          <w:sz w:val="18"/>
          <w:szCs w:val="18"/>
          <w:b w:val="1"/>
          <w:bCs w:val="1"/>
          <w:color w:val="000000"/>
        </w:rPr>
        <w:t>Non-Voting Items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 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421767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421767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FFFFFF"/>
          <w:highlight w:val="black"/>
        </w:rPr>
        <w:t xml:space="preserve">A </w:t>
      </w:r>
      <w:r>
        <w:rPr>
          <w:rFonts w:ascii="Arial" w:cs="Arial" w:eastAsia="Arial" w:hAnsi="Arial"/>
          <w:sz w:val="16"/>
          <w:szCs w:val="16"/>
          <w:b w:val="1"/>
          <w:bCs w:val="1"/>
          <w:color w:val="000000"/>
        </w:rPr>
        <w:t>Proposals - The Board of Directors recommends a vote</w:t>
      </w:r>
      <w:r>
        <w:rPr>
          <w:rFonts w:ascii="Arial" w:cs="Arial" w:eastAsia="Arial" w:hAnsi="Arial"/>
          <w:sz w:val="16"/>
          <w:szCs w:val="16"/>
          <w:color w:val="FFFFFF"/>
          <w:highlight w:val="black"/>
        </w:rPr>
        <w:t xml:space="preserve"> </w:t>
      </w:r>
      <w:r>
        <w:rPr>
          <w:rFonts w:ascii="Arial" w:cs="Arial" w:eastAsia="Arial" w:hAnsi="Arial"/>
          <w:sz w:val="16"/>
          <w:szCs w:val="16"/>
          <w:b w:val="1"/>
          <w:bCs w:val="1"/>
          <w:u w:val="single" w:color="auto"/>
          <w:color w:val="000000"/>
        </w:rPr>
        <w:t>FOR</w:t>
      </w:r>
      <w:r>
        <w:rPr>
          <w:rFonts w:ascii="Arial" w:cs="Arial" w:eastAsia="Arial" w:hAnsi="Arial"/>
          <w:sz w:val="16"/>
          <w:szCs w:val="16"/>
          <w:color w:val="FFFFFF"/>
          <w:highlight w:val="black"/>
        </w:rPr>
        <w:t xml:space="preserve"> </w:t>
      </w:r>
      <w:r>
        <w:rPr>
          <w:rFonts w:ascii="Arial" w:cs="Arial" w:eastAsia="Arial" w:hAnsi="Arial"/>
          <w:sz w:val="16"/>
          <w:szCs w:val="16"/>
          <w:b w:val="1"/>
          <w:bCs w:val="1"/>
          <w:color w:val="000000"/>
        </w:rPr>
        <w:t>all the nominees listed and</w:t>
      </w:r>
      <w:r>
        <w:rPr>
          <w:rFonts w:ascii="Arial" w:cs="Arial" w:eastAsia="Arial" w:hAnsi="Arial"/>
          <w:sz w:val="16"/>
          <w:szCs w:val="16"/>
          <w:color w:val="FFFFFF"/>
          <w:highlight w:val="black"/>
        </w:rPr>
        <w:t xml:space="preserve"> </w:t>
      </w:r>
      <w:r>
        <w:rPr>
          <w:rFonts w:ascii="Arial" w:cs="Arial" w:eastAsia="Arial" w:hAnsi="Arial"/>
          <w:sz w:val="16"/>
          <w:szCs w:val="16"/>
          <w:b w:val="1"/>
          <w:bCs w:val="1"/>
          <w:u w:val="single" w:color="auto"/>
          <w:color w:val="000000"/>
        </w:rPr>
        <w:t>FOR</w:t>
      </w:r>
      <w:r>
        <w:rPr>
          <w:rFonts w:ascii="Arial" w:cs="Arial" w:eastAsia="Arial" w:hAnsi="Arial"/>
          <w:sz w:val="16"/>
          <w:szCs w:val="16"/>
          <w:color w:val="FFFFFF"/>
          <w:highlight w:val="black"/>
        </w:rPr>
        <w:t xml:space="preserve"> </w:t>
      </w:r>
      <w:r>
        <w:rPr>
          <w:rFonts w:ascii="Arial" w:cs="Arial" w:eastAsia="Arial" w:hAnsi="Arial"/>
          <w:sz w:val="16"/>
          <w:szCs w:val="16"/>
          <w:b w:val="1"/>
          <w:bCs w:val="1"/>
          <w:color w:val="000000"/>
        </w:rPr>
        <w:t>Proposals 2 and 3.</w:t>
      </w:r>
    </w:p>
    <w:p>
      <w:pPr>
        <w:sectPr>
          <w:pgSz w:w="11900" w:h="16838" w:orient="portrait"/>
          <w:cols w:equalWidth="0" w:num="1">
            <w:col w:w="11160"/>
          </w:cols>
          <w:pgMar w:left="320" w:top="1440" w:right="41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186"/>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w w:val="99"/>
              </w:rPr>
              <w:t>1. Election of Directors:</w:t>
            </w: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tcPr>
          <w:p>
            <w:pPr>
              <w:ind w:left="80"/>
              <w:spacing w:after="0"/>
              <w:rPr>
                <w:sz w:val="20"/>
                <w:szCs w:val="20"/>
                <w:color w:val="auto"/>
              </w:rPr>
            </w:pPr>
            <w:r>
              <w:rPr>
                <w:rFonts w:ascii="Arial" w:cs="Arial" w:eastAsia="Arial" w:hAnsi="Arial"/>
                <w:sz w:val="14"/>
                <w:szCs w:val="14"/>
                <w:color w:val="auto"/>
              </w:rPr>
              <w:t>For Against Abstain</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60" w:type="dxa"/>
            <w:vAlign w:val="bottom"/>
          </w:tcPr>
          <w:p>
            <w:pPr>
              <w:ind w:left="100"/>
              <w:spacing w:after="0"/>
              <w:rPr>
                <w:sz w:val="20"/>
                <w:szCs w:val="20"/>
                <w:color w:val="auto"/>
              </w:rPr>
            </w:pPr>
            <w:r>
              <w:rPr>
                <w:rFonts w:ascii="Arial" w:cs="Arial" w:eastAsia="Arial" w:hAnsi="Arial"/>
                <w:sz w:val="14"/>
                <w:szCs w:val="14"/>
                <w:color w:val="auto"/>
              </w:rPr>
              <w:t>For Against Abstain</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57"/>
        </w:trPr>
        <w:tc>
          <w:tcPr>
            <w:tcW w:w="160" w:type="dxa"/>
            <w:vAlign w:val="bottom"/>
          </w:tcPr>
          <w:p>
            <w:pPr>
              <w:spacing w:after="0"/>
              <w:rPr>
                <w:sz w:val="20"/>
                <w:szCs w:val="20"/>
                <w:color w:val="auto"/>
              </w:rPr>
            </w:pPr>
            <w:r>
              <w:rPr>
                <w:rFonts w:ascii="Arial" w:cs="Arial" w:eastAsia="Arial" w:hAnsi="Arial"/>
                <w:sz w:val="14"/>
                <w:szCs w:val="14"/>
                <w:color w:val="auto"/>
                <w:w w:val="89"/>
              </w:rPr>
              <w:t>01</w:t>
            </w:r>
          </w:p>
        </w:tc>
        <w:tc>
          <w:tcPr>
            <w:tcW w:w="1420" w:type="dxa"/>
            <w:vAlign w:val="bottom"/>
          </w:tcPr>
          <w:p>
            <w:pPr>
              <w:ind w:left="20"/>
              <w:spacing w:after="0"/>
              <w:rPr>
                <w:sz w:val="20"/>
                <w:szCs w:val="20"/>
                <w:color w:val="auto"/>
              </w:rPr>
            </w:pPr>
            <w:r>
              <w:rPr>
                <w:rFonts w:ascii="Arial" w:cs="Arial" w:eastAsia="Arial" w:hAnsi="Arial"/>
                <w:sz w:val="14"/>
                <w:szCs w:val="14"/>
                <w:color w:val="auto"/>
              </w:rPr>
              <w:t>- Kathy J. Warden</w:t>
            </w:r>
          </w:p>
        </w:tc>
        <w:tc>
          <w:tcPr>
            <w:tcW w:w="1400" w:type="dxa"/>
            <w:vAlign w:val="bottom"/>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00" w:type="dxa"/>
            <w:vAlign w:val="bottom"/>
          </w:tcPr>
          <w:p>
            <w:pPr>
              <w:ind w:left="140"/>
              <w:spacing w:after="0"/>
              <w:rPr>
                <w:sz w:val="20"/>
                <w:szCs w:val="20"/>
                <w:color w:val="auto"/>
              </w:rPr>
            </w:pPr>
            <w:r>
              <w:rPr>
                <w:rFonts w:ascii="Arial" w:cs="Arial" w:eastAsia="Arial" w:hAnsi="Arial"/>
                <w:sz w:val="14"/>
                <w:szCs w:val="14"/>
                <w:color w:val="auto"/>
                <w:w w:val="89"/>
              </w:rPr>
              <w:t>02</w:t>
            </w:r>
          </w:p>
        </w:tc>
        <w:tc>
          <w:tcPr>
            <w:tcW w:w="1100" w:type="dxa"/>
            <w:vAlign w:val="bottom"/>
          </w:tcPr>
          <w:p>
            <w:pPr>
              <w:ind w:left="20"/>
              <w:spacing w:after="0"/>
              <w:rPr>
                <w:sz w:val="20"/>
                <w:szCs w:val="20"/>
                <w:color w:val="auto"/>
              </w:rPr>
            </w:pPr>
            <w:r>
              <w:rPr>
                <w:rFonts w:ascii="Arial" w:cs="Arial" w:eastAsia="Arial" w:hAnsi="Arial"/>
                <w:sz w:val="14"/>
                <w:szCs w:val="14"/>
                <w:color w:val="auto"/>
              </w:rPr>
              <w:t>- David P. Abney</w:t>
            </w:r>
          </w:p>
        </w:tc>
        <w:tc>
          <w:tcPr>
            <w:tcW w:w="1460" w:type="dxa"/>
            <w:vAlign w:val="bottom"/>
          </w:tcPr>
          <w:p>
            <w:pPr>
              <w:ind w:left="1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03</w:t>
            </w:r>
          </w:p>
        </w:tc>
        <w:tc>
          <w:tcPr>
            <w:tcW w:w="1420" w:type="dxa"/>
            <w:vAlign w:val="bottom"/>
          </w:tcPr>
          <w:p>
            <w:pPr>
              <w:ind w:left="20"/>
              <w:spacing w:after="0"/>
              <w:rPr>
                <w:sz w:val="20"/>
                <w:szCs w:val="20"/>
                <w:color w:val="auto"/>
              </w:rPr>
            </w:pPr>
            <w:r>
              <w:rPr>
                <w:rFonts w:ascii="Arial" w:cs="Arial" w:eastAsia="Arial" w:hAnsi="Arial"/>
                <w:sz w:val="14"/>
                <w:szCs w:val="14"/>
                <w:color w:val="auto"/>
              </w:rPr>
              <w:t>- Marianne C. Brown</w:t>
            </w:r>
          </w:p>
        </w:tc>
      </w:tr>
      <w:tr>
        <w:trPr>
          <w:trHeight w:val="216"/>
        </w:trPr>
        <w:tc>
          <w:tcPr>
            <w:tcW w:w="160" w:type="dxa"/>
            <w:vAlign w:val="bottom"/>
          </w:tcPr>
          <w:p>
            <w:pPr>
              <w:spacing w:after="0"/>
              <w:rPr>
                <w:sz w:val="20"/>
                <w:szCs w:val="20"/>
                <w:color w:val="auto"/>
              </w:rPr>
            </w:pPr>
            <w:r>
              <w:rPr>
                <w:rFonts w:ascii="Arial" w:cs="Arial" w:eastAsia="Arial" w:hAnsi="Arial"/>
                <w:sz w:val="14"/>
                <w:szCs w:val="14"/>
                <w:color w:val="auto"/>
                <w:w w:val="89"/>
              </w:rPr>
              <w:t>04</w:t>
            </w:r>
          </w:p>
        </w:tc>
        <w:tc>
          <w:tcPr>
            <w:tcW w:w="1420" w:type="dxa"/>
            <w:vAlign w:val="bottom"/>
          </w:tcPr>
          <w:p>
            <w:pPr>
              <w:ind w:left="20"/>
              <w:spacing w:after="0"/>
              <w:rPr>
                <w:sz w:val="20"/>
                <w:szCs w:val="20"/>
                <w:color w:val="auto"/>
              </w:rPr>
            </w:pPr>
            <w:r>
              <w:rPr>
                <w:rFonts w:ascii="Arial" w:cs="Arial" w:eastAsia="Arial" w:hAnsi="Arial"/>
                <w:sz w:val="14"/>
                <w:szCs w:val="14"/>
                <w:color w:val="auto"/>
              </w:rPr>
              <w:t>- Donald E. Felsinger</w:t>
            </w:r>
          </w:p>
        </w:tc>
        <w:tc>
          <w:tcPr>
            <w:tcW w:w="1400" w:type="dxa"/>
            <w:vAlign w:val="bottom"/>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00" w:type="dxa"/>
            <w:vAlign w:val="bottom"/>
          </w:tcPr>
          <w:p>
            <w:pPr>
              <w:ind w:left="140"/>
              <w:spacing w:after="0"/>
              <w:rPr>
                <w:sz w:val="20"/>
                <w:szCs w:val="20"/>
                <w:color w:val="auto"/>
              </w:rPr>
            </w:pPr>
            <w:r>
              <w:rPr>
                <w:rFonts w:ascii="Arial" w:cs="Arial" w:eastAsia="Arial" w:hAnsi="Arial"/>
                <w:sz w:val="14"/>
                <w:szCs w:val="14"/>
                <w:color w:val="auto"/>
                <w:w w:val="89"/>
              </w:rPr>
              <w:t>05</w:t>
            </w:r>
          </w:p>
        </w:tc>
        <w:tc>
          <w:tcPr>
            <w:tcW w:w="1100" w:type="dxa"/>
            <w:vAlign w:val="bottom"/>
          </w:tcPr>
          <w:p>
            <w:pPr>
              <w:ind w:left="20"/>
              <w:spacing w:after="0"/>
              <w:rPr>
                <w:sz w:val="20"/>
                <w:szCs w:val="20"/>
                <w:color w:val="auto"/>
              </w:rPr>
            </w:pPr>
            <w:r>
              <w:rPr>
                <w:rFonts w:ascii="Arial" w:cs="Arial" w:eastAsia="Arial" w:hAnsi="Arial"/>
                <w:sz w:val="14"/>
                <w:szCs w:val="14"/>
                <w:color w:val="auto"/>
              </w:rPr>
              <w:t>- Ann M. Fudge</w:t>
            </w:r>
          </w:p>
        </w:tc>
        <w:tc>
          <w:tcPr>
            <w:tcW w:w="1460" w:type="dxa"/>
            <w:vAlign w:val="bottom"/>
          </w:tcPr>
          <w:p>
            <w:pPr>
              <w:ind w:left="1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06</w:t>
            </w:r>
          </w:p>
        </w:tc>
        <w:tc>
          <w:tcPr>
            <w:tcW w:w="1420" w:type="dxa"/>
            <w:vAlign w:val="bottom"/>
          </w:tcPr>
          <w:p>
            <w:pPr>
              <w:ind w:left="20"/>
              <w:spacing w:after="0"/>
              <w:rPr>
                <w:sz w:val="20"/>
                <w:szCs w:val="20"/>
                <w:color w:val="auto"/>
              </w:rPr>
            </w:pPr>
            <w:r>
              <w:rPr>
                <w:rFonts w:ascii="Arial" w:cs="Arial" w:eastAsia="Arial" w:hAnsi="Arial"/>
                <w:sz w:val="14"/>
                <w:szCs w:val="14"/>
                <w:color w:val="auto"/>
                <w:w w:val="95"/>
              </w:rPr>
              <w:t>- William H. Hernandez</w:t>
            </w:r>
          </w:p>
        </w:tc>
      </w:tr>
      <w:tr>
        <w:trPr>
          <w:trHeight w:val="257"/>
        </w:trPr>
        <w:tc>
          <w:tcPr>
            <w:tcW w:w="160" w:type="dxa"/>
            <w:vAlign w:val="bottom"/>
          </w:tcPr>
          <w:p>
            <w:pPr>
              <w:spacing w:after="0"/>
              <w:rPr>
                <w:sz w:val="20"/>
                <w:szCs w:val="20"/>
                <w:color w:val="auto"/>
              </w:rPr>
            </w:pPr>
            <w:r>
              <w:rPr>
                <w:rFonts w:ascii="Arial" w:cs="Arial" w:eastAsia="Arial" w:hAnsi="Arial"/>
                <w:sz w:val="14"/>
                <w:szCs w:val="14"/>
                <w:color w:val="auto"/>
                <w:w w:val="89"/>
              </w:rPr>
              <w:t>07</w:t>
            </w:r>
          </w:p>
        </w:tc>
        <w:tc>
          <w:tcPr>
            <w:tcW w:w="1420" w:type="dxa"/>
            <w:vAlign w:val="bottom"/>
          </w:tcPr>
          <w:p>
            <w:pPr>
              <w:ind w:left="20"/>
              <w:spacing w:after="0"/>
              <w:rPr>
                <w:sz w:val="20"/>
                <w:szCs w:val="20"/>
                <w:color w:val="auto"/>
              </w:rPr>
            </w:pPr>
            <w:r>
              <w:rPr>
                <w:rFonts w:ascii="Arial" w:cs="Arial" w:eastAsia="Arial" w:hAnsi="Arial"/>
                <w:sz w:val="14"/>
                <w:szCs w:val="14"/>
                <w:color w:val="auto"/>
              </w:rPr>
              <w:t>- Madeleine A. Kleiner</w:t>
            </w:r>
          </w:p>
        </w:tc>
        <w:tc>
          <w:tcPr>
            <w:tcW w:w="1400" w:type="dxa"/>
            <w:vAlign w:val="bottom"/>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00" w:type="dxa"/>
            <w:vAlign w:val="bottom"/>
          </w:tcPr>
          <w:p>
            <w:pPr>
              <w:ind w:left="140"/>
              <w:spacing w:after="0"/>
              <w:rPr>
                <w:sz w:val="20"/>
                <w:szCs w:val="20"/>
                <w:color w:val="auto"/>
              </w:rPr>
            </w:pPr>
            <w:r>
              <w:rPr>
                <w:rFonts w:ascii="Arial" w:cs="Arial" w:eastAsia="Arial" w:hAnsi="Arial"/>
                <w:sz w:val="14"/>
                <w:szCs w:val="14"/>
                <w:color w:val="auto"/>
                <w:w w:val="89"/>
              </w:rPr>
              <w:t>08</w:t>
            </w:r>
          </w:p>
        </w:tc>
        <w:tc>
          <w:tcPr>
            <w:tcW w:w="1100" w:type="dxa"/>
            <w:vAlign w:val="bottom"/>
          </w:tcPr>
          <w:p>
            <w:pPr>
              <w:ind w:left="20"/>
              <w:spacing w:after="0"/>
              <w:rPr>
                <w:sz w:val="20"/>
                <w:szCs w:val="20"/>
                <w:color w:val="auto"/>
              </w:rPr>
            </w:pPr>
            <w:r>
              <w:rPr>
                <w:rFonts w:ascii="Arial" w:cs="Arial" w:eastAsia="Arial" w:hAnsi="Arial"/>
                <w:sz w:val="14"/>
                <w:szCs w:val="14"/>
                <w:color w:val="auto"/>
              </w:rPr>
              <w:t>- Karl J. Krapek</w:t>
            </w:r>
          </w:p>
        </w:tc>
        <w:tc>
          <w:tcPr>
            <w:tcW w:w="1460" w:type="dxa"/>
            <w:vAlign w:val="bottom"/>
          </w:tcPr>
          <w:p>
            <w:pPr>
              <w:ind w:left="1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09</w:t>
            </w:r>
          </w:p>
        </w:tc>
        <w:tc>
          <w:tcPr>
            <w:tcW w:w="1420" w:type="dxa"/>
            <w:vAlign w:val="bottom"/>
          </w:tcPr>
          <w:p>
            <w:pPr>
              <w:ind w:left="20"/>
              <w:spacing w:after="0"/>
              <w:rPr>
                <w:sz w:val="20"/>
                <w:szCs w:val="20"/>
                <w:color w:val="auto"/>
              </w:rPr>
            </w:pPr>
            <w:r>
              <w:rPr>
                <w:rFonts w:ascii="Arial" w:cs="Arial" w:eastAsia="Arial" w:hAnsi="Arial"/>
                <w:sz w:val="14"/>
                <w:szCs w:val="14"/>
                <w:color w:val="auto"/>
              </w:rPr>
              <w:t>- Gary Roughead</w:t>
            </w:r>
          </w:p>
        </w:tc>
      </w:tr>
      <w:tr>
        <w:trPr>
          <w:trHeight w:val="257"/>
        </w:trPr>
        <w:tc>
          <w:tcPr>
            <w:tcW w:w="160" w:type="dxa"/>
            <w:vAlign w:val="bottom"/>
          </w:tcPr>
          <w:p>
            <w:pPr>
              <w:spacing w:after="0"/>
              <w:rPr>
                <w:sz w:val="20"/>
                <w:szCs w:val="20"/>
                <w:color w:val="auto"/>
              </w:rPr>
            </w:pPr>
            <w:r>
              <w:rPr>
                <w:rFonts w:ascii="Arial" w:cs="Arial" w:eastAsia="Arial" w:hAnsi="Arial"/>
                <w:sz w:val="14"/>
                <w:szCs w:val="14"/>
                <w:color w:val="auto"/>
                <w:w w:val="89"/>
              </w:rPr>
              <w:t>10</w:t>
            </w:r>
          </w:p>
        </w:tc>
        <w:tc>
          <w:tcPr>
            <w:tcW w:w="1420" w:type="dxa"/>
            <w:vAlign w:val="bottom"/>
          </w:tcPr>
          <w:p>
            <w:pPr>
              <w:ind w:left="20"/>
              <w:spacing w:after="0"/>
              <w:rPr>
                <w:sz w:val="20"/>
                <w:szCs w:val="20"/>
                <w:color w:val="auto"/>
              </w:rPr>
            </w:pPr>
            <w:r>
              <w:rPr>
                <w:rFonts w:ascii="Arial" w:cs="Arial" w:eastAsia="Arial" w:hAnsi="Arial"/>
                <w:sz w:val="14"/>
                <w:szCs w:val="14"/>
                <w:color w:val="auto"/>
                <w:w w:val="98"/>
              </w:rPr>
              <w:t>- Thomas M. Schoewe</w:t>
            </w:r>
          </w:p>
        </w:tc>
        <w:tc>
          <w:tcPr>
            <w:tcW w:w="1400" w:type="dxa"/>
            <w:vAlign w:val="bottom"/>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1400" w:type="dxa"/>
            <w:vAlign w:val="bottom"/>
            <w:gridSpan w:val="2"/>
          </w:tcPr>
          <w:p>
            <w:pPr>
              <w:ind w:left="140"/>
              <w:spacing w:after="0"/>
              <w:rPr>
                <w:sz w:val="20"/>
                <w:szCs w:val="20"/>
                <w:color w:val="auto"/>
              </w:rPr>
            </w:pPr>
            <w:r>
              <w:rPr>
                <w:rFonts w:ascii="Arial" w:cs="Arial" w:eastAsia="Arial" w:hAnsi="Arial"/>
                <w:sz w:val="14"/>
                <w:szCs w:val="14"/>
                <w:color w:val="auto"/>
                <w:w w:val="95"/>
              </w:rPr>
              <w:t>11 - James S. Turley</w:t>
            </w:r>
          </w:p>
        </w:tc>
        <w:tc>
          <w:tcPr>
            <w:tcW w:w="1460" w:type="dxa"/>
            <w:vAlign w:val="bottom"/>
          </w:tcPr>
          <w:p>
            <w:pPr>
              <w:ind w:left="1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09</w:t>
            </w:r>
          </w:p>
        </w:tc>
        <w:tc>
          <w:tcPr>
            <w:tcW w:w="1420" w:type="dxa"/>
            <w:vAlign w:val="bottom"/>
          </w:tcPr>
          <w:p>
            <w:pPr>
              <w:ind w:left="20"/>
              <w:spacing w:after="0"/>
              <w:rPr>
                <w:sz w:val="20"/>
                <w:szCs w:val="20"/>
                <w:color w:val="auto"/>
              </w:rPr>
            </w:pPr>
            <w:r>
              <w:rPr>
                <w:rFonts w:ascii="Arial" w:cs="Arial" w:eastAsia="Arial" w:hAnsi="Arial"/>
                <w:sz w:val="14"/>
                <w:szCs w:val="14"/>
                <w:color w:val="auto"/>
              </w:rPr>
              <w:t>- Mark A. Welsh III</w:t>
            </w:r>
          </w:p>
        </w:tc>
      </w:tr>
    </w:tbl>
    <w:p>
      <w:pPr>
        <w:spacing w:after="0" w:line="200" w:lineRule="exact"/>
        <w:rPr>
          <w:sz w:val="20"/>
          <w:szCs w:val="20"/>
          <w:color w:val="auto"/>
        </w:rPr>
      </w:pPr>
    </w:p>
    <w:p>
      <w:pPr>
        <w:spacing w:after="0" w:line="262" w:lineRule="exact"/>
        <w:rPr>
          <w:sz w:val="20"/>
          <w:szCs w:val="20"/>
          <w:color w:val="auto"/>
        </w:rPr>
      </w:pPr>
    </w:p>
    <w:p>
      <w:pPr>
        <w:ind w:left="140" w:hanging="134"/>
        <w:spacing w:after="0"/>
        <w:tabs>
          <w:tab w:leader="none" w:pos="140" w:val="left"/>
        </w:tabs>
        <w:numPr>
          <w:ilvl w:val="0"/>
          <w:numId w:val="97"/>
        </w:numPr>
        <w:rPr>
          <w:rFonts w:ascii="Arial" w:cs="Arial" w:eastAsia="Arial" w:hAnsi="Arial"/>
          <w:sz w:val="14"/>
          <w:szCs w:val="14"/>
          <w:b w:val="1"/>
          <w:bCs w:val="1"/>
          <w:color w:val="auto"/>
        </w:rPr>
      </w:pPr>
      <w:r>
        <w:rPr>
          <w:rFonts w:ascii="Arial" w:cs="Arial" w:eastAsia="Arial" w:hAnsi="Arial"/>
          <w:sz w:val="14"/>
          <w:szCs w:val="14"/>
          <w:b w:val="1"/>
          <w:bCs w:val="1"/>
          <w:color w:val="auto"/>
        </w:rPr>
        <w:t>Proposal to approve, on an advisory basis, the compensation of the Company's Named Executive Officers.</w:t>
      </w:r>
    </w:p>
    <w:p>
      <w:pPr>
        <w:spacing w:after="0" w:line="288" w:lineRule="exact"/>
        <w:rPr>
          <w:rFonts w:ascii="Arial" w:cs="Arial" w:eastAsia="Arial" w:hAnsi="Arial"/>
          <w:sz w:val="14"/>
          <w:szCs w:val="14"/>
          <w:b w:val="1"/>
          <w:bCs w:val="1"/>
          <w:color w:val="auto"/>
        </w:rPr>
      </w:pPr>
    </w:p>
    <w:p>
      <w:pPr>
        <w:ind w:left="140" w:hanging="134"/>
        <w:spacing w:after="0"/>
        <w:tabs>
          <w:tab w:leader="none" w:pos="140" w:val="left"/>
        </w:tabs>
        <w:numPr>
          <w:ilvl w:val="0"/>
          <w:numId w:val="97"/>
        </w:numPr>
        <w:rPr>
          <w:rFonts w:ascii="Arial" w:cs="Arial" w:eastAsia="Arial" w:hAnsi="Arial"/>
          <w:sz w:val="14"/>
          <w:szCs w:val="14"/>
          <w:b w:val="1"/>
          <w:bCs w:val="1"/>
          <w:color w:val="auto"/>
        </w:rPr>
      </w:pPr>
      <w:r>
        <w:rPr>
          <w:rFonts w:ascii="Arial" w:cs="Arial" w:eastAsia="Arial" w:hAnsi="Arial"/>
          <w:sz w:val="14"/>
          <w:szCs w:val="14"/>
          <w:b w:val="1"/>
          <w:bCs w:val="1"/>
          <w:color w:val="auto"/>
        </w:rPr>
        <w:t>Proposal to ratify the appointment of Deloitte &amp; Touche LLP as the Company's Independent</w:t>
      </w:r>
    </w:p>
    <w:p>
      <w:pPr>
        <w:spacing w:after="0"/>
        <w:rPr>
          <w:sz w:val="20"/>
          <w:szCs w:val="20"/>
          <w:color w:val="auto"/>
        </w:rPr>
      </w:pPr>
      <w:r>
        <w:rPr>
          <w:rFonts w:ascii="Arial" w:cs="Arial" w:eastAsia="Arial" w:hAnsi="Arial"/>
          <w:sz w:val="14"/>
          <w:szCs w:val="14"/>
          <w:b w:val="1"/>
          <w:bCs w:val="1"/>
          <w:color w:val="auto"/>
        </w:rPr>
        <w:t>Auditor for fiscal year ending December 31, 2021.</w:t>
      </w:r>
    </w:p>
    <w:p>
      <w:pPr>
        <w:spacing w:after="0" w:line="323"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The Board of Directors recommends a vote </w:t>
      </w:r>
      <w:r>
        <w:rPr>
          <w:rFonts w:ascii="Arial" w:cs="Arial" w:eastAsia="Arial" w:hAnsi="Arial"/>
          <w:sz w:val="14"/>
          <w:szCs w:val="14"/>
          <w:b w:val="1"/>
          <w:bCs w:val="1"/>
          <w:u w:val="single" w:color="auto"/>
          <w:color w:val="auto"/>
        </w:rPr>
        <w:t>AGAINST</w:t>
      </w:r>
      <w:r>
        <w:rPr>
          <w:rFonts w:ascii="Arial" w:cs="Arial" w:eastAsia="Arial" w:hAnsi="Arial"/>
          <w:sz w:val="14"/>
          <w:szCs w:val="14"/>
          <w:b w:val="1"/>
          <w:bCs w:val="1"/>
          <w:color w:val="auto"/>
        </w:rPr>
        <w:t xml:space="preserve"> Proposals 4 and 5.</w:t>
      </w:r>
    </w:p>
    <w:p>
      <w:pPr>
        <w:spacing w:after="0" w:line="82" w:lineRule="exact"/>
        <w:rPr>
          <w:sz w:val="20"/>
          <w:szCs w:val="20"/>
          <w:color w:val="auto"/>
        </w:rPr>
      </w:pPr>
    </w:p>
    <w:p>
      <w:pPr>
        <w:ind w:right="1740" w:firstLine="6"/>
        <w:spacing w:after="0" w:line="226" w:lineRule="auto"/>
        <w:tabs>
          <w:tab w:leader="none" w:pos="144" w:val="left"/>
        </w:tabs>
        <w:numPr>
          <w:ilvl w:val="0"/>
          <w:numId w:val="98"/>
        </w:numPr>
        <w:rPr>
          <w:rFonts w:ascii="Arial" w:cs="Arial" w:eastAsia="Arial" w:hAnsi="Arial"/>
          <w:sz w:val="14"/>
          <w:szCs w:val="14"/>
          <w:b w:val="1"/>
          <w:bCs w:val="1"/>
          <w:color w:val="auto"/>
        </w:rPr>
      </w:pPr>
      <w:r>
        <w:rPr>
          <w:rFonts w:ascii="Arial" w:cs="Arial" w:eastAsia="Arial" w:hAnsi="Arial"/>
          <w:sz w:val="14"/>
          <w:szCs w:val="14"/>
          <w:b w:val="1"/>
          <w:bCs w:val="1"/>
          <w:color w:val="auto"/>
        </w:rPr>
        <w:t>Shareholder proposal that the Company assess and report on potential human rights impacts that could result from governments' use of the Company's products and services, including in conflict-affected areas.</w:t>
      </w:r>
    </w:p>
    <w:p>
      <w:pPr>
        <w:spacing w:after="0" w:line="220" w:lineRule="exact"/>
        <w:rPr>
          <w:rFonts w:ascii="Arial" w:cs="Arial" w:eastAsia="Arial" w:hAnsi="Arial"/>
          <w:sz w:val="14"/>
          <w:szCs w:val="14"/>
          <w:b w:val="1"/>
          <w:bCs w:val="1"/>
          <w:color w:val="auto"/>
        </w:rPr>
      </w:pPr>
    </w:p>
    <w:p>
      <w:pPr>
        <w:ind w:right="1620" w:firstLine="6"/>
        <w:spacing w:after="0" w:line="239" w:lineRule="auto"/>
        <w:tabs>
          <w:tab w:leader="none" w:pos="144" w:val="left"/>
        </w:tabs>
        <w:numPr>
          <w:ilvl w:val="0"/>
          <w:numId w:val="98"/>
        </w:numPr>
        <w:rPr>
          <w:rFonts w:ascii="Arial" w:cs="Arial" w:eastAsia="Arial" w:hAnsi="Arial"/>
          <w:sz w:val="14"/>
          <w:szCs w:val="14"/>
          <w:b w:val="1"/>
          <w:bCs w:val="1"/>
          <w:color w:val="auto"/>
        </w:rPr>
      </w:pPr>
      <w:r>
        <w:rPr>
          <w:rFonts w:ascii="Arial" w:cs="Arial" w:eastAsia="Arial" w:hAnsi="Arial"/>
          <w:sz w:val="14"/>
          <w:szCs w:val="14"/>
          <w:b w:val="1"/>
          <w:bCs w:val="1"/>
          <w:color w:val="auto"/>
        </w:rPr>
        <w:t>Shareholder proposal to move to a 10% ownership threshold for shareholders to request action by written consent.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For Against Abstain</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p>
      <w:pPr>
        <w:spacing w:after="0" w:line="312" w:lineRule="exact"/>
        <w:rPr>
          <w:sz w:val="20"/>
          <w:szCs w:val="20"/>
          <w:color w:val="auto"/>
        </w:rPr>
      </w:pPr>
    </w:p>
    <w:p>
      <w:pPr>
        <w:spacing w:after="0"/>
        <w:rPr>
          <w:sz w:val="20"/>
          <w:szCs w:val="20"/>
          <w:color w:val="auto"/>
        </w:rPr>
      </w:pPr>
      <w:r>
        <w:rPr>
          <w:rFonts w:ascii="Arial" w:cs="Arial" w:eastAsia="Arial" w:hAnsi="Arial"/>
          <w:sz w:val="13"/>
          <w:szCs w:val="13"/>
          <w:color w:val="auto"/>
        </w:rPr>
        <w:t>For Against Abstain</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For Against Abstain</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auto"/>
        </w:rPr>
        <w:t>For Against Abstain</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p>
      <w:pPr>
        <w:spacing w:after="0" w:line="325" w:lineRule="exact"/>
        <w:rPr>
          <w:sz w:val="20"/>
          <w:szCs w:val="20"/>
          <w:color w:val="auto"/>
        </w:rPr>
      </w:pPr>
    </w:p>
    <w:p>
      <w:pPr>
        <w:spacing w:after="0"/>
        <w:rPr>
          <w:sz w:val="20"/>
          <w:szCs w:val="20"/>
          <w:color w:val="auto"/>
        </w:rPr>
      </w:pPr>
      <w:r>
        <w:rPr>
          <w:rFonts w:ascii="Arial" w:cs="Arial" w:eastAsia="Arial" w:hAnsi="Arial"/>
          <w:sz w:val="13"/>
          <w:szCs w:val="13"/>
          <w:color w:val="auto"/>
        </w:rPr>
        <w:t>For Against Abstain</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r>
        <w:rPr>
          <w:rFonts w:ascii="Arial" w:cs="Arial" w:eastAsia="Arial" w:hAnsi="Arial"/>
          <w:sz w:val="14"/>
          <w:szCs w:val="14"/>
          <w:color w:val="FFFFFF"/>
        </w:rPr>
        <w:t>____</w:t>
      </w:r>
      <w:r>
        <w:rPr>
          <w:rFonts w:ascii="Arial" w:cs="Arial" w:eastAsia="Arial" w:hAnsi="Arial"/>
          <w:sz w:val="14"/>
          <w:szCs w:val="14"/>
          <w:color w:val="auto"/>
        </w:rPr>
        <w:t>□</w:t>
      </w:r>
    </w:p>
    <w:p>
      <w:pPr>
        <w:spacing w:after="0" w:line="257" w:lineRule="exact"/>
        <w:rPr>
          <w:sz w:val="20"/>
          <w:szCs w:val="20"/>
          <w:color w:val="auto"/>
        </w:rPr>
      </w:pPr>
    </w:p>
    <w:p>
      <w:pPr>
        <w:sectPr>
          <w:pgSz w:w="11900" w:h="16838" w:orient="portrait"/>
          <w:cols w:equalWidth="0" w:num="2">
            <w:col w:w="7600" w:space="80"/>
            <w:col w:w="3460"/>
          </w:cols>
          <w:pgMar w:left="340" w:top="184" w:right="419" w:bottom="1440" w:gutter="0" w:footer="0" w:header="0"/>
        </w:sectPr>
      </w:pPr>
    </w:p>
    <w:p>
      <w:pPr>
        <w:ind w:left="60"/>
        <w:spacing w:after="0"/>
        <w:rPr>
          <w:sz w:val="20"/>
          <w:szCs w:val="20"/>
          <w:color w:val="auto"/>
        </w:rPr>
      </w:pPr>
      <w:r>
        <w:rPr>
          <w:rFonts w:ascii="Arial" w:cs="Arial" w:eastAsia="Arial" w:hAnsi="Arial"/>
          <w:sz w:val="18"/>
          <w:szCs w:val="18"/>
          <w:color w:val="FFFFFF"/>
          <w:highlight w:val="black"/>
        </w:rPr>
        <w:t xml:space="preserve">B </w:t>
      </w:r>
      <w:r>
        <w:rPr>
          <w:rFonts w:ascii="Arial" w:cs="Arial" w:eastAsia="Arial" w:hAnsi="Arial"/>
          <w:sz w:val="16"/>
          <w:szCs w:val="16"/>
          <w:b w:val="1"/>
          <w:bCs w:val="1"/>
          <w:color w:val="000000"/>
        </w:rPr>
        <w:t>Authorized Signatures - This section must be completed for your vote to be counted. Please date and sign below.</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14"/>
          <w:szCs w:val="14"/>
          <w:color w:val="auto"/>
        </w:rPr>
        <w:t>Please sign exactly as name(s) appears hereon. Joint owners should each sign.</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When signing as attorney, executor, administrator, corporate officer, trustee, guardian, or custodian, please give full title.</w:t>
      </w:r>
    </w:p>
    <w:p>
      <w:pPr>
        <w:spacing w:after="0" w:line="119" w:lineRule="exact"/>
        <w:rPr>
          <w:sz w:val="20"/>
          <w:szCs w:val="20"/>
          <w:color w:val="auto"/>
        </w:rPr>
      </w:pPr>
    </w:p>
    <w:tbl>
      <w:tblPr>
        <w:tblLayout w:type="fixed"/>
        <w:tblInd w:w="110" w:type="dxa"/>
        <w:tblCellMar>
          <w:top w:w="0" w:type="dxa"/>
          <w:left w:w="0" w:type="dxa"/>
          <w:bottom w:w="0" w:type="dxa"/>
          <w:right w:w="0" w:type="dxa"/>
        </w:tblCellMar>
      </w:tblPr>
      <w:tr>
        <w:trPr>
          <w:trHeight w:val="161"/>
        </w:trPr>
        <w:tc>
          <w:tcPr>
            <w:tcW w:w="3020" w:type="dxa"/>
            <w:vAlign w:val="bottom"/>
            <w:gridSpan w:val="2"/>
          </w:tcPr>
          <w:p>
            <w:pPr>
              <w:ind w:left="20"/>
              <w:spacing w:after="0"/>
              <w:rPr>
                <w:sz w:val="20"/>
                <w:szCs w:val="20"/>
                <w:color w:val="auto"/>
              </w:rPr>
            </w:pPr>
            <w:r>
              <w:rPr>
                <w:rFonts w:ascii="Arial" w:cs="Arial" w:eastAsia="Arial" w:hAnsi="Arial"/>
                <w:sz w:val="14"/>
                <w:szCs w:val="14"/>
                <w:color w:val="auto"/>
              </w:rPr>
              <w:t>Date (mm/dd/yyyy) - Please print date</w:t>
            </w:r>
          </w:p>
        </w:tc>
        <w:tc>
          <w:tcPr>
            <w:tcW w:w="3440" w:type="dxa"/>
            <w:vAlign w:val="bottom"/>
            <w:gridSpan w:val="2"/>
          </w:tcPr>
          <w:p>
            <w:pPr>
              <w:spacing w:after="0"/>
              <w:rPr>
                <w:sz w:val="20"/>
                <w:szCs w:val="20"/>
                <w:color w:val="auto"/>
              </w:rPr>
            </w:pPr>
            <w:r>
              <w:rPr>
                <w:rFonts w:ascii="Arial" w:cs="Arial" w:eastAsia="Arial" w:hAnsi="Arial"/>
                <w:sz w:val="14"/>
                <w:szCs w:val="14"/>
                <w:color w:val="auto"/>
              </w:rPr>
              <w:t>Signature 1 - Please keep signature within the</w:t>
            </w:r>
          </w:p>
        </w:tc>
        <w:tc>
          <w:tcPr>
            <w:tcW w:w="2560" w:type="dxa"/>
            <w:vAlign w:val="bottom"/>
          </w:tcPr>
          <w:p>
            <w:pPr>
              <w:ind w:left="120"/>
              <w:spacing w:after="0"/>
              <w:rPr>
                <w:sz w:val="20"/>
                <w:szCs w:val="20"/>
                <w:color w:val="auto"/>
              </w:rPr>
            </w:pPr>
            <w:r>
              <w:rPr>
                <w:rFonts w:ascii="Arial" w:cs="Arial" w:eastAsia="Arial" w:hAnsi="Arial"/>
                <w:sz w:val="14"/>
                <w:szCs w:val="14"/>
                <w:color w:val="auto"/>
              </w:rPr>
              <w:t>Signature 2 - Please keep signature</w:t>
            </w:r>
          </w:p>
        </w:tc>
      </w:tr>
      <w:tr>
        <w:trPr>
          <w:trHeight w:val="177"/>
        </w:trPr>
        <w:tc>
          <w:tcPr>
            <w:tcW w:w="3020" w:type="dxa"/>
            <w:vAlign w:val="bottom"/>
            <w:gridSpan w:val="2"/>
          </w:tcPr>
          <w:p>
            <w:pPr>
              <w:ind w:left="20"/>
              <w:spacing w:after="0"/>
              <w:rPr>
                <w:sz w:val="20"/>
                <w:szCs w:val="20"/>
                <w:color w:val="auto"/>
              </w:rPr>
            </w:pPr>
            <w:r>
              <w:rPr>
                <w:rFonts w:ascii="Arial" w:cs="Arial" w:eastAsia="Arial" w:hAnsi="Arial"/>
                <w:sz w:val="14"/>
                <w:szCs w:val="14"/>
                <w:color w:val="auto"/>
              </w:rPr>
              <w:t>below.</w:t>
            </w:r>
          </w:p>
        </w:tc>
        <w:tc>
          <w:tcPr>
            <w:tcW w:w="3440" w:type="dxa"/>
            <w:vAlign w:val="bottom"/>
            <w:gridSpan w:val="2"/>
          </w:tcPr>
          <w:p>
            <w:pPr>
              <w:spacing w:after="0"/>
              <w:rPr>
                <w:sz w:val="20"/>
                <w:szCs w:val="20"/>
                <w:color w:val="auto"/>
              </w:rPr>
            </w:pPr>
            <w:r>
              <w:rPr>
                <w:rFonts w:ascii="Arial" w:cs="Arial" w:eastAsia="Arial" w:hAnsi="Arial"/>
                <w:sz w:val="14"/>
                <w:szCs w:val="14"/>
                <w:color w:val="auto"/>
              </w:rPr>
              <w:t>box.</w:t>
            </w:r>
          </w:p>
        </w:tc>
        <w:tc>
          <w:tcPr>
            <w:tcW w:w="2560" w:type="dxa"/>
            <w:vAlign w:val="bottom"/>
          </w:tcPr>
          <w:p>
            <w:pPr>
              <w:ind w:left="120"/>
              <w:spacing w:after="0"/>
              <w:rPr>
                <w:sz w:val="20"/>
                <w:szCs w:val="20"/>
                <w:color w:val="auto"/>
              </w:rPr>
            </w:pPr>
            <w:r>
              <w:rPr>
                <w:rFonts w:ascii="Arial" w:cs="Arial" w:eastAsia="Arial" w:hAnsi="Arial"/>
                <w:sz w:val="14"/>
                <w:szCs w:val="14"/>
                <w:color w:val="auto"/>
              </w:rPr>
              <w:t>within the box.</w:t>
            </w:r>
          </w:p>
        </w:tc>
      </w:tr>
      <w:tr>
        <w:trPr>
          <w:trHeight w:val="39"/>
        </w:trPr>
        <w:tc>
          <w:tcPr>
            <w:tcW w:w="258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300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r>
      <w:tr>
        <w:trPr>
          <w:trHeight w:val="250"/>
        </w:trPr>
        <w:tc>
          <w:tcPr>
            <w:tcW w:w="2580" w:type="dxa"/>
            <w:vAlign w:val="bottom"/>
            <w:tcBorders>
              <w:left w:val="single" w:sz="8" w:color="auto"/>
              <w:bottom w:val="single" w:sz="8" w:color="auto"/>
              <w:right w:val="single" w:sz="8" w:color="auto"/>
            </w:tcBorders>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3000" w:type="dxa"/>
            <w:vAlign w:val="bottom"/>
            <w:tcBorders>
              <w:bottom w:val="single" w:sz="8" w:color="auto"/>
              <w:right w:val="single" w:sz="8" w:color="auto"/>
            </w:tcBorders>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985520</wp:posOffset>
            </wp:positionV>
            <wp:extent cx="6172200" cy="156019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172200"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ANNUAL MEETING OF SHAREHOLDERS</w:t>
      </w: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MAY 19, 2021, 8:00 A.M., Eastern Time</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This Proxy/Voting Instruction Card is Solicited on Behalf of The Board of Directors for the 2021 Annual Meeting of Shareholders</w:t>
      </w:r>
    </w:p>
    <w:p>
      <w:pPr>
        <w:spacing w:after="0" w:line="127" w:lineRule="exact"/>
        <w:rPr>
          <w:sz w:val="20"/>
          <w:szCs w:val="20"/>
          <w:color w:val="auto"/>
        </w:rPr>
      </w:pPr>
    </w:p>
    <w:p>
      <w:pPr>
        <w:jc w:val="both"/>
        <w:ind w:left="100"/>
        <w:spacing w:after="0" w:line="244" w:lineRule="auto"/>
        <w:rPr>
          <w:sz w:val="20"/>
          <w:szCs w:val="20"/>
          <w:color w:val="auto"/>
        </w:rPr>
      </w:pPr>
      <w:r>
        <w:rPr>
          <w:rFonts w:ascii="Arial" w:cs="Arial" w:eastAsia="Arial" w:hAnsi="Arial"/>
          <w:sz w:val="14"/>
          <w:szCs w:val="14"/>
          <w:color w:val="auto"/>
        </w:rPr>
        <w:t>The undersigned hereby constitutes and appoints Sheila C. Cheston and Jennifer C. McGarey, and each of them, attorneys and proxies with full power of substitution, to represent the undersigned and to vote all shares of Common Stock, $1.00 par value, of Northrop Grumman Corporation (the “Company”), that the undersigned would be entitled to vote if present at the 2021 Annual Meeting of Shareholders of the Company to be held virtually on Wednesday, May 19, 2021, at 8:00 a.m. (Eastern Time), and at any and all adjournments or postponements thereof (the “Meeting”), as herein specified and in such proxyholder’s discretion upon any other matter that may properly come before the Meeting including without limitation to vote on the election of such substitute nominees as such proxies may select in the event nominee(s) named on their card become(s) unable to serve as director. By granting this proxy, the undersigned hereby revokes any proxy previously granted by the undersigned.</w:t>
      </w:r>
    </w:p>
    <w:p>
      <w:pPr>
        <w:spacing w:after="0" w:line="74" w:lineRule="exact"/>
        <w:rPr>
          <w:sz w:val="20"/>
          <w:szCs w:val="20"/>
          <w:color w:val="auto"/>
        </w:rPr>
      </w:pPr>
    </w:p>
    <w:p>
      <w:pPr>
        <w:jc w:val="both"/>
        <w:ind w:left="100" w:right="20"/>
        <w:spacing w:after="0" w:line="293" w:lineRule="auto"/>
        <w:rPr>
          <w:sz w:val="20"/>
          <w:szCs w:val="20"/>
          <w:color w:val="auto"/>
        </w:rPr>
      </w:pPr>
      <w:r>
        <w:rPr>
          <w:rFonts w:ascii="Arial" w:cs="Arial" w:eastAsia="Arial" w:hAnsi="Arial"/>
          <w:sz w:val="14"/>
          <w:szCs w:val="14"/>
          <w:color w:val="auto"/>
        </w:rPr>
        <w:t>THIS PROXY WILL BE VOTED AS DIRECTED. IF NOT OTHERWISE DIRECTED, THIS PROXY WILL BE VOTED “FOR” THE NOMINEES LISTED UNDER PROPOSAL 1, “FOR” PROPOSALS 2 AND 3 AND “AGAINST” PROPOSALS 4 AND 5.</w:t>
      </w:r>
    </w:p>
    <w:p>
      <w:pPr>
        <w:spacing w:after="0" w:line="4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PLEASE MARK, DATE AND SIGN THIS PROXY AND RETURN IT PROMPTLY, EVEN IF YOU PLAN TO ATTEND THE ANNUAL MEETING.</w:t>
      </w:r>
    </w:p>
    <w:p>
      <w:pPr>
        <w:spacing w:after="0" w:line="109" w:lineRule="exact"/>
        <w:rPr>
          <w:sz w:val="20"/>
          <w:szCs w:val="20"/>
          <w:color w:val="auto"/>
        </w:rPr>
      </w:pPr>
    </w:p>
    <w:p>
      <w:pPr>
        <w:jc w:val="both"/>
        <w:ind w:left="100"/>
        <w:spacing w:after="0" w:line="246" w:lineRule="auto"/>
        <w:rPr>
          <w:sz w:val="20"/>
          <w:szCs w:val="20"/>
          <w:color w:val="auto"/>
        </w:rPr>
      </w:pPr>
      <w:r>
        <w:rPr>
          <w:rFonts w:ascii="Arial" w:cs="Arial" w:eastAsia="Arial" w:hAnsi="Arial"/>
          <w:sz w:val="14"/>
          <w:szCs w:val="14"/>
          <w:color w:val="auto"/>
        </w:rPr>
        <w:t>If shares are held on your behalf under any of the Company Savings Plans, the proxy serves to provide confidential instructions to the plan Trustee or Voting Manager who then votes the shares. Instructions must be received by 11:59 p.m. Eastern Time on May 16, 2021 to be included in the tabulation to the plan Trustee or Voting Manager. For shares represented by proxies not received by this date, the applicable plan Trustee or Voting Manager will treat the received proxies as instructions to vote the respective plan shares in the same proportion as shares held under the plan for which voting instructions have been received, unless contrary to the Employment Retirement Income Security Act.</w:t>
      </w:r>
    </w:p>
    <w:p>
      <w:pPr>
        <w:spacing w:after="0" w:line="23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(Continued and to be signed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323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40" w:top="184" w:right="419" w:bottom="1440" w:gutter="0" w:footer="0" w:header="0"/>
          <w:type w:val="continuous"/>
        </w:sectPr>
      </w:pPr>
    </w:p>
    <w:bookmarkStart w:id="102" w:name="page103"/>
    <w:bookmarkEnd w:id="1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88900</wp:posOffset>
            </wp:positionV>
            <wp:extent cx="5786120" cy="288036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clrChange>
                        <a:clrFrom>
                          <a:srgbClr val="FFFFFF"/>
                        </a:clrFrom>
                        <a:clrTo>
                          <a:srgbClr val="FFFFFF">
                            <a:alpha val="0"/>
                          </a:srgbClr>
                        </a:clrTo>
                      </a:clrChange>
                      <a:extLst>
                        <a:ext uri="{28A0092B-C50C-407E-A947-70E740481C1C}"/>
                      </a:extLst>
                    </a:blip>
                    <a:srcRect/>
                    <a:stretch>
                      <a:fillRect/>
                    </a:stretch>
                  </pic:blipFill>
                  <pic:spPr bwMode="auto">
                    <a:xfrm>
                      <a:off x="0" y="0"/>
                      <a:ext cx="578612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Important Notice Regarding the Availability of Proxy Materials for the</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Northrop Grumman Corporation Meeting of Shareholders to be Held on May 19, 2021</w:t>
      </w:r>
    </w:p>
    <w:p>
      <w:pPr>
        <w:spacing w:after="0" w:line="120" w:lineRule="exact"/>
        <w:rPr>
          <w:sz w:val="20"/>
          <w:szCs w:val="20"/>
          <w:color w:val="auto"/>
        </w:rPr>
      </w:pPr>
    </w:p>
    <w:p>
      <w:pPr>
        <w:ind w:left="80" w:right="620"/>
        <w:spacing w:after="0" w:line="253" w:lineRule="auto"/>
        <w:rPr>
          <w:sz w:val="20"/>
          <w:szCs w:val="20"/>
          <w:color w:val="auto"/>
        </w:rPr>
      </w:pPr>
      <w:r>
        <w:rPr>
          <w:rFonts w:ascii="Arial" w:cs="Arial" w:eastAsia="Arial" w:hAnsi="Arial"/>
          <w:sz w:val="16"/>
          <w:szCs w:val="16"/>
          <w:color w:val="auto"/>
        </w:rPr>
        <w:t>Under Securities and Exchange Commission rules, you are receiving this notice that the proxy materials for the annual shareholders’ meeting are available on the Internet. Follow the instructions below to view the materials and vote online or request a copy. The items to be voted on and virtual location of the annual meeting are on the reverse side. Your vote is important!</w:t>
      </w:r>
    </w:p>
    <w:p>
      <w:pPr>
        <w:spacing w:after="0" w:line="100" w:lineRule="exact"/>
        <w:rPr>
          <w:sz w:val="20"/>
          <w:szCs w:val="20"/>
          <w:color w:val="auto"/>
        </w:rPr>
      </w:pPr>
    </w:p>
    <w:p>
      <w:pPr>
        <w:jc w:val="both"/>
        <w:ind w:left="80" w:right="300"/>
        <w:spacing w:after="0" w:line="266" w:lineRule="auto"/>
        <w:rPr>
          <w:sz w:val="20"/>
          <w:szCs w:val="20"/>
          <w:color w:val="auto"/>
        </w:rPr>
      </w:pPr>
      <w:r>
        <w:rPr>
          <w:rFonts w:ascii="Arial" w:cs="Arial" w:eastAsia="Arial" w:hAnsi="Arial"/>
          <w:sz w:val="16"/>
          <w:szCs w:val="16"/>
          <w:b w:val="1"/>
          <w:bCs w:val="1"/>
          <w:color w:val="auto"/>
        </w:rPr>
        <w:t>This communication presents only an overview of the more complete proxy materials that are available to you on the Internet. We encourage you to access and review all of the important information contained in the proxy materials before voting. The 2021 Proxy Statement and 2020 Annual Report to shareholders are available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3455035</wp:posOffset>
            </wp:positionV>
            <wp:extent cx="6172200" cy="3600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17220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line="250" w:lineRule="auto"/>
        <w:rPr>
          <w:sz w:val="20"/>
          <w:szCs w:val="20"/>
          <w:color w:val="auto"/>
        </w:rPr>
      </w:pPr>
      <w:r>
        <w:rPr>
          <w:rFonts w:ascii="Arial" w:cs="Arial" w:eastAsia="Arial" w:hAnsi="Arial"/>
          <w:sz w:val="20"/>
          <w:szCs w:val="20"/>
          <w:b w:val="1"/>
          <w:bCs w:val="1"/>
          <w:color w:val="auto"/>
        </w:rPr>
        <w:t>Northrop Grumman Corporation’s Annual Meeting of Shareholders will be held on May 19, 2021 at 8:00 a.m. Eastern Time, virtually via the internet at www.meetingcenter.io/241697037. To access the virtual meeting, you must have the information that is printed in the shaded bar located on the reverse side of this form. The password for this meeting is - NOC2021.</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Proposals to be voted on at the meeting are listed below along with the Board of Directors’ recommendations.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The Board of Directors recommends that you vote </w:t>
      </w:r>
      <w:r>
        <w:rPr>
          <w:rFonts w:ascii="Arial" w:cs="Arial" w:eastAsia="Arial" w:hAnsi="Arial"/>
          <w:sz w:val="16"/>
          <w:szCs w:val="16"/>
          <w:b w:val="1"/>
          <w:bCs w:val="1"/>
          <w:u w:val="single" w:color="auto"/>
          <w:color w:val="auto"/>
        </w:rPr>
        <w:t>FOR</w:t>
      </w:r>
      <w:r>
        <w:rPr>
          <w:rFonts w:ascii="Arial" w:cs="Arial" w:eastAsia="Arial" w:hAnsi="Arial"/>
          <w:sz w:val="16"/>
          <w:szCs w:val="16"/>
          <w:b w:val="1"/>
          <w:bCs w:val="1"/>
          <w:color w:val="auto"/>
        </w:rPr>
        <w:t xml:space="preserve"> proposals 1-3.</w:t>
      </w:r>
    </w:p>
    <w:p>
      <w:pPr>
        <w:spacing w:after="0" w:line="268" w:lineRule="exact"/>
        <w:rPr>
          <w:sz w:val="20"/>
          <w:szCs w:val="20"/>
          <w:color w:val="auto"/>
        </w:rPr>
      </w:pPr>
    </w:p>
    <w:p>
      <w:pPr>
        <w:ind w:left="660" w:hanging="328"/>
        <w:spacing w:after="0"/>
        <w:tabs>
          <w:tab w:leader="none" w:pos="6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Election of the following 12 nominees as Directors:</w:t>
      </w:r>
    </w:p>
    <w:p>
      <w:pPr>
        <w:spacing w:after="0" w:line="5" w:lineRule="exact"/>
        <w:rPr>
          <w:sz w:val="20"/>
          <w:szCs w:val="20"/>
          <w:color w:val="auto"/>
        </w:rPr>
      </w:pPr>
    </w:p>
    <w:p>
      <w:pPr>
        <w:ind w:left="180" w:right="2680"/>
        <w:spacing w:after="0" w:line="260" w:lineRule="auto"/>
        <w:rPr>
          <w:sz w:val="20"/>
          <w:szCs w:val="20"/>
          <w:color w:val="auto"/>
        </w:rPr>
      </w:pPr>
      <w:r>
        <w:rPr>
          <w:rFonts w:ascii="Arial" w:cs="Arial" w:eastAsia="Arial" w:hAnsi="Arial"/>
          <w:sz w:val="16"/>
          <w:szCs w:val="16"/>
          <w:color w:val="auto"/>
        </w:rPr>
        <w:t>Kathy J. Warden, David P. Abney, Marianne C. Brown, Donald E. Felsinger, Ann M. Fudge, William H. Hernandez, Madeleine A. Kleiner, Karl J. Krapek, Gary Roughead, Thomas M. Schoewe, James S. Turley, and Mark A. Welsh III.</w:t>
      </w:r>
    </w:p>
    <w:p>
      <w:pPr>
        <w:spacing w:after="0" w:line="222" w:lineRule="exact"/>
        <w:rPr>
          <w:sz w:val="20"/>
          <w:szCs w:val="20"/>
          <w:color w:val="auto"/>
        </w:rPr>
      </w:pPr>
    </w:p>
    <w:p>
      <w:pPr>
        <w:ind w:left="660" w:hanging="328"/>
        <w:spacing w:after="0"/>
        <w:tabs>
          <w:tab w:leader="none" w:pos="6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Proposal to approve, on an advisory basis, the compensation of the Company’s Named Executive Officers.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Proposal to ratify the appointment of Deloitte &amp; Touche LLP as the Company’s Independent Auditor for fiscal year ending December 31, 2021.</w:t>
      </w:r>
    </w:p>
    <w:p>
      <w:pPr>
        <w:sectPr>
          <w:pgSz w:w="11900" w:h="16861" w:orient="portrait"/>
          <w:cols w:equalWidth="0" w:num="1">
            <w:col w:w="11220"/>
          </w:cols>
          <w:pgMar w:left="320" w:top="1440" w:right="359" w:bottom="0" w:gutter="0" w:footer="0" w:header="0"/>
        </w:sectPr>
      </w:pPr>
    </w:p>
    <w:bookmarkStart w:id="103" w:name="page104"/>
    <w:bookmarkEnd w:id="103"/>
    <w:p>
      <w:pPr>
        <w:spacing w:after="0"/>
        <w:rPr>
          <w:sz w:val="20"/>
          <w:szCs w:val="20"/>
          <w:color w:val="auto"/>
        </w:rPr>
      </w:pPr>
      <w:r>
        <w:rPr>
          <w:rFonts w:ascii="Arial" w:cs="Arial" w:eastAsia="Arial" w:hAnsi="Arial"/>
          <w:sz w:val="16"/>
          <w:szCs w:val="16"/>
          <w:b w:val="1"/>
          <w:bCs w:val="1"/>
          <w:color w:val="auto"/>
        </w:rPr>
        <w:t xml:space="preserve">The Board of Directors recommends that you vote </w:t>
      </w:r>
      <w:r>
        <w:rPr>
          <w:rFonts w:ascii="Arial" w:cs="Arial" w:eastAsia="Arial" w:hAnsi="Arial"/>
          <w:sz w:val="16"/>
          <w:szCs w:val="16"/>
          <w:b w:val="1"/>
          <w:bCs w:val="1"/>
          <w:u w:val="single" w:color="auto"/>
          <w:color w:val="auto"/>
        </w:rPr>
        <w:t>AGAINST</w:t>
      </w:r>
      <w:r>
        <w:rPr>
          <w:rFonts w:ascii="Arial" w:cs="Arial" w:eastAsia="Arial" w:hAnsi="Arial"/>
          <w:sz w:val="16"/>
          <w:szCs w:val="16"/>
          <w:b w:val="1"/>
          <w:bCs w:val="1"/>
          <w:color w:val="auto"/>
        </w:rPr>
        <w:t xml:space="preserve"> proposals 4 and 5.</w:t>
      </w:r>
    </w:p>
    <w:p>
      <w:pPr>
        <w:spacing w:after="0" w:line="268" w:lineRule="exact"/>
        <w:rPr>
          <w:sz w:val="20"/>
          <w:szCs w:val="20"/>
          <w:color w:val="auto"/>
        </w:rPr>
      </w:pPr>
    </w:p>
    <w:p>
      <w:pPr>
        <w:ind w:left="660" w:right="420" w:hanging="328"/>
        <w:spacing w:after="0" w:line="260" w:lineRule="auto"/>
        <w:tabs>
          <w:tab w:leader="none" w:pos="6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Shareholder proposal that the Company assess and report on potential human rights impacts that could result from governments' use of the Company's products and services, including in conflict-affected areas.</w:t>
      </w:r>
    </w:p>
    <w:p>
      <w:pPr>
        <w:spacing w:after="0" w:line="222" w:lineRule="exact"/>
        <w:rPr>
          <w:rFonts w:ascii="Arial" w:cs="Arial" w:eastAsia="Arial" w:hAnsi="Arial"/>
          <w:sz w:val="16"/>
          <w:szCs w:val="16"/>
          <w:color w:val="auto"/>
        </w:rPr>
      </w:pPr>
    </w:p>
    <w:p>
      <w:pPr>
        <w:ind w:left="660" w:hanging="328"/>
        <w:spacing w:after="0"/>
        <w:tabs>
          <w:tab w:leader="none" w:pos="6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Shareholder proposal to move to a 10% ownership threshold for shareholders to request action by written consent.</w:t>
      </w:r>
    </w:p>
    <w:p>
      <w:pPr>
        <w:spacing w:after="0" w:line="228"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PLEASE NOTE - YOU CANNOT VOTE BY RETURNING THIS NOTICE. To vote your shares you must vote online or by telephone (1-800-652-VOTE (8683)) or request a paper copy of the proxy materials to receive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22377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2237740"/>
                    </a:xfrm>
                    <a:prstGeom prst="rect">
                      <a:avLst/>
                    </a:prstGeom>
                    <a:noFill/>
                  </pic:spPr>
                </pic:pic>
              </a:graphicData>
            </a:graphic>
          </wp:anchor>
        </w:drawing>
      </w:r>
    </w:p>
    <w:p>
      <w:pPr>
        <w:sectPr>
          <w:pgSz w:w="11900" w:h="16838" w:orient="portrait"/>
          <w:cols w:equalWidth="0" w:num="1">
            <w:col w:w="11080"/>
          </w:cols>
          <w:pgMar w:left="320" w:top="364" w:right="499" w:bottom="1440" w:gutter="0" w:footer="0" w:header="0"/>
        </w:sectPr>
      </w:pPr>
    </w:p>
    <w:bookmarkStart w:id="104" w:name="page105"/>
    <w:bookmarkEnd w:id="1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5751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957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color w:val="auto"/>
        </w:rPr>
        <w:t>April 2, 2021</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Information Regarding Your Northrop Grumman Shares — Your Vote Is Important</w:t>
      </w:r>
    </w:p>
    <w:p>
      <w:pPr>
        <w:sectPr>
          <w:pgSz w:w="11900" w:h="16838" w:orient="portrait"/>
          <w:cols w:equalWidth="0" w:num="1">
            <w:col w:w="10139"/>
          </w:cols>
          <w:pgMar w:left="320" w:top="1440" w:right="1440" w:bottom="0" w:gutter="0" w:footer="0" w:header="0"/>
        </w:sectPr>
      </w:pPr>
    </w:p>
    <w:bookmarkStart w:id="105" w:name="page106"/>
    <w:bookmarkEnd w:id="105"/>
    <w:p>
      <w:pPr>
        <w:spacing w:after="0"/>
        <w:rPr>
          <w:sz w:val="20"/>
          <w:szCs w:val="20"/>
          <w:color w:val="auto"/>
        </w:rPr>
      </w:pPr>
      <w:r>
        <w:rPr>
          <w:rFonts w:ascii="Arial" w:cs="Arial" w:eastAsia="Arial" w:hAnsi="Arial"/>
          <w:sz w:val="20"/>
          <w:szCs w:val="20"/>
          <w:color w:val="auto"/>
        </w:rPr>
        <w:t>To Northrop Grumman Employees:</w:t>
      </w:r>
    </w:p>
    <w:p>
      <w:pPr>
        <w:spacing w:after="0" w:line="229" w:lineRule="exact"/>
        <w:rPr>
          <w:sz w:val="20"/>
          <w:szCs w:val="20"/>
          <w:color w:val="auto"/>
        </w:rPr>
      </w:pPr>
    </w:p>
    <w:p>
      <w:pPr>
        <w:ind w:right="600"/>
        <w:spacing w:after="0" w:line="236" w:lineRule="auto"/>
        <w:rPr>
          <w:sz w:val="20"/>
          <w:szCs w:val="20"/>
          <w:color w:val="auto"/>
        </w:rPr>
      </w:pPr>
      <w:r>
        <w:rPr>
          <w:rFonts w:ascii="Arial" w:cs="Arial" w:eastAsia="Arial" w:hAnsi="Arial"/>
          <w:sz w:val="20"/>
          <w:szCs w:val="20"/>
          <w:color w:val="auto"/>
        </w:rPr>
        <w:t>Northrop Grumman filed its proxy statement today for the 2021 Annual Meeting of Shareholders. The meeting will be held virtually on May 19, 2021. The 2021 proxy statement and 2020 annual report are now available online.</w:t>
      </w:r>
    </w:p>
    <w:p>
      <w:pPr>
        <w:spacing w:after="0" w:line="223"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Many of you hold Northrop Grumman shares through one of the company’s savings plans. As shareholders, you have the right to vote on matters that impact the company. Your vote on these matters is important, and Northrop Grumman encourages you to vote your shares.</w:t>
      </w:r>
    </w:p>
    <w:p>
      <w:pPr>
        <w:spacing w:after="0" w:line="224" w:lineRule="exact"/>
        <w:rPr>
          <w:sz w:val="20"/>
          <w:szCs w:val="20"/>
          <w:color w:val="auto"/>
        </w:rPr>
      </w:pPr>
    </w:p>
    <w:p>
      <w:pPr>
        <w:ind w:right="240"/>
        <w:spacing w:after="0" w:line="230" w:lineRule="auto"/>
        <w:rPr>
          <w:sz w:val="20"/>
          <w:szCs w:val="20"/>
          <w:color w:val="auto"/>
        </w:rPr>
      </w:pPr>
      <w:r>
        <w:rPr>
          <w:rFonts w:ascii="Arial" w:cs="Arial" w:eastAsia="Arial" w:hAnsi="Arial"/>
          <w:sz w:val="20"/>
          <w:szCs w:val="20"/>
          <w:color w:val="auto"/>
        </w:rPr>
        <w:t>Northrop Grumman employees who hold these shares as participants in the Northrop Grumman Savings Plan or the Northrop Grumman Financial Security and Savings Program should receive an email tonight from the company’s transfer agent, Computershare. This email will be sent to your email address on record (either personal or company email) and will contain important instructions for viewing the proxy statement and annual report and for voting your shares.</w:t>
      </w:r>
    </w:p>
    <w:p>
      <w:pPr>
        <w:spacing w:after="0" w:line="205" w:lineRule="exact"/>
        <w:rPr>
          <w:sz w:val="20"/>
          <w:szCs w:val="20"/>
          <w:color w:val="auto"/>
        </w:rPr>
      </w:pPr>
    </w:p>
    <w:p>
      <w:pPr>
        <w:jc w:val="both"/>
        <w:ind w:right="200"/>
        <w:spacing w:after="0" w:line="236" w:lineRule="auto"/>
        <w:rPr>
          <w:sz w:val="20"/>
          <w:szCs w:val="20"/>
          <w:color w:val="auto"/>
        </w:rPr>
      </w:pPr>
      <w:r>
        <w:rPr>
          <w:rFonts w:ascii="Arial" w:cs="Arial" w:eastAsia="Arial" w:hAnsi="Arial"/>
          <w:sz w:val="20"/>
          <w:szCs w:val="20"/>
          <w:color w:val="auto"/>
        </w:rPr>
        <w:t>This email is an important communication approved by Northrop Grumman. The subject line of the email will read, “</w:t>
      </w:r>
      <w:r>
        <w:rPr>
          <w:rFonts w:ascii="Arial" w:cs="Arial" w:eastAsia="Arial" w:hAnsi="Arial"/>
          <w:sz w:val="20"/>
          <w:szCs w:val="20"/>
          <w:i w:val="1"/>
          <w:iCs w:val="1"/>
          <w:color w:val="auto"/>
        </w:rPr>
        <w:t>Northrop</w:t>
      </w:r>
      <w:r>
        <w:rPr>
          <w:rFonts w:ascii="Arial" w:cs="Arial" w:eastAsia="Arial" w:hAnsi="Arial"/>
          <w:sz w:val="20"/>
          <w:szCs w:val="20"/>
          <w:color w:val="auto"/>
        </w:rPr>
        <w:t xml:space="preserve"> </w:t>
      </w:r>
      <w:r>
        <w:rPr>
          <w:rFonts w:ascii="Arial" w:cs="Arial" w:eastAsia="Arial" w:hAnsi="Arial"/>
          <w:sz w:val="20"/>
          <w:szCs w:val="20"/>
          <w:i w:val="1"/>
          <w:iCs w:val="1"/>
          <w:color w:val="auto"/>
        </w:rPr>
        <w:t>Grumman Corporation Proxy Meeting Materials</w:t>
      </w:r>
      <w:r>
        <w:rPr>
          <w:rFonts w:ascii="Arial" w:cs="Arial" w:eastAsia="Arial" w:hAnsi="Arial"/>
          <w:sz w:val="20"/>
          <w:szCs w:val="20"/>
          <w:color w:val="auto"/>
        </w:rPr>
        <w:t>.” Note that the “EXT” warning tag, which appears in the subject line of emails</w:t>
      </w:r>
      <w:r>
        <w:rPr>
          <w:rFonts w:ascii="Arial" w:cs="Arial" w:eastAsia="Arial" w:hAnsi="Arial"/>
          <w:sz w:val="20"/>
          <w:szCs w:val="20"/>
          <w:i w:val="1"/>
          <w:iCs w:val="1"/>
          <w:color w:val="auto"/>
        </w:rPr>
        <w:t xml:space="preserve"> </w:t>
      </w:r>
      <w:r>
        <w:rPr>
          <w:rFonts w:ascii="Arial" w:cs="Arial" w:eastAsia="Arial" w:hAnsi="Arial"/>
          <w:sz w:val="20"/>
          <w:szCs w:val="20"/>
          <w:color w:val="auto"/>
        </w:rPr>
        <w:t>originating outside of Northrop Grumman, will be removed for this message coming directly from Computershare. If you do not receive this email, or if you have any questions, please contact Computershare at 877-498-8861.</w:t>
      </w:r>
    </w:p>
    <w:p>
      <w:pPr>
        <w:spacing w:after="0" w:line="222" w:lineRule="exact"/>
        <w:rPr>
          <w:sz w:val="20"/>
          <w:szCs w:val="20"/>
          <w:color w:val="auto"/>
        </w:rPr>
      </w:pPr>
    </w:p>
    <w:p>
      <w:pPr>
        <w:ind w:right="480"/>
        <w:spacing w:after="0" w:line="236" w:lineRule="auto"/>
        <w:rPr>
          <w:sz w:val="20"/>
          <w:szCs w:val="20"/>
          <w:color w:val="auto"/>
        </w:rPr>
      </w:pPr>
      <w:r>
        <w:rPr>
          <w:rFonts w:ascii="Arial" w:cs="Arial" w:eastAsia="Arial" w:hAnsi="Arial"/>
          <w:sz w:val="20"/>
          <w:szCs w:val="20"/>
          <w:color w:val="auto"/>
        </w:rPr>
        <w:t>Northrop Grumman values your input as shareholders. Please ensure that your shares are represented at the 2021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143510</wp:posOffset>
            </wp:positionV>
            <wp:extent cx="5863590" cy="38608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863590" cy="386080"/>
                    </a:xfrm>
                    <a:prstGeom prst="rect">
                      <a:avLst/>
                    </a:prstGeom>
                    <a:noFill/>
                  </pic:spPr>
                </pic:pic>
              </a:graphicData>
            </a:graphic>
          </wp:anchor>
        </w:drawing>
      </w:r>
    </w:p>
    <w:sectPr>
      <w:pgSz w:w="11900" w:h="16838" w:orient="portrait"/>
      <w:cols w:equalWidth="0" w:num="1">
        <w:col w:w="11220"/>
      </w:cols>
      <w:pgMar w:left="320" w:top="13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1)"/>
      <w:numFmt w:val="decimal"/>
      <w:start w:val="1"/>
    </w:lvl>
  </w:abstractNum>
  <w:abstractNum w:abstractNumId="1">
    <w:nsid w:val="79A1DEAA"/>
    <w:multiLevelType w:val="hybridMultilevel"/>
    <w:lvl w:ilvl="0">
      <w:lvlJc w:val="left"/>
      <w:lvlText w:val="(%1)"/>
      <w:numFmt w:val="decimal"/>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1."/>
      <w:numFmt w:val="decimal"/>
      <w:start w:val="1"/>
    </w:lvl>
  </w:abstractNum>
  <w:abstractNum w:abstractNumId="4">
    <w:nsid w:val="70C6A529"/>
    <w:multiLevelType w:val="hybridMultilevel"/>
    <w:lvl w:ilvl="0">
      <w:lvlJc w:val="left"/>
      <w:lvlText w:val="%1"/>
      <w:numFmt w:val="lowerRoman"/>
      <w:start w:val="2"/>
    </w:lvl>
  </w:abstractNum>
  <w:abstractNum w:abstractNumId="5">
    <w:nsid w:val="520EEDD1"/>
    <w:multiLevelType w:val="hybridMultilevel"/>
    <w:lvl w:ilvl="0">
      <w:lvlJc w:val="left"/>
      <w:lvlText w:val="(%1)"/>
      <w:numFmt w:val="decimal"/>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
      <w:numFmt w:val="bullet"/>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
      <w:numFmt w:val="bullet"/>
      <w:start w:val="1"/>
    </w:lvl>
  </w:abstractNum>
  <w:abstractNum w:abstractNumId="33">
    <w:nsid w:val="1381823A"/>
    <w:multiLevelType w:val="hybridMultilevel"/>
    <w:lvl w:ilvl="0">
      <w:lvlJc w:val="left"/>
      <w:lvlText w:val="•"/>
      <w:numFmt w:val="bullet"/>
      <w:start w:val="1"/>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
      <w:numFmt w:val="bullet"/>
      <w:start w:val="1"/>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1)"/>
      <w:numFmt w:val="decimal"/>
      <w:start w:val="1"/>
    </w:lvl>
  </w:abstractNum>
  <w:abstractNum w:abstractNumId="38">
    <w:nsid w:val="5F5E7FD0"/>
    <w:multiLevelType w:val="hybridMultilevel"/>
    <w:lvl w:ilvl="0">
      <w:lvlJc w:val="left"/>
      <w:lvlText w:val="(%1)"/>
      <w:numFmt w:val="decimal"/>
      <w:start w:val="1"/>
    </w:lvl>
  </w:abstractNum>
  <w:abstractNum w:abstractNumId="39">
    <w:nsid w:val="98A3148"/>
    <w:multiLevelType w:val="hybridMultilevel"/>
    <w:lvl w:ilvl="0">
      <w:lvlJc w:val="left"/>
      <w:lvlText w:val="•"/>
      <w:numFmt w:val="bullet"/>
      <w:start w:val="1"/>
    </w:lvl>
  </w:abstractNum>
  <w:abstractNum w:abstractNumId="40">
    <w:nsid w:val="799D0247"/>
    <w:multiLevelType w:val="hybridMultilevel"/>
    <w:lvl w:ilvl="0">
      <w:lvlJc w:val="left"/>
      <w:lvlText w:val="(%1)"/>
      <w:numFmt w:val="decimal"/>
      <w:start w:val="1"/>
    </w:lvl>
  </w:abstractNum>
  <w:abstractNum w:abstractNumId="41">
    <w:nsid w:val="6B94764"/>
    <w:multiLevelType w:val="hybridMultilevel"/>
    <w:lvl w:ilvl="0">
      <w:lvlJc w:val="left"/>
      <w:lvlText w:val="(%1)"/>
      <w:numFmt w:val="decimal"/>
      <w:start w:val="1"/>
    </w:lvl>
  </w:abstractNum>
  <w:abstractNum w:abstractNumId="42">
    <w:nsid w:val="42C296BD"/>
    <w:multiLevelType w:val="hybridMultilevel"/>
    <w:lvl w:ilvl="0">
      <w:lvlJc w:val="left"/>
      <w:lvlText w:val="(%1)"/>
      <w:numFmt w:val="decimal"/>
      <w:start w:val="1"/>
    </w:lvl>
  </w:abstractNum>
  <w:abstractNum w:abstractNumId="43">
    <w:nsid w:val="168E121F"/>
    <w:multiLevelType w:val="hybridMultilevel"/>
    <w:lvl w:ilvl="0">
      <w:lvlJc w:val="left"/>
      <w:lvlText w:val="•"/>
      <w:numFmt w:val="bullet"/>
      <w:start w:val="1"/>
    </w:lvl>
  </w:abstractNum>
  <w:abstractNum w:abstractNumId="44">
    <w:nsid w:val="1EBA5D23"/>
    <w:multiLevelType w:val="hybridMultilevel"/>
    <w:lvl w:ilvl="0">
      <w:lvlJc w:val="left"/>
      <w:lvlText w:val="•"/>
      <w:numFmt w:val="bullet"/>
      <w:start w:val="1"/>
    </w:lvl>
  </w:abstractNum>
  <w:abstractNum w:abstractNumId="45">
    <w:nsid w:val="661E3F1E"/>
    <w:multiLevelType w:val="hybridMultilevel"/>
    <w:lvl w:ilvl="0">
      <w:lvlJc w:val="left"/>
      <w:lvlText w:val="•"/>
      <w:numFmt w:val="bullet"/>
      <w:start w:val="1"/>
    </w:lvl>
  </w:abstractNum>
  <w:abstractNum w:abstractNumId="46">
    <w:nsid w:val="5DC79EA8"/>
    <w:multiLevelType w:val="hybridMultilevel"/>
    <w:lvl w:ilvl="0">
      <w:lvlJc w:val="left"/>
      <w:lvlText w:val="•"/>
      <w:numFmt w:val="bullet"/>
      <w:start w:val="1"/>
    </w:lvl>
  </w:abstractNum>
  <w:abstractNum w:abstractNumId="47">
    <w:nsid w:val="540A471C"/>
    <w:multiLevelType w:val="hybridMultilevel"/>
    <w:lvl w:ilvl="0">
      <w:lvlJc w:val="left"/>
      <w:lvlText w:val="•"/>
      <w:numFmt w:val="bullet"/>
      <w:start w:val="1"/>
    </w:lvl>
  </w:abstractNum>
  <w:abstractNum w:abstractNumId="48">
    <w:nsid w:val="7BD3EE7B"/>
    <w:multiLevelType w:val="hybridMultilevel"/>
    <w:lvl w:ilvl="0">
      <w:lvlJc w:val="left"/>
      <w:lvlText w:val="•"/>
      <w:numFmt w:val="bullet"/>
      <w:start w:val="1"/>
    </w:lvl>
  </w:abstractNum>
  <w:abstractNum w:abstractNumId="49">
    <w:nsid w:val="51D9C564"/>
    <w:multiLevelType w:val="hybridMultilevel"/>
    <w:lvl w:ilvl="0">
      <w:lvlJc w:val="left"/>
      <w:lvlText w:val="•"/>
      <w:numFmt w:val="bullet"/>
      <w:start w:val="1"/>
    </w:lvl>
  </w:abstractNum>
  <w:abstractNum w:abstractNumId="50">
    <w:nsid w:val="613EFDC5"/>
    <w:multiLevelType w:val="hybridMultilevel"/>
    <w:lvl w:ilvl="0">
      <w:lvlJc w:val="left"/>
      <w:lvlText w:val="•"/>
      <w:numFmt w:val="bullet"/>
      <w:start w:val="1"/>
    </w:lvl>
  </w:abstractNum>
  <w:abstractNum w:abstractNumId="51">
    <w:nsid w:val="BF72B14"/>
    <w:multiLevelType w:val="hybridMultilevel"/>
    <w:lvl w:ilvl="0">
      <w:lvlJc w:val="left"/>
      <w:lvlText w:val="•"/>
      <w:numFmt w:val="bullet"/>
      <w:start w:val="1"/>
    </w:lvl>
  </w:abstractNum>
  <w:abstractNum w:abstractNumId="52">
    <w:nsid w:val="11447B73"/>
    <w:multiLevelType w:val="hybridMultilevel"/>
    <w:lvl w:ilvl="0">
      <w:lvlJc w:val="left"/>
      <w:lvlText w:val="•"/>
      <w:numFmt w:val="bullet"/>
      <w:start w:val="1"/>
    </w:lvl>
  </w:abstractNum>
  <w:abstractNum w:abstractNumId="53">
    <w:nsid w:val="42963E5A"/>
    <w:multiLevelType w:val="hybridMultilevel"/>
    <w:lvl w:ilvl="0">
      <w:lvlJc w:val="left"/>
      <w:lvlText w:val="•"/>
      <w:numFmt w:val="bullet"/>
      <w:start w:val="1"/>
    </w:lvl>
  </w:abstractNum>
  <w:abstractNum w:abstractNumId="54">
    <w:nsid w:val="A0382C5"/>
    <w:multiLevelType w:val="hybridMultilevel"/>
    <w:lvl w:ilvl="0">
      <w:lvlJc w:val="left"/>
      <w:lvlText w:val="(%1)"/>
      <w:numFmt w:val="decimal"/>
      <w:start w:val="1"/>
    </w:lvl>
  </w:abstractNum>
  <w:abstractNum w:abstractNumId="55">
    <w:nsid w:val="8F2B15E"/>
    <w:multiLevelType w:val="hybridMultilevel"/>
    <w:lvl w:ilvl="0">
      <w:lvlJc w:val="left"/>
      <w:lvlText w:val="•"/>
      <w:numFmt w:val="bullet"/>
      <w:start w:val="1"/>
    </w:lvl>
  </w:abstractNum>
  <w:abstractNum w:abstractNumId="56">
    <w:nsid w:val="1A32234B"/>
    <w:multiLevelType w:val="hybridMultilevel"/>
    <w:lvl w:ilvl="0">
      <w:lvlJc w:val="left"/>
      <w:lvlText w:val="(%1)"/>
      <w:numFmt w:val="decimal"/>
      <w:start w:val="1"/>
    </w:lvl>
  </w:abstractNum>
  <w:abstractNum w:abstractNumId="57">
    <w:nsid w:val="3B0FD379"/>
    <w:multiLevelType w:val="hybridMultilevel"/>
    <w:lvl w:ilvl="0">
      <w:lvlJc w:val="left"/>
      <w:lvlText w:val="•"/>
      <w:numFmt w:val="bullet"/>
      <w:start w:val="1"/>
    </w:lvl>
  </w:abstractNum>
  <w:abstractNum w:abstractNumId="58">
    <w:nsid w:val="68EB2F63"/>
    <w:multiLevelType w:val="hybridMultilevel"/>
    <w:lvl w:ilvl="0">
      <w:lvlJc w:val="left"/>
      <w:lvlText w:val="•"/>
      <w:numFmt w:val="bullet"/>
      <w:start w:val="1"/>
    </w:lvl>
  </w:abstractNum>
  <w:abstractNum w:abstractNumId="59">
    <w:nsid w:val="4962813B"/>
    <w:multiLevelType w:val="hybridMultilevel"/>
    <w:lvl w:ilvl="0">
      <w:lvlJc w:val="left"/>
      <w:lvlText w:val="•"/>
      <w:numFmt w:val="bullet"/>
      <w:start w:val="1"/>
    </w:lvl>
  </w:abstractNum>
  <w:abstractNum w:abstractNumId="60">
    <w:nsid w:val="60B6DF70"/>
    <w:multiLevelType w:val="hybridMultilevel"/>
    <w:lvl w:ilvl="0">
      <w:lvlJc w:val="left"/>
      <w:lvlText w:val="(%1)"/>
      <w:numFmt w:val="decimal"/>
      <w:start w:val="1"/>
    </w:lvl>
  </w:abstractNum>
  <w:abstractNum w:abstractNumId="61">
    <w:nsid w:val="6A5EE64"/>
    <w:multiLevelType w:val="hybridMultilevel"/>
    <w:lvl w:ilvl="0">
      <w:lvlJc w:val="left"/>
      <w:lvlText w:val="•"/>
      <w:numFmt w:val="bullet"/>
      <w:start w:val="1"/>
    </w:lvl>
  </w:abstractNum>
  <w:abstractNum w:abstractNumId="62">
    <w:nsid w:val="14330624"/>
    <w:multiLevelType w:val="hybridMultilevel"/>
    <w:lvl w:ilvl="0">
      <w:lvlJc w:val="left"/>
      <w:lvlText w:val="•"/>
      <w:numFmt w:val="bullet"/>
      <w:start w:val="1"/>
    </w:lvl>
  </w:abstractNum>
  <w:abstractNum w:abstractNumId="63">
    <w:nsid w:val="7FFFCA11"/>
    <w:multiLevelType w:val="hybridMultilevel"/>
    <w:lvl w:ilvl="0">
      <w:lvlJc w:val="left"/>
      <w:lvlText w:val="•"/>
      <w:numFmt w:val="bullet"/>
      <w:start w:val="1"/>
    </w:lvl>
  </w:abstractNum>
  <w:abstractNum w:abstractNumId="64">
    <w:nsid w:val="1A27709E"/>
    <w:multiLevelType w:val="hybridMultilevel"/>
    <w:lvl w:ilvl="0">
      <w:lvlJc w:val="left"/>
      <w:lvlText w:val="•"/>
      <w:numFmt w:val="bullet"/>
      <w:start w:val="1"/>
    </w:lvl>
  </w:abstractNum>
  <w:abstractNum w:abstractNumId="65">
    <w:nsid w:val="71EA1109"/>
    <w:multiLevelType w:val="hybridMultilevel"/>
    <w:lvl w:ilvl="0">
      <w:lvlJc w:val="left"/>
      <w:lvlText w:val="(%1)"/>
      <w:numFmt w:val="decimal"/>
      <w:start w:val="1"/>
    </w:lvl>
  </w:abstractNum>
  <w:abstractNum w:abstractNumId="66">
    <w:nsid w:val="100F59DC"/>
    <w:multiLevelType w:val="hybridMultilevel"/>
    <w:lvl w:ilvl="0">
      <w:lvlJc w:val="left"/>
      <w:lvlText w:val="(%1)"/>
      <w:numFmt w:val="decimal"/>
      <w:start w:val="3"/>
    </w:lvl>
  </w:abstractNum>
  <w:abstractNum w:abstractNumId="67">
    <w:nsid w:val="7FB7E0AA"/>
    <w:multiLevelType w:val="hybridMultilevel"/>
    <w:lvl w:ilvl="0">
      <w:lvlJc w:val="left"/>
      <w:lvlText w:val="(%1)"/>
      <w:numFmt w:val="decimal"/>
      <w:start w:val="5"/>
    </w:lvl>
    <w:lvl w:ilvl="1">
      <w:lvlJc w:val="left"/>
      <w:lvlText w:val="%2."/>
      <w:numFmt w:val="lowerRoman"/>
      <w:start w:val="1"/>
    </w:lvl>
  </w:abstractNum>
  <w:abstractNum w:abstractNumId="68">
    <w:nsid w:val="6EB5BD4"/>
    <w:multiLevelType w:val="hybridMultilevel"/>
    <w:lvl w:ilvl="0">
      <w:lvlJc w:val="left"/>
      <w:lvlText w:val="(%1)"/>
      <w:numFmt w:val="decimal"/>
      <w:start w:val="6"/>
    </w:lvl>
  </w:abstractNum>
  <w:abstractNum w:abstractNumId="69">
    <w:nsid w:val="6F6DD9AC"/>
    <w:multiLevelType w:val="hybridMultilevel"/>
    <w:lvl w:ilvl="0">
      <w:lvlJc w:val="left"/>
      <w:lvlText w:val="(%1)"/>
      <w:numFmt w:val="decimal"/>
      <w:start w:val="1"/>
    </w:lvl>
  </w:abstractNum>
  <w:abstractNum w:abstractNumId="70">
    <w:nsid w:val="94211F2"/>
    <w:multiLevelType w:val="hybridMultilevel"/>
    <w:lvl w:ilvl="0">
      <w:lvlJc w:val="left"/>
      <w:lvlText w:val="(%1)"/>
      <w:numFmt w:val="decimal"/>
      <w:start w:val="1"/>
    </w:lvl>
  </w:abstractNum>
  <w:abstractNum w:abstractNumId="71">
    <w:nsid w:val="885E1B"/>
    <w:multiLevelType w:val="hybridMultilevel"/>
    <w:lvl w:ilvl="0">
      <w:lvlJc w:val="left"/>
      <w:lvlText w:val="(%1)"/>
      <w:numFmt w:val="decimal"/>
      <w:start w:val="1"/>
    </w:lvl>
  </w:abstractNum>
  <w:abstractNum w:abstractNumId="72">
    <w:nsid w:val="76272110"/>
    <w:multiLevelType w:val="hybridMultilevel"/>
    <w:lvl w:ilvl="0">
      <w:lvlJc w:val="left"/>
      <w:lvlText w:val="(%1)"/>
      <w:numFmt w:val="decimal"/>
      <w:start w:val="1"/>
    </w:lvl>
    <w:lvl w:ilvl="1">
      <w:lvlJc w:val="left"/>
      <w:lvlText w:val="•"/>
      <w:numFmt w:val="bullet"/>
      <w:start w:val="1"/>
    </w:lvl>
  </w:abstractNum>
  <w:abstractNum w:abstractNumId="73">
    <w:nsid w:val="4C04A8AF"/>
    <w:multiLevelType w:val="hybridMultilevel"/>
    <w:lvl w:ilvl="0">
      <w:lvlJc w:val="left"/>
      <w:lvlText w:val="•"/>
      <w:numFmt w:val="bullet"/>
      <w:start w:val="1"/>
    </w:lvl>
  </w:abstractNum>
  <w:abstractNum w:abstractNumId="74">
    <w:nsid w:val="1716703B"/>
    <w:multiLevelType w:val="hybridMultilevel"/>
    <w:lvl w:ilvl="0">
      <w:lvlJc w:val="left"/>
      <w:lvlText w:val="•"/>
      <w:numFmt w:val="bullet"/>
      <w:start w:val="1"/>
    </w:lvl>
  </w:abstractNum>
  <w:abstractNum w:abstractNumId="75">
    <w:nsid w:val="14E17E33"/>
    <w:multiLevelType w:val="hybridMultilevel"/>
    <w:lvl w:ilvl="0">
      <w:lvlJc w:val="left"/>
      <w:lvlText w:val="•"/>
      <w:numFmt w:val="bullet"/>
      <w:start w:val="1"/>
    </w:lvl>
  </w:abstractNum>
  <w:abstractNum w:abstractNumId="76">
    <w:nsid w:val="3222E7CD"/>
    <w:multiLevelType w:val="hybridMultilevel"/>
    <w:lvl w:ilvl="0">
      <w:lvlJc w:val="left"/>
      <w:lvlText w:val="•"/>
      <w:numFmt w:val="bullet"/>
      <w:start w:val="1"/>
    </w:lvl>
  </w:abstractNum>
  <w:abstractNum w:abstractNumId="77">
    <w:nsid w:val="74DE0EE3"/>
    <w:multiLevelType w:val="hybridMultilevel"/>
    <w:lvl w:ilvl="0">
      <w:lvlJc w:val="left"/>
      <w:lvlText w:val="•"/>
      <w:numFmt w:val="bullet"/>
      <w:start w:val="1"/>
    </w:lvl>
  </w:abstractNum>
  <w:abstractNum w:abstractNumId="78">
    <w:nsid w:val="68EBC550"/>
    <w:multiLevelType w:val="hybridMultilevel"/>
    <w:lvl w:ilvl="0">
      <w:lvlJc w:val="left"/>
      <w:lvlText w:val="(%1)"/>
      <w:numFmt w:val="decimal"/>
      <w:start w:val="1"/>
    </w:lvl>
  </w:abstractNum>
  <w:abstractNum w:abstractNumId="79">
    <w:nsid w:val="2DF6D648"/>
    <w:multiLevelType w:val="hybridMultilevel"/>
    <w:lvl w:ilvl="0">
      <w:lvlJc w:val="left"/>
      <w:lvlText w:val="•"/>
      <w:numFmt w:val="bullet"/>
      <w:start w:val="1"/>
    </w:lvl>
  </w:abstractNum>
  <w:abstractNum w:abstractNumId="80">
    <w:nsid w:val="46B7D447"/>
    <w:multiLevelType w:val="hybridMultilevel"/>
    <w:lvl w:ilvl="0">
      <w:lvlJc w:val="left"/>
      <w:lvlText w:val="(%1)"/>
      <w:numFmt w:val="decimal"/>
      <w:start w:val="1"/>
    </w:lvl>
  </w:abstractNum>
  <w:abstractNum w:abstractNumId="81">
    <w:nsid w:val="4A2AC315"/>
    <w:multiLevelType w:val="hybridMultilevel"/>
    <w:lvl w:ilvl="0">
      <w:lvlJc w:val="left"/>
      <w:lvlText w:val="•"/>
      <w:numFmt w:val="bullet"/>
      <w:start w:val="1"/>
    </w:lvl>
  </w:abstractNum>
  <w:abstractNum w:abstractNumId="82">
    <w:nsid w:val="39EE015C"/>
    <w:multiLevelType w:val="hybridMultilevel"/>
    <w:lvl w:ilvl="0">
      <w:lvlJc w:val="left"/>
      <w:lvlText w:val="(%1)"/>
      <w:numFmt w:val="decimal"/>
      <w:start w:val="1"/>
    </w:lvl>
  </w:abstractNum>
  <w:abstractNum w:abstractNumId="83">
    <w:nsid w:val="57FC4FBB"/>
    <w:multiLevelType w:val="hybridMultilevel"/>
    <w:lvl w:ilvl="0">
      <w:lvlJc w:val="left"/>
      <w:lvlText w:val="•"/>
      <w:numFmt w:val="bullet"/>
      <w:start w:val="1"/>
    </w:lvl>
  </w:abstractNum>
  <w:abstractNum w:abstractNumId="84">
    <w:nsid w:val="CC1016F"/>
    <w:multiLevelType w:val="hybridMultilevel"/>
    <w:lvl w:ilvl="0">
      <w:lvlJc w:val="left"/>
      <w:lvlText w:val="(%1)"/>
      <w:numFmt w:val="decimal"/>
      <w:start w:val="1"/>
    </w:lvl>
  </w:abstractNum>
  <w:abstractNum w:abstractNumId="85">
    <w:nsid w:val="43F18422"/>
    <w:multiLevelType w:val="hybridMultilevel"/>
    <w:lvl w:ilvl="0">
      <w:lvlJc w:val="left"/>
      <w:lvlText w:val="(%1)"/>
      <w:numFmt w:val="decimal"/>
      <w:start w:val="1"/>
    </w:lvl>
  </w:abstractNum>
  <w:abstractNum w:abstractNumId="86">
    <w:nsid w:val="60EF0119"/>
    <w:multiLevelType w:val="hybridMultilevel"/>
    <w:lvl w:ilvl="0">
      <w:lvlJc w:val="left"/>
      <w:lvlText w:val="1"/>
      <w:numFmt w:val="bullet"/>
      <w:start w:val="1"/>
    </w:lvl>
  </w:abstractNum>
  <w:abstractNum w:abstractNumId="87">
    <w:nsid w:val="26F324BA"/>
    <w:multiLevelType w:val="hybridMultilevel"/>
    <w:lvl w:ilvl="0">
      <w:lvlJc w:val="left"/>
      <w:lvlText w:val="2"/>
      <w:numFmt w:val="bullet"/>
      <w:start w:val="1"/>
    </w:lvl>
  </w:abstractNum>
  <w:abstractNum w:abstractNumId="88">
    <w:nsid w:val="7F01579B"/>
    <w:multiLevelType w:val="hybridMultilevel"/>
    <w:lvl w:ilvl="0">
      <w:lvlJc w:val="left"/>
      <w:lvlText w:val="•"/>
      <w:numFmt w:val="bullet"/>
      <w:start w:val="1"/>
    </w:lvl>
  </w:abstractNum>
  <w:abstractNum w:abstractNumId="89">
    <w:nsid w:val="49DA307D"/>
    <w:multiLevelType w:val="hybridMultilevel"/>
    <w:lvl w:ilvl="0">
      <w:lvlJc w:val="left"/>
      <w:lvlText w:val="•"/>
      <w:numFmt w:val="bullet"/>
      <w:start w:val="1"/>
    </w:lvl>
  </w:abstractNum>
  <w:abstractNum w:abstractNumId="90">
    <w:nsid w:val="7055A5F5"/>
    <w:multiLevelType w:val="hybridMultilevel"/>
    <w:lvl w:ilvl="0">
      <w:lvlJc w:val="left"/>
      <w:lvlText w:val="•"/>
      <w:numFmt w:val="bullet"/>
      <w:start w:val="1"/>
    </w:lvl>
  </w:abstractNum>
  <w:abstractNum w:abstractNumId="91">
    <w:nsid w:val="5FB8370B"/>
    <w:multiLevelType w:val="hybridMultilevel"/>
    <w:lvl w:ilvl="0">
      <w:lvlJc w:val="left"/>
      <w:lvlText w:val="•"/>
      <w:numFmt w:val="bullet"/>
      <w:start w:val="1"/>
    </w:lvl>
  </w:abstractNum>
  <w:abstractNum w:abstractNumId="92">
    <w:nsid w:val="50801EE1"/>
    <w:multiLevelType w:val="hybridMultilevel"/>
    <w:lvl w:ilvl="0">
      <w:lvlJc w:val="left"/>
      <w:lvlText w:val="•"/>
      <w:numFmt w:val="bullet"/>
      <w:start w:val="1"/>
    </w:lvl>
  </w:abstractNum>
  <w:abstractNum w:abstractNumId="93">
    <w:nsid w:val="488AC1A"/>
    <w:multiLevelType w:val="hybridMultilevel"/>
    <w:lvl w:ilvl="0">
      <w:lvlJc w:val="left"/>
      <w:lvlText w:val="(%1)"/>
      <w:numFmt w:val="decimal"/>
      <w:start w:val="1"/>
    </w:lvl>
  </w:abstractNum>
  <w:abstractNum w:abstractNumId="94">
    <w:nsid w:val="5FB8011C"/>
    <w:multiLevelType w:val="hybridMultilevel"/>
    <w:lvl w:ilvl="0">
      <w:lvlJc w:val="left"/>
      <w:lvlText w:val="%1."/>
      <w:numFmt w:val="decimal"/>
      <w:start w:val="2"/>
    </w:lvl>
  </w:abstractNum>
  <w:abstractNum w:abstractNumId="95">
    <w:nsid w:val="6AA78F7F"/>
    <w:multiLevelType w:val="hybridMultilevel"/>
    <w:lvl w:ilvl="0">
      <w:lvlJc w:val="left"/>
      <w:lvlText w:val="%1."/>
      <w:numFmt w:val="decimal"/>
      <w:start w:val="4"/>
    </w:lvl>
  </w:abstractNum>
  <w:abstractNum w:abstractNumId="96">
    <w:nsid w:val="7672BD23"/>
    <w:multiLevelType w:val="hybridMultilevel"/>
    <w:lvl w:ilvl="0">
      <w:lvlJc w:val="left"/>
      <w:lvlText w:val="%1."/>
      <w:numFmt w:val="decimal"/>
      <w:start w:val="2"/>
    </w:lvl>
  </w:abstractNum>
  <w:abstractNum w:abstractNumId="97">
    <w:nsid w:val="6FC75AF8"/>
    <w:multiLevelType w:val="hybridMultilevel"/>
    <w:lvl w:ilvl="0">
      <w:lvlJc w:val="left"/>
      <w:lvlText w:val="%1."/>
      <w:numFmt w:val="decimal"/>
      <w:start w:val="4"/>
    </w:lvl>
  </w:abstractNum>
  <w:abstractNum w:abstractNumId="98">
    <w:nsid w:val="6A5F7029"/>
    <w:multiLevelType w:val="hybridMultilevel"/>
    <w:lvl w:ilvl="0">
      <w:lvlJc w:val="left"/>
      <w:lvlText w:val="%1."/>
      <w:numFmt w:val="decimal"/>
      <w:start w:val="1"/>
    </w:lvl>
  </w:abstractNum>
  <w:abstractNum w:abstractNumId="99">
    <w:nsid w:val="7D5E18F8"/>
    <w:multiLevelType w:val="hybridMultilevel"/>
    <w:lvl w:ilvl="0">
      <w:lvlJc w:val="left"/>
      <w:lvlText w:val="%1."/>
      <w:numFmt w:val="decimal"/>
      <w:start w:val="2"/>
    </w:lvl>
  </w:abstractNum>
  <w:abstractNum w:abstractNumId="100">
    <w:nsid w:val="5F3534A4"/>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jpe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2021-04-02T14:42:36Z</dcterms:created>
  <dcterms:modified xsi:type="dcterms:W3CDTF">2021-04-02T14:42:36Z</dcterms:modified>
</cp:coreProperties>
</file>